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7F166D">
      <w:pPr>
        <w:adjustRightInd w:val="0"/>
        <w:snapToGrid w:val="0"/>
        <w:ind w:firstLine="883"/>
        <w:rPr>
          <w:rFonts w:hint="eastAsia" w:ascii="宋体" w:hAnsi="宋体"/>
          <w:b/>
          <w:sz w:val="44"/>
          <w:szCs w:val="44"/>
        </w:rPr>
      </w:pPr>
      <w:bookmarkStart w:id="0" w:name="_Toc248649399"/>
      <w:bookmarkStart w:id="1" w:name="_Toc226349673"/>
      <w:bookmarkStart w:id="2" w:name="_Toc226348191"/>
      <w:bookmarkStart w:id="3" w:name="_Toc306547259"/>
    </w:p>
    <w:p w14:paraId="3BFBAF04">
      <w:pPr>
        <w:adjustRightInd w:val="0"/>
        <w:snapToGrid w:val="0"/>
        <w:ind w:firstLine="883"/>
        <w:jc w:val="center"/>
        <w:rPr>
          <w:rFonts w:hint="eastAsia" w:ascii="宋体" w:hAnsi="宋体"/>
          <w:b/>
          <w:sz w:val="44"/>
          <w:szCs w:val="44"/>
        </w:rPr>
      </w:pPr>
    </w:p>
    <w:p w14:paraId="3F919B42">
      <w:pPr>
        <w:adjustRightInd w:val="0"/>
        <w:snapToGrid w:val="0"/>
        <w:ind w:firstLine="883"/>
        <w:jc w:val="center"/>
        <w:rPr>
          <w:rFonts w:hint="eastAsia" w:ascii="宋体" w:hAnsi="宋体"/>
          <w:b/>
          <w:sz w:val="44"/>
          <w:szCs w:val="44"/>
        </w:rPr>
      </w:pPr>
    </w:p>
    <w:p w14:paraId="4EA9F1C2">
      <w:pPr>
        <w:adjustRightInd w:val="0"/>
        <w:snapToGrid w:val="0"/>
        <w:ind w:firstLine="0" w:firstLineChars="0"/>
        <w:jc w:val="center"/>
        <w:rPr>
          <w:rFonts w:hint="eastAsia" w:ascii="宋体" w:hAnsi="宋体"/>
          <w:b/>
          <w:sz w:val="44"/>
          <w:szCs w:val="44"/>
          <w:lang w:eastAsia="zh-CN"/>
        </w:rPr>
      </w:pPr>
      <w:r>
        <w:rPr>
          <w:rFonts w:hint="eastAsia" w:ascii="宋体" w:hAnsi="宋体"/>
          <w:b/>
          <w:bCs/>
          <w:sz w:val="44"/>
          <w:szCs w:val="44"/>
          <w:lang w:eastAsia="zh-CN"/>
        </w:rPr>
        <w:t>乌里雅斯太</w:t>
      </w:r>
      <w:r>
        <w:rPr>
          <w:rFonts w:ascii="宋体" w:hAnsi="宋体"/>
          <w:b/>
          <w:bCs/>
          <w:sz w:val="44"/>
          <w:szCs w:val="44"/>
          <w:lang w:eastAsia="zh-CN"/>
        </w:rPr>
        <w:t>油田</w:t>
      </w:r>
      <w:r>
        <w:rPr>
          <w:rFonts w:hint="eastAsia" w:ascii="宋体" w:hAnsi="宋体"/>
          <w:b/>
          <w:bCs/>
          <w:sz w:val="44"/>
          <w:szCs w:val="44"/>
          <w:lang w:eastAsia="zh-CN"/>
        </w:rPr>
        <w:t>地面</w:t>
      </w:r>
      <w:r>
        <w:rPr>
          <w:rFonts w:ascii="宋体" w:hAnsi="宋体"/>
          <w:b/>
          <w:bCs/>
          <w:sz w:val="44"/>
          <w:szCs w:val="44"/>
          <w:lang w:eastAsia="zh-CN"/>
        </w:rPr>
        <w:t>产能</w:t>
      </w:r>
      <w:r>
        <w:rPr>
          <w:rFonts w:hint="eastAsia" w:ascii="宋体" w:hAnsi="宋体"/>
          <w:b/>
          <w:bCs/>
          <w:sz w:val="44"/>
          <w:szCs w:val="44"/>
          <w:lang w:eastAsia="zh-CN"/>
        </w:rPr>
        <w:t>开发</w:t>
      </w:r>
      <w:r>
        <w:rPr>
          <w:rFonts w:ascii="宋体" w:hAnsi="宋体"/>
          <w:b/>
          <w:bCs/>
          <w:sz w:val="44"/>
          <w:szCs w:val="44"/>
          <w:lang w:eastAsia="zh-CN"/>
        </w:rPr>
        <w:t>建设项目</w:t>
      </w:r>
    </w:p>
    <w:p w14:paraId="47F64ACE">
      <w:pPr>
        <w:adjustRightInd w:val="0"/>
        <w:snapToGrid w:val="0"/>
        <w:ind w:firstLine="0" w:firstLineChars="0"/>
        <w:jc w:val="center"/>
        <w:rPr>
          <w:rFonts w:hint="eastAsia" w:ascii="黑体" w:eastAsia="黑体"/>
          <w:b/>
          <w:spacing w:val="38"/>
          <w:sz w:val="52"/>
          <w:szCs w:val="52"/>
          <w:lang w:eastAsia="zh-CN"/>
        </w:rPr>
      </w:pPr>
      <w:r>
        <w:rPr>
          <w:rFonts w:hint="eastAsia" w:ascii="黑体" w:eastAsia="黑体"/>
          <w:b/>
          <w:bCs/>
          <w:spacing w:val="38"/>
          <w:sz w:val="52"/>
          <w:szCs w:val="52"/>
          <w:lang w:eastAsia="zh-CN"/>
        </w:rPr>
        <w:t>环境影响报告书</w:t>
      </w:r>
    </w:p>
    <w:p w14:paraId="25EAE65B">
      <w:pPr>
        <w:adjustRightInd w:val="0"/>
        <w:snapToGrid w:val="0"/>
        <w:spacing w:line="500" w:lineRule="exact"/>
        <w:ind w:firstLine="482"/>
        <w:rPr>
          <w:b/>
          <w:color w:val="FF0000"/>
          <w:lang w:eastAsia="zh-CN"/>
        </w:rPr>
      </w:pPr>
    </w:p>
    <w:p w14:paraId="39366624">
      <w:pPr>
        <w:adjustRightInd w:val="0"/>
        <w:snapToGrid w:val="0"/>
        <w:spacing w:line="500" w:lineRule="exact"/>
        <w:ind w:firstLine="480"/>
        <w:rPr>
          <w:color w:val="FF0000"/>
          <w:lang w:eastAsia="zh-CN"/>
        </w:rPr>
      </w:pPr>
    </w:p>
    <w:p w14:paraId="3ECB03FD">
      <w:pPr>
        <w:adjustRightInd w:val="0"/>
        <w:snapToGrid w:val="0"/>
        <w:spacing w:line="500" w:lineRule="exact"/>
        <w:ind w:firstLine="480"/>
        <w:rPr>
          <w:color w:val="FF0000"/>
          <w:lang w:eastAsia="zh-CN"/>
        </w:rPr>
      </w:pPr>
    </w:p>
    <w:p w14:paraId="1FCF994C">
      <w:pPr>
        <w:adjustRightInd w:val="0"/>
        <w:snapToGrid w:val="0"/>
        <w:spacing w:line="500" w:lineRule="exact"/>
        <w:ind w:firstLine="480"/>
        <w:rPr>
          <w:color w:val="FF0000"/>
          <w:lang w:eastAsia="zh-CN"/>
        </w:rPr>
      </w:pPr>
    </w:p>
    <w:p w14:paraId="19B3A57D">
      <w:pPr>
        <w:adjustRightInd w:val="0"/>
        <w:snapToGrid w:val="0"/>
        <w:spacing w:line="500" w:lineRule="exact"/>
        <w:ind w:firstLine="480"/>
        <w:rPr>
          <w:color w:val="FF0000"/>
          <w:lang w:eastAsia="zh-CN"/>
        </w:rPr>
      </w:pPr>
    </w:p>
    <w:p w14:paraId="5981799A">
      <w:pPr>
        <w:adjustRightInd w:val="0"/>
        <w:snapToGrid w:val="0"/>
        <w:spacing w:line="500" w:lineRule="exact"/>
        <w:ind w:firstLine="480"/>
        <w:rPr>
          <w:rFonts w:hint="eastAsia"/>
          <w:color w:val="FF0000"/>
          <w:lang w:eastAsia="zh-CN"/>
        </w:rPr>
      </w:pPr>
    </w:p>
    <w:p w14:paraId="5A86FDE8">
      <w:pPr>
        <w:adjustRightInd w:val="0"/>
        <w:snapToGrid w:val="0"/>
        <w:spacing w:line="500" w:lineRule="exact"/>
        <w:ind w:firstLine="480"/>
        <w:rPr>
          <w:rFonts w:hint="eastAsia"/>
          <w:color w:val="FF0000"/>
          <w:lang w:eastAsia="zh-CN"/>
        </w:rPr>
      </w:pPr>
    </w:p>
    <w:p w14:paraId="04EA18BE">
      <w:pPr>
        <w:adjustRightInd w:val="0"/>
        <w:snapToGrid w:val="0"/>
        <w:spacing w:line="500" w:lineRule="exact"/>
        <w:ind w:firstLine="480"/>
        <w:rPr>
          <w:rFonts w:hint="eastAsia"/>
          <w:color w:val="FF0000"/>
          <w:lang w:eastAsia="zh-CN"/>
        </w:rPr>
      </w:pPr>
    </w:p>
    <w:p w14:paraId="7E0184BF">
      <w:pPr>
        <w:adjustRightInd w:val="0"/>
        <w:snapToGrid w:val="0"/>
        <w:spacing w:line="500" w:lineRule="exact"/>
        <w:ind w:firstLine="480"/>
        <w:rPr>
          <w:rFonts w:hint="eastAsia"/>
          <w:color w:val="FF0000"/>
          <w:lang w:eastAsia="zh-CN"/>
        </w:rPr>
      </w:pPr>
    </w:p>
    <w:p w14:paraId="7CF58BAC">
      <w:pPr>
        <w:adjustRightInd w:val="0"/>
        <w:snapToGrid w:val="0"/>
        <w:spacing w:line="500" w:lineRule="exact"/>
        <w:ind w:firstLine="480"/>
        <w:rPr>
          <w:rFonts w:hint="eastAsia"/>
          <w:color w:val="FF0000"/>
          <w:lang w:eastAsia="zh-CN"/>
        </w:rPr>
      </w:pPr>
    </w:p>
    <w:p w14:paraId="517DF224">
      <w:pPr>
        <w:adjustRightInd w:val="0"/>
        <w:snapToGrid w:val="0"/>
        <w:spacing w:line="500" w:lineRule="exact"/>
        <w:ind w:firstLine="480"/>
        <w:rPr>
          <w:rFonts w:hint="eastAsia"/>
          <w:color w:val="FF0000"/>
          <w:lang w:eastAsia="zh-CN"/>
        </w:rPr>
      </w:pPr>
    </w:p>
    <w:p w14:paraId="7E6727A8">
      <w:pPr>
        <w:adjustRightInd w:val="0"/>
        <w:snapToGrid w:val="0"/>
        <w:spacing w:line="500" w:lineRule="exact"/>
        <w:ind w:firstLine="480"/>
        <w:jc w:val="center"/>
        <w:rPr>
          <w:color w:val="FF0000"/>
          <w:lang w:eastAsia="zh-CN"/>
        </w:rPr>
      </w:pPr>
    </w:p>
    <w:p w14:paraId="5F505A3D">
      <w:pPr>
        <w:adjustRightInd w:val="0"/>
        <w:snapToGrid w:val="0"/>
        <w:ind w:firstLine="0" w:firstLineChars="0"/>
        <w:jc w:val="center"/>
        <w:rPr>
          <w:rFonts w:hint="eastAsia" w:ascii="宋体" w:hAnsi="宋体"/>
          <w:b/>
          <w:sz w:val="36"/>
          <w:szCs w:val="36"/>
          <w:lang w:eastAsia="zh-CN"/>
        </w:rPr>
      </w:pPr>
      <w:r>
        <w:rPr>
          <w:rFonts w:hint="eastAsia" w:ascii="宋体" w:hAnsi="宋体"/>
          <w:b/>
          <w:sz w:val="36"/>
          <w:szCs w:val="36"/>
          <w:lang w:eastAsia="zh-CN"/>
        </w:rPr>
        <w:t>中晟环保科技开发投资有限公司</w:t>
      </w:r>
    </w:p>
    <w:p w14:paraId="61963AE8">
      <w:pPr>
        <w:adjustRightInd w:val="0"/>
        <w:snapToGrid w:val="0"/>
        <w:ind w:firstLine="0" w:firstLineChars="0"/>
        <w:jc w:val="center"/>
        <w:rPr>
          <w:b/>
          <w:sz w:val="32"/>
          <w:szCs w:val="32"/>
          <w:lang w:eastAsia="zh-CN"/>
        </w:rPr>
      </w:pPr>
      <w:r>
        <w:rPr>
          <w:rFonts w:hAnsi="宋体"/>
          <w:b/>
          <w:sz w:val="32"/>
          <w:szCs w:val="32"/>
          <w:lang w:eastAsia="zh-CN"/>
        </w:rPr>
        <w:t>国环评证乙字第</w:t>
      </w:r>
      <w:r>
        <w:rPr>
          <w:rFonts w:hint="eastAsia"/>
          <w:b/>
          <w:sz w:val="32"/>
          <w:szCs w:val="32"/>
          <w:lang w:eastAsia="zh-CN"/>
        </w:rPr>
        <w:t>1006</w:t>
      </w:r>
      <w:r>
        <w:rPr>
          <w:rFonts w:hAnsi="宋体"/>
          <w:b/>
          <w:sz w:val="32"/>
          <w:szCs w:val="32"/>
          <w:lang w:eastAsia="zh-CN"/>
        </w:rPr>
        <w:t>号</w:t>
      </w:r>
    </w:p>
    <w:p w14:paraId="3C6EBD0C">
      <w:pPr>
        <w:adjustRightInd w:val="0"/>
        <w:snapToGrid w:val="0"/>
        <w:ind w:firstLine="0" w:firstLineChars="0"/>
        <w:jc w:val="center"/>
        <w:rPr>
          <w:sz w:val="30"/>
          <w:szCs w:val="30"/>
          <w:lang w:eastAsia="zh-CN"/>
        </w:rPr>
      </w:pPr>
      <w:r>
        <w:rPr>
          <w:b/>
          <w:sz w:val="32"/>
          <w:szCs w:val="32"/>
          <w:lang w:eastAsia="zh-CN"/>
        </w:rPr>
        <w:t>201</w:t>
      </w:r>
      <w:r>
        <w:rPr>
          <w:rFonts w:hint="eastAsia"/>
          <w:b/>
          <w:sz w:val="32"/>
          <w:szCs w:val="32"/>
          <w:lang w:eastAsia="zh-CN"/>
        </w:rPr>
        <w:t>5</w:t>
      </w:r>
      <w:r>
        <w:rPr>
          <w:rFonts w:hAnsi="宋体"/>
          <w:b/>
          <w:sz w:val="32"/>
          <w:szCs w:val="32"/>
          <w:lang w:eastAsia="zh-CN"/>
        </w:rPr>
        <w:t>年</w:t>
      </w:r>
      <w:r>
        <w:rPr>
          <w:b/>
          <w:sz w:val="32"/>
          <w:szCs w:val="32"/>
          <w:lang w:eastAsia="zh-CN"/>
        </w:rPr>
        <w:t>0</w:t>
      </w:r>
      <w:r>
        <w:rPr>
          <w:rFonts w:hint="eastAsia"/>
          <w:b/>
          <w:sz w:val="32"/>
          <w:szCs w:val="32"/>
          <w:lang w:eastAsia="zh-CN"/>
        </w:rPr>
        <w:t>4</w:t>
      </w:r>
      <w:r>
        <w:rPr>
          <w:rFonts w:hAnsi="宋体"/>
          <w:b/>
          <w:sz w:val="32"/>
          <w:szCs w:val="32"/>
          <w:lang w:eastAsia="zh-CN"/>
        </w:rPr>
        <w:t>月</w:t>
      </w:r>
    </w:p>
    <w:p w14:paraId="0C7B9736">
      <w:pPr>
        <w:pStyle w:val="127"/>
        <w:ind w:firstLine="0" w:firstLineChars="0"/>
        <w:rPr>
          <w:rFonts w:hint="eastAsia" w:asciiTheme="minorEastAsia" w:hAnsiTheme="minorEastAsia" w:eastAsiaTheme="minorEastAsia"/>
          <w:b/>
          <w:sz w:val="21"/>
          <w:szCs w:val="21"/>
          <w:lang w:val="en-US" w:eastAsia="zh-CN"/>
        </w:rPr>
      </w:pPr>
    </w:p>
    <w:p w14:paraId="7EF1D364">
      <w:pPr>
        <w:pStyle w:val="127"/>
        <w:ind w:firstLine="0" w:firstLineChars="0"/>
        <w:jc w:val="center"/>
        <w:rPr>
          <w:rFonts w:asciiTheme="minorEastAsia" w:hAnsiTheme="minorEastAsia" w:eastAsiaTheme="minorEastAsia"/>
          <w:b/>
          <w:sz w:val="21"/>
          <w:szCs w:val="21"/>
          <w:lang w:eastAsia="zh-CN"/>
        </w:rPr>
      </w:pPr>
      <w:r>
        <w:rPr>
          <w:rFonts w:asciiTheme="minorEastAsia" w:hAnsiTheme="minorEastAsia" w:eastAsiaTheme="minorEastAsia"/>
          <w:b/>
          <w:sz w:val="21"/>
          <w:szCs w:val="21"/>
          <w:lang w:val="en-US" w:eastAsia="zh-CN"/>
        </w:rPr>
        <w:drawing>
          <wp:inline distT="0" distB="0" distL="0" distR="0">
            <wp:extent cx="5276850" cy="7258050"/>
            <wp:effectExtent l="19050" t="0" r="0" b="0"/>
            <wp:docPr id="1" name="图片 10" descr="252 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252 225.jpg"/>
                    <pic:cNvPicPr>
                      <a:picLocks noChangeAspect="1" noChangeArrowheads="1"/>
                    </pic:cNvPicPr>
                  </pic:nvPicPr>
                  <pic:blipFill>
                    <a:blip r:embed="rId17"/>
                    <a:srcRect/>
                    <a:stretch>
                      <a:fillRect/>
                    </a:stretch>
                  </pic:blipFill>
                  <pic:spPr>
                    <a:xfrm>
                      <a:off x="0" y="0"/>
                      <a:ext cx="5276850" cy="7258050"/>
                    </a:xfrm>
                    <a:prstGeom prst="rect">
                      <a:avLst/>
                    </a:prstGeom>
                    <a:noFill/>
                    <a:ln w="9525">
                      <a:noFill/>
                      <a:miter lim="800000"/>
                      <a:headEnd/>
                      <a:tailEnd/>
                    </a:ln>
                  </pic:spPr>
                </pic:pic>
              </a:graphicData>
            </a:graphic>
          </wp:inline>
        </w:drawing>
      </w:r>
      <w:r>
        <w:rPr>
          <w:rFonts w:asciiTheme="minorEastAsia" w:hAnsiTheme="minorEastAsia" w:eastAsiaTheme="minorEastAsia"/>
          <w:b/>
          <w:sz w:val="21"/>
          <w:szCs w:val="21"/>
          <w:lang w:val="en-US" w:eastAsia="zh-CN"/>
        </w:rPr>
        <w:drawing>
          <wp:inline distT="0" distB="0" distL="0" distR="0">
            <wp:extent cx="5276850" cy="7258050"/>
            <wp:effectExtent l="19050" t="0" r="0" b="0"/>
            <wp:docPr id="2" name="图片 12" descr="252 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252 226.jpg"/>
                    <pic:cNvPicPr>
                      <a:picLocks noChangeAspect="1" noChangeArrowheads="1"/>
                    </pic:cNvPicPr>
                  </pic:nvPicPr>
                  <pic:blipFill>
                    <a:blip r:embed="rId18"/>
                    <a:srcRect/>
                    <a:stretch>
                      <a:fillRect/>
                    </a:stretch>
                  </pic:blipFill>
                  <pic:spPr>
                    <a:xfrm>
                      <a:off x="0" y="0"/>
                      <a:ext cx="5276850" cy="7258050"/>
                    </a:xfrm>
                    <a:prstGeom prst="rect">
                      <a:avLst/>
                    </a:prstGeom>
                    <a:noFill/>
                    <a:ln w="9525">
                      <a:noFill/>
                      <a:miter lim="800000"/>
                      <a:headEnd/>
                      <a:tailEnd/>
                    </a:ln>
                  </pic:spPr>
                </pic:pic>
              </a:graphicData>
            </a:graphic>
          </wp:inline>
        </w:drawing>
      </w:r>
      <w:r>
        <w:rPr>
          <w:rFonts w:asciiTheme="minorEastAsia" w:hAnsiTheme="minorEastAsia" w:eastAsiaTheme="minorEastAsia"/>
          <w:b/>
          <w:sz w:val="21"/>
          <w:szCs w:val="21"/>
          <w:lang w:val="en-US" w:eastAsia="zh-CN"/>
        </w:rPr>
        <w:drawing>
          <wp:inline distT="0" distB="0" distL="0" distR="0">
            <wp:extent cx="5276850" cy="7258050"/>
            <wp:effectExtent l="19050" t="0" r="0" b="0"/>
            <wp:docPr id="3" name="图片 13" descr="252 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descr="252 227.jpg"/>
                    <pic:cNvPicPr>
                      <a:picLocks noChangeAspect="1" noChangeArrowheads="1"/>
                    </pic:cNvPicPr>
                  </pic:nvPicPr>
                  <pic:blipFill>
                    <a:blip r:embed="rId19"/>
                    <a:srcRect/>
                    <a:stretch>
                      <a:fillRect/>
                    </a:stretch>
                  </pic:blipFill>
                  <pic:spPr>
                    <a:xfrm>
                      <a:off x="0" y="0"/>
                      <a:ext cx="5276850" cy="7258050"/>
                    </a:xfrm>
                    <a:prstGeom prst="rect">
                      <a:avLst/>
                    </a:prstGeom>
                    <a:noFill/>
                    <a:ln w="9525">
                      <a:noFill/>
                      <a:miter lim="800000"/>
                      <a:headEnd/>
                      <a:tailEnd/>
                    </a:ln>
                  </pic:spPr>
                </pic:pic>
              </a:graphicData>
            </a:graphic>
          </wp:inline>
        </w:drawing>
      </w:r>
    </w:p>
    <w:p w14:paraId="595FEFB5">
      <w:pPr>
        <w:pStyle w:val="127"/>
        <w:ind w:firstLine="0" w:firstLineChars="0"/>
        <w:jc w:val="center"/>
        <w:rPr>
          <w:rFonts w:asciiTheme="minorEastAsia" w:hAnsiTheme="minorEastAsia" w:eastAsiaTheme="minorEastAsia"/>
          <w:b/>
          <w:sz w:val="21"/>
          <w:szCs w:val="21"/>
          <w:lang w:eastAsia="zh-CN"/>
        </w:rPr>
      </w:pPr>
    </w:p>
    <w:p w14:paraId="6B90B00E">
      <w:pPr>
        <w:pStyle w:val="127"/>
        <w:ind w:firstLine="0" w:firstLineChars="0"/>
        <w:jc w:val="center"/>
        <w:rPr>
          <w:rFonts w:asciiTheme="minorEastAsia" w:hAnsiTheme="minorEastAsia" w:eastAsiaTheme="minorEastAsia"/>
          <w:b/>
          <w:sz w:val="21"/>
          <w:szCs w:val="21"/>
          <w:lang w:eastAsia="zh-CN"/>
        </w:rPr>
      </w:pPr>
    </w:p>
    <w:p w14:paraId="35A82CEA">
      <w:pPr>
        <w:pStyle w:val="127"/>
        <w:ind w:firstLine="0" w:firstLineChars="0"/>
        <w:jc w:val="center"/>
        <w:rPr>
          <w:rFonts w:asciiTheme="minorEastAsia" w:hAnsiTheme="minorEastAsia" w:eastAsiaTheme="minorEastAsia"/>
          <w:b/>
          <w:sz w:val="21"/>
          <w:szCs w:val="21"/>
          <w:lang w:eastAsia="zh-CN"/>
        </w:rPr>
      </w:pPr>
    </w:p>
    <w:p w14:paraId="1FA5997F">
      <w:pPr>
        <w:pStyle w:val="127"/>
        <w:ind w:firstLine="0" w:firstLineChars="0"/>
        <w:jc w:val="center"/>
        <w:rPr>
          <w:rFonts w:asciiTheme="minorEastAsia" w:hAnsiTheme="minorEastAsia" w:eastAsiaTheme="minorEastAsia"/>
          <w:b/>
          <w:sz w:val="21"/>
          <w:szCs w:val="21"/>
          <w:lang w:eastAsia="zh-CN"/>
        </w:rPr>
      </w:pPr>
    </w:p>
    <w:p w14:paraId="6C9685C1">
      <w:pPr>
        <w:pStyle w:val="127"/>
        <w:ind w:firstLine="0" w:firstLineChars="0"/>
        <w:jc w:val="center"/>
        <w:rPr>
          <w:rFonts w:asciiTheme="minorEastAsia" w:hAnsiTheme="minorEastAsia" w:eastAsiaTheme="minorEastAsia"/>
          <w:b/>
          <w:sz w:val="21"/>
          <w:szCs w:val="21"/>
          <w:lang w:eastAsia="zh-CN"/>
        </w:rPr>
      </w:pPr>
    </w:p>
    <w:p w14:paraId="114405BF">
      <w:pPr>
        <w:pStyle w:val="127"/>
        <w:ind w:firstLine="0" w:firstLineChars="0"/>
        <w:jc w:val="center"/>
        <w:rPr>
          <w:rFonts w:asciiTheme="minorEastAsia" w:hAnsiTheme="minorEastAsia" w:eastAsiaTheme="minorEastAsia"/>
          <w:b/>
          <w:sz w:val="21"/>
          <w:szCs w:val="21"/>
          <w:lang w:eastAsia="zh-CN"/>
        </w:rPr>
      </w:pPr>
    </w:p>
    <w:p w14:paraId="2B2CCBD6">
      <w:pPr>
        <w:pStyle w:val="127"/>
        <w:ind w:firstLine="0" w:firstLineChars="0"/>
        <w:jc w:val="center"/>
        <w:rPr>
          <w:rFonts w:asciiTheme="minorEastAsia" w:hAnsiTheme="minorEastAsia" w:eastAsiaTheme="minorEastAsia"/>
          <w:b/>
          <w:sz w:val="21"/>
          <w:szCs w:val="21"/>
          <w:lang w:eastAsia="zh-CN"/>
        </w:rPr>
      </w:pPr>
      <w:r>
        <w:rPr>
          <w:rFonts w:asciiTheme="minorEastAsia" w:hAnsiTheme="minorEastAsia" w:eastAsiaTheme="minorEastAsia"/>
          <w:b/>
          <w:sz w:val="21"/>
          <w:szCs w:val="21"/>
          <w:lang w:eastAsia="zh-CN"/>
        </w:rPr>
        <w:t>目录</w:t>
      </w:r>
    </w:p>
    <w:p w14:paraId="6E9D09B9">
      <w:pPr>
        <w:pStyle w:val="51"/>
        <w:ind w:firstLine="420"/>
        <w:rPr>
          <w:rFonts w:asciiTheme="minorEastAsia" w:hAnsiTheme="minorEastAsia" w:eastAsiaTheme="minorEastAsia" w:cstheme="minorBidi"/>
          <w:b/>
          <w:bCs w:val="0"/>
          <w:caps w:val="0"/>
          <w:kern w:val="2"/>
          <w:sz w:val="21"/>
          <w:szCs w:val="21"/>
          <w:lang w:bidi="ar-SA"/>
        </w:rPr>
      </w:pPr>
      <w:r>
        <w:rPr>
          <w:rStyle w:val="89"/>
          <w:rFonts w:asciiTheme="minorEastAsia" w:hAnsiTheme="minorEastAsia" w:eastAsiaTheme="minorEastAsia"/>
          <w:color w:val="auto"/>
          <w:sz w:val="21"/>
          <w:szCs w:val="21"/>
        </w:rPr>
        <w:fldChar w:fldCharType="begin"/>
      </w:r>
      <w:r>
        <w:rPr>
          <w:rStyle w:val="89"/>
          <w:rFonts w:asciiTheme="minorEastAsia" w:hAnsiTheme="minorEastAsia" w:eastAsiaTheme="minorEastAsia"/>
          <w:color w:val="auto"/>
          <w:sz w:val="21"/>
          <w:szCs w:val="21"/>
        </w:rPr>
        <w:instrText xml:space="preserve"> TOC \o "1-3" \h \z \u </w:instrText>
      </w:r>
      <w:r>
        <w:rPr>
          <w:rStyle w:val="89"/>
          <w:rFonts w:asciiTheme="minorEastAsia" w:hAnsiTheme="minorEastAsia" w:eastAsiaTheme="minorEastAsia"/>
          <w:color w:val="auto"/>
          <w:sz w:val="21"/>
          <w:szCs w:val="21"/>
        </w:rPr>
        <w:fldChar w:fldCharType="separate"/>
      </w:r>
      <w:r>
        <w:fldChar w:fldCharType="begin"/>
      </w:r>
      <w:r>
        <w:instrText xml:space="preserve"> HYPERLINK \l "_Toc408413879" </w:instrText>
      </w:r>
      <w:r>
        <w:fldChar w:fldCharType="separate"/>
      </w:r>
      <w:r>
        <w:rPr>
          <w:rStyle w:val="89"/>
          <w:rFonts w:asciiTheme="minorEastAsia" w:hAnsiTheme="minorEastAsia" w:eastAsiaTheme="minorEastAsia"/>
          <w:b/>
          <w:color w:val="auto"/>
          <w:sz w:val="21"/>
          <w:szCs w:val="21"/>
        </w:rPr>
        <w:t>1</w:t>
      </w:r>
      <w:r>
        <w:rPr>
          <w:rStyle w:val="89"/>
          <w:rFonts w:hint="eastAsia" w:asciiTheme="minorEastAsia" w:hAnsiTheme="minorEastAsia" w:eastAsiaTheme="minorEastAsia"/>
          <w:b/>
          <w:color w:val="auto"/>
          <w:sz w:val="21"/>
          <w:szCs w:val="21"/>
        </w:rPr>
        <w:t>总则</w:t>
      </w:r>
      <w:r>
        <w:rPr>
          <w:rFonts w:asciiTheme="minorEastAsia" w:hAnsiTheme="minorEastAsia" w:eastAsiaTheme="minorEastAsia"/>
          <w:b/>
          <w:sz w:val="21"/>
          <w:szCs w:val="21"/>
        </w:rPr>
        <w:tab/>
      </w:r>
      <w:r>
        <w:rPr>
          <w:rFonts w:asciiTheme="minorEastAsia" w:hAnsiTheme="minorEastAsia" w:eastAsiaTheme="minorEastAsia"/>
          <w:b/>
          <w:sz w:val="21"/>
          <w:szCs w:val="21"/>
        </w:rPr>
        <w:fldChar w:fldCharType="begin"/>
      </w:r>
      <w:r>
        <w:rPr>
          <w:rFonts w:asciiTheme="minorEastAsia" w:hAnsiTheme="minorEastAsia" w:eastAsiaTheme="minorEastAsia"/>
          <w:b/>
          <w:sz w:val="21"/>
          <w:szCs w:val="21"/>
        </w:rPr>
        <w:instrText xml:space="preserve"> PAGEREF _Toc408413879 \h </w:instrText>
      </w:r>
      <w:r>
        <w:rPr>
          <w:rFonts w:asciiTheme="minorEastAsia" w:hAnsiTheme="minorEastAsia" w:eastAsiaTheme="minorEastAsia"/>
          <w:b/>
          <w:sz w:val="21"/>
          <w:szCs w:val="21"/>
        </w:rPr>
        <w:fldChar w:fldCharType="separate"/>
      </w:r>
      <w:r>
        <w:rPr>
          <w:rFonts w:asciiTheme="minorEastAsia" w:hAnsiTheme="minorEastAsia" w:eastAsiaTheme="minorEastAsia"/>
          <w:b/>
          <w:sz w:val="21"/>
          <w:szCs w:val="21"/>
        </w:rPr>
        <w:t>11</w:t>
      </w:r>
      <w:r>
        <w:rPr>
          <w:rFonts w:asciiTheme="minorEastAsia" w:hAnsiTheme="minorEastAsia" w:eastAsiaTheme="minorEastAsia"/>
          <w:b/>
          <w:sz w:val="21"/>
          <w:szCs w:val="21"/>
        </w:rPr>
        <w:fldChar w:fldCharType="end"/>
      </w:r>
      <w:r>
        <w:rPr>
          <w:rFonts w:asciiTheme="minorEastAsia" w:hAnsiTheme="minorEastAsia" w:eastAsiaTheme="minorEastAsia"/>
          <w:b/>
          <w:sz w:val="21"/>
          <w:szCs w:val="21"/>
        </w:rPr>
        <w:fldChar w:fldCharType="end"/>
      </w:r>
    </w:p>
    <w:p w14:paraId="327E5F09">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"_Toc408413880" </w:instrText>
      </w:r>
      <w:r>
        <w:fldChar w:fldCharType="separate"/>
      </w:r>
      <w:r>
        <w:rPr>
          <w:rStyle w:val="89"/>
          <w:rFonts w:asciiTheme="minorEastAsia" w:hAnsiTheme="minorEastAsia" w:eastAsiaTheme="minorEastAsia"/>
          <w:color w:val="auto"/>
          <w:sz w:val="21"/>
          <w:szCs w:val="21"/>
          <w:lang w:eastAsia="zh-CN"/>
        </w:rPr>
        <w:t>1.1</w:t>
      </w:r>
      <w:r>
        <w:rPr>
          <w:rStyle w:val="89"/>
          <w:rFonts w:hint="eastAsia" w:asciiTheme="minorEastAsia" w:hAnsiTheme="minorEastAsia" w:eastAsiaTheme="minorEastAsia"/>
          <w:color w:val="auto"/>
          <w:sz w:val="21"/>
          <w:szCs w:val="21"/>
          <w:lang w:eastAsia="zh-CN"/>
        </w:rPr>
        <w:t>评价目的及指导思想</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_Toc408413880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11</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400F5E25">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"_Toc408413881" </w:instrText>
      </w:r>
      <w:r>
        <w:fldChar w:fldCharType="separate"/>
      </w:r>
      <w:r>
        <w:rPr>
          <w:rStyle w:val="89"/>
          <w:rFonts w:asciiTheme="minorEastAsia" w:hAnsiTheme="minorEastAsia" w:eastAsiaTheme="minorEastAsia"/>
          <w:i w:val="0"/>
          <w:color w:val="auto"/>
          <w:sz w:val="21"/>
          <w:szCs w:val="21"/>
          <w:lang w:eastAsia="zh-CN"/>
        </w:rPr>
        <w:t>1.1.1</w:t>
      </w:r>
      <w:r>
        <w:rPr>
          <w:rStyle w:val="89"/>
          <w:rFonts w:hint="eastAsia" w:asciiTheme="minorEastAsia" w:hAnsiTheme="minorEastAsia" w:eastAsiaTheme="minorEastAsia"/>
          <w:i w:val="0"/>
          <w:color w:val="auto"/>
          <w:sz w:val="21"/>
          <w:szCs w:val="21"/>
          <w:lang w:eastAsia="zh-CN"/>
        </w:rPr>
        <w:t>评价目的</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_Toc408413881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11</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55839857">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"_Toc408413882" </w:instrText>
      </w:r>
      <w:r>
        <w:fldChar w:fldCharType="separate"/>
      </w:r>
      <w:r>
        <w:rPr>
          <w:rStyle w:val="89"/>
          <w:rFonts w:asciiTheme="minorEastAsia" w:hAnsiTheme="minorEastAsia" w:eastAsiaTheme="minorEastAsia"/>
          <w:i w:val="0"/>
          <w:color w:val="auto"/>
          <w:sz w:val="21"/>
          <w:szCs w:val="21"/>
          <w:lang w:eastAsia="zh-CN"/>
        </w:rPr>
        <w:t>1.1.2</w:t>
      </w:r>
      <w:r>
        <w:rPr>
          <w:rStyle w:val="89"/>
          <w:rFonts w:hint="eastAsia" w:asciiTheme="minorEastAsia" w:hAnsiTheme="minorEastAsia" w:eastAsiaTheme="minorEastAsia"/>
          <w:i w:val="0"/>
          <w:color w:val="auto"/>
          <w:sz w:val="21"/>
          <w:szCs w:val="21"/>
          <w:lang w:eastAsia="zh-CN"/>
        </w:rPr>
        <w:t>指导思想</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_Toc408413882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11</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0E633A44">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"_Toc408413883" </w:instrText>
      </w:r>
      <w:r>
        <w:fldChar w:fldCharType="separate"/>
      </w:r>
      <w:r>
        <w:rPr>
          <w:rStyle w:val="89"/>
          <w:rFonts w:asciiTheme="minorEastAsia" w:hAnsiTheme="minorEastAsia" w:eastAsiaTheme="minorEastAsia"/>
          <w:color w:val="auto"/>
          <w:sz w:val="21"/>
          <w:szCs w:val="21"/>
          <w:lang w:eastAsia="zh-CN"/>
        </w:rPr>
        <w:t>1.2</w:t>
      </w:r>
      <w:r>
        <w:rPr>
          <w:rStyle w:val="89"/>
          <w:rFonts w:hint="eastAsia" w:asciiTheme="minorEastAsia" w:hAnsiTheme="minorEastAsia" w:eastAsiaTheme="minorEastAsia"/>
          <w:color w:val="auto"/>
          <w:sz w:val="21"/>
          <w:szCs w:val="21"/>
          <w:lang w:eastAsia="zh-CN"/>
        </w:rPr>
        <w:t>编制依据</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_Toc408413883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11</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39CD25D5">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"_Toc408413884" </w:instrText>
      </w:r>
      <w:r>
        <w:fldChar w:fldCharType="separate"/>
      </w:r>
      <w:r>
        <w:rPr>
          <w:rStyle w:val="89"/>
          <w:rFonts w:asciiTheme="minorEastAsia" w:hAnsiTheme="minorEastAsia" w:eastAsiaTheme="minorEastAsia"/>
          <w:i w:val="0"/>
          <w:color w:val="auto"/>
          <w:sz w:val="21"/>
          <w:szCs w:val="21"/>
          <w:lang w:eastAsia="zh-CN"/>
        </w:rPr>
        <w:t>1.2.1</w:t>
      </w:r>
      <w:r>
        <w:rPr>
          <w:rStyle w:val="89"/>
          <w:rFonts w:hint="eastAsia" w:asciiTheme="minorEastAsia" w:hAnsiTheme="minorEastAsia" w:eastAsiaTheme="minorEastAsia"/>
          <w:i w:val="0"/>
          <w:color w:val="auto"/>
          <w:sz w:val="21"/>
          <w:szCs w:val="21"/>
          <w:lang w:eastAsia="zh-CN"/>
        </w:rPr>
        <w:t>国家法律法规</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_Toc408413884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11</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3A503A9F">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"_Toc408413885" </w:instrText>
      </w:r>
      <w:r>
        <w:fldChar w:fldCharType="separate"/>
      </w:r>
      <w:r>
        <w:rPr>
          <w:rStyle w:val="89"/>
          <w:rFonts w:asciiTheme="minorEastAsia" w:hAnsiTheme="minorEastAsia" w:eastAsiaTheme="minorEastAsia"/>
          <w:i w:val="0"/>
          <w:color w:val="auto"/>
          <w:sz w:val="21"/>
          <w:szCs w:val="21"/>
          <w:lang w:eastAsia="zh-CN"/>
        </w:rPr>
        <w:t>1.2.2</w:t>
      </w:r>
      <w:r>
        <w:rPr>
          <w:rStyle w:val="89"/>
          <w:rFonts w:hint="eastAsia" w:asciiTheme="minorEastAsia" w:hAnsiTheme="minorEastAsia" w:eastAsiaTheme="minorEastAsia"/>
          <w:i w:val="0"/>
          <w:color w:val="auto"/>
          <w:sz w:val="21"/>
          <w:szCs w:val="21"/>
          <w:lang w:eastAsia="zh-CN"/>
        </w:rPr>
        <w:t>地方法律法规</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_Toc408413885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12</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30181C04">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"_Toc408413886" </w:instrText>
      </w:r>
      <w:r>
        <w:fldChar w:fldCharType="separate"/>
      </w:r>
      <w:r>
        <w:rPr>
          <w:rStyle w:val="89"/>
          <w:rFonts w:asciiTheme="minorEastAsia" w:hAnsiTheme="minorEastAsia" w:eastAsiaTheme="minorEastAsia"/>
          <w:i w:val="0"/>
          <w:color w:val="auto"/>
          <w:sz w:val="21"/>
          <w:szCs w:val="21"/>
          <w:lang w:eastAsia="zh-CN"/>
        </w:rPr>
        <w:t>1.2.3</w:t>
      </w:r>
      <w:r>
        <w:rPr>
          <w:rStyle w:val="89"/>
          <w:rFonts w:hint="eastAsia" w:asciiTheme="minorEastAsia" w:hAnsiTheme="minorEastAsia" w:eastAsiaTheme="minorEastAsia"/>
          <w:i w:val="0"/>
          <w:color w:val="auto"/>
          <w:sz w:val="21"/>
          <w:szCs w:val="21"/>
          <w:lang w:eastAsia="zh-CN"/>
        </w:rPr>
        <w:t>技术规范</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_Toc408413886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13</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10048F8D">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"_Toc408413887" </w:instrText>
      </w:r>
      <w:r>
        <w:fldChar w:fldCharType="separate"/>
      </w:r>
      <w:r>
        <w:rPr>
          <w:rStyle w:val="89"/>
          <w:rFonts w:asciiTheme="minorEastAsia" w:hAnsiTheme="minorEastAsia" w:eastAsiaTheme="minorEastAsia"/>
          <w:i w:val="0"/>
          <w:color w:val="auto"/>
          <w:sz w:val="21"/>
          <w:szCs w:val="21"/>
          <w:lang w:eastAsia="zh-CN"/>
        </w:rPr>
        <w:t>1.2.4</w:t>
      </w:r>
      <w:r>
        <w:rPr>
          <w:rStyle w:val="89"/>
          <w:rFonts w:hint="eastAsia" w:asciiTheme="minorEastAsia" w:hAnsiTheme="minorEastAsia" w:eastAsiaTheme="minorEastAsia"/>
          <w:i w:val="0"/>
          <w:color w:val="auto"/>
          <w:sz w:val="21"/>
          <w:szCs w:val="21"/>
          <w:lang w:eastAsia="zh-CN"/>
        </w:rPr>
        <w:t>相关文件</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_Toc408413887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14</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4C4726C3">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"_Toc408413888" </w:instrText>
      </w:r>
      <w:r>
        <w:fldChar w:fldCharType="separate"/>
      </w:r>
      <w:r>
        <w:rPr>
          <w:rStyle w:val="89"/>
          <w:rFonts w:asciiTheme="minorEastAsia" w:hAnsiTheme="minorEastAsia" w:eastAsiaTheme="minorEastAsia"/>
          <w:color w:val="auto"/>
          <w:sz w:val="21"/>
          <w:szCs w:val="21"/>
          <w:lang w:eastAsia="zh-CN"/>
        </w:rPr>
        <w:t>1.3</w:t>
      </w:r>
      <w:r>
        <w:rPr>
          <w:rStyle w:val="89"/>
          <w:rFonts w:hint="eastAsia" w:asciiTheme="minorEastAsia" w:hAnsiTheme="minorEastAsia" w:eastAsiaTheme="minorEastAsia"/>
          <w:color w:val="auto"/>
          <w:sz w:val="21"/>
          <w:szCs w:val="21"/>
          <w:lang w:eastAsia="zh-CN"/>
        </w:rPr>
        <w:t>评价重点</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_Toc408413888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15</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6B99ECD2">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"_Toc408413889" </w:instrText>
      </w:r>
      <w:r>
        <w:fldChar w:fldCharType="separate"/>
      </w:r>
      <w:r>
        <w:rPr>
          <w:rStyle w:val="89"/>
          <w:rFonts w:asciiTheme="minorEastAsia" w:hAnsiTheme="minorEastAsia" w:eastAsiaTheme="minorEastAsia"/>
          <w:color w:val="auto"/>
          <w:sz w:val="21"/>
          <w:szCs w:val="21"/>
          <w:lang w:eastAsia="zh-CN"/>
        </w:rPr>
        <w:t>1.4</w:t>
      </w:r>
      <w:r>
        <w:rPr>
          <w:rStyle w:val="89"/>
          <w:rFonts w:hint="eastAsia" w:asciiTheme="minorEastAsia" w:hAnsiTheme="minorEastAsia" w:eastAsiaTheme="minorEastAsia"/>
          <w:color w:val="auto"/>
          <w:sz w:val="21"/>
          <w:szCs w:val="21"/>
          <w:lang w:eastAsia="zh-CN"/>
        </w:rPr>
        <w:t>环境功能区划及评价标准</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_Toc408413889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15</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331C77EE">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"_Toc408413890" </w:instrText>
      </w:r>
      <w:r>
        <w:fldChar w:fldCharType="separate"/>
      </w:r>
      <w:r>
        <w:rPr>
          <w:rStyle w:val="89"/>
          <w:rFonts w:asciiTheme="minorEastAsia" w:hAnsiTheme="minorEastAsia" w:eastAsiaTheme="minorEastAsia"/>
          <w:color w:val="auto"/>
          <w:sz w:val="21"/>
          <w:szCs w:val="21"/>
          <w:lang w:eastAsia="zh-CN"/>
        </w:rPr>
        <w:t>1.5</w:t>
      </w:r>
      <w:r>
        <w:rPr>
          <w:rStyle w:val="89"/>
          <w:rFonts w:hint="eastAsia" w:asciiTheme="minorEastAsia" w:hAnsiTheme="minorEastAsia" w:eastAsiaTheme="minorEastAsia"/>
          <w:color w:val="auto"/>
          <w:sz w:val="21"/>
          <w:szCs w:val="21"/>
          <w:lang w:eastAsia="zh-CN"/>
        </w:rPr>
        <w:t>评价标准</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_Toc408413890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15</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43030DA7">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"_Toc408413891" </w:instrText>
      </w:r>
      <w:r>
        <w:fldChar w:fldCharType="separate"/>
      </w:r>
      <w:r>
        <w:rPr>
          <w:rStyle w:val="89"/>
          <w:rFonts w:asciiTheme="minorEastAsia" w:hAnsiTheme="minorEastAsia" w:eastAsiaTheme="minorEastAsia"/>
          <w:i w:val="0"/>
          <w:color w:val="auto"/>
          <w:sz w:val="21"/>
          <w:szCs w:val="21"/>
          <w:lang w:eastAsia="zh-CN"/>
        </w:rPr>
        <w:t>1.5.1</w:t>
      </w:r>
      <w:r>
        <w:rPr>
          <w:rStyle w:val="89"/>
          <w:rFonts w:hint="eastAsia" w:asciiTheme="minorEastAsia" w:hAnsiTheme="minorEastAsia" w:eastAsiaTheme="minorEastAsia"/>
          <w:i w:val="0"/>
          <w:color w:val="auto"/>
          <w:sz w:val="21"/>
          <w:szCs w:val="21"/>
          <w:lang w:eastAsia="zh-CN"/>
        </w:rPr>
        <w:t>环境质量标准</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_Toc408413891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15</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6F544172">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"_Toc408413892" </w:instrText>
      </w:r>
      <w:r>
        <w:fldChar w:fldCharType="separate"/>
      </w:r>
      <w:r>
        <w:rPr>
          <w:rStyle w:val="89"/>
          <w:rFonts w:asciiTheme="minorEastAsia" w:hAnsiTheme="minorEastAsia" w:eastAsiaTheme="minorEastAsia"/>
          <w:i w:val="0"/>
          <w:color w:val="auto"/>
          <w:sz w:val="21"/>
          <w:szCs w:val="21"/>
          <w:lang w:eastAsia="zh-CN"/>
        </w:rPr>
        <w:t>1.5.2</w:t>
      </w:r>
      <w:r>
        <w:rPr>
          <w:rStyle w:val="89"/>
          <w:rFonts w:hint="eastAsia" w:asciiTheme="minorEastAsia" w:hAnsiTheme="minorEastAsia" w:eastAsiaTheme="minorEastAsia"/>
          <w:i w:val="0"/>
          <w:color w:val="auto"/>
          <w:sz w:val="21"/>
          <w:szCs w:val="21"/>
          <w:lang w:eastAsia="zh-CN"/>
        </w:rPr>
        <w:t>污染物排放标准</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_Toc408413892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17</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56DA9A0B">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"_Toc408413893" </w:instrText>
      </w:r>
      <w:r>
        <w:fldChar w:fldCharType="separate"/>
      </w:r>
      <w:r>
        <w:rPr>
          <w:rStyle w:val="89"/>
          <w:rFonts w:asciiTheme="minorEastAsia" w:hAnsiTheme="minorEastAsia" w:eastAsiaTheme="minorEastAsia"/>
          <w:color w:val="auto"/>
          <w:sz w:val="21"/>
          <w:szCs w:val="21"/>
          <w:lang w:eastAsia="zh-CN"/>
        </w:rPr>
        <w:t>1.6</w:t>
      </w:r>
      <w:r>
        <w:rPr>
          <w:rStyle w:val="89"/>
          <w:rFonts w:hint="eastAsia" w:asciiTheme="minorEastAsia" w:hAnsiTheme="minorEastAsia" w:eastAsiaTheme="minorEastAsia"/>
          <w:color w:val="auto"/>
          <w:sz w:val="21"/>
          <w:szCs w:val="21"/>
          <w:lang w:eastAsia="zh-CN"/>
        </w:rPr>
        <w:t>评价等级</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_Toc408413893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18</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55DD747F">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"_Toc408413894" </w:instrText>
      </w:r>
      <w:r>
        <w:fldChar w:fldCharType="separate"/>
      </w:r>
      <w:r>
        <w:rPr>
          <w:rStyle w:val="89"/>
          <w:rFonts w:asciiTheme="minorEastAsia" w:hAnsiTheme="minorEastAsia" w:eastAsiaTheme="minorEastAsia"/>
          <w:i w:val="0"/>
          <w:color w:val="auto"/>
          <w:sz w:val="21"/>
          <w:szCs w:val="21"/>
          <w:lang w:eastAsia="zh-CN"/>
        </w:rPr>
        <w:t>1.6.1</w:t>
      </w:r>
      <w:r>
        <w:rPr>
          <w:rStyle w:val="89"/>
          <w:rFonts w:hint="eastAsia" w:asciiTheme="minorEastAsia" w:hAnsiTheme="minorEastAsia" w:eastAsiaTheme="minorEastAsia"/>
          <w:i w:val="0"/>
          <w:color w:val="auto"/>
          <w:sz w:val="21"/>
          <w:szCs w:val="21"/>
          <w:lang w:eastAsia="zh-CN"/>
        </w:rPr>
        <w:t>大气环境影响评价等级</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_Toc408413894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18</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52615200">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"_Toc408413895" </w:instrText>
      </w:r>
      <w:r>
        <w:fldChar w:fldCharType="separate"/>
      </w:r>
      <w:r>
        <w:rPr>
          <w:rStyle w:val="89"/>
          <w:rFonts w:asciiTheme="minorEastAsia" w:hAnsiTheme="minorEastAsia" w:eastAsiaTheme="minorEastAsia"/>
          <w:i w:val="0"/>
          <w:color w:val="auto"/>
          <w:sz w:val="21"/>
          <w:szCs w:val="21"/>
          <w:lang w:eastAsia="zh-CN"/>
        </w:rPr>
        <w:t>1.6.2</w:t>
      </w:r>
      <w:r>
        <w:rPr>
          <w:rStyle w:val="89"/>
          <w:rFonts w:hint="eastAsia" w:asciiTheme="minorEastAsia" w:hAnsiTheme="minorEastAsia" w:eastAsiaTheme="minorEastAsia"/>
          <w:i w:val="0"/>
          <w:color w:val="auto"/>
          <w:sz w:val="21"/>
          <w:szCs w:val="21"/>
          <w:lang w:eastAsia="zh-CN"/>
        </w:rPr>
        <w:t>地下水环境影响评价等级</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_Toc408413895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19</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44F2C3B6">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"_Toc408413896" </w:instrText>
      </w:r>
      <w:r>
        <w:fldChar w:fldCharType="separate"/>
      </w:r>
      <w:r>
        <w:rPr>
          <w:rStyle w:val="89"/>
          <w:rFonts w:asciiTheme="minorEastAsia" w:hAnsiTheme="minorEastAsia" w:eastAsiaTheme="minorEastAsia"/>
          <w:i w:val="0"/>
          <w:color w:val="auto"/>
          <w:sz w:val="21"/>
          <w:szCs w:val="21"/>
          <w:lang w:eastAsia="zh-CN"/>
        </w:rPr>
        <w:t>1.6.3</w:t>
      </w:r>
      <w:r>
        <w:rPr>
          <w:rStyle w:val="89"/>
          <w:rFonts w:hint="eastAsia" w:asciiTheme="minorEastAsia" w:hAnsiTheme="minorEastAsia" w:eastAsiaTheme="minorEastAsia"/>
          <w:i w:val="0"/>
          <w:color w:val="auto"/>
          <w:sz w:val="21"/>
          <w:szCs w:val="21"/>
          <w:lang w:eastAsia="zh-CN"/>
        </w:rPr>
        <w:t>声环境影响评价等级</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_Toc408413896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22</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4FEA82FB">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"_Toc408413897" </w:instrText>
      </w:r>
      <w:r>
        <w:fldChar w:fldCharType="separate"/>
      </w:r>
      <w:r>
        <w:rPr>
          <w:rStyle w:val="89"/>
          <w:rFonts w:asciiTheme="minorEastAsia" w:hAnsiTheme="minorEastAsia" w:eastAsiaTheme="minorEastAsia"/>
          <w:i w:val="0"/>
          <w:color w:val="auto"/>
          <w:sz w:val="21"/>
          <w:szCs w:val="21"/>
          <w:lang w:eastAsia="zh-CN"/>
        </w:rPr>
        <w:t>1.6.4</w:t>
      </w:r>
      <w:r>
        <w:rPr>
          <w:rStyle w:val="89"/>
          <w:rFonts w:hint="eastAsia" w:asciiTheme="minorEastAsia" w:hAnsiTheme="minorEastAsia" w:eastAsiaTheme="minorEastAsia"/>
          <w:i w:val="0"/>
          <w:color w:val="auto"/>
          <w:sz w:val="21"/>
          <w:szCs w:val="21"/>
          <w:lang w:eastAsia="zh-CN"/>
        </w:rPr>
        <w:t>生态环境影响评价等级</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_Toc408413897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22</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01B16FBA">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"_Toc408413898" </w:instrText>
      </w:r>
      <w:r>
        <w:fldChar w:fldCharType="separate"/>
      </w:r>
      <w:r>
        <w:rPr>
          <w:rStyle w:val="89"/>
          <w:rFonts w:asciiTheme="minorEastAsia" w:hAnsiTheme="minorEastAsia" w:eastAsiaTheme="minorEastAsia"/>
          <w:i w:val="0"/>
          <w:color w:val="auto"/>
          <w:sz w:val="21"/>
          <w:szCs w:val="21"/>
        </w:rPr>
        <w:t>1.</w:t>
      </w:r>
      <w:r>
        <w:rPr>
          <w:rStyle w:val="89"/>
          <w:rFonts w:asciiTheme="minorEastAsia" w:hAnsiTheme="minorEastAsia" w:eastAsiaTheme="minorEastAsia"/>
          <w:i w:val="0"/>
          <w:color w:val="auto"/>
          <w:sz w:val="21"/>
          <w:szCs w:val="21"/>
          <w:lang w:eastAsia="zh-CN"/>
        </w:rPr>
        <w:t>6</w:t>
      </w:r>
      <w:r>
        <w:rPr>
          <w:rStyle w:val="89"/>
          <w:rFonts w:asciiTheme="minorEastAsia" w:hAnsiTheme="minorEastAsia" w:eastAsiaTheme="minorEastAsia"/>
          <w:i w:val="0"/>
          <w:color w:val="auto"/>
          <w:sz w:val="21"/>
          <w:szCs w:val="21"/>
        </w:rPr>
        <w:t>.5</w:t>
      </w:r>
      <w:r>
        <w:rPr>
          <w:rStyle w:val="89"/>
          <w:rFonts w:hint="eastAsia" w:asciiTheme="minorEastAsia" w:hAnsiTheme="minorEastAsia" w:eastAsiaTheme="minorEastAsia"/>
          <w:i w:val="0"/>
          <w:color w:val="auto"/>
          <w:sz w:val="21"/>
          <w:szCs w:val="21"/>
        </w:rPr>
        <w:t>环境风险评价等级</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_Toc408413898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23</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7F42CA38">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"_Toc408413899" </w:instrText>
      </w:r>
      <w:r>
        <w:fldChar w:fldCharType="separate"/>
      </w:r>
      <w:r>
        <w:rPr>
          <w:rStyle w:val="89"/>
          <w:rFonts w:asciiTheme="minorEastAsia" w:hAnsiTheme="minorEastAsia" w:eastAsiaTheme="minorEastAsia"/>
          <w:color w:val="auto"/>
          <w:sz w:val="21"/>
          <w:szCs w:val="21"/>
          <w:lang w:eastAsia="zh-CN"/>
        </w:rPr>
        <w:t>1.7</w:t>
      </w:r>
      <w:r>
        <w:rPr>
          <w:rStyle w:val="89"/>
          <w:rFonts w:hint="eastAsia" w:asciiTheme="minorEastAsia" w:hAnsiTheme="minorEastAsia" w:eastAsiaTheme="minorEastAsia"/>
          <w:color w:val="auto"/>
          <w:sz w:val="21"/>
          <w:szCs w:val="21"/>
          <w:lang w:eastAsia="zh-CN"/>
        </w:rPr>
        <w:t>评价范围</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_Toc408413899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23</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19231E70">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"_Toc408413900" </w:instrText>
      </w:r>
      <w:r>
        <w:fldChar w:fldCharType="separate"/>
      </w:r>
      <w:r>
        <w:rPr>
          <w:rStyle w:val="89"/>
          <w:rFonts w:asciiTheme="minorEastAsia" w:hAnsiTheme="minorEastAsia" w:eastAsiaTheme="minorEastAsia"/>
          <w:color w:val="auto"/>
          <w:sz w:val="21"/>
          <w:szCs w:val="21"/>
          <w:lang w:eastAsia="zh-CN"/>
        </w:rPr>
        <w:t>1.8</w:t>
      </w:r>
      <w:r>
        <w:rPr>
          <w:rStyle w:val="89"/>
          <w:rFonts w:hint="eastAsia" w:asciiTheme="minorEastAsia" w:hAnsiTheme="minorEastAsia" w:eastAsiaTheme="minorEastAsia"/>
          <w:color w:val="auto"/>
          <w:sz w:val="21"/>
          <w:szCs w:val="21"/>
          <w:lang w:eastAsia="zh-CN"/>
        </w:rPr>
        <w:t>评价时段</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_Toc408413900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24</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6C91846A">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"_Toc408413901" </w:instrText>
      </w:r>
      <w:r>
        <w:fldChar w:fldCharType="separate"/>
      </w:r>
      <w:r>
        <w:rPr>
          <w:rStyle w:val="89"/>
          <w:rFonts w:asciiTheme="minorEastAsia" w:hAnsiTheme="minorEastAsia" w:eastAsiaTheme="minorEastAsia"/>
          <w:color w:val="auto"/>
          <w:sz w:val="21"/>
          <w:szCs w:val="21"/>
          <w:lang w:eastAsia="zh-CN"/>
        </w:rPr>
        <w:t>1.9</w:t>
      </w:r>
      <w:r>
        <w:rPr>
          <w:rStyle w:val="89"/>
          <w:rFonts w:hint="eastAsia" w:asciiTheme="minorEastAsia" w:hAnsiTheme="minorEastAsia" w:eastAsiaTheme="minorEastAsia"/>
          <w:color w:val="auto"/>
          <w:sz w:val="21"/>
          <w:szCs w:val="21"/>
          <w:lang w:eastAsia="zh-CN"/>
        </w:rPr>
        <w:t>环境保护目标</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_Toc408413901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24</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435CDF46">
      <w:pPr>
        <w:pStyle w:val="51"/>
        <w:rPr>
          <w:rFonts w:asciiTheme="minorEastAsia" w:hAnsiTheme="minorEastAsia" w:eastAsiaTheme="minorEastAsia" w:cstheme="minorBidi"/>
          <w:b/>
          <w:bCs w:val="0"/>
          <w:caps w:val="0"/>
          <w:kern w:val="2"/>
          <w:sz w:val="21"/>
          <w:szCs w:val="21"/>
          <w:lang w:bidi="ar-SA"/>
        </w:rPr>
      </w:pPr>
      <w:r>
        <w:fldChar w:fldCharType="begin"/>
      </w:r>
      <w:r>
        <w:instrText xml:space="preserve"> HYPERLINK \l "_Toc408413902" </w:instrText>
      </w:r>
      <w:r>
        <w:fldChar w:fldCharType="separate"/>
      </w:r>
      <w:r>
        <w:rPr>
          <w:rStyle w:val="89"/>
          <w:rFonts w:asciiTheme="minorEastAsia" w:hAnsiTheme="minorEastAsia" w:eastAsiaTheme="minorEastAsia"/>
          <w:b/>
          <w:color w:val="auto"/>
          <w:sz w:val="21"/>
          <w:szCs w:val="21"/>
        </w:rPr>
        <w:t>2</w:t>
      </w:r>
      <w:r>
        <w:rPr>
          <w:rStyle w:val="89"/>
          <w:rFonts w:hint="eastAsia" w:asciiTheme="minorEastAsia" w:hAnsiTheme="minorEastAsia" w:eastAsiaTheme="minorEastAsia"/>
          <w:b/>
          <w:color w:val="auto"/>
          <w:sz w:val="21"/>
          <w:szCs w:val="21"/>
        </w:rPr>
        <w:t>工程概况</w:t>
      </w:r>
      <w:r>
        <w:rPr>
          <w:rFonts w:asciiTheme="minorEastAsia" w:hAnsiTheme="minorEastAsia" w:eastAsiaTheme="minorEastAsia"/>
          <w:b/>
          <w:sz w:val="21"/>
          <w:szCs w:val="21"/>
        </w:rPr>
        <w:tab/>
      </w:r>
      <w:r>
        <w:rPr>
          <w:rFonts w:asciiTheme="minorEastAsia" w:hAnsiTheme="minorEastAsia" w:eastAsiaTheme="minorEastAsia"/>
          <w:b/>
          <w:sz w:val="21"/>
          <w:szCs w:val="21"/>
        </w:rPr>
        <w:fldChar w:fldCharType="begin"/>
      </w:r>
      <w:r>
        <w:rPr>
          <w:rFonts w:asciiTheme="minorEastAsia" w:hAnsiTheme="minorEastAsia" w:eastAsiaTheme="minorEastAsia"/>
          <w:b/>
          <w:sz w:val="21"/>
          <w:szCs w:val="21"/>
        </w:rPr>
        <w:instrText xml:space="preserve"> PAGEREF _Toc408413902 \h </w:instrText>
      </w:r>
      <w:r>
        <w:rPr>
          <w:rFonts w:asciiTheme="minorEastAsia" w:hAnsiTheme="minorEastAsia" w:eastAsiaTheme="minorEastAsia"/>
          <w:b/>
          <w:sz w:val="21"/>
          <w:szCs w:val="21"/>
        </w:rPr>
        <w:fldChar w:fldCharType="separate"/>
      </w:r>
      <w:r>
        <w:rPr>
          <w:rFonts w:asciiTheme="minorEastAsia" w:hAnsiTheme="minorEastAsia" w:eastAsiaTheme="minorEastAsia"/>
          <w:b/>
          <w:sz w:val="21"/>
          <w:szCs w:val="21"/>
        </w:rPr>
        <w:t>26</w:t>
      </w:r>
      <w:r>
        <w:rPr>
          <w:rFonts w:asciiTheme="minorEastAsia" w:hAnsiTheme="minorEastAsia" w:eastAsiaTheme="minorEastAsia"/>
          <w:b/>
          <w:sz w:val="21"/>
          <w:szCs w:val="21"/>
        </w:rPr>
        <w:fldChar w:fldCharType="end"/>
      </w:r>
      <w:r>
        <w:rPr>
          <w:rFonts w:asciiTheme="minorEastAsia" w:hAnsiTheme="minorEastAsia" w:eastAsiaTheme="minorEastAsia"/>
          <w:b/>
          <w:sz w:val="21"/>
          <w:szCs w:val="21"/>
        </w:rPr>
        <w:fldChar w:fldCharType="end"/>
      </w:r>
    </w:p>
    <w:p w14:paraId="26681AE4">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"_Toc408413903" </w:instrText>
      </w:r>
      <w:r>
        <w:fldChar w:fldCharType="separate"/>
      </w:r>
      <w:r>
        <w:rPr>
          <w:rStyle w:val="89"/>
          <w:rFonts w:asciiTheme="minorEastAsia" w:hAnsiTheme="minorEastAsia" w:eastAsiaTheme="minorEastAsia"/>
          <w:color w:val="auto"/>
          <w:sz w:val="21"/>
          <w:szCs w:val="21"/>
          <w:lang w:eastAsia="zh-CN"/>
        </w:rPr>
        <w:t>2.1</w:t>
      </w:r>
      <w:r>
        <w:rPr>
          <w:rStyle w:val="89"/>
          <w:rFonts w:hint="eastAsia" w:asciiTheme="minorEastAsia" w:hAnsiTheme="minorEastAsia" w:eastAsiaTheme="minorEastAsia"/>
          <w:color w:val="auto"/>
          <w:sz w:val="21"/>
          <w:szCs w:val="21"/>
          <w:lang w:eastAsia="zh-CN"/>
        </w:rPr>
        <w:t>油田发展史</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_Toc408413903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26</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28626B8D">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"_Toc408413904" </w:instrText>
      </w:r>
      <w:r>
        <w:fldChar w:fldCharType="separate"/>
      </w:r>
      <w:r>
        <w:rPr>
          <w:rStyle w:val="89"/>
          <w:rFonts w:asciiTheme="minorEastAsia" w:hAnsiTheme="minorEastAsia" w:eastAsiaTheme="minorEastAsia"/>
          <w:color w:val="auto"/>
          <w:sz w:val="21"/>
          <w:szCs w:val="21"/>
          <w:lang w:eastAsia="zh-CN"/>
        </w:rPr>
        <w:t>2.2</w:t>
      </w:r>
      <w:r>
        <w:rPr>
          <w:rStyle w:val="89"/>
          <w:rFonts w:hint="eastAsia" w:asciiTheme="minorEastAsia" w:hAnsiTheme="minorEastAsia" w:eastAsiaTheme="minorEastAsia"/>
          <w:color w:val="auto"/>
          <w:sz w:val="21"/>
          <w:szCs w:val="21"/>
          <w:lang w:eastAsia="zh-CN"/>
        </w:rPr>
        <w:t>现有工程概况</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_Toc408413904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27</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380BC89E">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"_Toc408413905" </w:instrText>
      </w:r>
      <w:r>
        <w:fldChar w:fldCharType="separate"/>
      </w:r>
      <w:r>
        <w:rPr>
          <w:rStyle w:val="89"/>
          <w:rFonts w:asciiTheme="minorEastAsia" w:hAnsiTheme="minorEastAsia" w:eastAsiaTheme="minorEastAsia"/>
          <w:i w:val="0"/>
          <w:color w:val="auto"/>
          <w:sz w:val="21"/>
          <w:szCs w:val="21"/>
          <w:lang w:eastAsia="zh-CN"/>
        </w:rPr>
        <w:t>2.2.1</w:t>
      </w:r>
      <w:r>
        <w:rPr>
          <w:rStyle w:val="89"/>
          <w:rFonts w:hint="eastAsia" w:asciiTheme="minorEastAsia" w:hAnsiTheme="minorEastAsia" w:eastAsiaTheme="minorEastAsia"/>
          <w:i w:val="0"/>
          <w:color w:val="auto"/>
          <w:sz w:val="21"/>
          <w:szCs w:val="21"/>
          <w:lang w:eastAsia="zh-CN"/>
        </w:rPr>
        <w:t>现有工程概况</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_Toc408413905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27</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55EF80FE">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"_Toc408413906" </w:instrText>
      </w:r>
      <w:r>
        <w:fldChar w:fldCharType="separate"/>
      </w:r>
      <w:r>
        <w:rPr>
          <w:rStyle w:val="89"/>
          <w:rFonts w:asciiTheme="minorEastAsia" w:hAnsiTheme="minorEastAsia" w:eastAsiaTheme="minorEastAsia"/>
          <w:i w:val="0"/>
          <w:color w:val="auto"/>
          <w:sz w:val="21"/>
          <w:szCs w:val="21"/>
          <w:lang w:eastAsia="zh-CN"/>
        </w:rPr>
        <w:t>2.2.2</w:t>
      </w:r>
      <w:r>
        <w:rPr>
          <w:rStyle w:val="89"/>
          <w:rFonts w:hint="eastAsia" w:asciiTheme="minorEastAsia" w:hAnsiTheme="minorEastAsia" w:eastAsiaTheme="minorEastAsia"/>
          <w:i w:val="0"/>
          <w:color w:val="auto"/>
          <w:sz w:val="21"/>
          <w:szCs w:val="21"/>
          <w:lang w:eastAsia="zh-CN"/>
        </w:rPr>
        <w:t>现有工程环评验收情况</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_Toc408413906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28</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6A9954DD">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"_Toc408413907" </w:instrText>
      </w:r>
      <w:r>
        <w:fldChar w:fldCharType="separate"/>
      </w:r>
      <w:r>
        <w:rPr>
          <w:rStyle w:val="89"/>
          <w:rFonts w:asciiTheme="minorEastAsia" w:hAnsiTheme="minorEastAsia" w:eastAsiaTheme="minorEastAsia"/>
          <w:color w:val="auto"/>
          <w:sz w:val="21"/>
          <w:szCs w:val="21"/>
          <w:lang w:eastAsia="zh-CN"/>
        </w:rPr>
        <w:t>2.3</w:t>
      </w:r>
      <w:r>
        <w:rPr>
          <w:rStyle w:val="89"/>
          <w:rFonts w:hint="eastAsia" w:asciiTheme="minorEastAsia" w:hAnsiTheme="minorEastAsia" w:eastAsiaTheme="minorEastAsia"/>
          <w:color w:val="auto"/>
          <w:sz w:val="21"/>
          <w:szCs w:val="21"/>
          <w:lang w:eastAsia="zh-CN"/>
        </w:rPr>
        <w:t>项目概况</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_Toc408413907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30</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5D091752">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"_Toc408413908" </w:instrText>
      </w:r>
      <w:r>
        <w:fldChar w:fldCharType="separate"/>
      </w:r>
      <w:r>
        <w:rPr>
          <w:rStyle w:val="89"/>
          <w:rFonts w:asciiTheme="minorEastAsia" w:hAnsiTheme="minorEastAsia" w:eastAsiaTheme="minorEastAsia"/>
          <w:i w:val="0"/>
          <w:snapToGrid w:val="0"/>
          <w:color w:val="auto"/>
          <w:sz w:val="21"/>
          <w:szCs w:val="21"/>
          <w:lang w:eastAsia="zh-CN"/>
        </w:rPr>
        <w:t>2.3.1</w:t>
      </w:r>
      <w:r>
        <w:rPr>
          <w:rStyle w:val="89"/>
          <w:rFonts w:hint="eastAsia" w:asciiTheme="minorEastAsia" w:hAnsiTheme="minorEastAsia" w:eastAsiaTheme="minorEastAsia"/>
          <w:i w:val="0"/>
          <w:snapToGrid w:val="0"/>
          <w:color w:val="auto"/>
          <w:sz w:val="21"/>
          <w:szCs w:val="21"/>
          <w:lang w:eastAsia="zh-CN"/>
        </w:rPr>
        <w:t>项目基本情况</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_Toc408413908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30</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7A5BB3B3">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"_Toc408413909" </w:instrText>
      </w:r>
      <w:r>
        <w:fldChar w:fldCharType="separate"/>
      </w:r>
      <w:r>
        <w:rPr>
          <w:rStyle w:val="89"/>
          <w:rFonts w:asciiTheme="minorEastAsia" w:hAnsiTheme="minorEastAsia" w:eastAsiaTheme="minorEastAsia"/>
          <w:i w:val="0"/>
          <w:snapToGrid w:val="0"/>
          <w:color w:val="auto"/>
          <w:sz w:val="21"/>
          <w:szCs w:val="21"/>
          <w:lang w:eastAsia="zh-CN"/>
        </w:rPr>
        <w:t>2.3.2</w:t>
      </w:r>
      <w:r>
        <w:rPr>
          <w:rStyle w:val="89"/>
          <w:rFonts w:hint="eastAsia" w:asciiTheme="minorEastAsia" w:hAnsiTheme="minorEastAsia" w:eastAsiaTheme="minorEastAsia"/>
          <w:i w:val="0"/>
          <w:snapToGrid w:val="0"/>
          <w:color w:val="auto"/>
          <w:sz w:val="21"/>
          <w:szCs w:val="21"/>
          <w:lang w:eastAsia="zh-CN"/>
        </w:rPr>
        <w:t>地理位置</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_Toc408413909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30</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335B1E88">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"_Toc408413910" </w:instrText>
      </w:r>
      <w:r>
        <w:fldChar w:fldCharType="separate"/>
      </w:r>
      <w:r>
        <w:rPr>
          <w:rStyle w:val="89"/>
          <w:rFonts w:asciiTheme="minorEastAsia" w:hAnsiTheme="minorEastAsia" w:eastAsiaTheme="minorEastAsia"/>
          <w:i w:val="0"/>
          <w:snapToGrid w:val="0"/>
          <w:color w:val="auto"/>
          <w:sz w:val="21"/>
          <w:szCs w:val="21"/>
          <w:lang w:eastAsia="zh-CN"/>
        </w:rPr>
        <w:t>2.3.3</w:t>
      </w:r>
      <w:r>
        <w:rPr>
          <w:rStyle w:val="89"/>
          <w:rFonts w:hint="eastAsia" w:asciiTheme="minorEastAsia" w:hAnsiTheme="minorEastAsia" w:eastAsiaTheme="minorEastAsia"/>
          <w:i w:val="0"/>
          <w:snapToGrid w:val="0"/>
          <w:color w:val="auto"/>
          <w:sz w:val="21"/>
          <w:szCs w:val="21"/>
          <w:lang w:eastAsia="zh-CN"/>
        </w:rPr>
        <w:t>油田境界</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_Toc408413910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30</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13C3F707">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"_Toc408413911" </w:instrText>
      </w:r>
      <w:r>
        <w:fldChar w:fldCharType="separate"/>
      </w:r>
      <w:r>
        <w:rPr>
          <w:rStyle w:val="89"/>
          <w:rFonts w:asciiTheme="minorEastAsia" w:hAnsiTheme="minorEastAsia" w:eastAsiaTheme="minorEastAsia"/>
          <w:i w:val="0"/>
          <w:snapToGrid w:val="0"/>
          <w:color w:val="auto"/>
          <w:sz w:val="21"/>
          <w:szCs w:val="21"/>
        </w:rPr>
        <w:t>2.</w:t>
      </w:r>
      <w:r>
        <w:rPr>
          <w:rStyle w:val="89"/>
          <w:rFonts w:asciiTheme="minorEastAsia" w:hAnsiTheme="minorEastAsia" w:eastAsiaTheme="minorEastAsia"/>
          <w:i w:val="0"/>
          <w:snapToGrid w:val="0"/>
          <w:color w:val="auto"/>
          <w:sz w:val="21"/>
          <w:szCs w:val="21"/>
          <w:lang w:eastAsia="zh-CN"/>
        </w:rPr>
        <w:t>3</w:t>
      </w:r>
      <w:r>
        <w:rPr>
          <w:rStyle w:val="89"/>
          <w:rFonts w:asciiTheme="minorEastAsia" w:hAnsiTheme="minorEastAsia" w:eastAsiaTheme="minorEastAsia"/>
          <w:i w:val="0"/>
          <w:snapToGrid w:val="0"/>
          <w:color w:val="auto"/>
          <w:sz w:val="21"/>
          <w:szCs w:val="21"/>
        </w:rPr>
        <w:t>.4</w:t>
      </w:r>
      <w:r>
        <w:rPr>
          <w:rStyle w:val="89"/>
          <w:rFonts w:hint="eastAsia" w:asciiTheme="minorEastAsia" w:hAnsiTheme="minorEastAsia" w:eastAsiaTheme="minorEastAsia"/>
          <w:i w:val="0"/>
          <w:snapToGrid w:val="0"/>
          <w:color w:val="auto"/>
          <w:sz w:val="21"/>
          <w:szCs w:val="21"/>
        </w:rPr>
        <w:t>油田</w:t>
      </w:r>
      <w:r>
        <w:rPr>
          <w:rStyle w:val="89"/>
          <w:rFonts w:hint="eastAsia" w:asciiTheme="minorEastAsia" w:hAnsiTheme="minorEastAsia" w:eastAsiaTheme="minorEastAsia"/>
          <w:i w:val="0"/>
          <w:snapToGrid w:val="0"/>
          <w:color w:val="auto"/>
          <w:sz w:val="21"/>
          <w:szCs w:val="21"/>
          <w:lang w:eastAsia="zh-CN"/>
        </w:rPr>
        <w:t>构造特征</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_Toc408413911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31</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39342D98">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"_Toc408413912" </w:instrText>
      </w:r>
      <w:r>
        <w:fldChar w:fldCharType="separate"/>
      </w:r>
      <w:r>
        <w:rPr>
          <w:rStyle w:val="89"/>
          <w:rFonts w:asciiTheme="minorEastAsia" w:hAnsiTheme="minorEastAsia" w:eastAsiaTheme="minorEastAsia"/>
          <w:i w:val="0"/>
          <w:snapToGrid w:val="0"/>
          <w:color w:val="auto"/>
          <w:sz w:val="21"/>
          <w:szCs w:val="21"/>
          <w:lang w:eastAsia="zh-CN"/>
        </w:rPr>
        <w:t>2.3.5</w:t>
      </w:r>
      <w:r>
        <w:rPr>
          <w:rStyle w:val="89"/>
          <w:rFonts w:hint="eastAsia" w:asciiTheme="minorEastAsia" w:hAnsiTheme="minorEastAsia" w:eastAsiaTheme="minorEastAsia"/>
          <w:i w:val="0"/>
          <w:snapToGrid w:val="0"/>
          <w:color w:val="auto"/>
          <w:sz w:val="21"/>
          <w:szCs w:val="21"/>
          <w:lang w:eastAsia="zh-CN"/>
        </w:rPr>
        <w:t>地层特征</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_Toc408413912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31</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09920123">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"_Toc408413913" </w:instrText>
      </w:r>
      <w:r>
        <w:fldChar w:fldCharType="separate"/>
      </w:r>
      <w:r>
        <w:rPr>
          <w:rStyle w:val="89"/>
          <w:rFonts w:asciiTheme="minorEastAsia" w:hAnsiTheme="minorEastAsia" w:eastAsiaTheme="minorEastAsia"/>
          <w:i w:val="0"/>
          <w:snapToGrid w:val="0"/>
          <w:color w:val="auto"/>
          <w:sz w:val="21"/>
          <w:szCs w:val="21"/>
          <w:lang w:eastAsia="zh-CN"/>
        </w:rPr>
        <w:t>2.3.6</w:t>
      </w:r>
      <w:r>
        <w:rPr>
          <w:rStyle w:val="89"/>
          <w:rFonts w:hint="eastAsia" w:asciiTheme="minorEastAsia" w:hAnsiTheme="minorEastAsia" w:eastAsiaTheme="minorEastAsia"/>
          <w:i w:val="0"/>
          <w:snapToGrid w:val="0"/>
          <w:color w:val="auto"/>
          <w:sz w:val="21"/>
          <w:szCs w:val="21"/>
          <w:lang w:eastAsia="zh-CN"/>
        </w:rPr>
        <w:t>储层特征</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_Toc408413913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34</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2095547C">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"_Toc408413914" </w:instrText>
      </w:r>
      <w:r>
        <w:fldChar w:fldCharType="separate"/>
      </w:r>
      <w:r>
        <w:rPr>
          <w:rStyle w:val="89"/>
          <w:rFonts w:asciiTheme="minorEastAsia" w:hAnsiTheme="minorEastAsia" w:eastAsiaTheme="minorEastAsia"/>
          <w:i w:val="0"/>
          <w:snapToGrid w:val="0"/>
          <w:color w:val="auto"/>
          <w:sz w:val="21"/>
          <w:szCs w:val="21"/>
          <w:lang w:eastAsia="zh-CN"/>
        </w:rPr>
        <w:t>2.3.7</w:t>
      </w:r>
      <w:r>
        <w:rPr>
          <w:rStyle w:val="89"/>
          <w:rFonts w:hint="eastAsia" w:asciiTheme="minorEastAsia" w:hAnsiTheme="minorEastAsia" w:eastAsiaTheme="minorEastAsia"/>
          <w:i w:val="0"/>
          <w:snapToGrid w:val="0"/>
          <w:color w:val="auto"/>
          <w:sz w:val="21"/>
          <w:szCs w:val="21"/>
          <w:lang w:eastAsia="zh-CN"/>
        </w:rPr>
        <w:t>地质储量</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_Toc408413914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35</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1B707E61">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"_Toc408413915" </w:instrText>
      </w:r>
      <w:r>
        <w:fldChar w:fldCharType="separate"/>
      </w:r>
      <w:r>
        <w:rPr>
          <w:rStyle w:val="89"/>
          <w:rFonts w:asciiTheme="minorEastAsia" w:hAnsiTheme="minorEastAsia" w:eastAsiaTheme="minorEastAsia"/>
          <w:i w:val="0"/>
          <w:snapToGrid w:val="0"/>
          <w:color w:val="auto"/>
          <w:sz w:val="21"/>
          <w:szCs w:val="21"/>
          <w:lang w:eastAsia="zh-CN"/>
        </w:rPr>
        <w:t>2.3.8</w:t>
      </w:r>
      <w:r>
        <w:rPr>
          <w:rStyle w:val="89"/>
          <w:rFonts w:hint="eastAsia" w:asciiTheme="minorEastAsia" w:hAnsiTheme="minorEastAsia" w:eastAsiaTheme="minorEastAsia"/>
          <w:i w:val="0"/>
          <w:snapToGrid w:val="0"/>
          <w:color w:val="auto"/>
          <w:sz w:val="21"/>
          <w:szCs w:val="21"/>
          <w:lang w:eastAsia="zh-CN"/>
        </w:rPr>
        <w:t>产能规划部署</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_Toc408413915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35</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617C20A0">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"_Toc408413916" </w:instrText>
      </w:r>
      <w:r>
        <w:fldChar w:fldCharType="separate"/>
      </w:r>
      <w:r>
        <w:rPr>
          <w:rStyle w:val="89"/>
          <w:rFonts w:asciiTheme="minorEastAsia" w:hAnsiTheme="minorEastAsia" w:eastAsiaTheme="minorEastAsia"/>
          <w:i w:val="0"/>
          <w:snapToGrid w:val="0"/>
          <w:color w:val="auto"/>
          <w:sz w:val="21"/>
          <w:szCs w:val="21"/>
          <w:lang w:eastAsia="zh-CN"/>
        </w:rPr>
        <w:t>2.3.9</w:t>
      </w:r>
      <w:r>
        <w:rPr>
          <w:rStyle w:val="89"/>
          <w:rFonts w:hint="eastAsia" w:asciiTheme="minorEastAsia" w:hAnsiTheme="minorEastAsia" w:eastAsiaTheme="minorEastAsia"/>
          <w:i w:val="0"/>
          <w:snapToGrid w:val="0"/>
          <w:color w:val="auto"/>
          <w:sz w:val="21"/>
          <w:szCs w:val="21"/>
          <w:lang w:eastAsia="zh-CN"/>
        </w:rPr>
        <w:t>原油性质</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_Toc408413916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36</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098E488A">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"_Toc408413917" </w:instrText>
      </w:r>
      <w:r>
        <w:fldChar w:fldCharType="separate"/>
      </w:r>
      <w:r>
        <w:rPr>
          <w:rStyle w:val="89"/>
          <w:rFonts w:asciiTheme="minorEastAsia" w:hAnsiTheme="minorEastAsia" w:eastAsiaTheme="minorEastAsia"/>
          <w:i w:val="0"/>
          <w:snapToGrid w:val="0"/>
          <w:color w:val="auto"/>
          <w:sz w:val="21"/>
          <w:szCs w:val="21"/>
          <w:lang w:eastAsia="zh-CN"/>
        </w:rPr>
        <w:t>2.3.10</w:t>
      </w:r>
      <w:r>
        <w:rPr>
          <w:rStyle w:val="89"/>
          <w:rFonts w:hint="eastAsia" w:asciiTheme="minorEastAsia" w:hAnsiTheme="minorEastAsia" w:eastAsiaTheme="minorEastAsia"/>
          <w:i w:val="0"/>
          <w:snapToGrid w:val="0"/>
          <w:color w:val="auto"/>
          <w:sz w:val="21"/>
          <w:szCs w:val="21"/>
          <w:lang w:eastAsia="zh-CN"/>
        </w:rPr>
        <w:t>产品与流向</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_Toc408413917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41</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4AF23CAD">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"_Toc408413918" </w:instrText>
      </w:r>
      <w:r>
        <w:fldChar w:fldCharType="separate"/>
      </w:r>
      <w:r>
        <w:rPr>
          <w:rStyle w:val="89"/>
          <w:rFonts w:asciiTheme="minorEastAsia" w:hAnsiTheme="minorEastAsia" w:eastAsiaTheme="minorEastAsia"/>
          <w:i w:val="0"/>
          <w:snapToGrid w:val="0"/>
          <w:color w:val="auto"/>
          <w:sz w:val="21"/>
          <w:szCs w:val="21"/>
          <w:lang w:eastAsia="zh-CN"/>
        </w:rPr>
        <w:t>2.3.11</w:t>
      </w:r>
      <w:r>
        <w:rPr>
          <w:rStyle w:val="89"/>
          <w:rFonts w:hint="eastAsia" w:asciiTheme="minorEastAsia" w:hAnsiTheme="minorEastAsia" w:eastAsiaTheme="minorEastAsia"/>
          <w:i w:val="0"/>
          <w:snapToGrid w:val="0"/>
          <w:color w:val="auto"/>
          <w:sz w:val="21"/>
          <w:szCs w:val="21"/>
          <w:lang w:eastAsia="zh-CN"/>
        </w:rPr>
        <w:t>项目组成</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_Toc408413918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41</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5D954001">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"_Toc408413919" </w:instrText>
      </w:r>
      <w:r>
        <w:fldChar w:fldCharType="separate"/>
      </w:r>
      <w:r>
        <w:rPr>
          <w:rStyle w:val="89"/>
          <w:rFonts w:asciiTheme="minorEastAsia" w:hAnsiTheme="minorEastAsia" w:eastAsiaTheme="minorEastAsia"/>
          <w:i w:val="0"/>
          <w:snapToGrid w:val="0"/>
          <w:color w:val="auto"/>
          <w:sz w:val="21"/>
          <w:szCs w:val="21"/>
          <w:lang w:eastAsia="zh-CN"/>
        </w:rPr>
        <w:t>2.3.12</w:t>
      </w:r>
      <w:r>
        <w:rPr>
          <w:rStyle w:val="89"/>
          <w:rFonts w:hint="eastAsia" w:asciiTheme="minorEastAsia" w:hAnsiTheme="minorEastAsia" w:eastAsiaTheme="minorEastAsia"/>
          <w:i w:val="0"/>
          <w:snapToGrid w:val="0"/>
          <w:color w:val="auto"/>
          <w:sz w:val="21"/>
          <w:szCs w:val="21"/>
          <w:lang w:eastAsia="zh-CN"/>
        </w:rPr>
        <w:t>平面布置</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_Toc408413919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44</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739B67E8">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"_Toc408413920" </w:instrText>
      </w:r>
      <w:r>
        <w:fldChar w:fldCharType="separate"/>
      </w:r>
      <w:r>
        <w:rPr>
          <w:rStyle w:val="89"/>
          <w:rFonts w:asciiTheme="minorEastAsia" w:hAnsiTheme="minorEastAsia" w:eastAsiaTheme="minorEastAsia"/>
          <w:i w:val="0"/>
          <w:color w:val="auto"/>
          <w:sz w:val="21"/>
          <w:szCs w:val="21"/>
          <w:lang w:eastAsia="zh-CN"/>
        </w:rPr>
        <w:t>2.3.13</w:t>
      </w:r>
      <w:r>
        <w:rPr>
          <w:rStyle w:val="89"/>
          <w:rFonts w:hint="eastAsia" w:asciiTheme="minorEastAsia" w:hAnsiTheme="minorEastAsia" w:eastAsiaTheme="minorEastAsia"/>
          <w:i w:val="0"/>
          <w:color w:val="auto"/>
          <w:sz w:val="21"/>
          <w:szCs w:val="21"/>
          <w:lang w:eastAsia="zh-CN"/>
        </w:rPr>
        <w:t>工程占地</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_Toc408413920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46</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6575745C">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"_Toc408413921" </w:instrText>
      </w:r>
      <w:r>
        <w:fldChar w:fldCharType="separate"/>
      </w:r>
      <w:r>
        <w:rPr>
          <w:rStyle w:val="89"/>
          <w:rFonts w:asciiTheme="minorEastAsia" w:hAnsiTheme="minorEastAsia" w:eastAsiaTheme="minorEastAsia"/>
          <w:i w:val="0"/>
          <w:snapToGrid w:val="0"/>
          <w:color w:val="auto"/>
          <w:sz w:val="21"/>
          <w:szCs w:val="21"/>
        </w:rPr>
        <w:t>2.</w:t>
      </w:r>
      <w:r>
        <w:rPr>
          <w:rStyle w:val="89"/>
          <w:rFonts w:asciiTheme="minorEastAsia" w:hAnsiTheme="minorEastAsia" w:eastAsiaTheme="minorEastAsia"/>
          <w:i w:val="0"/>
          <w:snapToGrid w:val="0"/>
          <w:color w:val="auto"/>
          <w:sz w:val="21"/>
          <w:szCs w:val="21"/>
          <w:lang w:eastAsia="zh-CN"/>
        </w:rPr>
        <w:t>3</w:t>
      </w:r>
      <w:r>
        <w:rPr>
          <w:rStyle w:val="89"/>
          <w:rFonts w:asciiTheme="minorEastAsia" w:hAnsiTheme="minorEastAsia" w:eastAsiaTheme="minorEastAsia"/>
          <w:i w:val="0"/>
          <w:snapToGrid w:val="0"/>
          <w:color w:val="auto"/>
          <w:sz w:val="21"/>
          <w:szCs w:val="21"/>
        </w:rPr>
        <w:t>.14</w:t>
      </w:r>
      <w:r>
        <w:rPr>
          <w:rStyle w:val="89"/>
          <w:rFonts w:hint="eastAsia" w:asciiTheme="minorEastAsia" w:hAnsiTheme="minorEastAsia" w:eastAsiaTheme="minorEastAsia"/>
          <w:i w:val="0"/>
          <w:snapToGrid w:val="0"/>
          <w:color w:val="auto"/>
          <w:sz w:val="21"/>
          <w:szCs w:val="21"/>
        </w:rPr>
        <w:t>投资</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_Toc408413921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46</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401F88EE">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"_Toc408413922" </w:instrText>
      </w:r>
      <w:r>
        <w:fldChar w:fldCharType="separate"/>
      </w:r>
      <w:r>
        <w:rPr>
          <w:rStyle w:val="89"/>
          <w:rFonts w:asciiTheme="minorEastAsia" w:hAnsiTheme="minorEastAsia" w:eastAsiaTheme="minorEastAsia"/>
          <w:i w:val="0"/>
          <w:snapToGrid w:val="0"/>
          <w:color w:val="auto"/>
          <w:sz w:val="21"/>
          <w:szCs w:val="21"/>
          <w:lang w:eastAsia="zh-CN"/>
        </w:rPr>
        <w:t>2.3.15</w:t>
      </w:r>
      <w:r>
        <w:rPr>
          <w:rStyle w:val="89"/>
          <w:rFonts w:hint="eastAsia" w:asciiTheme="minorEastAsia" w:hAnsiTheme="minorEastAsia" w:eastAsiaTheme="minorEastAsia"/>
          <w:i w:val="0"/>
          <w:snapToGrid w:val="0"/>
          <w:color w:val="auto"/>
          <w:sz w:val="21"/>
          <w:szCs w:val="21"/>
          <w:lang w:eastAsia="zh-CN"/>
        </w:rPr>
        <w:t>劳动定员及工作制度</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_Toc408413922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46</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23954820">
      <w:pPr>
        <w:pStyle w:val="51"/>
        <w:rPr>
          <w:rFonts w:asciiTheme="minorEastAsia" w:hAnsiTheme="minorEastAsia" w:eastAsiaTheme="minorEastAsia" w:cstheme="minorBidi"/>
          <w:b/>
          <w:bCs w:val="0"/>
          <w:caps w:val="0"/>
          <w:kern w:val="2"/>
          <w:sz w:val="21"/>
          <w:szCs w:val="21"/>
          <w:lang w:bidi="ar-SA"/>
        </w:rPr>
      </w:pPr>
      <w:r>
        <w:fldChar w:fldCharType="begin"/>
      </w:r>
      <w:r>
        <w:instrText xml:space="preserve"> HYPERLINK \l "_Toc408413923" </w:instrText>
      </w:r>
      <w:r>
        <w:fldChar w:fldCharType="separate"/>
      </w:r>
      <w:r>
        <w:rPr>
          <w:rStyle w:val="89"/>
          <w:rFonts w:asciiTheme="minorEastAsia" w:hAnsiTheme="minorEastAsia" w:eastAsiaTheme="minorEastAsia"/>
          <w:b/>
          <w:color w:val="auto"/>
          <w:sz w:val="21"/>
          <w:szCs w:val="21"/>
        </w:rPr>
        <w:t>3</w:t>
      </w:r>
      <w:r>
        <w:rPr>
          <w:rStyle w:val="89"/>
          <w:rFonts w:hint="eastAsia" w:asciiTheme="minorEastAsia" w:hAnsiTheme="minorEastAsia" w:eastAsiaTheme="minorEastAsia"/>
          <w:b/>
          <w:color w:val="auto"/>
          <w:sz w:val="21"/>
          <w:szCs w:val="21"/>
        </w:rPr>
        <w:t>工程分析</w:t>
      </w:r>
      <w:r>
        <w:rPr>
          <w:rFonts w:asciiTheme="minorEastAsia" w:hAnsiTheme="minorEastAsia" w:eastAsiaTheme="minorEastAsia"/>
          <w:b/>
          <w:sz w:val="21"/>
          <w:szCs w:val="21"/>
        </w:rPr>
        <w:tab/>
      </w:r>
      <w:r>
        <w:rPr>
          <w:rFonts w:asciiTheme="minorEastAsia" w:hAnsiTheme="minorEastAsia" w:eastAsiaTheme="minorEastAsia"/>
          <w:b/>
          <w:sz w:val="21"/>
          <w:szCs w:val="21"/>
        </w:rPr>
        <w:fldChar w:fldCharType="begin"/>
      </w:r>
      <w:r>
        <w:rPr>
          <w:rFonts w:asciiTheme="minorEastAsia" w:hAnsiTheme="minorEastAsia" w:eastAsiaTheme="minorEastAsia"/>
          <w:b/>
          <w:sz w:val="21"/>
          <w:szCs w:val="21"/>
        </w:rPr>
        <w:instrText xml:space="preserve"> PAGEREF _Toc408413923 \h </w:instrText>
      </w:r>
      <w:r>
        <w:rPr>
          <w:rFonts w:asciiTheme="minorEastAsia" w:hAnsiTheme="minorEastAsia" w:eastAsiaTheme="minorEastAsia"/>
          <w:b/>
          <w:sz w:val="21"/>
          <w:szCs w:val="21"/>
        </w:rPr>
        <w:fldChar w:fldCharType="separate"/>
      </w:r>
      <w:r>
        <w:rPr>
          <w:rFonts w:asciiTheme="minorEastAsia" w:hAnsiTheme="minorEastAsia" w:eastAsiaTheme="minorEastAsia"/>
          <w:b/>
          <w:sz w:val="21"/>
          <w:szCs w:val="21"/>
        </w:rPr>
        <w:t>47</w:t>
      </w:r>
      <w:r>
        <w:rPr>
          <w:rFonts w:asciiTheme="minorEastAsia" w:hAnsiTheme="minorEastAsia" w:eastAsiaTheme="minorEastAsia"/>
          <w:b/>
          <w:sz w:val="21"/>
          <w:szCs w:val="21"/>
        </w:rPr>
        <w:fldChar w:fldCharType="end"/>
      </w:r>
      <w:r>
        <w:rPr>
          <w:rFonts w:asciiTheme="minorEastAsia" w:hAnsiTheme="minorEastAsia" w:eastAsiaTheme="minorEastAsia"/>
          <w:b/>
          <w:sz w:val="21"/>
          <w:szCs w:val="21"/>
        </w:rPr>
        <w:fldChar w:fldCharType="end"/>
      </w:r>
    </w:p>
    <w:p w14:paraId="247947B7">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"_Toc408413924" </w:instrText>
      </w:r>
      <w:r>
        <w:fldChar w:fldCharType="separate"/>
      </w:r>
      <w:r>
        <w:rPr>
          <w:rStyle w:val="89"/>
          <w:rFonts w:asciiTheme="minorEastAsia" w:hAnsiTheme="minorEastAsia" w:eastAsiaTheme="minorEastAsia"/>
          <w:color w:val="auto"/>
          <w:sz w:val="21"/>
          <w:szCs w:val="21"/>
          <w:lang w:eastAsia="zh-CN"/>
        </w:rPr>
        <w:t>3.1</w:t>
      </w:r>
      <w:r>
        <w:rPr>
          <w:rStyle w:val="89"/>
          <w:rFonts w:hint="eastAsia" w:asciiTheme="minorEastAsia" w:hAnsiTheme="minorEastAsia" w:eastAsiaTheme="minorEastAsia"/>
          <w:color w:val="auto"/>
          <w:sz w:val="21"/>
          <w:szCs w:val="21"/>
          <w:lang w:eastAsia="zh-CN"/>
        </w:rPr>
        <w:t>主体工程</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_Toc408413924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47</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008C519B">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"_Toc408413925" </w:instrText>
      </w:r>
      <w:r>
        <w:fldChar w:fldCharType="separate"/>
      </w:r>
      <w:r>
        <w:rPr>
          <w:rStyle w:val="89"/>
          <w:rFonts w:asciiTheme="minorEastAsia" w:hAnsiTheme="minorEastAsia" w:eastAsiaTheme="minorEastAsia"/>
          <w:i w:val="0"/>
          <w:color w:val="auto"/>
          <w:sz w:val="21"/>
          <w:szCs w:val="21"/>
          <w:lang w:eastAsia="zh-CN"/>
        </w:rPr>
        <w:t>3.1.1</w:t>
      </w:r>
      <w:r>
        <w:rPr>
          <w:rStyle w:val="89"/>
          <w:rFonts w:hint="eastAsia" w:asciiTheme="minorEastAsia" w:hAnsiTheme="minorEastAsia" w:eastAsiaTheme="minorEastAsia"/>
          <w:i w:val="0"/>
          <w:color w:val="auto"/>
          <w:sz w:val="21"/>
          <w:szCs w:val="21"/>
          <w:lang w:eastAsia="zh-CN"/>
        </w:rPr>
        <w:t>钻井工程</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_Toc408413925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47</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3AAC938F">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"_Toc408413926" </w:instrText>
      </w:r>
      <w:r>
        <w:fldChar w:fldCharType="separate"/>
      </w:r>
      <w:r>
        <w:rPr>
          <w:rStyle w:val="89"/>
          <w:rFonts w:asciiTheme="minorEastAsia" w:hAnsiTheme="minorEastAsia" w:eastAsiaTheme="minorEastAsia"/>
          <w:i w:val="0"/>
          <w:color w:val="auto"/>
          <w:sz w:val="21"/>
          <w:szCs w:val="21"/>
          <w:lang w:eastAsia="zh-CN"/>
        </w:rPr>
        <w:t>3.1.2</w:t>
      </w:r>
      <w:r>
        <w:rPr>
          <w:rStyle w:val="89"/>
          <w:rFonts w:hint="eastAsia" w:asciiTheme="minorEastAsia" w:hAnsiTheme="minorEastAsia" w:eastAsiaTheme="minorEastAsia"/>
          <w:i w:val="0"/>
          <w:color w:val="auto"/>
          <w:sz w:val="21"/>
          <w:szCs w:val="21"/>
          <w:lang w:eastAsia="zh-CN"/>
        </w:rPr>
        <w:t>集输工程</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_Toc408413926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47</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772FFBC0">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"_Toc408413927" </w:instrText>
      </w:r>
      <w:r>
        <w:fldChar w:fldCharType="separate"/>
      </w:r>
      <w:r>
        <w:rPr>
          <w:rStyle w:val="89"/>
          <w:rFonts w:asciiTheme="minorEastAsia" w:hAnsiTheme="minorEastAsia" w:eastAsiaTheme="minorEastAsia"/>
          <w:i w:val="0"/>
          <w:color w:val="auto"/>
          <w:sz w:val="21"/>
          <w:szCs w:val="21"/>
          <w:lang w:eastAsia="zh-CN"/>
        </w:rPr>
        <w:t>3.1.3</w:t>
      </w:r>
      <w:r>
        <w:rPr>
          <w:rStyle w:val="89"/>
          <w:rFonts w:hint="eastAsia" w:asciiTheme="minorEastAsia" w:hAnsiTheme="minorEastAsia" w:eastAsiaTheme="minorEastAsia"/>
          <w:i w:val="0"/>
          <w:color w:val="auto"/>
          <w:sz w:val="21"/>
          <w:szCs w:val="21"/>
          <w:lang w:eastAsia="zh-CN"/>
        </w:rPr>
        <w:t>注水工程</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_Toc408413927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48</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12B518BE">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"_Toc408413928" </w:instrText>
      </w:r>
      <w:r>
        <w:fldChar w:fldCharType="separate"/>
      </w:r>
      <w:r>
        <w:rPr>
          <w:rStyle w:val="89"/>
          <w:rFonts w:asciiTheme="minorEastAsia" w:hAnsiTheme="minorEastAsia" w:eastAsiaTheme="minorEastAsia"/>
          <w:color w:val="auto"/>
          <w:sz w:val="21"/>
          <w:szCs w:val="21"/>
          <w:lang w:eastAsia="zh-CN"/>
        </w:rPr>
        <w:t>3.2</w:t>
      </w:r>
      <w:r>
        <w:rPr>
          <w:rStyle w:val="89"/>
          <w:rFonts w:hint="eastAsia" w:asciiTheme="minorEastAsia" w:hAnsiTheme="minorEastAsia" w:eastAsiaTheme="minorEastAsia"/>
          <w:color w:val="auto"/>
          <w:sz w:val="21"/>
          <w:szCs w:val="21"/>
          <w:lang w:eastAsia="zh-CN"/>
        </w:rPr>
        <w:t>辅助工程</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_Toc408413928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48</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0385E378">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"_Toc408413929" </w:instrText>
      </w:r>
      <w:r>
        <w:fldChar w:fldCharType="separate"/>
      </w:r>
      <w:r>
        <w:rPr>
          <w:rStyle w:val="89"/>
          <w:rFonts w:asciiTheme="minorEastAsia" w:hAnsiTheme="minorEastAsia" w:eastAsiaTheme="minorEastAsia"/>
          <w:i w:val="0"/>
          <w:color w:val="auto"/>
          <w:sz w:val="21"/>
          <w:szCs w:val="21"/>
          <w:lang w:eastAsia="zh-CN"/>
        </w:rPr>
        <w:t>3.2.1</w:t>
      </w:r>
      <w:r>
        <w:rPr>
          <w:rStyle w:val="89"/>
          <w:rFonts w:hint="eastAsia" w:asciiTheme="minorEastAsia" w:hAnsiTheme="minorEastAsia" w:eastAsiaTheme="minorEastAsia"/>
          <w:i w:val="0"/>
          <w:color w:val="auto"/>
          <w:sz w:val="21"/>
          <w:szCs w:val="21"/>
          <w:lang w:eastAsia="zh-CN"/>
        </w:rPr>
        <w:t>道路工程</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_Toc408413929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48</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5FCEB1CE">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"_Toc408413930" </w:instrText>
      </w:r>
      <w:r>
        <w:fldChar w:fldCharType="separate"/>
      </w:r>
      <w:r>
        <w:rPr>
          <w:rStyle w:val="89"/>
          <w:rFonts w:asciiTheme="minorEastAsia" w:hAnsiTheme="minorEastAsia" w:eastAsiaTheme="minorEastAsia"/>
          <w:i w:val="0"/>
          <w:color w:val="auto"/>
          <w:sz w:val="21"/>
          <w:szCs w:val="21"/>
          <w:lang w:eastAsia="zh-CN"/>
        </w:rPr>
        <w:t>3.2.2</w:t>
      </w:r>
      <w:r>
        <w:rPr>
          <w:rStyle w:val="89"/>
          <w:rFonts w:hint="eastAsia" w:asciiTheme="minorEastAsia" w:hAnsiTheme="minorEastAsia" w:eastAsiaTheme="minorEastAsia"/>
          <w:i w:val="0"/>
          <w:color w:val="auto"/>
          <w:sz w:val="21"/>
          <w:szCs w:val="21"/>
          <w:lang w:eastAsia="zh-CN"/>
        </w:rPr>
        <w:t>防腐保温工程</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_Toc408413930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49</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7B317203">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"_Toc408413931" </w:instrText>
      </w:r>
      <w:r>
        <w:fldChar w:fldCharType="separate"/>
      </w:r>
      <w:r>
        <w:rPr>
          <w:rStyle w:val="89"/>
          <w:rFonts w:asciiTheme="minorEastAsia" w:hAnsiTheme="minorEastAsia" w:eastAsiaTheme="minorEastAsia"/>
          <w:color w:val="auto"/>
          <w:sz w:val="21"/>
          <w:szCs w:val="21"/>
          <w:lang w:eastAsia="zh-CN"/>
        </w:rPr>
        <w:t>3.3</w:t>
      </w:r>
      <w:r>
        <w:rPr>
          <w:rStyle w:val="89"/>
          <w:rFonts w:hint="eastAsia" w:asciiTheme="minorEastAsia" w:hAnsiTheme="minorEastAsia" w:eastAsiaTheme="minorEastAsia"/>
          <w:color w:val="auto"/>
          <w:sz w:val="21"/>
          <w:szCs w:val="21"/>
          <w:lang w:eastAsia="zh-CN"/>
        </w:rPr>
        <w:t>公用工程</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_Toc408413931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50</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5F462553">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"_Toc408413932" </w:instrText>
      </w:r>
      <w:r>
        <w:fldChar w:fldCharType="separate"/>
      </w:r>
      <w:r>
        <w:rPr>
          <w:rStyle w:val="89"/>
          <w:rFonts w:asciiTheme="minorEastAsia" w:hAnsiTheme="minorEastAsia" w:eastAsiaTheme="minorEastAsia"/>
          <w:i w:val="0"/>
          <w:color w:val="auto"/>
          <w:sz w:val="21"/>
          <w:szCs w:val="21"/>
          <w:lang w:eastAsia="zh-CN"/>
        </w:rPr>
        <w:t>3.3.1</w:t>
      </w:r>
      <w:r>
        <w:rPr>
          <w:rStyle w:val="89"/>
          <w:rFonts w:hint="eastAsia" w:asciiTheme="minorEastAsia" w:hAnsiTheme="minorEastAsia" w:eastAsiaTheme="minorEastAsia"/>
          <w:i w:val="0"/>
          <w:color w:val="auto"/>
          <w:sz w:val="21"/>
          <w:szCs w:val="21"/>
          <w:lang w:eastAsia="zh-CN"/>
        </w:rPr>
        <w:t>给排水</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_Toc408413932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50</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1D4915FA">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"_Toc408413933" </w:instrText>
      </w:r>
      <w:r>
        <w:fldChar w:fldCharType="separate"/>
      </w:r>
      <w:r>
        <w:rPr>
          <w:rStyle w:val="89"/>
          <w:rFonts w:asciiTheme="minorEastAsia" w:hAnsiTheme="minorEastAsia" w:eastAsiaTheme="minorEastAsia"/>
          <w:i w:val="0"/>
          <w:color w:val="auto"/>
          <w:sz w:val="21"/>
          <w:szCs w:val="21"/>
          <w:lang w:eastAsia="zh-CN"/>
        </w:rPr>
        <w:t>3.3.2</w:t>
      </w:r>
      <w:r>
        <w:rPr>
          <w:rStyle w:val="89"/>
          <w:rFonts w:hint="eastAsia" w:asciiTheme="minorEastAsia" w:hAnsiTheme="minorEastAsia" w:eastAsiaTheme="minorEastAsia"/>
          <w:i w:val="0"/>
          <w:color w:val="auto"/>
          <w:sz w:val="21"/>
          <w:szCs w:val="21"/>
          <w:lang w:eastAsia="zh-CN"/>
        </w:rPr>
        <w:t>供热</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_Toc408413933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52</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102BD8E4">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"_Toc408413934" </w:instrText>
      </w:r>
      <w:r>
        <w:fldChar w:fldCharType="separate"/>
      </w:r>
      <w:r>
        <w:rPr>
          <w:rStyle w:val="89"/>
          <w:rFonts w:asciiTheme="minorEastAsia" w:hAnsiTheme="minorEastAsia" w:eastAsiaTheme="minorEastAsia"/>
          <w:i w:val="0"/>
          <w:color w:val="auto"/>
          <w:sz w:val="21"/>
          <w:szCs w:val="21"/>
          <w:lang w:eastAsia="zh-CN"/>
        </w:rPr>
        <w:t>3.3.3</w:t>
      </w:r>
      <w:r>
        <w:rPr>
          <w:rStyle w:val="89"/>
          <w:rFonts w:hint="eastAsia" w:asciiTheme="minorEastAsia" w:hAnsiTheme="minorEastAsia" w:eastAsiaTheme="minorEastAsia"/>
          <w:i w:val="0"/>
          <w:color w:val="auto"/>
          <w:sz w:val="21"/>
          <w:szCs w:val="21"/>
          <w:lang w:eastAsia="zh-CN"/>
        </w:rPr>
        <w:t>供电</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_Toc408413934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52</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5A0D39DC">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"_Toc408413935" </w:instrText>
      </w:r>
      <w:r>
        <w:fldChar w:fldCharType="separate"/>
      </w:r>
      <w:r>
        <w:rPr>
          <w:rStyle w:val="89"/>
          <w:rFonts w:asciiTheme="minorEastAsia" w:hAnsiTheme="minorEastAsia" w:eastAsiaTheme="minorEastAsia"/>
          <w:i w:val="0"/>
          <w:color w:val="auto"/>
          <w:sz w:val="21"/>
          <w:szCs w:val="21"/>
          <w:lang w:eastAsia="zh-CN"/>
        </w:rPr>
        <w:t>3.3.4</w:t>
      </w:r>
      <w:r>
        <w:rPr>
          <w:rStyle w:val="89"/>
          <w:rFonts w:hint="eastAsia" w:asciiTheme="minorEastAsia" w:hAnsiTheme="minorEastAsia" w:eastAsiaTheme="minorEastAsia"/>
          <w:i w:val="0"/>
          <w:color w:val="auto"/>
          <w:sz w:val="21"/>
          <w:szCs w:val="21"/>
          <w:lang w:eastAsia="zh-CN"/>
        </w:rPr>
        <w:t>消防</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_Toc408413935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52</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66BBA417">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"_Toc408413936" </w:instrText>
      </w:r>
      <w:r>
        <w:fldChar w:fldCharType="separate"/>
      </w:r>
      <w:r>
        <w:rPr>
          <w:rStyle w:val="89"/>
          <w:rFonts w:asciiTheme="minorEastAsia" w:hAnsiTheme="minorEastAsia" w:eastAsiaTheme="minorEastAsia"/>
          <w:i w:val="0"/>
          <w:color w:val="auto"/>
          <w:sz w:val="21"/>
          <w:szCs w:val="21"/>
          <w:lang w:eastAsia="zh-CN"/>
        </w:rPr>
        <w:t>3.3.5</w:t>
      </w:r>
      <w:r>
        <w:rPr>
          <w:rStyle w:val="89"/>
          <w:rFonts w:hint="eastAsia" w:asciiTheme="minorEastAsia" w:hAnsiTheme="minorEastAsia" w:eastAsiaTheme="minorEastAsia"/>
          <w:i w:val="0"/>
          <w:color w:val="auto"/>
          <w:sz w:val="21"/>
          <w:szCs w:val="21"/>
          <w:lang w:eastAsia="zh-CN"/>
        </w:rPr>
        <w:t>通信、仪表自控</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_Toc408413936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53</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1EB15475">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"_Toc408413937" </w:instrText>
      </w:r>
      <w:r>
        <w:fldChar w:fldCharType="separate"/>
      </w:r>
      <w:r>
        <w:rPr>
          <w:rStyle w:val="89"/>
          <w:rFonts w:asciiTheme="minorEastAsia" w:hAnsiTheme="minorEastAsia" w:eastAsiaTheme="minorEastAsia"/>
          <w:color w:val="auto"/>
          <w:sz w:val="21"/>
          <w:szCs w:val="21"/>
          <w:lang w:eastAsia="zh-CN"/>
        </w:rPr>
        <w:t>3.4</w:t>
      </w:r>
      <w:r>
        <w:rPr>
          <w:rStyle w:val="89"/>
          <w:rFonts w:hint="eastAsia" w:asciiTheme="minorEastAsia" w:hAnsiTheme="minorEastAsia" w:eastAsiaTheme="minorEastAsia"/>
          <w:color w:val="auto"/>
          <w:sz w:val="21"/>
          <w:szCs w:val="21"/>
          <w:lang w:eastAsia="zh-CN"/>
        </w:rPr>
        <w:t>生产工艺简述</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_Toc408413937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53</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4053583B">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"_Toc408413938" </w:instrText>
      </w:r>
      <w:r>
        <w:fldChar w:fldCharType="separate"/>
      </w:r>
      <w:r>
        <w:rPr>
          <w:rStyle w:val="89"/>
          <w:rFonts w:asciiTheme="minorEastAsia" w:hAnsiTheme="minorEastAsia" w:eastAsiaTheme="minorEastAsia"/>
          <w:i w:val="0"/>
          <w:color w:val="auto"/>
          <w:sz w:val="21"/>
          <w:szCs w:val="21"/>
          <w:lang w:eastAsia="zh-CN"/>
        </w:rPr>
        <w:t>3.4.1</w:t>
      </w:r>
      <w:r>
        <w:rPr>
          <w:rStyle w:val="89"/>
          <w:rFonts w:hint="eastAsia" w:asciiTheme="minorEastAsia" w:hAnsiTheme="minorEastAsia" w:eastAsiaTheme="minorEastAsia"/>
          <w:i w:val="0"/>
          <w:color w:val="auto"/>
          <w:sz w:val="21"/>
          <w:szCs w:val="21"/>
          <w:lang w:eastAsia="zh-CN"/>
        </w:rPr>
        <w:t>钻采工艺</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_Toc408413938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54</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03DCC086">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"_Toc408413939" </w:instrText>
      </w:r>
      <w:r>
        <w:fldChar w:fldCharType="separate"/>
      </w:r>
      <w:r>
        <w:rPr>
          <w:rStyle w:val="89"/>
          <w:rFonts w:asciiTheme="minorEastAsia" w:hAnsiTheme="minorEastAsia" w:eastAsiaTheme="minorEastAsia"/>
          <w:i w:val="0"/>
          <w:color w:val="auto"/>
          <w:sz w:val="21"/>
          <w:szCs w:val="21"/>
          <w:lang w:eastAsia="zh-CN"/>
        </w:rPr>
        <w:t>3.4.2</w:t>
      </w:r>
      <w:r>
        <w:rPr>
          <w:rStyle w:val="89"/>
          <w:rFonts w:hint="eastAsia" w:asciiTheme="minorEastAsia" w:hAnsiTheme="minorEastAsia" w:eastAsiaTheme="minorEastAsia"/>
          <w:i w:val="0"/>
          <w:color w:val="auto"/>
          <w:sz w:val="21"/>
          <w:szCs w:val="21"/>
          <w:lang w:eastAsia="zh-CN"/>
        </w:rPr>
        <w:t>采油工艺</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_Toc408413939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56</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37EC16AD">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"_Toc408413940" </w:instrText>
      </w:r>
      <w:r>
        <w:fldChar w:fldCharType="separate"/>
      </w:r>
      <w:r>
        <w:rPr>
          <w:rStyle w:val="89"/>
          <w:rFonts w:asciiTheme="minorEastAsia" w:hAnsiTheme="minorEastAsia" w:eastAsiaTheme="minorEastAsia"/>
          <w:i w:val="0"/>
          <w:color w:val="auto"/>
          <w:sz w:val="21"/>
          <w:szCs w:val="21"/>
          <w:lang w:eastAsia="zh-CN"/>
        </w:rPr>
        <w:t>3.4.3</w:t>
      </w:r>
      <w:r>
        <w:rPr>
          <w:rStyle w:val="89"/>
          <w:rFonts w:hint="eastAsia" w:asciiTheme="minorEastAsia" w:hAnsiTheme="minorEastAsia" w:eastAsiaTheme="minorEastAsia"/>
          <w:i w:val="0"/>
          <w:color w:val="auto"/>
          <w:sz w:val="21"/>
          <w:szCs w:val="21"/>
          <w:lang w:eastAsia="zh-CN"/>
        </w:rPr>
        <w:t>报废井措施</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_Toc408413940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57</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1D43D77E">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"_Toc408413941" </w:instrText>
      </w:r>
      <w:r>
        <w:fldChar w:fldCharType="separate"/>
      </w:r>
      <w:r>
        <w:rPr>
          <w:rStyle w:val="89"/>
          <w:rFonts w:asciiTheme="minorEastAsia" w:hAnsiTheme="minorEastAsia" w:eastAsiaTheme="minorEastAsia"/>
          <w:i w:val="0"/>
          <w:color w:val="auto"/>
          <w:sz w:val="21"/>
          <w:szCs w:val="21"/>
          <w:lang w:eastAsia="zh-CN"/>
        </w:rPr>
        <w:t>3.4.4</w:t>
      </w:r>
      <w:r>
        <w:rPr>
          <w:rStyle w:val="89"/>
          <w:rFonts w:hint="eastAsia" w:asciiTheme="minorEastAsia" w:hAnsiTheme="minorEastAsia" w:eastAsiaTheme="minorEastAsia"/>
          <w:i w:val="0"/>
          <w:color w:val="auto"/>
          <w:sz w:val="21"/>
          <w:szCs w:val="21"/>
          <w:lang w:eastAsia="zh-CN"/>
        </w:rPr>
        <w:t>集输工艺</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_Toc408413941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57</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3F3B946C">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"_Toc408413942" </w:instrText>
      </w:r>
      <w:r>
        <w:fldChar w:fldCharType="separate"/>
      </w:r>
      <w:r>
        <w:rPr>
          <w:rStyle w:val="89"/>
          <w:rFonts w:asciiTheme="minorEastAsia" w:hAnsiTheme="minorEastAsia" w:eastAsiaTheme="minorEastAsia"/>
          <w:i w:val="0"/>
          <w:color w:val="auto"/>
          <w:sz w:val="21"/>
          <w:szCs w:val="21"/>
          <w:lang w:eastAsia="zh-CN"/>
        </w:rPr>
        <w:t>3.4.5</w:t>
      </w:r>
      <w:r>
        <w:rPr>
          <w:rStyle w:val="89"/>
          <w:rFonts w:hint="eastAsia" w:asciiTheme="minorEastAsia" w:hAnsiTheme="minorEastAsia" w:eastAsiaTheme="minorEastAsia"/>
          <w:i w:val="0"/>
          <w:color w:val="auto"/>
          <w:sz w:val="21"/>
          <w:szCs w:val="21"/>
          <w:lang w:eastAsia="zh-CN"/>
        </w:rPr>
        <w:t>伴生气处理流程</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_Toc408413942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59</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4EC0B417">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"_Toc408413943" </w:instrText>
      </w:r>
      <w:r>
        <w:fldChar w:fldCharType="separate"/>
      </w:r>
      <w:r>
        <w:rPr>
          <w:rStyle w:val="89"/>
          <w:rFonts w:asciiTheme="minorEastAsia" w:hAnsiTheme="minorEastAsia" w:eastAsiaTheme="minorEastAsia"/>
          <w:i w:val="0"/>
          <w:color w:val="auto"/>
          <w:sz w:val="21"/>
          <w:szCs w:val="21"/>
          <w:lang w:eastAsia="zh-CN"/>
        </w:rPr>
        <w:t>3.4.6</w:t>
      </w:r>
      <w:r>
        <w:rPr>
          <w:rStyle w:val="89"/>
          <w:rFonts w:hint="eastAsia" w:asciiTheme="minorEastAsia" w:hAnsiTheme="minorEastAsia" w:eastAsiaTheme="minorEastAsia"/>
          <w:i w:val="0"/>
          <w:color w:val="auto"/>
          <w:sz w:val="21"/>
          <w:szCs w:val="21"/>
          <w:lang w:eastAsia="zh-CN"/>
        </w:rPr>
        <w:t>污水处理工艺</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_Toc408413943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60</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002207ED">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"_Toc408413944" </w:instrText>
      </w:r>
      <w:r>
        <w:fldChar w:fldCharType="separate"/>
      </w:r>
      <w:r>
        <w:rPr>
          <w:rStyle w:val="89"/>
          <w:rFonts w:asciiTheme="minorEastAsia" w:hAnsiTheme="minorEastAsia" w:eastAsiaTheme="minorEastAsia"/>
          <w:i w:val="0"/>
          <w:color w:val="auto"/>
          <w:sz w:val="21"/>
          <w:szCs w:val="21"/>
          <w:lang w:eastAsia="zh-CN"/>
        </w:rPr>
        <w:t>3.4.7</w:t>
      </w:r>
      <w:r>
        <w:rPr>
          <w:rStyle w:val="89"/>
          <w:rFonts w:hint="eastAsia" w:asciiTheme="minorEastAsia" w:hAnsiTheme="minorEastAsia" w:eastAsiaTheme="minorEastAsia"/>
          <w:i w:val="0"/>
          <w:color w:val="auto"/>
          <w:sz w:val="21"/>
          <w:szCs w:val="21"/>
          <w:lang w:eastAsia="zh-CN"/>
        </w:rPr>
        <w:t>注水工艺</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_Toc408413944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61</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176236F8">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"_Toc408413945" </w:instrText>
      </w:r>
      <w:r>
        <w:fldChar w:fldCharType="separate"/>
      </w:r>
      <w:r>
        <w:rPr>
          <w:rStyle w:val="89"/>
          <w:rFonts w:asciiTheme="minorEastAsia" w:hAnsiTheme="minorEastAsia" w:eastAsiaTheme="minorEastAsia"/>
          <w:color w:val="auto"/>
          <w:sz w:val="21"/>
          <w:szCs w:val="21"/>
          <w:lang w:eastAsia="zh-CN"/>
        </w:rPr>
        <w:t>3.5</w:t>
      </w:r>
      <w:r>
        <w:rPr>
          <w:rStyle w:val="89"/>
          <w:rFonts w:hint="eastAsia" w:asciiTheme="minorEastAsia" w:hAnsiTheme="minorEastAsia" w:eastAsiaTheme="minorEastAsia"/>
          <w:color w:val="auto"/>
          <w:sz w:val="21"/>
          <w:szCs w:val="21"/>
          <w:lang w:eastAsia="zh-CN"/>
        </w:rPr>
        <w:t>现有工程环境影响因素分析</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_Toc408413945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62</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574A6A89">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"_Toc408413946" </w:instrText>
      </w:r>
      <w:r>
        <w:fldChar w:fldCharType="separate"/>
      </w:r>
      <w:r>
        <w:rPr>
          <w:rStyle w:val="89"/>
          <w:rFonts w:asciiTheme="minorEastAsia" w:hAnsiTheme="minorEastAsia" w:eastAsiaTheme="minorEastAsia"/>
          <w:i w:val="0"/>
          <w:color w:val="auto"/>
          <w:sz w:val="21"/>
          <w:szCs w:val="21"/>
          <w:lang w:eastAsia="zh-CN"/>
        </w:rPr>
        <w:t>3.5.1</w:t>
      </w:r>
      <w:r>
        <w:rPr>
          <w:rStyle w:val="89"/>
          <w:rFonts w:hint="eastAsia" w:asciiTheme="minorEastAsia" w:hAnsiTheme="minorEastAsia" w:eastAsiaTheme="minorEastAsia"/>
          <w:i w:val="0"/>
          <w:color w:val="auto"/>
          <w:sz w:val="21"/>
          <w:szCs w:val="21"/>
          <w:lang w:eastAsia="zh-CN"/>
        </w:rPr>
        <w:t>现有工程概况</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_Toc408413946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62</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31E7DC21">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"_Toc408413947" </w:instrText>
      </w:r>
      <w:r>
        <w:fldChar w:fldCharType="separate"/>
      </w:r>
      <w:r>
        <w:rPr>
          <w:rStyle w:val="89"/>
          <w:rFonts w:asciiTheme="minorEastAsia" w:hAnsiTheme="minorEastAsia" w:eastAsiaTheme="minorEastAsia"/>
          <w:color w:val="auto"/>
          <w:sz w:val="21"/>
          <w:szCs w:val="21"/>
          <w:lang w:eastAsia="zh-CN"/>
        </w:rPr>
        <w:t>3.6</w:t>
      </w:r>
      <w:r>
        <w:rPr>
          <w:rStyle w:val="89"/>
          <w:rFonts w:hint="eastAsia" w:asciiTheme="minorEastAsia" w:hAnsiTheme="minorEastAsia" w:eastAsiaTheme="minorEastAsia"/>
          <w:color w:val="auto"/>
          <w:sz w:val="21"/>
          <w:szCs w:val="21"/>
          <w:lang w:eastAsia="zh-CN"/>
        </w:rPr>
        <w:t>改扩建后</w:t>
      </w:r>
      <w:r>
        <w:rPr>
          <w:rStyle w:val="89"/>
          <w:rFonts w:asciiTheme="minorEastAsia" w:hAnsiTheme="minorEastAsia" w:eastAsiaTheme="minorEastAsia"/>
          <w:color w:val="auto"/>
          <w:sz w:val="21"/>
          <w:szCs w:val="21"/>
          <w:lang w:eastAsia="zh-CN"/>
        </w:rPr>
        <w:t>8</w:t>
      </w:r>
      <w:r>
        <w:rPr>
          <w:rStyle w:val="89"/>
          <w:rFonts w:hint="eastAsia" w:asciiTheme="minorEastAsia" w:hAnsiTheme="minorEastAsia" w:eastAsiaTheme="minorEastAsia"/>
          <w:color w:val="auto"/>
          <w:sz w:val="21"/>
          <w:szCs w:val="21"/>
          <w:lang w:eastAsia="zh-CN"/>
        </w:rPr>
        <w:t>万吨</w:t>
      </w:r>
      <w:r>
        <w:rPr>
          <w:rStyle w:val="89"/>
          <w:rFonts w:asciiTheme="minorEastAsia" w:hAnsiTheme="minorEastAsia" w:eastAsiaTheme="minorEastAsia"/>
          <w:color w:val="auto"/>
          <w:sz w:val="21"/>
          <w:szCs w:val="21"/>
          <w:lang w:eastAsia="zh-CN"/>
        </w:rPr>
        <w:t>/</w:t>
      </w:r>
      <w:r>
        <w:rPr>
          <w:rStyle w:val="89"/>
          <w:rFonts w:hint="eastAsia" w:asciiTheme="minorEastAsia" w:hAnsiTheme="minorEastAsia" w:eastAsiaTheme="minorEastAsia"/>
          <w:color w:val="auto"/>
          <w:sz w:val="21"/>
          <w:szCs w:val="21"/>
          <w:lang w:eastAsia="zh-CN"/>
        </w:rPr>
        <w:t>年规模环境影响因素分析</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_Toc408413947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65</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75FEAB8F">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"_Toc408413948" </w:instrText>
      </w:r>
      <w:r>
        <w:fldChar w:fldCharType="separate"/>
      </w:r>
      <w:r>
        <w:rPr>
          <w:rStyle w:val="89"/>
          <w:rFonts w:asciiTheme="minorEastAsia" w:hAnsiTheme="minorEastAsia" w:eastAsiaTheme="minorEastAsia"/>
          <w:i w:val="0"/>
          <w:color w:val="auto"/>
          <w:sz w:val="21"/>
          <w:szCs w:val="21"/>
          <w:lang w:eastAsia="zh-CN"/>
        </w:rPr>
        <w:t>3.6.1</w:t>
      </w:r>
      <w:r>
        <w:rPr>
          <w:rStyle w:val="89"/>
          <w:rFonts w:hint="eastAsia" w:asciiTheme="minorEastAsia" w:hAnsiTheme="minorEastAsia" w:eastAsiaTheme="minorEastAsia"/>
          <w:i w:val="0"/>
          <w:color w:val="auto"/>
          <w:sz w:val="21"/>
          <w:szCs w:val="21"/>
          <w:lang w:eastAsia="zh-CN"/>
        </w:rPr>
        <w:t>产污环节分析</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_Toc408413948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65</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2862569E">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"_Toc408413949" </w:instrText>
      </w:r>
      <w:r>
        <w:fldChar w:fldCharType="separate"/>
      </w:r>
      <w:r>
        <w:rPr>
          <w:rStyle w:val="89"/>
          <w:rFonts w:asciiTheme="minorEastAsia" w:hAnsiTheme="minorEastAsia" w:eastAsiaTheme="minorEastAsia"/>
          <w:i w:val="0"/>
          <w:color w:val="auto"/>
          <w:sz w:val="21"/>
          <w:szCs w:val="21"/>
          <w:lang w:eastAsia="zh-CN"/>
        </w:rPr>
        <w:t>3.6.2</w:t>
      </w:r>
      <w:r>
        <w:rPr>
          <w:rStyle w:val="89"/>
          <w:rFonts w:hint="eastAsia" w:asciiTheme="minorEastAsia" w:hAnsiTheme="minorEastAsia" w:eastAsiaTheme="minorEastAsia"/>
          <w:i w:val="0"/>
          <w:color w:val="auto"/>
          <w:sz w:val="21"/>
          <w:szCs w:val="21"/>
          <w:lang w:eastAsia="zh-CN"/>
        </w:rPr>
        <w:t>环境空气污染源、污染物及治理措施</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_Toc408413949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67</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463A0953">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"_Toc408413950" </w:instrText>
      </w:r>
      <w:r>
        <w:fldChar w:fldCharType="separate"/>
      </w:r>
      <w:r>
        <w:rPr>
          <w:rStyle w:val="89"/>
          <w:rFonts w:asciiTheme="minorEastAsia" w:hAnsiTheme="minorEastAsia" w:eastAsiaTheme="minorEastAsia"/>
          <w:i w:val="0"/>
          <w:color w:val="auto"/>
          <w:sz w:val="21"/>
          <w:szCs w:val="21"/>
        </w:rPr>
        <w:t>3.</w:t>
      </w:r>
      <w:r>
        <w:rPr>
          <w:rStyle w:val="89"/>
          <w:rFonts w:asciiTheme="minorEastAsia" w:hAnsiTheme="minorEastAsia" w:eastAsiaTheme="minorEastAsia"/>
          <w:i w:val="0"/>
          <w:color w:val="auto"/>
          <w:sz w:val="21"/>
          <w:szCs w:val="21"/>
          <w:lang w:eastAsia="zh-CN"/>
        </w:rPr>
        <w:t>6</w:t>
      </w:r>
      <w:r>
        <w:rPr>
          <w:rStyle w:val="89"/>
          <w:rFonts w:asciiTheme="minorEastAsia" w:hAnsiTheme="minorEastAsia" w:eastAsiaTheme="minorEastAsia"/>
          <w:i w:val="0"/>
          <w:color w:val="auto"/>
          <w:sz w:val="21"/>
          <w:szCs w:val="21"/>
        </w:rPr>
        <w:t>.3</w:t>
      </w:r>
      <w:r>
        <w:rPr>
          <w:rStyle w:val="89"/>
          <w:rFonts w:hint="eastAsia" w:asciiTheme="minorEastAsia" w:hAnsiTheme="minorEastAsia" w:eastAsiaTheme="minorEastAsia"/>
          <w:i w:val="0"/>
          <w:color w:val="auto"/>
          <w:sz w:val="21"/>
          <w:szCs w:val="21"/>
        </w:rPr>
        <w:t>水污染源、污染物及防治措施</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_Toc408413950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70</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7F362528">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"_Toc408413951" </w:instrText>
      </w:r>
      <w:r>
        <w:fldChar w:fldCharType="separate"/>
      </w:r>
      <w:r>
        <w:rPr>
          <w:rStyle w:val="89"/>
          <w:rFonts w:asciiTheme="minorEastAsia" w:hAnsiTheme="minorEastAsia" w:eastAsiaTheme="minorEastAsia"/>
          <w:i w:val="0"/>
          <w:color w:val="auto"/>
          <w:sz w:val="21"/>
          <w:szCs w:val="21"/>
          <w:lang w:eastAsia="zh-CN"/>
        </w:rPr>
        <w:t>3.6.4</w:t>
      </w:r>
      <w:r>
        <w:rPr>
          <w:rStyle w:val="89"/>
          <w:rFonts w:hint="eastAsia" w:asciiTheme="minorEastAsia" w:hAnsiTheme="minorEastAsia" w:eastAsiaTheme="minorEastAsia"/>
          <w:i w:val="0"/>
          <w:color w:val="auto"/>
          <w:sz w:val="21"/>
          <w:szCs w:val="21"/>
          <w:lang w:eastAsia="zh-CN"/>
        </w:rPr>
        <w:t>固体废弃物排放及处置措施</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_Toc408413951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72</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6C8DFB67">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"_Toc408413952" </w:instrText>
      </w:r>
      <w:r>
        <w:fldChar w:fldCharType="separate"/>
      </w:r>
      <w:r>
        <w:rPr>
          <w:rStyle w:val="89"/>
          <w:rFonts w:asciiTheme="minorEastAsia" w:hAnsiTheme="minorEastAsia" w:eastAsiaTheme="minorEastAsia"/>
          <w:i w:val="0"/>
          <w:color w:val="auto"/>
          <w:sz w:val="21"/>
          <w:szCs w:val="21"/>
          <w:lang w:eastAsia="zh-CN"/>
        </w:rPr>
        <w:t>3.6.5</w:t>
      </w:r>
      <w:r>
        <w:rPr>
          <w:rStyle w:val="89"/>
          <w:rFonts w:hint="eastAsia" w:asciiTheme="minorEastAsia" w:hAnsiTheme="minorEastAsia" w:eastAsiaTheme="minorEastAsia"/>
          <w:i w:val="0"/>
          <w:color w:val="auto"/>
          <w:sz w:val="21"/>
          <w:szCs w:val="21"/>
          <w:lang w:eastAsia="zh-CN"/>
        </w:rPr>
        <w:t>噪声污染影响分析</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_Toc408413952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74</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20790C0F">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"_Toc408413953" </w:instrText>
      </w:r>
      <w:r>
        <w:fldChar w:fldCharType="separate"/>
      </w:r>
      <w:r>
        <w:rPr>
          <w:rStyle w:val="89"/>
          <w:rFonts w:asciiTheme="minorEastAsia" w:hAnsiTheme="minorEastAsia" w:eastAsiaTheme="minorEastAsia"/>
          <w:i w:val="0"/>
          <w:color w:val="auto"/>
          <w:sz w:val="21"/>
          <w:szCs w:val="21"/>
          <w:lang w:eastAsia="zh-CN"/>
        </w:rPr>
        <w:t>3.6.6</w:t>
      </w:r>
      <w:r>
        <w:rPr>
          <w:rStyle w:val="89"/>
          <w:rFonts w:hint="eastAsia" w:asciiTheme="minorEastAsia" w:hAnsiTheme="minorEastAsia" w:eastAsiaTheme="minorEastAsia"/>
          <w:i w:val="0"/>
          <w:color w:val="auto"/>
          <w:sz w:val="21"/>
          <w:szCs w:val="21"/>
          <w:lang w:eastAsia="zh-CN"/>
        </w:rPr>
        <w:t>生态影响因素分析</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_Toc408413953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75</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1A6EEACF">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"_Toc408413954" </w:instrText>
      </w:r>
      <w:r>
        <w:fldChar w:fldCharType="separate"/>
      </w:r>
      <w:r>
        <w:rPr>
          <w:rStyle w:val="89"/>
          <w:rFonts w:asciiTheme="minorEastAsia" w:hAnsiTheme="minorEastAsia" w:eastAsiaTheme="minorEastAsia"/>
          <w:i w:val="0"/>
          <w:color w:val="auto"/>
          <w:sz w:val="21"/>
          <w:szCs w:val="21"/>
          <w:lang w:eastAsia="zh-CN"/>
        </w:rPr>
        <w:t>3.6.7“</w:t>
      </w:r>
      <w:r>
        <w:rPr>
          <w:rStyle w:val="89"/>
          <w:rFonts w:hint="eastAsia" w:asciiTheme="minorEastAsia" w:hAnsiTheme="minorEastAsia" w:eastAsiaTheme="minorEastAsia"/>
          <w:i w:val="0"/>
          <w:color w:val="auto"/>
          <w:sz w:val="21"/>
          <w:szCs w:val="21"/>
          <w:lang w:eastAsia="zh-CN"/>
        </w:rPr>
        <w:t>以新带老</w:t>
      </w:r>
      <w:r>
        <w:rPr>
          <w:rStyle w:val="89"/>
          <w:rFonts w:asciiTheme="minorEastAsia" w:hAnsiTheme="minorEastAsia" w:eastAsiaTheme="minorEastAsia"/>
          <w:i w:val="0"/>
          <w:color w:val="auto"/>
          <w:sz w:val="21"/>
          <w:szCs w:val="21"/>
          <w:lang w:eastAsia="zh-CN"/>
        </w:rPr>
        <w:t>”</w:t>
      </w:r>
      <w:r>
        <w:rPr>
          <w:rStyle w:val="89"/>
          <w:rFonts w:hint="eastAsia" w:asciiTheme="minorEastAsia" w:hAnsiTheme="minorEastAsia" w:eastAsiaTheme="minorEastAsia"/>
          <w:i w:val="0"/>
          <w:color w:val="auto"/>
          <w:sz w:val="21"/>
          <w:szCs w:val="21"/>
          <w:lang w:eastAsia="zh-CN"/>
        </w:rPr>
        <w:t>措施</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_Toc408413954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75</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71857DFB">
      <w:pPr>
        <w:pStyle w:val="51"/>
        <w:rPr>
          <w:rFonts w:asciiTheme="minorEastAsia" w:hAnsiTheme="minorEastAsia" w:eastAsiaTheme="minorEastAsia" w:cstheme="minorBidi"/>
          <w:b/>
          <w:bCs w:val="0"/>
          <w:caps w:val="0"/>
          <w:kern w:val="2"/>
          <w:sz w:val="21"/>
          <w:szCs w:val="21"/>
          <w:lang w:bidi="ar-SA"/>
        </w:rPr>
      </w:pPr>
      <w:r>
        <w:fldChar w:fldCharType="begin"/>
      </w:r>
      <w:r>
        <w:instrText xml:space="preserve"> HYPERLINK \l "_Toc408413955" </w:instrText>
      </w:r>
      <w:r>
        <w:fldChar w:fldCharType="separate"/>
      </w:r>
      <w:r>
        <w:rPr>
          <w:rStyle w:val="89"/>
          <w:rFonts w:asciiTheme="minorEastAsia" w:hAnsiTheme="minorEastAsia" w:eastAsiaTheme="minorEastAsia"/>
          <w:b/>
          <w:color w:val="auto"/>
          <w:sz w:val="21"/>
          <w:szCs w:val="21"/>
        </w:rPr>
        <w:t>4</w:t>
      </w:r>
      <w:r>
        <w:rPr>
          <w:rStyle w:val="89"/>
          <w:rFonts w:hint="eastAsia" w:asciiTheme="minorEastAsia" w:hAnsiTheme="minorEastAsia" w:eastAsiaTheme="minorEastAsia"/>
          <w:b/>
          <w:color w:val="auto"/>
          <w:sz w:val="21"/>
          <w:szCs w:val="21"/>
        </w:rPr>
        <w:t>环境概况</w:t>
      </w:r>
      <w:r>
        <w:rPr>
          <w:rFonts w:asciiTheme="minorEastAsia" w:hAnsiTheme="minorEastAsia" w:eastAsiaTheme="minorEastAsia"/>
          <w:b/>
          <w:sz w:val="21"/>
          <w:szCs w:val="21"/>
        </w:rPr>
        <w:tab/>
      </w:r>
      <w:r>
        <w:rPr>
          <w:rFonts w:asciiTheme="minorEastAsia" w:hAnsiTheme="minorEastAsia" w:eastAsiaTheme="minorEastAsia"/>
          <w:b/>
          <w:sz w:val="21"/>
          <w:szCs w:val="21"/>
        </w:rPr>
        <w:fldChar w:fldCharType="begin"/>
      </w:r>
      <w:r>
        <w:rPr>
          <w:rFonts w:asciiTheme="minorEastAsia" w:hAnsiTheme="minorEastAsia" w:eastAsiaTheme="minorEastAsia"/>
          <w:b/>
          <w:sz w:val="21"/>
          <w:szCs w:val="21"/>
        </w:rPr>
        <w:instrText xml:space="preserve"> PAGEREF _Toc408413955 \h </w:instrText>
      </w:r>
      <w:r>
        <w:rPr>
          <w:rFonts w:asciiTheme="minorEastAsia" w:hAnsiTheme="minorEastAsia" w:eastAsiaTheme="minorEastAsia"/>
          <w:b/>
          <w:sz w:val="21"/>
          <w:szCs w:val="21"/>
        </w:rPr>
        <w:fldChar w:fldCharType="separate"/>
      </w:r>
      <w:r>
        <w:rPr>
          <w:rFonts w:asciiTheme="minorEastAsia" w:hAnsiTheme="minorEastAsia" w:eastAsiaTheme="minorEastAsia"/>
          <w:b/>
          <w:sz w:val="21"/>
          <w:szCs w:val="21"/>
        </w:rPr>
        <w:t>78</w:t>
      </w:r>
      <w:r>
        <w:rPr>
          <w:rFonts w:asciiTheme="minorEastAsia" w:hAnsiTheme="minorEastAsia" w:eastAsiaTheme="minorEastAsia"/>
          <w:b/>
          <w:sz w:val="21"/>
          <w:szCs w:val="21"/>
        </w:rPr>
        <w:fldChar w:fldCharType="end"/>
      </w:r>
      <w:r>
        <w:rPr>
          <w:rFonts w:asciiTheme="minorEastAsia" w:hAnsiTheme="minorEastAsia" w:eastAsiaTheme="minorEastAsia"/>
          <w:b/>
          <w:sz w:val="21"/>
          <w:szCs w:val="21"/>
        </w:rPr>
        <w:fldChar w:fldCharType="end"/>
      </w:r>
    </w:p>
    <w:p w14:paraId="24B3D484">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"_Toc408413956" </w:instrText>
      </w:r>
      <w:r>
        <w:fldChar w:fldCharType="separate"/>
      </w:r>
      <w:r>
        <w:rPr>
          <w:rStyle w:val="89"/>
          <w:rFonts w:asciiTheme="minorEastAsia" w:hAnsiTheme="minorEastAsia" w:eastAsiaTheme="minorEastAsia"/>
          <w:color w:val="auto"/>
          <w:sz w:val="21"/>
          <w:szCs w:val="21"/>
          <w:lang w:eastAsia="zh-CN"/>
        </w:rPr>
        <w:t>4.1</w:t>
      </w:r>
      <w:r>
        <w:rPr>
          <w:rStyle w:val="89"/>
          <w:rFonts w:hint="eastAsia" w:asciiTheme="minorEastAsia" w:hAnsiTheme="minorEastAsia" w:eastAsiaTheme="minorEastAsia"/>
          <w:color w:val="auto"/>
          <w:sz w:val="21"/>
          <w:szCs w:val="21"/>
          <w:lang w:eastAsia="zh-CN"/>
        </w:rPr>
        <w:t>自然环境概况</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_Toc408413956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78</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3FB8A463">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"_Toc408413957" </w:instrText>
      </w:r>
      <w:r>
        <w:fldChar w:fldCharType="separate"/>
      </w:r>
      <w:r>
        <w:rPr>
          <w:rStyle w:val="89"/>
          <w:rFonts w:asciiTheme="minorEastAsia" w:hAnsiTheme="minorEastAsia" w:eastAsiaTheme="minorEastAsia"/>
          <w:i w:val="0"/>
          <w:color w:val="auto"/>
          <w:sz w:val="21"/>
          <w:szCs w:val="21"/>
          <w:lang w:eastAsia="zh-CN"/>
        </w:rPr>
        <w:t>4.1.1</w:t>
      </w:r>
      <w:r>
        <w:rPr>
          <w:rStyle w:val="89"/>
          <w:rFonts w:hint="eastAsia" w:asciiTheme="minorEastAsia" w:hAnsiTheme="minorEastAsia" w:eastAsiaTheme="minorEastAsia"/>
          <w:i w:val="0"/>
          <w:color w:val="auto"/>
          <w:sz w:val="21"/>
          <w:szCs w:val="21"/>
          <w:lang w:eastAsia="zh-CN"/>
        </w:rPr>
        <w:t>地理位置</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_Toc408413957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78</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774F936E">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"_Toc408413958" </w:instrText>
      </w:r>
      <w:r>
        <w:fldChar w:fldCharType="separate"/>
      </w:r>
      <w:r>
        <w:rPr>
          <w:rStyle w:val="89"/>
          <w:rFonts w:asciiTheme="minorEastAsia" w:hAnsiTheme="minorEastAsia" w:eastAsiaTheme="minorEastAsia"/>
          <w:i w:val="0"/>
          <w:color w:val="auto"/>
          <w:sz w:val="21"/>
          <w:szCs w:val="21"/>
          <w:lang w:eastAsia="zh-CN"/>
        </w:rPr>
        <w:t>4.1.2</w:t>
      </w:r>
      <w:r>
        <w:rPr>
          <w:rStyle w:val="89"/>
          <w:rFonts w:hint="eastAsia" w:asciiTheme="minorEastAsia" w:hAnsiTheme="minorEastAsia" w:eastAsiaTheme="minorEastAsia"/>
          <w:i w:val="0"/>
          <w:color w:val="auto"/>
          <w:sz w:val="21"/>
          <w:szCs w:val="21"/>
          <w:lang w:eastAsia="zh-CN"/>
        </w:rPr>
        <w:t>地形、地貌</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_Toc408413958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78</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5517A095">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"_Toc408413959" </w:instrText>
      </w:r>
      <w:r>
        <w:fldChar w:fldCharType="separate"/>
      </w:r>
      <w:r>
        <w:rPr>
          <w:rStyle w:val="89"/>
          <w:rFonts w:asciiTheme="minorEastAsia" w:hAnsiTheme="minorEastAsia" w:eastAsiaTheme="minorEastAsia"/>
          <w:i w:val="0"/>
          <w:color w:val="auto"/>
          <w:sz w:val="21"/>
          <w:szCs w:val="21"/>
          <w:lang w:eastAsia="zh-CN"/>
        </w:rPr>
        <w:t>4.1.3</w:t>
      </w:r>
      <w:r>
        <w:rPr>
          <w:rStyle w:val="89"/>
          <w:rFonts w:hint="eastAsia" w:asciiTheme="minorEastAsia" w:hAnsiTheme="minorEastAsia" w:eastAsiaTheme="minorEastAsia"/>
          <w:i w:val="0"/>
          <w:color w:val="auto"/>
          <w:sz w:val="21"/>
          <w:szCs w:val="21"/>
          <w:lang w:eastAsia="zh-CN"/>
        </w:rPr>
        <w:t>气象气候</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_Toc408413959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78</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1F56C946">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"_Toc408413960" </w:instrText>
      </w:r>
      <w:r>
        <w:fldChar w:fldCharType="separate"/>
      </w:r>
      <w:r>
        <w:rPr>
          <w:rStyle w:val="89"/>
          <w:rFonts w:asciiTheme="minorEastAsia" w:hAnsiTheme="minorEastAsia" w:eastAsiaTheme="minorEastAsia"/>
          <w:i w:val="0"/>
          <w:color w:val="auto"/>
          <w:sz w:val="21"/>
          <w:szCs w:val="21"/>
          <w:lang w:eastAsia="zh-CN"/>
        </w:rPr>
        <w:t>4.1.4</w:t>
      </w:r>
      <w:r>
        <w:rPr>
          <w:rStyle w:val="89"/>
          <w:rFonts w:hint="eastAsia" w:asciiTheme="minorEastAsia" w:hAnsiTheme="minorEastAsia" w:eastAsiaTheme="minorEastAsia"/>
          <w:i w:val="0"/>
          <w:color w:val="auto"/>
          <w:sz w:val="21"/>
          <w:szCs w:val="21"/>
          <w:lang w:eastAsia="zh-CN"/>
        </w:rPr>
        <w:t>河流</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_Toc408413960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79</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33C0A216">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"_Toc408413961" </w:instrText>
      </w:r>
      <w:r>
        <w:fldChar w:fldCharType="separate"/>
      </w:r>
      <w:r>
        <w:rPr>
          <w:rStyle w:val="89"/>
          <w:rFonts w:asciiTheme="minorEastAsia" w:hAnsiTheme="minorEastAsia" w:eastAsiaTheme="minorEastAsia"/>
          <w:i w:val="0"/>
          <w:color w:val="auto"/>
          <w:sz w:val="21"/>
          <w:szCs w:val="21"/>
          <w:lang w:eastAsia="zh-CN"/>
        </w:rPr>
        <w:t>4.1.5</w:t>
      </w:r>
      <w:r>
        <w:rPr>
          <w:rStyle w:val="89"/>
          <w:rFonts w:hint="eastAsia" w:asciiTheme="minorEastAsia" w:hAnsiTheme="minorEastAsia" w:eastAsiaTheme="minorEastAsia"/>
          <w:i w:val="0"/>
          <w:color w:val="auto"/>
          <w:sz w:val="21"/>
          <w:szCs w:val="21"/>
          <w:lang w:eastAsia="zh-CN"/>
        </w:rPr>
        <w:t>地质地震</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_Toc408413961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79</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4D3C0AD5">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"_Toc408413962" </w:instrText>
      </w:r>
      <w:r>
        <w:fldChar w:fldCharType="separate"/>
      </w:r>
      <w:r>
        <w:rPr>
          <w:rStyle w:val="89"/>
          <w:rFonts w:asciiTheme="minorEastAsia" w:hAnsiTheme="minorEastAsia" w:eastAsiaTheme="minorEastAsia"/>
          <w:color w:val="auto"/>
          <w:sz w:val="21"/>
          <w:szCs w:val="21"/>
          <w:lang w:eastAsia="zh-CN"/>
        </w:rPr>
        <w:t xml:space="preserve">4.2 </w:t>
      </w:r>
      <w:r>
        <w:rPr>
          <w:rStyle w:val="89"/>
          <w:rFonts w:hint="eastAsia" w:asciiTheme="minorEastAsia" w:hAnsiTheme="minorEastAsia" w:eastAsiaTheme="minorEastAsia"/>
          <w:color w:val="auto"/>
          <w:sz w:val="21"/>
          <w:szCs w:val="21"/>
          <w:lang w:eastAsia="zh-CN"/>
        </w:rPr>
        <w:t>社会环境概况</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_Toc408413962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79</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4EF5BD6D">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"_Toc408413963" </w:instrText>
      </w:r>
      <w:r>
        <w:fldChar w:fldCharType="separate"/>
      </w:r>
      <w:r>
        <w:rPr>
          <w:rStyle w:val="89"/>
          <w:rFonts w:asciiTheme="minorEastAsia" w:hAnsiTheme="minorEastAsia" w:eastAsiaTheme="minorEastAsia"/>
          <w:i w:val="0"/>
          <w:color w:val="auto"/>
          <w:sz w:val="21"/>
          <w:szCs w:val="21"/>
          <w:lang w:eastAsia="zh-CN"/>
        </w:rPr>
        <w:t>4.2.1</w:t>
      </w:r>
      <w:r>
        <w:rPr>
          <w:rStyle w:val="89"/>
          <w:rFonts w:hint="eastAsia" w:asciiTheme="minorEastAsia" w:hAnsiTheme="minorEastAsia" w:eastAsiaTheme="minorEastAsia"/>
          <w:i w:val="0"/>
          <w:color w:val="auto"/>
          <w:sz w:val="21"/>
          <w:szCs w:val="21"/>
          <w:lang w:eastAsia="zh-CN"/>
        </w:rPr>
        <w:t>区域环境</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_Toc408413963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79</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21B85AB3">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"_Toc408413964" </w:instrText>
      </w:r>
      <w:r>
        <w:fldChar w:fldCharType="separate"/>
      </w:r>
      <w:r>
        <w:rPr>
          <w:rStyle w:val="89"/>
          <w:rFonts w:asciiTheme="minorEastAsia" w:hAnsiTheme="minorEastAsia" w:eastAsiaTheme="minorEastAsia"/>
          <w:i w:val="0"/>
          <w:color w:val="auto"/>
          <w:sz w:val="21"/>
          <w:szCs w:val="21"/>
          <w:lang w:eastAsia="zh-CN"/>
        </w:rPr>
        <w:t>4.2.2</w:t>
      </w:r>
      <w:r>
        <w:rPr>
          <w:rStyle w:val="89"/>
          <w:rFonts w:hint="eastAsia" w:asciiTheme="minorEastAsia" w:hAnsiTheme="minorEastAsia" w:eastAsiaTheme="minorEastAsia"/>
          <w:i w:val="0"/>
          <w:color w:val="auto"/>
          <w:sz w:val="21"/>
          <w:szCs w:val="21"/>
          <w:lang w:eastAsia="zh-CN"/>
        </w:rPr>
        <w:t>自然资源</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_Toc408413964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79</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493634CD">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"_Toc408413965" </w:instrText>
      </w:r>
      <w:r>
        <w:fldChar w:fldCharType="separate"/>
      </w:r>
      <w:r>
        <w:rPr>
          <w:rStyle w:val="89"/>
          <w:rFonts w:asciiTheme="minorEastAsia" w:hAnsiTheme="minorEastAsia" w:eastAsiaTheme="minorEastAsia"/>
          <w:i w:val="0"/>
          <w:color w:val="auto"/>
          <w:sz w:val="21"/>
          <w:szCs w:val="21"/>
          <w:lang w:eastAsia="zh-CN"/>
        </w:rPr>
        <w:t>4.2.3</w:t>
      </w:r>
      <w:r>
        <w:rPr>
          <w:rStyle w:val="89"/>
          <w:rFonts w:hint="eastAsia" w:asciiTheme="minorEastAsia" w:hAnsiTheme="minorEastAsia" w:eastAsiaTheme="minorEastAsia"/>
          <w:i w:val="0"/>
          <w:color w:val="auto"/>
          <w:sz w:val="21"/>
          <w:szCs w:val="21"/>
          <w:lang w:eastAsia="zh-CN"/>
        </w:rPr>
        <w:t>社会经济发展</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_Toc408413965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80</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769C0D16">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"_Toc408413966" </w:instrText>
      </w:r>
      <w:r>
        <w:fldChar w:fldCharType="separate"/>
      </w:r>
      <w:r>
        <w:rPr>
          <w:rStyle w:val="89"/>
          <w:rFonts w:asciiTheme="minorEastAsia" w:hAnsiTheme="minorEastAsia" w:eastAsiaTheme="minorEastAsia"/>
          <w:i w:val="0"/>
          <w:color w:val="auto"/>
          <w:sz w:val="21"/>
          <w:szCs w:val="21"/>
          <w:lang w:eastAsia="zh-CN"/>
        </w:rPr>
        <w:t>4.2.4</w:t>
      </w:r>
      <w:r>
        <w:rPr>
          <w:rStyle w:val="89"/>
          <w:rFonts w:hint="eastAsia" w:asciiTheme="minorEastAsia" w:hAnsiTheme="minorEastAsia" w:eastAsiaTheme="minorEastAsia"/>
          <w:i w:val="0"/>
          <w:color w:val="auto"/>
          <w:sz w:val="21"/>
          <w:szCs w:val="21"/>
          <w:lang w:eastAsia="zh-CN"/>
        </w:rPr>
        <w:t>对外交通</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_Toc408413966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81</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69C71F2D">
      <w:pPr>
        <w:pStyle w:val="51"/>
        <w:rPr>
          <w:rFonts w:asciiTheme="minorEastAsia" w:hAnsiTheme="minorEastAsia" w:eastAsiaTheme="minorEastAsia" w:cstheme="minorBidi"/>
          <w:b/>
          <w:bCs w:val="0"/>
          <w:caps w:val="0"/>
          <w:kern w:val="2"/>
          <w:sz w:val="21"/>
          <w:szCs w:val="21"/>
          <w:lang w:bidi="ar-SA"/>
        </w:rPr>
      </w:pPr>
      <w:r>
        <w:fldChar w:fldCharType="begin"/>
      </w:r>
      <w:r>
        <w:instrText xml:space="preserve"> HYPERLINK \l "_Toc408413967" </w:instrText>
      </w:r>
      <w:r>
        <w:fldChar w:fldCharType="separate"/>
      </w:r>
      <w:r>
        <w:rPr>
          <w:rStyle w:val="89"/>
          <w:rFonts w:asciiTheme="minorEastAsia" w:hAnsiTheme="minorEastAsia" w:eastAsiaTheme="minorEastAsia"/>
          <w:b/>
          <w:color w:val="auto"/>
          <w:sz w:val="21"/>
          <w:szCs w:val="21"/>
        </w:rPr>
        <w:t>5</w:t>
      </w:r>
      <w:r>
        <w:rPr>
          <w:rStyle w:val="89"/>
          <w:rFonts w:hint="eastAsia" w:asciiTheme="minorEastAsia" w:hAnsiTheme="minorEastAsia" w:eastAsiaTheme="minorEastAsia"/>
          <w:b/>
          <w:color w:val="auto"/>
          <w:sz w:val="21"/>
          <w:szCs w:val="21"/>
        </w:rPr>
        <w:t>大气环境影响评价</w:t>
      </w:r>
      <w:r>
        <w:rPr>
          <w:rFonts w:asciiTheme="minorEastAsia" w:hAnsiTheme="minorEastAsia" w:eastAsiaTheme="minorEastAsia"/>
          <w:b/>
          <w:sz w:val="21"/>
          <w:szCs w:val="21"/>
        </w:rPr>
        <w:tab/>
      </w:r>
      <w:r>
        <w:rPr>
          <w:rFonts w:asciiTheme="minorEastAsia" w:hAnsiTheme="minorEastAsia" w:eastAsiaTheme="minorEastAsia"/>
          <w:b/>
          <w:sz w:val="21"/>
          <w:szCs w:val="21"/>
        </w:rPr>
        <w:fldChar w:fldCharType="begin"/>
      </w:r>
      <w:r>
        <w:rPr>
          <w:rFonts w:asciiTheme="minorEastAsia" w:hAnsiTheme="minorEastAsia" w:eastAsiaTheme="minorEastAsia"/>
          <w:b/>
          <w:sz w:val="21"/>
          <w:szCs w:val="21"/>
        </w:rPr>
        <w:instrText xml:space="preserve"> PAGEREF _Toc408413967 \h </w:instrText>
      </w:r>
      <w:r>
        <w:rPr>
          <w:rFonts w:asciiTheme="minorEastAsia" w:hAnsiTheme="minorEastAsia" w:eastAsiaTheme="minorEastAsia"/>
          <w:b/>
          <w:sz w:val="21"/>
          <w:szCs w:val="21"/>
        </w:rPr>
        <w:fldChar w:fldCharType="separate"/>
      </w:r>
      <w:r>
        <w:rPr>
          <w:rFonts w:asciiTheme="minorEastAsia" w:hAnsiTheme="minorEastAsia" w:eastAsiaTheme="minorEastAsia"/>
          <w:b/>
          <w:sz w:val="21"/>
          <w:szCs w:val="21"/>
        </w:rPr>
        <w:t>82</w:t>
      </w:r>
      <w:r>
        <w:rPr>
          <w:rFonts w:asciiTheme="minorEastAsia" w:hAnsiTheme="minorEastAsia" w:eastAsiaTheme="minorEastAsia"/>
          <w:b/>
          <w:sz w:val="21"/>
          <w:szCs w:val="21"/>
        </w:rPr>
        <w:fldChar w:fldCharType="end"/>
      </w:r>
      <w:r>
        <w:rPr>
          <w:rFonts w:asciiTheme="minorEastAsia" w:hAnsiTheme="minorEastAsia" w:eastAsiaTheme="minorEastAsia"/>
          <w:b/>
          <w:sz w:val="21"/>
          <w:szCs w:val="21"/>
        </w:rPr>
        <w:fldChar w:fldCharType="end"/>
      </w:r>
    </w:p>
    <w:p w14:paraId="2E1D73C6">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"_Toc408413968" </w:instrText>
      </w:r>
      <w:r>
        <w:fldChar w:fldCharType="separate"/>
      </w:r>
      <w:r>
        <w:rPr>
          <w:rStyle w:val="89"/>
          <w:rFonts w:asciiTheme="minorEastAsia" w:hAnsiTheme="minorEastAsia" w:eastAsiaTheme="minorEastAsia"/>
          <w:color w:val="auto"/>
          <w:sz w:val="21"/>
          <w:szCs w:val="21"/>
          <w:lang w:eastAsia="zh-CN"/>
        </w:rPr>
        <w:t>5.1</w:t>
      </w:r>
      <w:r>
        <w:rPr>
          <w:rStyle w:val="89"/>
          <w:rFonts w:hint="eastAsia" w:asciiTheme="minorEastAsia" w:hAnsiTheme="minorEastAsia" w:eastAsiaTheme="minorEastAsia"/>
          <w:color w:val="auto"/>
          <w:sz w:val="21"/>
          <w:szCs w:val="21"/>
          <w:lang w:eastAsia="zh-CN"/>
        </w:rPr>
        <w:t>环境空气现状与评价</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_Toc408413968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82</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36F879B3">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"_Toc408413969" </w:instrText>
      </w:r>
      <w:r>
        <w:fldChar w:fldCharType="separate"/>
      </w:r>
      <w:r>
        <w:rPr>
          <w:rStyle w:val="89"/>
          <w:rFonts w:asciiTheme="minorEastAsia" w:hAnsiTheme="minorEastAsia" w:eastAsiaTheme="minorEastAsia"/>
          <w:i w:val="0"/>
          <w:color w:val="auto"/>
          <w:sz w:val="21"/>
          <w:szCs w:val="21"/>
          <w:lang w:eastAsia="zh-CN"/>
        </w:rPr>
        <w:t>5.1.1</w:t>
      </w:r>
      <w:r>
        <w:rPr>
          <w:rStyle w:val="89"/>
          <w:rFonts w:hint="eastAsia" w:asciiTheme="minorEastAsia" w:hAnsiTheme="minorEastAsia" w:eastAsiaTheme="minorEastAsia"/>
          <w:i w:val="0"/>
          <w:color w:val="auto"/>
          <w:sz w:val="21"/>
          <w:szCs w:val="21"/>
          <w:lang w:eastAsia="zh-CN"/>
        </w:rPr>
        <w:t>环境空气污染源调查</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_Toc408413969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82</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438B55FC">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"_Toc408413970" </w:instrText>
      </w:r>
      <w:r>
        <w:fldChar w:fldCharType="separate"/>
      </w:r>
      <w:r>
        <w:rPr>
          <w:rStyle w:val="89"/>
          <w:rFonts w:asciiTheme="minorEastAsia" w:hAnsiTheme="minorEastAsia" w:eastAsiaTheme="minorEastAsia"/>
          <w:i w:val="0"/>
          <w:color w:val="auto"/>
          <w:sz w:val="21"/>
          <w:szCs w:val="21"/>
          <w:lang w:eastAsia="zh-CN"/>
        </w:rPr>
        <w:t>5.1.2</w:t>
      </w:r>
      <w:r>
        <w:rPr>
          <w:rStyle w:val="89"/>
          <w:rFonts w:hint="eastAsia" w:asciiTheme="minorEastAsia" w:hAnsiTheme="minorEastAsia" w:eastAsiaTheme="minorEastAsia"/>
          <w:i w:val="0"/>
          <w:color w:val="auto"/>
          <w:sz w:val="21"/>
          <w:szCs w:val="21"/>
          <w:lang w:eastAsia="zh-CN"/>
        </w:rPr>
        <w:t>环境空气质量现状监测</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_Toc408413970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82</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77656A44">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"_Toc408413971" </w:instrText>
      </w:r>
      <w:r>
        <w:fldChar w:fldCharType="separate"/>
      </w:r>
      <w:r>
        <w:rPr>
          <w:rStyle w:val="89"/>
          <w:rFonts w:asciiTheme="minorEastAsia" w:hAnsiTheme="minorEastAsia" w:eastAsiaTheme="minorEastAsia"/>
          <w:i w:val="0"/>
          <w:color w:val="auto"/>
          <w:sz w:val="21"/>
          <w:szCs w:val="21"/>
          <w:lang w:eastAsia="zh-CN"/>
        </w:rPr>
        <w:t>5.1.3</w:t>
      </w:r>
      <w:r>
        <w:rPr>
          <w:rStyle w:val="89"/>
          <w:rFonts w:hint="eastAsia" w:asciiTheme="minorEastAsia" w:hAnsiTheme="minorEastAsia" w:eastAsiaTheme="minorEastAsia"/>
          <w:i w:val="0"/>
          <w:color w:val="auto"/>
          <w:sz w:val="21"/>
          <w:szCs w:val="21"/>
          <w:lang w:eastAsia="zh-CN"/>
        </w:rPr>
        <w:t>环境空气现状评价</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_Toc408413971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83</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37EBEEC3">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"_Toc408413972" </w:instrText>
      </w:r>
      <w:r>
        <w:fldChar w:fldCharType="separate"/>
      </w:r>
      <w:r>
        <w:rPr>
          <w:rStyle w:val="89"/>
          <w:rFonts w:asciiTheme="minorEastAsia" w:hAnsiTheme="minorEastAsia" w:eastAsiaTheme="minorEastAsia"/>
          <w:color w:val="auto"/>
          <w:sz w:val="21"/>
          <w:szCs w:val="21"/>
          <w:lang w:eastAsia="zh-CN"/>
        </w:rPr>
        <w:t>5.2</w:t>
      </w:r>
      <w:r>
        <w:rPr>
          <w:rStyle w:val="89"/>
          <w:rFonts w:hint="eastAsia" w:asciiTheme="minorEastAsia" w:hAnsiTheme="minorEastAsia" w:eastAsiaTheme="minorEastAsia"/>
          <w:color w:val="auto"/>
          <w:sz w:val="21"/>
          <w:szCs w:val="21"/>
          <w:lang w:eastAsia="zh-CN"/>
        </w:rPr>
        <w:t>施工期大气环境影响分析与防治措施</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_Toc408413972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85</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4EF33DAD">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"_Toc408413973" </w:instrText>
      </w:r>
      <w:r>
        <w:fldChar w:fldCharType="separate"/>
      </w:r>
      <w:r>
        <w:rPr>
          <w:rStyle w:val="89"/>
          <w:rFonts w:asciiTheme="minorEastAsia" w:hAnsiTheme="minorEastAsia" w:eastAsiaTheme="minorEastAsia"/>
          <w:i w:val="0"/>
          <w:color w:val="auto"/>
          <w:sz w:val="21"/>
          <w:szCs w:val="21"/>
          <w:lang w:eastAsia="zh-CN"/>
        </w:rPr>
        <w:t>5.2.1</w:t>
      </w:r>
      <w:r>
        <w:rPr>
          <w:rStyle w:val="89"/>
          <w:rFonts w:hint="eastAsia" w:asciiTheme="minorEastAsia" w:hAnsiTheme="minorEastAsia" w:eastAsiaTheme="minorEastAsia"/>
          <w:i w:val="0"/>
          <w:color w:val="auto"/>
          <w:sz w:val="21"/>
          <w:szCs w:val="21"/>
          <w:lang w:eastAsia="zh-CN"/>
        </w:rPr>
        <w:t>施工期环境影响分析</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_Toc408413973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85</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1C32E749">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"_Toc408413974" </w:instrText>
      </w:r>
      <w:r>
        <w:fldChar w:fldCharType="separate"/>
      </w:r>
      <w:r>
        <w:rPr>
          <w:rStyle w:val="89"/>
          <w:rFonts w:asciiTheme="minorEastAsia" w:hAnsiTheme="minorEastAsia" w:eastAsiaTheme="minorEastAsia"/>
          <w:i w:val="0"/>
          <w:color w:val="auto"/>
          <w:sz w:val="21"/>
          <w:szCs w:val="21"/>
          <w:lang w:eastAsia="zh-CN"/>
        </w:rPr>
        <w:t>5.2.2</w:t>
      </w:r>
      <w:r>
        <w:rPr>
          <w:rStyle w:val="89"/>
          <w:rFonts w:hint="eastAsia" w:asciiTheme="minorEastAsia" w:hAnsiTheme="minorEastAsia" w:eastAsiaTheme="minorEastAsia"/>
          <w:i w:val="0"/>
          <w:color w:val="auto"/>
          <w:sz w:val="21"/>
          <w:szCs w:val="21"/>
          <w:lang w:eastAsia="zh-CN"/>
        </w:rPr>
        <w:t>施工期大气环境污染防治措施</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_Toc408413974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85</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3DEC0222">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"_Toc408413975" </w:instrText>
      </w:r>
      <w:r>
        <w:fldChar w:fldCharType="separate"/>
      </w:r>
      <w:r>
        <w:rPr>
          <w:rStyle w:val="89"/>
          <w:rFonts w:asciiTheme="minorEastAsia" w:hAnsiTheme="minorEastAsia" w:eastAsiaTheme="minorEastAsia"/>
          <w:color w:val="auto"/>
          <w:sz w:val="21"/>
          <w:szCs w:val="21"/>
          <w:lang w:eastAsia="zh-CN"/>
        </w:rPr>
        <w:t>5.3</w:t>
      </w:r>
      <w:r>
        <w:rPr>
          <w:rStyle w:val="89"/>
          <w:rFonts w:hint="eastAsia" w:asciiTheme="minorEastAsia" w:hAnsiTheme="minorEastAsia" w:eastAsiaTheme="minorEastAsia"/>
          <w:color w:val="auto"/>
          <w:sz w:val="21"/>
          <w:szCs w:val="21"/>
          <w:lang w:eastAsia="zh-CN"/>
        </w:rPr>
        <w:t>环境空气影响预测与评价</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_Toc408413975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86</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1FC52242">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"_Toc408413976" </w:instrText>
      </w:r>
      <w:r>
        <w:fldChar w:fldCharType="separate"/>
      </w:r>
      <w:r>
        <w:rPr>
          <w:rStyle w:val="89"/>
          <w:rFonts w:asciiTheme="minorEastAsia" w:hAnsiTheme="minorEastAsia" w:eastAsiaTheme="minorEastAsia"/>
          <w:i w:val="0"/>
          <w:color w:val="auto"/>
          <w:sz w:val="21"/>
          <w:szCs w:val="21"/>
          <w:lang w:eastAsia="zh-CN"/>
        </w:rPr>
        <w:t>5.3.1</w:t>
      </w:r>
      <w:r>
        <w:rPr>
          <w:rStyle w:val="89"/>
          <w:rFonts w:hint="eastAsia" w:asciiTheme="minorEastAsia" w:hAnsiTheme="minorEastAsia" w:eastAsiaTheme="minorEastAsia"/>
          <w:i w:val="0"/>
          <w:color w:val="auto"/>
          <w:sz w:val="21"/>
          <w:szCs w:val="21"/>
          <w:lang w:eastAsia="zh-CN"/>
        </w:rPr>
        <w:t>气候特点及污染气象特征</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_Toc408413976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86</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14D47598">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"_Toc408413977" </w:instrText>
      </w:r>
      <w:r>
        <w:fldChar w:fldCharType="separate"/>
      </w:r>
      <w:r>
        <w:rPr>
          <w:rStyle w:val="89"/>
          <w:rFonts w:asciiTheme="minorEastAsia" w:hAnsiTheme="minorEastAsia" w:eastAsiaTheme="minorEastAsia"/>
          <w:i w:val="0"/>
          <w:color w:val="auto"/>
          <w:sz w:val="21"/>
          <w:szCs w:val="21"/>
          <w:lang w:eastAsia="zh-CN"/>
        </w:rPr>
        <w:t>5.3.2</w:t>
      </w:r>
      <w:r>
        <w:rPr>
          <w:rStyle w:val="89"/>
          <w:rFonts w:hint="eastAsia" w:asciiTheme="minorEastAsia" w:hAnsiTheme="minorEastAsia" w:eastAsiaTheme="minorEastAsia"/>
          <w:i w:val="0"/>
          <w:color w:val="auto"/>
          <w:sz w:val="21"/>
          <w:szCs w:val="21"/>
          <w:lang w:eastAsia="zh-CN"/>
        </w:rPr>
        <w:t>环境空气影响预测与评价</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_Toc408413977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87</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461C0664">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"_Toc408413978" </w:instrText>
      </w:r>
      <w:r>
        <w:fldChar w:fldCharType="separate"/>
      </w:r>
      <w:r>
        <w:rPr>
          <w:rStyle w:val="89"/>
          <w:rFonts w:asciiTheme="minorEastAsia" w:hAnsiTheme="minorEastAsia" w:eastAsiaTheme="minorEastAsia"/>
          <w:i w:val="0"/>
          <w:color w:val="auto"/>
          <w:sz w:val="21"/>
          <w:szCs w:val="21"/>
          <w:lang w:eastAsia="zh-CN"/>
        </w:rPr>
        <w:t>5.3.3</w:t>
      </w:r>
      <w:r>
        <w:rPr>
          <w:rStyle w:val="89"/>
          <w:rFonts w:hint="eastAsia" w:asciiTheme="minorEastAsia" w:hAnsiTheme="minorEastAsia" w:eastAsiaTheme="minorEastAsia"/>
          <w:i w:val="0"/>
          <w:color w:val="auto"/>
          <w:sz w:val="21"/>
          <w:szCs w:val="21"/>
          <w:lang w:eastAsia="zh-CN"/>
        </w:rPr>
        <w:t>运输车辆产生的扬尘污染</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_Toc408413978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90</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3BF7ECAB">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"_Toc408413979" </w:instrText>
      </w:r>
      <w:r>
        <w:fldChar w:fldCharType="separate"/>
      </w:r>
      <w:r>
        <w:rPr>
          <w:rStyle w:val="89"/>
          <w:rFonts w:asciiTheme="minorEastAsia" w:hAnsiTheme="minorEastAsia" w:eastAsiaTheme="minorEastAsia"/>
          <w:color w:val="auto"/>
          <w:sz w:val="21"/>
          <w:szCs w:val="21"/>
          <w:lang w:eastAsia="zh-CN"/>
        </w:rPr>
        <w:t>5.4</w:t>
      </w:r>
      <w:r>
        <w:rPr>
          <w:rStyle w:val="89"/>
          <w:rFonts w:hint="eastAsia" w:asciiTheme="minorEastAsia" w:hAnsiTheme="minorEastAsia" w:eastAsiaTheme="minorEastAsia"/>
          <w:color w:val="auto"/>
          <w:sz w:val="21"/>
          <w:szCs w:val="21"/>
          <w:lang w:eastAsia="zh-CN"/>
        </w:rPr>
        <w:t>大气环境污染防治措施</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_Toc408413979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90</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7DC877A4">
      <w:pPr>
        <w:pStyle w:val="51"/>
        <w:rPr>
          <w:rFonts w:asciiTheme="minorEastAsia" w:hAnsiTheme="minorEastAsia" w:eastAsiaTheme="minorEastAsia" w:cstheme="minorBidi"/>
          <w:b/>
          <w:bCs w:val="0"/>
          <w:caps w:val="0"/>
          <w:kern w:val="2"/>
          <w:sz w:val="21"/>
          <w:szCs w:val="21"/>
          <w:lang w:bidi="ar-SA"/>
        </w:rPr>
      </w:pPr>
      <w:r>
        <w:fldChar w:fldCharType="begin"/>
      </w:r>
      <w:r>
        <w:instrText xml:space="preserve"> HYPERLINK \l "_Toc408413980" </w:instrText>
      </w:r>
      <w:r>
        <w:fldChar w:fldCharType="separate"/>
      </w:r>
      <w:r>
        <w:rPr>
          <w:rStyle w:val="89"/>
          <w:rFonts w:asciiTheme="minorEastAsia" w:hAnsiTheme="minorEastAsia" w:eastAsiaTheme="minorEastAsia"/>
          <w:b/>
          <w:color w:val="auto"/>
          <w:sz w:val="21"/>
          <w:szCs w:val="21"/>
        </w:rPr>
        <w:t>6</w:t>
      </w:r>
      <w:r>
        <w:rPr>
          <w:rStyle w:val="89"/>
          <w:rFonts w:hint="eastAsia" w:asciiTheme="minorEastAsia" w:hAnsiTheme="minorEastAsia" w:eastAsiaTheme="minorEastAsia"/>
          <w:b/>
          <w:color w:val="auto"/>
          <w:sz w:val="21"/>
          <w:szCs w:val="21"/>
        </w:rPr>
        <w:t>水环境影响评价</w:t>
      </w:r>
      <w:r>
        <w:rPr>
          <w:rFonts w:asciiTheme="minorEastAsia" w:hAnsiTheme="minorEastAsia" w:eastAsiaTheme="minorEastAsia"/>
          <w:b/>
          <w:sz w:val="21"/>
          <w:szCs w:val="21"/>
        </w:rPr>
        <w:tab/>
      </w:r>
      <w:r>
        <w:rPr>
          <w:rFonts w:asciiTheme="minorEastAsia" w:hAnsiTheme="minorEastAsia" w:eastAsiaTheme="minorEastAsia"/>
          <w:b/>
          <w:sz w:val="21"/>
          <w:szCs w:val="21"/>
        </w:rPr>
        <w:fldChar w:fldCharType="begin"/>
      </w:r>
      <w:r>
        <w:rPr>
          <w:rFonts w:asciiTheme="minorEastAsia" w:hAnsiTheme="minorEastAsia" w:eastAsiaTheme="minorEastAsia"/>
          <w:b/>
          <w:sz w:val="21"/>
          <w:szCs w:val="21"/>
        </w:rPr>
        <w:instrText xml:space="preserve"> PAGEREF _Toc408413980 \h </w:instrText>
      </w:r>
      <w:r>
        <w:rPr>
          <w:rFonts w:asciiTheme="minorEastAsia" w:hAnsiTheme="minorEastAsia" w:eastAsiaTheme="minorEastAsia"/>
          <w:b/>
          <w:sz w:val="21"/>
          <w:szCs w:val="21"/>
        </w:rPr>
        <w:fldChar w:fldCharType="separate"/>
      </w:r>
      <w:r>
        <w:rPr>
          <w:rFonts w:asciiTheme="minorEastAsia" w:hAnsiTheme="minorEastAsia" w:eastAsiaTheme="minorEastAsia"/>
          <w:b/>
          <w:sz w:val="21"/>
          <w:szCs w:val="21"/>
        </w:rPr>
        <w:t>92</w:t>
      </w:r>
      <w:r>
        <w:rPr>
          <w:rFonts w:asciiTheme="minorEastAsia" w:hAnsiTheme="minorEastAsia" w:eastAsiaTheme="minorEastAsia"/>
          <w:b/>
          <w:sz w:val="21"/>
          <w:szCs w:val="21"/>
        </w:rPr>
        <w:fldChar w:fldCharType="end"/>
      </w:r>
      <w:r>
        <w:rPr>
          <w:rFonts w:asciiTheme="minorEastAsia" w:hAnsiTheme="minorEastAsia" w:eastAsiaTheme="minorEastAsia"/>
          <w:b/>
          <w:sz w:val="21"/>
          <w:szCs w:val="21"/>
        </w:rPr>
        <w:fldChar w:fldCharType="end"/>
      </w:r>
    </w:p>
    <w:p w14:paraId="6CD66E34">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"_Toc408413981" </w:instrText>
      </w:r>
      <w:r>
        <w:fldChar w:fldCharType="separate"/>
      </w:r>
      <w:r>
        <w:rPr>
          <w:rStyle w:val="89"/>
          <w:rFonts w:asciiTheme="minorEastAsia" w:hAnsiTheme="minorEastAsia" w:eastAsiaTheme="minorEastAsia"/>
          <w:color w:val="auto"/>
          <w:sz w:val="21"/>
          <w:szCs w:val="21"/>
          <w:lang w:eastAsia="zh-CN"/>
        </w:rPr>
        <w:t>6.1</w:t>
      </w:r>
      <w:r>
        <w:rPr>
          <w:rStyle w:val="89"/>
          <w:rFonts w:hint="eastAsia" w:asciiTheme="minorEastAsia" w:hAnsiTheme="minorEastAsia" w:eastAsiaTheme="minorEastAsia"/>
          <w:color w:val="auto"/>
          <w:sz w:val="21"/>
          <w:szCs w:val="21"/>
          <w:lang w:eastAsia="zh-CN"/>
        </w:rPr>
        <w:t>地表水环境影响评价</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_Toc408413981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92</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56A9930E">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"_Toc408413982" </w:instrText>
      </w:r>
      <w:r>
        <w:fldChar w:fldCharType="separate"/>
      </w:r>
      <w:r>
        <w:rPr>
          <w:rStyle w:val="89"/>
          <w:rFonts w:asciiTheme="minorEastAsia" w:hAnsiTheme="minorEastAsia" w:eastAsiaTheme="minorEastAsia"/>
          <w:i w:val="0"/>
          <w:color w:val="auto"/>
          <w:sz w:val="21"/>
          <w:szCs w:val="21"/>
          <w:lang w:eastAsia="zh-CN"/>
        </w:rPr>
        <w:t>6.1.1</w:t>
      </w:r>
      <w:r>
        <w:rPr>
          <w:rStyle w:val="89"/>
          <w:rFonts w:hint="eastAsia" w:asciiTheme="minorEastAsia" w:hAnsiTheme="minorEastAsia" w:eastAsiaTheme="minorEastAsia"/>
          <w:i w:val="0"/>
          <w:color w:val="auto"/>
          <w:sz w:val="21"/>
          <w:szCs w:val="21"/>
          <w:lang w:eastAsia="zh-CN"/>
        </w:rPr>
        <w:t>地表水环境影响分析</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_Toc408413982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92</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0C0BE06A">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"_Toc408413983" </w:instrText>
      </w:r>
      <w:r>
        <w:fldChar w:fldCharType="separate"/>
      </w:r>
      <w:r>
        <w:rPr>
          <w:rStyle w:val="89"/>
          <w:rFonts w:asciiTheme="minorEastAsia" w:hAnsiTheme="minorEastAsia" w:eastAsiaTheme="minorEastAsia"/>
          <w:i w:val="0"/>
          <w:color w:val="auto"/>
          <w:sz w:val="21"/>
          <w:szCs w:val="21"/>
          <w:lang w:eastAsia="zh-CN"/>
        </w:rPr>
        <w:t>6.1.2</w:t>
      </w:r>
      <w:r>
        <w:rPr>
          <w:rStyle w:val="89"/>
          <w:rFonts w:hint="eastAsia" w:asciiTheme="minorEastAsia" w:hAnsiTheme="minorEastAsia" w:eastAsiaTheme="minorEastAsia"/>
          <w:i w:val="0"/>
          <w:color w:val="auto"/>
          <w:sz w:val="21"/>
          <w:szCs w:val="21"/>
          <w:lang w:eastAsia="zh-CN"/>
        </w:rPr>
        <w:t>地表水环境影响防治措施</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_Toc408413983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92</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7FFC6A6D">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"_Toc408413984" </w:instrText>
      </w:r>
      <w:r>
        <w:fldChar w:fldCharType="separate"/>
      </w:r>
      <w:r>
        <w:rPr>
          <w:rStyle w:val="89"/>
          <w:rFonts w:asciiTheme="minorEastAsia" w:hAnsiTheme="minorEastAsia" w:eastAsiaTheme="minorEastAsia"/>
          <w:color w:val="auto"/>
          <w:sz w:val="21"/>
          <w:szCs w:val="21"/>
          <w:lang w:eastAsia="zh-CN"/>
        </w:rPr>
        <w:t>6.2</w:t>
      </w:r>
      <w:r>
        <w:rPr>
          <w:rStyle w:val="89"/>
          <w:rFonts w:hint="eastAsia" w:asciiTheme="minorEastAsia" w:hAnsiTheme="minorEastAsia" w:eastAsiaTheme="minorEastAsia"/>
          <w:color w:val="auto"/>
          <w:sz w:val="21"/>
          <w:szCs w:val="21"/>
          <w:lang w:eastAsia="zh-CN"/>
        </w:rPr>
        <w:t>地下水环境影响评价</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_Toc408413984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92</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6C996ADA">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"_Toc408413985" </w:instrText>
      </w:r>
      <w:r>
        <w:fldChar w:fldCharType="separate"/>
      </w:r>
      <w:r>
        <w:rPr>
          <w:rStyle w:val="89"/>
          <w:rFonts w:asciiTheme="minorEastAsia" w:hAnsiTheme="minorEastAsia" w:eastAsiaTheme="minorEastAsia"/>
          <w:i w:val="0"/>
          <w:color w:val="auto"/>
          <w:sz w:val="21"/>
          <w:szCs w:val="21"/>
          <w:lang w:eastAsia="zh-CN"/>
        </w:rPr>
        <w:t>6.2.1</w:t>
      </w:r>
      <w:r>
        <w:rPr>
          <w:rStyle w:val="89"/>
          <w:rFonts w:hint="eastAsia" w:asciiTheme="minorEastAsia" w:hAnsiTheme="minorEastAsia" w:eastAsiaTheme="minorEastAsia"/>
          <w:i w:val="0"/>
          <w:color w:val="auto"/>
          <w:sz w:val="21"/>
          <w:szCs w:val="21"/>
          <w:lang w:eastAsia="zh-CN"/>
        </w:rPr>
        <w:t>水文地质</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_Toc408413985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92</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50F00554">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"_Toc408413986" </w:instrText>
      </w:r>
      <w:r>
        <w:fldChar w:fldCharType="separate"/>
      </w:r>
      <w:r>
        <w:rPr>
          <w:rStyle w:val="89"/>
          <w:rFonts w:asciiTheme="minorEastAsia" w:hAnsiTheme="minorEastAsia" w:eastAsiaTheme="minorEastAsia"/>
          <w:i w:val="0"/>
          <w:color w:val="auto"/>
          <w:sz w:val="21"/>
          <w:szCs w:val="21"/>
          <w:lang w:eastAsia="zh-CN"/>
        </w:rPr>
        <w:t>6.2.2</w:t>
      </w:r>
      <w:r>
        <w:rPr>
          <w:rStyle w:val="89"/>
          <w:rFonts w:hint="eastAsia" w:asciiTheme="minorEastAsia" w:hAnsiTheme="minorEastAsia" w:eastAsiaTheme="minorEastAsia"/>
          <w:i w:val="0"/>
          <w:color w:val="auto"/>
          <w:sz w:val="21"/>
          <w:szCs w:val="21"/>
          <w:lang w:eastAsia="zh-CN"/>
        </w:rPr>
        <w:t>地下水现状评价</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_Toc408413986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97</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0A0FCD0B">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"_Toc408413987" </w:instrText>
      </w:r>
      <w:r>
        <w:fldChar w:fldCharType="separate"/>
      </w:r>
      <w:r>
        <w:rPr>
          <w:rStyle w:val="89"/>
          <w:rFonts w:asciiTheme="minorEastAsia" w:hAnsiTheme="minorEastAsia" w:eastAsiaTheme="minorEastAsia"/>
          <w:i w:val="0"/>
          <w:color w:val="auto"/>
          <w:sz w:val="21"/>
          <w:szCs w:val="21"/>
          <w:lang w:eastAsia="zh-CN"/>
        </w:rPr>
        <w:t>6.2.3</w:t>
      </w:r>
      <w:r>
        <w:rPr>
          <w:rStyle w:val="89"/>
          <w:rFonts w:hint="eastAsia" w:asciiTheme="minorEastAsia" w:hAnsiTheme="minorEastAsia" w:eastAsiaTheme="minorEastAsia"/>
          <w:i w:val="0"/>
          <w:color w:val="auto"/>
          <w:sz w:val="21"/>
          <w:szCs w:val="21"/>
          <w:lang w:eastAsia="zh-CN"/>
        </w:rPr>
        <w:t>油田开发对地下水环境影响分析</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_Toc408413987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101</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47CFE4DB">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"_Toc408413988" </w:instrText>
      </w:r>
      <w:r>
        <w:fldChar w:fldCharType="separate"/>
      </w:r>
      <w:r>
        <w:rPr>
          <w:rStyle w:val="89"/>
          <w:rFonts w:asciiTheme="minorEastAsia" w:hAnsiTheme="minorEastAsia" w:eastAsiaTheme="minorEastAsia"/>
          <w:i w:val="0"/>
          <w:color w:val="auto"/>
          <w:sz w:val="21"/>
          <w:szCs w:val="21"/>
          <w:lang w:eastAsia="zh-CN"/>
        </w:rPr>
        <w:t>6.2.4</w:t>
      </w:r>
      <w:r>
        <w:rPr>
          <w:rStyle w:val="89"/>
          <w:rFonts w:hint="eastAsia" w:asciiTheme="minorEastAsia" w:hAnsiTheme="minorEastAsia" w:eastAsiaTheme="minorEastAsia"/>
          <w:i w:val="0"/>
          <w:color w:val="auto"/>
          <w:sz w:val="21"/>
          <w:szCs w:val="21"/>
          <w:lang w:eastAsia="zh-CN"/>
        </w:rPr>
        <w:t>水环境保护措施</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_Toc408413988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103</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3CFB7044">
      <w:pPr>
        <w:pStyle w:val="51"/>
        <w:rPr>
          <w:rFonts w:asciiTheme="minorEastAsia" w:hAnsiTheme="minorEastAsia" w:eastAsiaTheme="minorEastAsia" w:cstheme="minorBidi"/>
          <w:b/>
          <w:bCs w:val="0"/>
          <w:caps w:val="0"/>
          <w:kern w:val="2"/>
          <w:sz w:val="21"/>
          <w:szCs w:val="21"/>
          <w:lang w:bidi="ar-SA"/>
        </w:rPr>
      </w:pPr>
      <w:r>
        <w:fldChar w:fldCharType="begin"/>
      </w:r>
      <w:r>
        <w:instrText xml:space="preserve"> HYPERLINK \l "_Toc408413989" </w:instrText>
      </w:r>
      <w:r>
        <w:fldChar w:fldCharType="separate"/>
      </w:r>
      <w:r>
        <w:rPr>
          <w:rStyle w:val="89"/>
          <w:rFonts w:asciiTheme="minorEastAsia" w:hAnsiTheme="minorEastAsia" w:eastAsiaTheme="minorEastAsia"/>
          <w:b/>
          <w:color w:val="auto"/>
          <w:sz w:val="21"/>
          <w:szCs w:val="21"/>
        </w:rPr>
        <w:t>7</w:t>
      </w:r>
      <w:r>
        <w:rPr>
          <w:rStyle w:val="89"/>
          <w:rFonts w:hint="eastAsia" w:asciiTheme="minorEastAsia" w:hAnsiTheme="minorEastAsia" w:eastAsiaTheme="minorEastAsia"/>
          <w:b/>
          <w:color w:val="auto"/>
          <w:sz w:val="21"/>
          <w:szCs w:val="21"/>
        </w:rPr>
        <w:t>声环境影响评价</w:t>
      </w:r>
      <w:r>
        <w:rPr>
          <w:rFonts w:asciiTheme="minorEastAsia" w:hAnsiTheme="minorEastAsia" w:eastAsiaTheme="minorEastAsia"/>
          <w:b/>
          <w:sz w:val="21"/>
          <w:szCs w:val="21"/>
        </w:rPr>
        <w:tab/>
      </w:r>
      <w:r>
        <w:rPr>
          <w:rFonts w:asciiTheme="minorEastAsia" w:hAnsiTheme="minorEastAsia" w:eastAsiaTheme="minorEastAsia"/>
          <w:b/>
          <w:sz w:val="21"/>
          <w:szCs w:val="21"/>
        </w:rPr>
        <w:fldChar w:fldCharType="begin"/>
      </w:r>
      <w:r>
        <w:rPr>
          <w:rFonts w:asciiTheme="minorEastAsia" w:hAnsiTheme="minorEastAsia" w:eastAsiaTheme="minorEastAsia"/>
          <w:b/>
          <w:sz w:val="21"/>
          <w:szCs w:val="21"/>
        </w:rPr>
        <w:instrText xml:space="preserve"> PAGEREF _Toc408413989 \h </w:instrText>
      </w:r>
      <w:r>
        <w:rPr>
          <w:rFonts w:asciiTheme="minorEastAsia" w:hAnsiTheme="minorEastAsia" w:eastAsiaTheme="minorEastAsia"/>
          <w:b/>
          <w:sz w:val="21"/>
          <w:szCs w:val="21"/>
        </w:rPr>
        <w:fldChar w:fldCharType="separate"/>
      </w:r>
      <w:r>
        <w:rPr>
          <w:rFonts w:asciiTheme="minorEastAsia" w:hAnsiTheme="minorEastAsia" w:eastAsiaTheme="minorEastAsia"/>
          <w:b/>
          <w:sz w:val="21"/>
          <w:szCs w:val="21"/>
        </w:rPr>
        <w:t>106</w:t>
      </w:r>
      <w:r>
        <w:rPr>
          <w:rFonts w:asciiTheme="minorEastAsia" w:hAnsiTheme="minorEastAsia" w:eastAsiaTheme="minorEastAsia"/>
          <w:b/>
          <w:sz w:val="21"/>
          <w:szCs w:val="21"/>
        </w:rPr>
        <w:fldChar w:fldCharType="end"/>
      </w:r>
      <w:r>
        <w:rPr>
          <w:rFonts w:asciiTheme="minorEastAsia" w:hAnsiTheme="minorEastAsia" w:eastAsiaTheme="minorEastAsia"/>
          <w:b/>
          <w:sz w:val="21"/>
          <w:szCs w:val="21"/>
        </w:rPr>
        <w:fldChar w:fldCharType="end"/>
      </w:r>
    </w:p>
    <w:p w14:paraId="21FC2644">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"_Toc408413990" </w:instrText>
      </w:r>
      <w:r>
        <w:fldChar w:fldCharType="separate"/>
      </w:r>
      <w:r>
        <w:rPr>
          <w:rStyle w:val="89"/>
          <w:rFonts w:asciiTheme="minorEastAsia" w:hAnsiTheme="minorEastAsia" w:eastAsiaTheme="minorEastAsia"/>
          <w:color w:val="auto"/>
          <w:sz w:val="21"/>
          <w:szCs w:val="21"/>
          <w:lang w:eastAsia="zh-CN"/>
        </w:rPr>
        <w:t>7.1</w:t>
      </w:r>
      <w:r>
        <w:rPr>
          <w:rStyle w:val="89"/>
          <w:rFonts w:hint="eastAsia" w:asciiTheme="minorEastAsia" w:hAnsiTheme="minorEastAsia" w:eastAsiaTheme="minorEastAsia"/>
          <w:color w:val="auto"/>
          <w:sz w:val="21"/>
          <w:szCs w:val="21"/>
          <w:lang w:eastAsia="zh-CN"/>
        </w:rPr>
        <w:t>声环境现状与评价</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_Toc408413990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106</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5CE70877">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"_Toc408413991" </w:instrText>
      </w:r>
      <w:r>
        <w:fldChar w:fldCharType="separate"/>
      </w:r>
      <w:r>
        <w:rPr>
          <w:rStyle w:val="89"/>
          <w:rFonts w:asciiTheme="minorEastAsia" w:hAnsiTheme="minorEastAsia" w:eastAsiaTheme="minorEastAsia"/>
          <w:color w:val="auto"/>
          <w:sz w:val="21"/>
          <w:szCs w:val="21"/>
          <w:lang w:eastAsia="zh-CN"/>
        </w:rPr>
        <w:t xml:space="preserve">7.2 </w:t>
      </w:r>
      <w:r>
        <w:rPr>
          <w:rStyle w:val="89"/>
          <w:rFonts w:hint="eastAsia" w:asciiTheme="minorEastAsia" w:hAnsiTheme="minorEastAsia" w:eastAsiaTheme="minorEastAsia"/>
          <w:color w:val="auto"/>
          <w:sz w:val="21"/>
          <w:szCs w:val="21"/>
          <w:lang w:eastAsia="zh-CN"/>
        </w:rPr>
        <w:t>噪声影响分析与评价</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_Toc408413991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107</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43E87661">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"_Toc408413992" </w:instrText>
      </w:r>
      <w:r>
        <w:fldChar w:fldCharType="separate"/>
      </w:r>
      <w:r>
        <w:rPr>
          <w:rStyle w:val="89"/>
          <w:rFonts w:asciiTheme="minorEastAsia" w:hAnsiTheme="minorEastAsia" w:eastAsiaTheme="minorEastAsia"/>
          <w:i w:val="0"/>
          <w:color w:val="auto"/>
          <w:sz w:val="21"/>
          <w:szCs w:val="21"/>
          <w:lang w:eastAsia="zh-CN"/>
        </w:rPr>
        <w:t xml:space="preserve">7.2.1 </w:t>
      </w:r>
      <w:r>
        <w:rPr>
          <w:rStyle w:val="89"/>
          <w:rFonts w:hint="eastAsia" w:asciiTheme="minorEastAsia" w:hAnsiTheme="minorEastAsia" w:eastAsiaTheme="minorEastAsia"/>
          <w:i w:val="0"/>
          <w:color w:val="auto"/>
          <w:sz w:val="21"/>
          <w:szCs w:val="21"/>
          <w:lang w:eastAsia="zh-CN"/>
        </w:rPr>
        <w:t>施工期噪声影响分析</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_Toc408413992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107</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6FAB48FD">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"_Toc408413993" </w:instrText>
      </w:r>
      <w:r>
        <w:fldChar w:fldCharType="separate"/>
      </w:r>
      <w:r>
        <w:rPr>
          <w:rStyle w:val="89"/>
          <w:rFonts w:asciiTheme="minorEastAsia" w:hAnsiTheme="minorEastAsia" w:eastAsiaTheme="minorEastAsia"/>
          <w:i w:val="0"/>
          <w:color w:val="auto"/>
          <w:sz w:val="21"/>
          <w:szCs w:val="21"/>
          <w:lang w:eastAsia="zh-CN"/>
        </w:rPr>
        <w:t xml:space="preserve">7.2.2 </w:t>
      </w:r>
      <w:r>
        <w:rPr>
          <w:rStyle w:val="89"/>
          <w:rFonts w:hint="eastAsia" w:asciiTheme="minorEastAsia" w:hAnsiTheme="minorEastAsia" w:eastAsiaTheme="minorEastAsia"/>
          <w:i w:val="0"/>
          <w:color w:val="auto"/>
          <w:sz w:val="21"/>
          <w:szCs w:val="21"/>
          <w:lang w:eastAsia="zh-CN"/>
        </w:rPr>
        <w:t>运行期噪声影响与评价</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_Toc408413993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107</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272DA221">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"_Toc408413994" </w:instrText>
      </w:r>
      <w:r>
        <w:fldChar w:fldCharType="separate"/>
      </w:r>
      <w:r>
        <w:rPr>
          <w:rStyle w:val="89"/>
          <w:rFonts w:asciiTheme="minorEastAsia" w:hAnsiTheme="minorEastAsia" w:eastAsiaTheme="minorEastAsia"/>
          <w:color w:val="auto"/>
          <w:sz w:val="21"/>
          <w:szCs w:val="21"/>
          <w:lang w:eastAsia="zh-CN"/>
        </w:rPr>
        <w:t>7.3</w:t>
      </w:r>
      <w:r>
        <w:rPr>
          <w:rStyle w:val="89"/>
          <w:rFonts w:hint="eastAsia" w:asciiTheme="minorEastAsia" w:hAnsiTheme="minorEastAsia" w:eastAsiaTheme="minorEastAsia"/>
          <w:color w:val="auto"/>
          <w:sz w:val="21"/>
          <w:szCs w:val="21"/>
          <w:lang w:eastAsia="zh-CN"/>
        </w:rPr>
        <w:t>噪声污染防治措施</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_Toc408413994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110</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0D45D621">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"_Toc408413995" </w:instrText>
      </w:r>
      <w:r>
        <w:fldChar w:fldCharType="separate"/>
      </w:r>
      <w:r>
        <w:rPr>
          <w:rStyle w:val="89"/>
          <w:rFonts w:asciiTheme="minorEastAsia" w:hAnsiTheme="minorEastAsia" w:eastAsiaTheme="minorEastAsia"/>
          <w:i w:val="0"/>
          <w:color w:val="auto"/>
          <w:sz w:val="21"/>
          <w:szCs w:val="21"/>
          <w:lang w:eastAsia="zh-CN"/>
        </w:rPr>
        <w:t>7.3.1</w:t>
      </w:r>
      <w:r>
        <w:rPr>
          <w:rStyle w:val="89"/>
          <w:rFonts w:hint="eastAsia" w:asciiTheme="minorEastAsia" w:hAnsiTheme="minorEastAsia" w:eastAsiaTheme="minorEastAsia"/>
          <w:i w:val="0"/>
          <w:color w:val="auto"/>
          <w:sz w:val="21"/>
          <w:szCs w:val="21"/>
          <w:lang w:eastAsia="zh-CN"/>
        </w:rPr>
        <w:t>施工期噪声污染防治措施</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_Toc408413995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110</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198C8197">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"_Toc408413996" </w:instrText>
      </w:r>
      <w:r>
        <w:fldChar w:fldCharType="separate"/>
      </w:r>
      <w:r>
        <w:rPr>
          <w:rStyle w:val="89"/>
          <w:rFonts w:asciiTheme="minorEastAsia" w:hAnsiTheme="minorEastAsia" w:eastAsiaTheme="minorEastAsia"/>
          <w:i w:val="0"/>
          <w:color w:val="auto"/>
          <w:sz w:val="21"/>
          <w:szCs w:val="21"/>
          <w:lang w:eastAsia="zh-CN"/>
        </w:rPr>
        <w:t>7.3.2</w:t>
      </w:r>
      <w:r>
        <w:rPr>
          <w:rStyle w:val="89"/>
          <w:rFonts w:hint="eastAsia" w:asciiTheme="minorEastAsia" w:hAnsiTheme="minorEastAsia" w:eastAsiaTheme="minorEastAsia"/>
          <w:i w:val="0"/>
          <w:color w:val="auto"/>
          <w:sz w:val="21"/>
          <w:szCs w:val="21"/>
          <w:lang w:eastAsia="zh-CN"/>
        </w:rPr>
        <w:t>运行期噪声污染防治措施</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_Toc408413996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110</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6F722F59">
      <w:pPr>
        <w:pStyle w:val="51"/>
        <w:rPr>
          <w:rFonts w:asciiTheme="minorEastAsia" w:hAnsiTheme="minorEastAsia" w:eastAsiaTheme="minorEastAsia" w:cstheme="minorBidi"/>
          <w:b/>
          <w:bCs w:val="0"/>
          <w:caps w:val="0"/>
          <w:kern w:val="2"/>
          <w:sz w:val="21"/>
          <w:szCs w:val="21"/>
          <w:lang w:bidi="ar-SA"/>
        </w:rPr>
      </w:pPr>
      <w:r>
        <w:fldChar w:fldCharType="begin"/>
      </w:r>
      <w:r>
        <w:instrText xml:space="preserve"> HYPERLINK \l "_Toc408413997" </w:instrText>
      </w:r>
      <w:r>
        <w:fldChar w:fldCharType="separate"/>
      </w:r>
      <w:r>
        <w:rPr>
          <w:rStyle w:val="89"/>
          <w:rFonts w:asciiTheme="minorEastAsia" w:hAnsiTheme="minorEastAsia" w:eastAsiaTheme="minorEastAsia"/>
          <w:b/>
          <w:color w:val="auto"/>
          <w:sz w:val="21"/>
          <w:szCs w:val="21"/>
        </w:rPr>
        <w:t>8</w:t>
      </w:r>
      <w:r>
        <w:rPr>
          <w:rStyle w:val="89"/>
          <w:rFonts w:hint="eastAsia" w:asciiTheme="minorEastAsia" w:hAnsiTheme="minorEastAsia" w:eastAsiaTheme="minorEastAsia"/>
          <w:b/>
          <w:color w:val="auto"/>
          <w:sz w:val="21"/>
          <w:szCs w:val="21"/>
        </w:rPr>
        <w:t>固体废物环境影响评价</w:t>
      </w:r>
      <w:r>
        <w:rPr>
          <w:rFonts w:asciiTheme="minorEastAsia" w:hAnsiTheme="minorEastAsia" w:eastAsiaTheme="minorEastAsia"/>
          <w:b/>
          <w:sz w:val="21"/>
          <w:szCs w:val="21"/>
        </w:rPr>
        <w:tab/>
      </w:r>
      <w:r>
        <w:rPr>
          <w:rFonts w:asciiTheme="minorEastAsia" w:hAnsiTheme="minorEastAsia" w:eastAsiaTheme="minorEastAsia"/>
          <w:b/>
          <w:sz w:val="21"/>
          <w:szCs w:val="21"/>
        </w:rPr>
        <w:fldChar w:fldCharType="begin"/>
      </w:r>
      <w:r>
        <w:rPr>
          <w:rFonts w:asciiTheme="minorEastAsia" w:hAnsiTheme="minorEastAsia" w:eastAsiaTheme="minorEastAsia"/>
          <w:b/>
          <w:sz w:val="21"/>
          <w:szCs w:val="21"/>
        </w:rPr>
        <w:instrText xml:space="preserve"> PAGEREF _Toc408413997 \h </w:instrText>
      </w:r>
      <w:r>
        <w:rPr>
          <w:rFonts w:asciiTheme="minorEastAsia" w:hAnsiTheme="minorEastAsia" w:eastAsiaTheme="minorEastAsia"/>
          <w:b/>
          <w:sz w:val="21"/>
          <w:szCs w:val="21"/>
        </w:rPr>
        <w:fldChar w:fldCharType="separate"/>
      </w:r>
      <w:r>
        <w:rPr>
          <w:rFonts w:asciiTheme="minorEastAsia" w:hAnsiTheme="minorEastAsia" w:eastAsiaTheme="minorEastAsia"/>
          <w:b/>
          <w:sz w:val="21"/>
          <w:szCs w:val="21"/>
        </w:rPr>
        <w:t>111</w:t>
      </w:r>
      <w:r>
        <w:rPr>
          <w:rFonts w:asciiTheme="minorEastAsia" w:hAnsiTheme="minorEastAsia" w:eastAsiaTheme="minorEastAsia"/>
          <w:b/>
          <w:sz w:val="21"/>
          <w:szCs w:val="21"/>
        </w:rPr>
        <w:fldChar w:fldCharType="end"/>
      </w:r>
      <w:r>
        <w:rPr>
          <w:rFonts w:asciiTheme="minorEastAsia" w:hAnsiTheme="minorEastAsia" w:eastAsiaTheme="minorEastAsia"/>
          <w:b/>
          <w:sz w:val="21"/>
          <w:szCs w:val="21"/>
        </w:rPr>
        <w:fldChar w:fldCharType="end"/>
      </w:r>
    </w:p>
    <w:p w14:paraId="7065E8B1">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"_Toc408413998" </w:instrText>
      </w:r>
      <w:r>
        <w:fldChar w:fldCharType="separate"/>
      </w:r>
      <w:r>
        <w:rPr>
          <w:rStyle w:val="89"/>
          <w:rFonts w:asciiTheme="minorEastAsia" w:hAnsiTheme="minorEastAsia" w:eastAsiaTheme="minorEastAsia"/>
          <w:color w:val="auto"/>
          <w:sz w:val="21"/>
          <w:szCs w:val="21"/>
          <w:lang w:eastAsia="zh-CN"/>
        </w:rPr>
        <w:t>8.1</w:t>
      </w:r>
      <w:r>
        <w:rPr>
          <w:rStyle w:val="89"/>
          <w:rFonts w:hint="eastAsia" w:asciiTheme="minorEastAsia" w:hAnsiTheme="minorEastAsia" w:eastAsiaTheme="minorEastAsia"/>
          <w:color w:val="auto"/>
          <w:sz w:val="21"/>
          <w:szCs w:val="21"/>
          <w:lang w:eastAsia="zh-CN"/>
        </w:rPr>
        <w:t>钻井废弃泥浆对环境的影响及保护措施</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_Toc408413998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111</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5CA17E62">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"_Toc408413999" </w:instrText>
      </w:r>
      <w:r>
        <w:fldChar w:fldCharType="separate"/>
      </w:r>
      <w:r>
        <w:rPr>
          <w:rStyle w:val="89"/>
          <w:rFonts w:asciiTheme="minorEastAsia" w:hAnsiTheme="minorEastAsia" w:eastAsiaTheme="minorEastAsia"/>
          <w:color w:val="auto"/>
          <w:sz w:val="21"/>
          <w:szCs w:val="21"/>
          <w:lang w:eastAsia="zh-CN"/>
        </w:rPr>
        <w:t>8.2</w:t>
      </w:r>
      <w:r>
        <w:rPr>
          <w:rStyle w:val="89"/>
          <w:rFonts w:hint="eastAsia" w:asciiTheme="minorEastAsia" w:hAnsiTheme="minorEastAsia" w:eastAsiaTheme="minorEastAsia"/>
          <w:color w:val="auto"/>
          <w:sz w:val="21"/>
          <w:szCs w:val="21"/>
          <w:lang w:eastAsia="zh-CN"/>
        </w:rPr>
        <w:t>落地原油对环境的影响及保护措施</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_Toc408413999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112</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25D78A50">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"_Toc408414000" </w:instrText>
      </w:r>
      <w:r>
        <w:fldChar w:fldCharType="separate"/>
      </w:r>
      <w:r>
        <w:rPr>
          <w:rStyle w:val="89"/>
          <w:rFonts w:asciiTheme="minorEastAsia" w:hAnsiTheme="minorEastAsia" w:eastAsiaTheme="minorEastAsia"/>
          <w:color w:val="auto"/>
          <w:sz w:val="21"/>
          <w:szCs w:val="21"/>
          <w:lang w:eastAsia="zh-CN"/>
        </w:rPr>
        <w:t>8.3</w:t>
      </w:r>
      <w:r>
        <w:rPr>
          <w:rStyle w:val="89"/>
          <w:rFonts w:hint="eastAsia" w:asciiTheme="minorEastAsia" w:hAnsiTheme="minorEastAsia" w:eastAsiaTheme="minorEastAsia"/>
          <w:color w:val="auto"/>
          <w:sz w:val="21"/>
          <w:szCs w:val="21"/>
          <w:lang w:eastAsia="zh-CN"/>
        </w:rPr>
        <w:t>钻井岩屑对环境的影响及保护措施</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_Toc408414000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113</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2D9A21BC">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"_Toc408414001" </w:instrText>
      </w:r>
      <w:r>
        <w:fldChar w:fldCharType="separate"/>
      </w:r>
      <w:r>
        <w:rPr>
          <w:rStyle w:val="89"/>
          <w:rFonts w:asciiTheme="minorEastAsia" w:hAnsiTheme="minorEastAsia" w:eastAsiaTheme="minorEastAsia"/>
          <w:color w:val="auto"/>
          <w:sz w:val="21"/>
          <w:szCs w:val="21"/>
          <w:lang w:eastAsia="zh-CN"/>
        </w:rPr>
        <w:t>8.4</w:t>
      </w:r>
      <w:r>
        <w:rPr>
          <w:rStyle w:val="89"/>
          <w:rFonts w:hint="eastAsia" w:asciiTheme="minorEastAsia" w:hAnsiTheme="minorEastAsia" w:eastAsiaTheme="minorEastAsia"/>
          <w:color w:val="auto"/>
          <w:sz w:val="21"/>
          <w:szCs w:val="21"/>
          <w:lang w:eastAsia="zh-CN"/>
        </w:rPr>
        <w:t>油泥砂对环境的影响及保护措施</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_Toc408414001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113</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52DF45B8">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"_Toc408414002" </w:instrText>
      </w:r>
      <w:r>
        <w:fldChar w:fldCharType="separate"/>
      </w:r>
      <w:r>
        <w:rPr>
          <w:rStyle w:val="89"/>
          <w:rFonts w:asciiTheme="minorEastAsia" w:hAnsiTheme="minorEastAsia" w:eastAsiaTheme="minorEastAsia"/>
          <w:color w:val="auto"/>
          <w:sz w:val="21"/>
          <w:szCs w:val="21"/>
          <w:lang w:eastAsia="zh-CN"/>
        </w:rPr>
        <w:t>8.5</w:t>
      </w:r>
      <w:r>
        <w:rPr>
          <w:rStyle w:val="89"/>
          <w:rFonts w:hint="eastAsia" w:asciiTheme="minorEastAsia" w:hAnsiTheme="minorEastAsia" w:eastAsiaTheme="minorEastAsia"/>
          <w:color w:val="auto"/>
          <w:sz w:val="21"/>
          <w:szCs w:val="21"/>
          <w:lang w:eastAsia="zh-CN"/>
        </w:rPr>
        <w:t>生活垃圾对环境的影响及保护措施</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_Toc408414002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114</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07E01E3F">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"_Toc408414003" </w:instrText>
      </w:r>
      <w:r>
        <w:fldChar w:fldCharType="separate"/>
      </w:r>
      <w:r>
        <w:rPr>
          <w:rStyle w:val="89"/>
          <w:rFonts w:asciiTheme="minorEastAsia" w:hAnsiTheme="minorEastAsia" w:eastAsiaTheme="minorEastAsia"/>
          <w:color w:val="auto"/>
          <w:sz w:val="21"/>
          <w:szCs w:val="21"/>
          <w:lang w:eastAsia="zh-CN"/>
        </w:rPr>
        <w:t>8.6</w:t>
      </w:r>
      <w:r>
        <w:rPr>
          <w:rStyle w:val="89"/>
          <w:rFonts w:hint="eastAsia" w:asciiTheme="minorEastAsia" w:hAnsiTheme="minorEastAsia" w:eastAsiaTheme="minorEastAsia"/>
          <w:color w:val="auto"/>
          <w:sz w:val="21"/>
          <w:szCs w:val="21"/>
          <w:lang w:eastAsia="zh-CN"/>
        </w:rPr>
        <w:t>固体废物环境保护措施</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_Toc408414003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114</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7F215059">
      <w:pPr>
        <w:pStyle w:val="51"/>
        <w:rPr>
          <w:rFonts w:asciiTheme="minorEastAsia" w:hAnsiTheme="minorEastAsia" w:eastAsiaTheme="minorEastAsia" w:cstheme="minorBidi"/>
          <w:b/>
          <w:bCs w:val="0"/>
          <w:caps w:val="0"/>
          <w:kern w:val="2"/>
          <w:sz w:val="21"/>
          <w:szCs w:val="21"/>
          <w:lang w:bidi="ar-SA"/>
        </w:rPr>
      </w:pPr>
      <w:r>
        <w:fldChar w:fldCharType="begin"/>
      </w:r>
      <w:r>
        <w:instrText xml:space="preserve"> HYPERLINK \l "_Toc408414004" </w:instrText>
      </w:r>
      <w:r>
        <w:fldChar w:fldCharType="separate"/>
      </w:r>
      <w:r>
        <w:rPr>
          <w:rStyle w:val="89"/>
          <w:rFonts w:asciiTheme="minorEastAsia" w:hAnsiTheme="minorEastAsia" w:eastAsiaTheme="minorEastAsia"/>
          <w:b/>
          <w:color w:val="auto"/>
          <w:sz w:val="21"/>
          <w:szCs w:val="21"/>
        </w:rPr>
        <w:t>9</w:t>
      </w:r>
      <w:r>
        <w:rPr>
          <w:rStyle w:val="89"/>
          <w:rFonts w:hint="eastAsia" w:asciiTheme="minorEastAsia" w:hAnsiTheme="minorEastAsia" w:eastAsiaTheme="minorEastAsia"/>
          <w:b/>
          <w:color w:val="auto"/>
          <w:sz w:val="21"/>
          <w:szCs w:val="21"/>
        </w:rPr>
        <w:t>生态环境影响评价</w:t>
      </w:r>
      <w:r>
        <w:rPr>
          <w:rFonts w:asciiTheme="minorEastAsia" w:hAnsiTheme="minorEastAsia" w:eastAsiaTheme="minorEastAsia"/>
          <w:b/>
          <w:sz w:val="21"/>
          <w:szCs w:val="21"/>
        </w:rPr>
        <w:tab/>
      </w:r>
      <w:r>
        <w:rPr>
          <w:rFonts w:asciiTheme="minorEastAsia" w:hAnsiTheme="minorEastAsia" w:eastAsiaTheme="minorEastAsia"/>
          <w:b/>
          <w:sz w:val="21"/>
          <w:szCs w:val="21"/>
        </w:rPr>
        <w:fldChar w:fldCharType="begin"/>
      </w:r>
      <w:r>
        <w:rPr>
          <w:rFonts w:asciiTheme="minorEastAsia" w:hAnsiTheme="minorEastAsia" w:eastAsiaTheme="minorEastAsia"/>
          <w:b/>
          <w:sz w:val="21"/>
          <w:szCs w:val="21"/>
        </w:rPr>
        <w:instrText xml:space="preserve"> PAGEREF _Toc408414004 \h </w:instrText>
      </w:r>
      <w:r>
        <w:rPr>
          <w:rFonts w:asciiTheme="minorEastAsia" w:hAnsiTheme="minorEastAsia" w:eastAsiaTheme="minorEastAsia"/>
          <w:b/>
          <w:sz w:val="21"/>
          <w:szCs w:val="21"/>
        </w:rPr>
        <w:fldChar w:fldCharType="separate"/>
      </w:r>
      <w:r>
        <w:rPr>
          <w:rFonts w:asciiTheme="minorEastAsia" w:hAnsiTheme="minorEastAsia" w:eastAsiaTheme="minorEastAsia"/>
          <w:b/>
          <w:sz w:val="21"/>
          <w:szCs w:val="21"/>
        </w:rPr>
        <w:t>115</w:t>
      </w:r>
      <w:r>
        <w:rPr>
          <w:rFonts w:asciiTheme="minorEastAsia" w:hAnsiTheme="minorEastAsia" w:eastAsiaTheme="minorEastAsia"/>
          <w:b/>
          <w:sz w:val="21"/>
          <w:szCs w:val="21"/>
        </w:rPr>
        <w:fldChar w:fldCharType="end"/>
      </w:r>
      <w:r>
        <w:rPr>
          <w:rFonts w:asciiTheme="minorEastAsia" w:hAnsiTheme="minorEastAsia" w:eastAsiaTheme="minorEastAsia"/>
          <w:b/>
          <w:sz w:val="21"/>
          <w:szCs w:val="21"/>
        </w:rPr>
        <w:fldChar w:fldCharType="end"/>
      </w:r>
    </w:p>
    <w:p w14:paraId="56DD0B70">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"_Toc408414005" </w:instrText>
      </w:r>
      <w:r>
        <w:fldChar w:fldCharType="separate"/>
      </w:r>
      <w:r>
        <w:rPr>
          <w:rStyle w:val="89"/>
          <w:rFonts w:asciiTheme="minorEastAsia" w:hAnsiTheme="minorEastAsia" w:eastAsiaTheme="minorEastAsia"/>
          <w:color w:val="auto"/>
          <w:sz w:val="21"/>
          <w:szCs w:val="21"/>
          <w:lang w:eastAsia="zh-CN"/>
        </w:rPr>
        <w:t>9.1</w:t>
      </w:r>
      <w:r>
        <w:rPr>
          <w:rStyle w:val="89"/>
          <w:rFonts w:hint="eastAsia" w:asciiTheme="minorEastAsia" w:hAnsiTheme="minorEastAsia" w:eastAsiaTheme="minorEastAsia"/>
          <w:color w:val="auto"/>
          <w:sz w:val="21"/>
          <w:szCs w:val="21"/>
          <w:lang w:eastAsia="zh-CN"/>
        </w:rPr>
        <w:t>生态环境现状评价</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_Toc408414005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115</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354E74D0">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"_Toc408414006" </w:instrText>
      </w:r>
      <w:r>
        <w:fldChar w:fldCharType="separate"/>
      </w:r>
      <w:r>
        <w:rPr>
          <w:rStyle w:val="89"/>
          <w:rFonts w:asciiTheme="minorEastAsia" w:hAnsiTheme="minorEastAsia" w:eastAsiaTheme="minorEastAsia"/>
          <w:i w:val="0"/>
          <w:color w:val="auto"/>
          <w:sz w:val="21"/>
          <w:szCs w:val="21"/>
          <w:lang w:eastAsia="zh-CN"/>
        </w:rPr>
        <w:t>9.1.1</w:t>
      </w:r>
      <w:r>
        <w:rPr>
          <w:rStyle w:val="89"/>
          <w:rFonts w:hint="eastAsia" w:asciiTheme="minorEastAsia" w:hAnsiTheme="minorEastAsia" w:eastAsiaTheme="minorEastAsia"/>
          <w:i w:val="0"/>
          <w:color w:val="auto"/>
          <w:sz w:val="21"/>
          <w:szCs w:val="21"/>
          <w:lang w:eastAsia="zh-CN"/>
        </w:rPr>
        <w:t>现状调查与评价方法</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_Toc408414006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115</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39B96630">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"_Toc408414007" </w:instrText>
      </w:r>
      <w:r>
        <w:fldChar w:fldCharType="separate"/>
      </w:r>
      <w:r>
        <w:rPr>
          <w:rStyle w:val="89"/>
          <w:rFonts w:asciiTheme="minorEastAsia" w:hAnsiTheme="minorEastAsia" w:eastAsiaTheme="minorEastAsia"/>
          <w:i w:val="0"/>
          <w:color w:val="auto"/>
          <w:sz w:val="21"/>
          <w:szCs w:val="21"/>
          <w:lang w:eastAsia="zh-CN"/>
        </w:rPr>
        <w:t>9.1.2</w:t>
      </w:r>
      <w:r>
        <w:rPr>
          <w:rStyle w:val="89"/>
          <w:rFonts w:hint="eastAsia" w:asciiTheme="minorEastAsia" w:hAnsiTheme="minorEastAsia" w:eastAsiaTheme="minorEastAsia"/>
          <w:i w:val="0"/>
          <w:color w:val="auto"/>
          <w:sz w:val="21"/>
          <w:szCs w:val="21"/>
          <w:lang w:eastAsia="zh-CN"/>
        </w:rPr>
        <w:t>建设拆迁情况调查</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_Toc408414007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115</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63579158">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"_Toc408414008" </w:instrText>
      </w:r>
      <w:r>
        <w:fldChar w:fldCharType="separate"/>
      </w:r>
      <w:r>
        <w:rPr>
          <w:rStyle w:val="89"/>
          <w:rFonts w:asciiTheme="minorEastAsia" w:hAnsiTheme="minorEastAsia" w:eastAsiaTheme="minorEastAsia"/>
          <w:i w:val="0"/>
          <w:color w:val="auto"/>
          <w:sz w:val="21"/>
          <w:szCs w:val="21"/>
          <w:lang w:eastAsia="zh-CN"/>
        </w:rPr>
        <w:t>9.1.3</w:t>
      </w:r>
      <w:r>
        <w:rPr>
          <w:rStyle w:val="89"/>
          <w:rFonts w:hint="eastAsia" w:asciiTheme="minorEastAsia" w:hAnsiTheme="minorEastAsia" w:eastAsiaTheme="minorEastAsia"/>
          <w:i w:val="0"/>
          <w:color w:val="auto"/>
          <w:sz w:val="21"/>
          <w:szCs w:val="21"/>
          <w:lang w:eastAsia="zh-CN"/>
        </w:rPr>
        <w:t>景观现状</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_Toc408414008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115</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0C44BFF7">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"_Toc408414009" </w:instrText>
      </w:r>
      <w:r>
        <w:fldChar w:fldCharType="separate"/>
      </w:r>
      <w:r>
        <w:rPr>
          <w:rStyle w:val="89"/>
          <w:rFonts w:asciiTheme="minorEastAsia" w:hAnsiTheme="minorEastAsia" w:eastAsiaTheme="minorEastAsia"/>
          <w:i w:val="0"/>
          <w:color w:val="auto"/>
          <w:sz w:val="21"/>
          <w:szCs w:val="21"/>
          <w:lang w:eastAsia="zh-CN"/>
        </w:rPr>
        <w:t>9.1.4</w:t>
      </w:r>
      <w:r>
        <w:rPr>
          <w:rStyle w:val="89"/>
          <w:rFonts w:hint="eastAsia" w:asciiTheme="minorEastAsia" w:hAnsiTheme="minorEastAsia" w:eastAsiaTheme="minorEastAsia"/>
          <w:i w:val="0"/>
          <w:color w:val="auto"/>
          <w:sz w:val="21"/>
          <w:szCs w:val="21"/>
          <w:lang w:eastAsia="zh-CN"/>
        </w:rPr>
        <w:t>评价区土地利用现状</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_Toc408414009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115</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635D9483">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"_Toc408414010" </w:instrText>
      </w:r>
      <w:r>
        <w:fldChar w:fldCharType="separate"/>
      </w:r>
      <w:r>
        <w:rPr>
          <w:rStyle w:val="89"/>
          <w:rFonts w:asciiTheme="minorEastAsia" w:hAnsiTheme="minorEastAsia" w:eastAsiaTheme="minorEastAsia"/>
          <w:i w:val="0"/>
          <w:color w:val="auto"/>
          <w:sz w:val="21"/>
          <w:szCs w:val="21"/>
          <w:lang w:eastAsia="zh-CN"/>
        </w:rPr>
        <w:t>9.1.5</w:t>
      </w:r>
      <w:r>
        <w:rPr>
          <w:rStyle w:val="89"/>
          <w:rFonts w:hint="eastAsia" w:asciiTheme="minorEastAsia" w:hAnsiTheme="minorEastAsia" w:eastAsiaTheme="minorEastAsia"/>
          <w:i w:val="0"/>
          <w:color w:val="auto"/>
          <w:sz w:val="21"/>
          <w:szCs w:val="21"/>
          <w:lang w:eastAsia="zh-CN"/>
        </w:rPr>
        <w:t>植被现状评价</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_Toc408414010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116</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10A3DF79">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"_Toc408414011" </w:instrText>
      </w:r>
      <w:r>
        <w:fldChar w:fldCharType="separate"/>
      </w:r>
      <w:r>
        <w:rPr>
          <w:rStyle w:val="89"/>
          <w:rFonts w:asciiTheme="minorEastAsia" w:hAnsiTheme="minorEastAsia" w:eastAsiaTheme="minorEastAsia"/>
          <w:i w:val="0"/>
          <w:color w:val="auto"/>
          <w:sz w:val="21"/>
          <w:szCs w:val="21"/>
          <w:lang w:eastAsia="zh-CN"/>
        </w:rPr>
        <w:t>9.1.6</w:t>
      </w:r>
      <w:r>
        <w:rPr>
          <w:rStyle w:val="89"/>
          <w:rFonts w:hint="eastAsia" w:asciiTheme="minorEastAsia" w:hAnsiTheme="minorEastAsia" w:eastAsiaTheme="minorEastAsia"/>
          <w:i w:val="0"/>
          <w:color w:val="auto"/>
          <w:sz w:val="21"/>
          <w:szCs w:val="21"/>
          <w:lang w:eastAsia="zh-CN"/>
        </w:rPr>
        <w:t>野生动物现状</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_Toc408414011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121</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6798D473">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"_Toc408414012" </w:instrText>
      </w:r>
      <w:r>
        <w:fldChar w:fldCharType="separate"/>
      </w:r>
      <w:r>
        <w:rPr>
          <w:rStyle w:val="89"/>
          <w:rFonts w:asciiTheme="minorEastAsia" w:hAnsiTheme="minorEastAsia" w:eastAsiaTheme="minorEastAsia"/>
          <w:i w:val="0"/>
          <w:color w:val="auto"/>
          <w:sz w:val="21"/>
          <w:szCs w:val="21"/>
          <w:lang w:eastAsia="zh-CN"/>
        </w:rPr>
        <w:t>9.1.7</w:t>
      </w:r>
      <w:r>
        <w:rPr>
          <w:rStyle w:val="89"/>
          <w:rFonts w:hint="eastAsia" w:asciiTheme="minorEastAsia" w:hAnsiTheme="minorEastAsia" w:eastAsiaTheme="minorEastAsia"/>
          <w:i w:val="0"/>
          <w:color w:val="auto"/>
          <w:sz w:val="21"/>
          <w:szCs w:val="21"/>
          <w:lang w:eastAsia="zh-CN"/>
        </w:rPr>
        <w:t>土壤现状</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_Toc408414012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121</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11533712">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"_Toc408414013" </w:instrText>
      </w:r>
      <w:r>
        <w:fldChar w:fldCharType="separate"/>
      </w:r>
      <w:r>
        <w:rPr>
          <w:rStyle w:val="89"/>
          <w:rFonts w:asciiTheme="minorEastAsia" w:hAnsiTheme="minorEastAsia" w:eastAsiaTheme="minorEastAsia"/>
          <w:color w:val="auto"/>
          <w:sz w:val="21"/>
          <w:szCs w:val="21"/>
          <w:lang w:eastAsia="zh-CN"/>
        </w:rPr>
        <w:t>9.2</w:t>
      </w:r>
      <w:r>
        <w:rPr>
          <w:rStyle w:val="89"/>
          <w:rFonts w:hint="eastAsia" w:asciiTheme="minorEastAsia" w:hAnsiTheme="minorEastAsia" w:eastAsiaTheme="minorEastAsia"/>
          <w:color w:val="auto"/>
          <w:sz w:val="21"/>
          <w:szCs w:val="21"/>
          <w:lang w:eastAsia="zh-CN"/>
        </w:rPr>
        <w:t>生态环境影响分析</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_Toc408414013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127</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07FD692C">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"_Toc408414014" </w:instrText>
      </w:r>
      <w:r>
        <w:fldChar w:fldCharType="separate"/>
      </w:r>
      <w:r>
        <w:rPr>
          <w:rStyle w:val="89"/>
          <w:rFonts w:asciiTheme="minorEastAsia" w:hAnsiTheme="minorEastAsia" w:eastAsiaTheme="minorEastAsia"/>
          <w:i w:val="0"/>
          <w:color w:val="auto"/>
          <w:sz w:val="21"/>
          <w:szCs w:val="21"/>
          <w:lang w:eastAsia="zh-CN"/>
        </w:rPr>
        <w:t>9.2.1</w:t>
      </w:r>
      <w:r>
        <w:rPr>
          <w:rStyle w:val="89"/>
          <w:rFonts w:hint="eastAsia" w:asciiTheme="minorEastAsia" w:hAnsiTheme="minorEastAsia" w:eastAsiaTheme="minorEastAsia"/>
          <w:i w:val="0"/>
          <w:color w:val="auto"/>
          <w:sz w:val="21"/>
          <w:szCs w:val="21"/>
          <w:lang w:eastAsia="zh-CN"/>
        </w:rPr>
        <w:t>油田开发对景观影响分析</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_Toc408414014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128</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5DF8BCCE">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"_Toc408414015" </w:instrText>
      </w:r>
      <w:r>
        <w:fldChar w:fldCharType="separate"/>
      </w:r>
      <w:r>
        <w:rPr>
          <w:rStyle w:val="89"/>
          <w:rFonts w:asciiTheme="minorEastAsia" w:hAnsiTheme="minorEastAsia" w:eastAsiaTheme="minorEastAsia"/>
          <w:i w:val="0"/>
          <w:color w:val="auto"/>
          <w:sz w:val="21"/>
          <w:szCs w:val="21"/>
          <w:lang w:eastAsia="zh-CN"/>
        </w:rPr>
        <w:t>9.2.2</w:t>
      </w:r>
      <w:r>
        <w:rPr>
          <w:rStyle w:val="89"/>
          <w:rFonts w:hint="eastAsia" w:asciiTheme="minorEastAsia" w:hAnsiTheme="minorEastAsia" w:eastAsiaTheme="minorEastAsia"/>
          <w:i w:val="0"/>
          <w:color w:val="auto"/>
          <w:sz w:val="21"/>
          <w:szCs w:val="21"/>
          <w:lang w:eastAsia="zh-CN"/>
        </w:rPr>
        <w:t>油田开发对土地利用的影响分析</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_Toc408414015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129</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2160CDEA">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"_Toc408414016" </w:instrText>
      </w:r>
      <w:r>
        <w:fldChar w:fldCharType="separate"/>
      </w:r>
      <w:r>
        <w:rPr>
          <w:rStyle w:val="89"/>
          <w:rFonts w:asciiTheme="minorEastAsia" w:hAnsiTheme="minorEastAsia" w:eastAsiaTheme="minorEastAsia"/>
          <w:i w:val="0"/>
          <w:color w:val="auto"/>
          <w:sz w:val="21"/>
          <w:szCs w:val="21"/>
          <w:lang w:eastAsia="zh-CN"/>
        </w:rPr>
        <w:t>9.2.3</w:t>
      </w:r>
      <w:r>
        <w:rPr>
          <w:rStyle w:val="89"/>
          <w:rFonts w:hint="eastAsia" w:asciiTheme="minorEastAsia" w:hAnsiTheme="minorEastAsia" w:eastAsiaTheme="minorEastAsia"/>
          <w:i w:val="0"/>
          <w:color w:val="auto"/>
          <w:sz w:val="21"/>
          <w:szCs w:val="21"/>
          <w:lang w:eastAsia="zh-CN"/>
        </w:rPr>
        <w:t>油田开发对动植物的影响评价</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_Toc408414016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129</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7E347BCE">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"_Toc408414017" </w:instrText>
      </w:r>
      <w:r>
        <w:fldChar w:fldCharType="separate"/>
      </w:r>
      <w:r>
        <w:rPr>
          <w:rStyle w:val="89"/>
          <w:rFonts w:asciiTheme="minorEastAsia" w:hAnsiTheme="minorEastAsia" w:eastAsiaTheme="minorEastAsia"/>
          <w:i w:val="0"/>
          <w:color w:val="auto"/>
          <w:sz w:val="21"/>
          <w:szCs w:val="21"/>
          <w:lang w:eastAsia="zh-CN"/>
        </w:rPr>
        <w:t>9.2.4</w:t>
      </w:r>
      <w:r>
        <w:rPr>
          <w:rStyle w:val="89"/>
          <w:rFonts w:hint="eastAsia" w:asciiTheme="minorEastAsia" w:hAnsiTheme="minorEastAsia" w:eastAsiaTheme="minorEastAsia"/>
          <w:i w:val="0"/>
          <w:color w:val="auto"/>
          <w:sz w:val="21"/>
          <w:szCs w:val="21"/>
          <w:lang w:eastAsia="zh-CN"/>
        </w:rPr>
        <w:t>油田开发对土壤环境的影响分析</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_Toc408414017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130</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0326C478">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"_Toc408414018" </w:instrText>
      </w:r>
      <w:r>
        <w:fldChar w:fldCharType="separate"/>
      </w:r>
      <w:r>
        <w:rPr>
          <w:rStyle w:val="89"/>
          <w:rFonts w:asciiTheme="minorEastAsia" w:hAnsiTheme="minorEastAsia" w:eastAsiaTheme="minorEastAsia"/>
          <w:i w:val="0"/>
          <w:color w:val="auto"/>
          <w:sz w:val="21"/>
          <w:szCs w:val="21"/>
          <w:lang w:eastAsia="zh-CN"/>
        </w:rPr>
        <w:t>9.2.5</w:t>
      </w:r>
      <w:r>
        <w:rPr>
          <w:rStyle w:val="89"/>
          <w:rFonts w:hint="eastAsia" w:asciiTheme="minorEastAsia" w:hAnsiTheme="minorEastAsia" w:eastAsiaTheme="minorEastAsia"/>
          <w:i w:val="0"/>
          <w:color w:val="auto"/>
          <w:sz w:val="21"/>
          <w:szCs w:val="21"/>
          <w:lang w:eastAsia="zh-CN"/>
        </w:rPr>
        <w:t>对评价区域生态系统的影响分析</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_Toc408414018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133</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6814FEFE">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"_Toc408414019" </w:instrText>
      </w:r>
      <w:r>
        <w:fldChar w:fldCharType="separate"/>
      </w:r>
      <w:r>
        <w:rPr>
          <w:rStyle w:val="89"/>
          <w:rFonts w:asciiTheme="minorEastAsia" w:hAnsiTheme="minorEastAsia" w:eastAsiaTheme="minorEastAsia"/>
          <w:i w:val="0"/>
          <w:color w:val="auto"/>
          <w:sz w:val="21"/>
          <w:szCs w:val="21"/>
          <w:lang w:eastAsia="zh-CN"/>
        </w:rPr>
        <w:t xml:space="preserve">9.2.6 </w:t>
      </w:r>
      <w:r>
        <w:rPr>
          <w:rStyle w:val="89"/>
          <w:rFonts w:hint="eastAsia" w:asciiTheme="minorEastAsia" w:hAnsiTheme="minorEastAsia" w:eastAsiaTheme="minorEastAsia"/>
          <w:i w:val="0"/>
          <w:color w:val="auto"/>
          <w:sz w:val="21"/>
          <w:szCs w:val="21"/>
          <w:lang w:eastAsia="zh-CN"/>
        </w:rPr>
        <w:t>事故状态对生态环境影响分析</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_Toc408414019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133</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30521955">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"_Toc408414020" </w:instrText>
      </w:r>
      <w:r>
        <w:fldChar w:fldCharType="separate"/>
      </w:r>
      <w:r>
        <w:rPr>
          <w:rStyle w:val="89"/>
          <w:rFonts w:asciiTheme="minorEastAsia" w:hAnsiTheme="minorEastAsia" w:eastAsiaTheme="minorEastAsia"/>
          <w:color w:val="auto"/>
          <w:sz w:val="21"/>
          <w:szCs w:val="21"/>
          <w:lang w:eastAsia="zh-CN"/>
        </w:rPr>
        <w:t>9.3</w:t>
      </w:r>
      <w:r>
        <w:rPr>
          <w:rStyle w:val="89"/>
          <w:rFonts w:hint="eastAsia" w:asciiTheme="minorEastAsia" w:hAnsiTheme="minorEastAsia" w:eastAsiaTheme="minorEastAsia"/>
          <w:color w:val="auto"/>
          <w:sz w:val="21"/>
          <w:szCs w:val="21"/>
          <w:lang w:eastAsia="zh-CN"/>
        </w:rPr>
        <w:t>生态环境保护措施</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_Toc408414020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134</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6450809E">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"_Toc408414021" </w:instrText>
      </w:r>
      <w:r>
        <w:fldChar w:fldCharType="separate"/>
      </w:r>
      <w:r>
        <w:rPr>
          <w:rStyle w:val="89"/>
          <w:rFonts w:asciiTheme="minorEastAsia" w:hAnsiTheme="minorEastAsia" w:eastAsiaTheme="minorEastAsia"/>
          <w:i w:val="0"/>
          <w:color w:val="auto"/>
          <w:sz w:val="21"/>
          <w:szCs w:val="21"/>
          <w:lang w:eastAsia="zh-CN"/>
        </w:rPr>
        <w:t>9.3.1</w:t>
      </w:r>
      <w:r>
        <w:rPr>
          <w:rStyle w:val="89"/>
          <w:rFonts w:hint="eastAsia" w:asciiTheme="minorEastAsia" w:hAnsiTheme="minorEastAsia" w:eastAsiaTheme="minorEastAsia"/>
          <w:i w:val="0"/>
          <w:color w:val="auto"/>
          <w:sz w:val="21"/>
          <w:szCs w:val="21"/>
          <w:lang w:eastAsia="zh-CN"/>
        </w:rPr>
        <w:t>施工期生态保护措施</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_Toc408414021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134</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17C2ECEE">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"_Toc408414022" </w:instrText>
      </w:r>
      <w:r>
        <w:fldChar w:fldCharType="separate"/>
      </w:r>
      <w:r>
        <w:rPr>
          <w:rStyle w:val="89"/>
          <w:rFonts w:asciiTheme="minorEastAsia" w:hAnsiTheme="minorEastAsia" w:eastAsiaTheme="minorEastAsia"/>
          <w:i w:val="0"/>
          <w:color w:val="auto"/>
          <w:sz w:val="21"/>
          <w:szCs w:val="21"/>
          <w:lang w:eastAsia="zh-CN"/>
        </w:rPr>
        <w:t>9.3.2</w:t>
      </w:r>
      <w:r>
        <w:rPr>
          <w:rStyle w:val="89"/>
          <w:rFonts w:hint="eastAsia" w:asciiTheme="minorEastAsia" w:hAnsiTheme="minorEastAsia" w:eastAsiaTheme="minorEastAsia"/>
          <w:i w:val="0"/>
          <w:color w:val="auto"/>
          <w:sz w:val="21"/>
          <w:szCs w:val="21"/>
          <w:lang w:eastAsia="zh-CN"/>
        </w:rPr>
        <w:t>运行期生态保护措施</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_Toc408414022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135</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709A728F">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"_Toc408414023" </w:instrText>
      </w:r>
      <w:r>
        <w:fldChar w:fldCharType="separate"/>
      </w:r>
      <w:r>
        <w:rPr>
          <w:rStyle w:val="89"/>
          <w:rFonts w:asciiTheme="minorEastAsia" w:hAnsiTheme="minorEastAsia" w:eastAsiaTheme="minorEastAsia"/>
          <w:i w:val="0"/>
          <w:color w:val="auto"/>
          <w:sz w:val="21"/>
          <w:szCs w:val="21"/>
          <w:lang w:eastAsia="zh-CN"/>
        </w:rPr>
        <w:t>9.3.3</w:t>
      </w:r>
      <w:r>
        <w:rPr>
          <w:rStyle w:val="89"/>
          <w:rFonts w:hint="eastAsia" w:asciiTheme="minorEastAsia" w:hAnsiTheme="minorEastAsia" w:eastAsiaTheme="minorEastAsia"/>
          <w:i w:val="0"/>
          <w:color w:val="auto"/>
          <w:sz w:val="21"/>
          <w:szCs w:val="21"/>
          <w:lang w:eastAsia="zh-CN"/>
        </w:rPr>
        <w:t>生态恢复措施</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_Toc408414023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136</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3414EBE7">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"_Toc408414024" </w:instrText>
      </w:r>
      <w:r>
        <w:fldChar w:fldCharType="separate"/>
      </w:r>
      <w:r>
        <w:rPr>
          <w:rStyle w:val="89"/>
          <w:rFonts w:asciiTheme="minorEastAsia" w:hAnsiTheme="minorEastAsia" w:eastAsiaTheme="minorEastAsia"/>
          <w:i w:val="0"/>
          <w:color w:val="auto"/>
          <w:sz w:val="21"/>
          <w:szCs w:val="21"/>
          <w:lang w:eastAsia="zh-CN"/>
        </w:rPr>
        <w:t>9.3.4</w:t>
      </w:r>
      <w:r>
        <w:rPr>
          <w:rStyle w:val="89"/>
          <w:rFonts w:hint="eastAsia" w:asciiTheme="minorEastAsia" w:hAnsiTheme="minorEastAsia" w:eastAsiaTheme="minorEastAsia"/>
          <w:i w:val="0"/>
          <w:color w:val="auto"/>
          <w:sz w:val="21"/>
          <w:szCs w:val="21"/>
          <w:lang w:eastAsia="zh-CN"/>
        </w:rPr>
        <w:t>闭井期的环境保护措施</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_Toc408414024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137</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6069748B">
      <w:pPr>
        <w:pStyle w:val="51"/>
        <w:rPr>
          <w:rFonts w:asciiTheme="minorEastAsia" w:hAnsiTheme="minorEastAsia" w:eastAsiaTheme="minorEastAsia" w:cstheme="minorBidi"/>
          <w:b/>
          <w:bCs w:val="0"/>
          <w:caps w:val="0"/>
          <w:kern w:val="2"/>
          <w:sz w:val="21"/>
          <w:szCs w:val="21"/>
          <w:lang w:bidi="ar-SA"/>
        </w:rPr>
      </w:pPr>
      <w:r>
        <w:fldChar w:fldCharType="begin"/>
      </w:r>
      <w:r>
        <w:instrText xml:space="preserve"> HYPERLINK \l "_Toc408414025" </w:instrText>
      </w:r>
      <w:r>
        <w:fldChar w:fldCharType="separate"/>
      </w:r>
      <w:r>
        <w:rPr>
          <w:rStyle w:val="89"/>
          <w:rFonts w:asciiTheme="minorEastAsia" w:hAnsiTheme="minorEastAsia" w:eastAsiaTheme="minorEastAsia"/>
          <w:b/>
          <w:color w:val="auto"/>
          <w:sz w:val="21"/>
          <w:szCs w:val="21"/>
        </w:rPr>
        <w:t>10</w:t>
      </w:r>
      <w:r>
        <w:rPr>
          <w:rStyle w:val="89"/>
          <w:rFonts w:hint="eastAsia" w:asciiTheme="minorEastAsia" w:hAnsiTheme="minorEastAsia" w:eastAsiaTheme="minorEastAsia"/>
          <w:b/>
          <w:color w:val="auto"/>
          <w:sz w:val="21"/>
          <w:szCs w:val="21"/>
        </w:rPr>
        <w:t>水土保持方案</w:t>
      </w:r>
      <w:r>
        <w:rPr>
          <w:rFonts w:asciiTheme="minorEastAsia" w:hAnsiTheme="minorEastAsia" w:eastAsiaTheme="minorEastAsia"/>
          <w:b/>
          <w:sz w:val="21"/>
          <w:szCs w:val="21"/>
        </w:rPr>
        <w:tab/>
      </w:r>
      <w:r>
        <w:rPr>
          <w:rFonts w:asciiTheme="minorEastAsia" w:hAnsiTheme="minorEastAsia" w:eastAsiaTheme="minorEastAsia"/>
          <w:b/>
          <w:sz w:val="21"/>
          <w:szCs w:val="21"/>
        </w:rPr>
        <w:fldChar w:fldCharType="begin"/>
      </w:r>
      <w:r>
        <w:rPr>
          <w:rFonts w:asciiTheme="minorEastAsia" w:hAnsiTheme="minorEastAsia" w:eastAsiaTheme="minorEastAsia"/>
          <w:b/>
          <w:sz w:val="21"/>
          <w:szCs w:val="21"/>
        </w:rPr>
        <w:instrText xml:space="preserve"> PAGEREF _Toc408414025 \h </w:instrText>
      </w:r>
      <w:r>
        <w:rPr>
          <w:rFonts w:asciiTheme="minorEastAsia" w:hAnsiTheme="minorEastAsia" w:eastAsiaTheme="minorEastAsia"/>
          <w:b/>
          <w:sz w:val="21"/>
          <w:szCs w:val="21"/>
        </w:rPr>
        <w:fldChar w:fldCharType="separate"/>
      </w:r>
      <w:r>
        <w:rPr>
          <w:rFonts w:asciiTheme="minorEastAsia" w:hAnsiTheme="minorEastAsia" w:eastAsiaTheme="minorEastAsia"/>
          <w:b/>
          <w:sz w:val="21"/>
          <w:szCs w:val="21"/>
        </w:rPr>
        <w:t>138</w:t>
      </w:r>
      <w:r>
        <w:rPr>
          <w:rFonts w:asciiTheme="minorEastAsia" w:hAnsiTheme="minorEastAsia" w:eastAsiaTheme="minorEastAsia"/>
          <w:b/>
          <w:sz w:val="21"/>
          <w:szCs w:val="21"/>
        </w:rPr>
        <w:fldChar w:fldCharType="end"/>
      </w:r>
      <w:r>
        <w:rPr>
          <w:rFonts w:asciiTheme="minorEastAsia" w:hAnsiTheme="minorEastAsia" w:eastAsiaTheme="minorEastAsia"/>
          <w:b/>
          <w:sz w:val="21"/>
          <w:szCs w:val="21"/>
        </w:rPr>
        <w:fldChar w:fldCharType="end"/>
      </w:r>
    </w:p>
    <w:p w14:paraId="62575F35">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"_Toc408414026" </w:instrText>
      </w:r>
      <w:r>
        <w:fldChar w:fldCharType="separate"/>
      </w:r>
      <w:r>
        <w:rPr>
          <w:rStyle w:val="89"/>
          <w:rFonts w:asciiTheme="minorEastAsia" w:hAnsiTheme="minorEastAsia" w:eastAsiaTheme="minorEastAsia"/>
          <w:color w:val="auto"/>
          <w:sz w:val="21"/>
          <w:szCs w:val="21"/>
          <w:lang w:eastAsia="zh-CN"/>
        </w:rPr>
        <w:t>10.1</w:t>
      </w:r>
      <w:r>
        <w:rPr>
          <w:rStyle w:val="89"/>
          <w:rFonts w:hint="eastAsia" w:asciiTheme="minorEastAsia" w:hAnsiTheme="minorEastAsia" w:eastAsiaTheme="minorEastAsia"/>
          <w:color w:val="auto"/>
          <w:sz w:val="21"/>
          <w:szCs w:val="21"/>
          <w:lang w:eastAsia="zh-CN"/>
        </w:rPr>
        <w:t>防治责任范围及防治目标</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_Toc408414026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138</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3F3CA88B">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"_Toc408414027" </w:instrText>
      </w:r>
      <w:r>
        <w:fldChar w:fldCharType="separate"/>
      </w:r>
      <w:r>
        <w:rPr>
          <w:rStyle w:val="89"/>
          <w:rFonts w:asciiTheme="minorEastAsia" w:hAnsiTheme="minorEastAsia" w:eastAsiaTheme="minorEastAsia"/>
          <w:i w:val="0"/>
          <w:color w:val="auto"/>
          <w:sz w:val="21"/>
          <w:szCs w:val="21"/>
          <w:lang w:eastAsia="zh-CN"/>
        </w:rPr>
        <w:t>10.1.1</w:t>
      </w:r>
      <w:r>
        <w:rPr>
          <w:rStyle w:val="89"/>
          <w:rFonts w:hint="eastAsia" w:asciiTheme="minorEastAsia" w:hAnsiTheme="minorEastAsia" w:eastAsiaTheme="minorEastAsia"/>
          <w:i w:val="0"/>
          <w:color w:val="auto"/>
          <w:sz w:val="21"/>
          <w:szCs w:val="21"/>
          <w:lang w:eastAsia="zh-CN"/>
        </w:rPr>
        <w:t>水土流失防治责任范围</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_Toc408414027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138</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1A9FE788">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"_Toc408414028" </w:instrText>
      </w:r>
      <w:r>
        <w:fldChar w:fldCharType="separate"/>
      </w:r>
      <w:r>
        <w:rPr>
          <w:rStyle w:val="89"/>
          <w:rFonts w:asciiTheme="minorEastAsia" w:hAnsiTheme="minorEastAsia" w:eastAsiaTheme="minorEastAsia"/>
          <w:i w:val="0"/>
          <w:color w:val="auto"/>
          <w:sz w:val="21"/>
          <w:szCs w:val="21"/>
          <w:lang w:eastAsia="zh-CN"/>
        </w:rPr>
        <w:t>10.1.2</w:t>
      </w:r>
      <w:r>
        <w:rPr>
          <w:rStyle w:val="89"/>
          <w:rFonts w:hint="eastAsia" w:asciiTheme="minorEastAsia" w:hAnsiTheme="minorEastAsia" w:eastAsiaTheme="minorEastAsia"/>
          <w:i w:val="0"/>
          <w:color w:val="auto"/>
          <w:sz w:val="21"/>
          <w:szCs w:val="21"/>
          <w:lang w:eastAsia="zh-CN"/>
        </w:rPr>
        <w:t>水土流失防治分区</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_Toc408414028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138</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2D2F17E0">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"_Toc408414029" </w:instrText>
      </w:r>
      <w:r>
        <w:fldChar w:fldCharType="separate"/>
      </w:r>
      <w:r>
        <w:rPr>
          <w:rStyle w:val="89"/>
          <w:rFonts w:asciiTheme="minorEastAsia" w:hAnsiTheme="minorEastAsia" w:eastAsiaTheme="minorEastAsia"/>
          <w:i w:val="0"/>
          <w:color w:val="auto"/>
          <w:sz w:val="21"/>
          <w:szCs w:val="21"/>
          <w:lang w:eastAsia="zh-CN"/>
        </w:rPr>
        <w:t>10.1.3</w:t>
      </w:r>
      <w:r>
        <w:rPr>
          <w:rStyle w:val="89"/>
          <w:rFonts w:hint="eastAsia" w:asciiTheme="minorEastAsia" w:hAnsiTheme="minorEastAsia" w:eastAsiaTheme="minorEastAsia"/>
          <w:i w:val="0"/>
          <w:color w:val="auto"/>
          <w:sz w:val="21"/>
          <w:szCs w:val="21"/>
          <w:lang w:eastAsia="zh-CN"/>
        </w:rPr>
        <w:t>水土保持防治目标</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_Toc408414029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138</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53F3A726">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"_Toc408414030" </w:instrText>
      </w:r>
      <w:r>
        <w:fldChar w:fldCharType="separate"/>
      </w:r>
      <w:r>
        <w:rPr>
          <w:rStyle w:val="89"/>
          <w:rFonts w:asciiTheme="minorEastAsia" w:hAnsiTheme="minorEastAsia" w:eastAsiaTheme="minorEastAsia"/>
          <w:color w:val="auto"/>
          <w:sz w:val="21"/>
          <w:szCs w:val="21"/>
          <w:lang w:eastAsia="zh-CN"/>
        </w:rPr>
        <w:t>10.2</w:t>
      </w:r>
      <w:r>
        <w:rPr>
          <w:rStyle w:val="89"/>
          <w:rFonts w:hint="eastAsia" w:asciiTheme="minorEastAsia" w:hAnsiTheme="minorEastAsia" w:eastAsiaTheme="minorEastAsia"/>
          <w:color w:val="auto"/>
          <w:sz w:val="21"/>
          <w:szCs w:val="21"/>
          <w:lang w:eastAsia="zh-CN"/>
        </w:rPr>
        <w:t>水土流失预测</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_Toc408414030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140</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2B1F9FB9">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"_Toc408414031" </w:instrText>
      </w:r>
      <w:r>
        <w:fldChar w:fldCharType="separate"/>
      </w:r>
      <w:r>
        <w:rPr>
          <w:rStyle w:val="89"/>
          <w:rFonts w:asciiTheme="minorEastAsia" w:hAnsiTheme="minorEastAsia" w:eastAsiaTheme="minorEastAsia"/>
          <w:i w:val="0"/>
          <w:color w:val="auto"/>
          <w:sz w:val="21"/>
          <w:szCs w:val="21"/>
          <w:lang w:eastAsia="zh-CN"/>
        </w:rPr>
        <w:t>10.2.1</w:t>
      </w:r>
      <w:r>
        <w:rPr>
          <w:rStyle w:val="89"/>
          <w:rFonts w:hint="eastAsia" w:asciiTheme="minorEastAsia" w:hAnsiTheme="minorEastAsia" w:eastAsiaTheme="minorEastAsia"/>
          <w:i w:val="0"/>
          <w:color w:val="auto"/>
          <w:sz w:val="21"/>
          <w:szCs w:val="21"/>
          <w:lang w:eastAsia="zh-CN"/>
        </w:rPr>
        <w:t>预测单元</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_Toc408414031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140</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6CD57A26">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"_Toc408414032" </w:instrText>
      </w:r>
      <w:r>
        <w:fldChar w:fldCharType="separate"/>
      </w:r>
      <w:r>
        <w:rPr>
          <w:rStyle w:val="89"/>
          <w:rFonts w:asciiTheme="minorEastAsia" w:hAnsiTheme="minorEastAsia" w:eastAsiaTheme="minorEastAsia"/>
          <w:i w:val="0"/>
          <w:color w:val="auto"/>
          <w:sz w:val="21"/>
          <w:szCs w:val="21"/>
          <w:lang w:eastAsia="zh-CN"/>
        </w:rPr>
        <w:t>10.2.2</w:t>
      </w:r>
      <w:r>
        <w:rPr>
          <w:rStyle w:val="89"/>
          <w:rFonts w:hint="eastAsia" w:asciiTheme="minorEastAsia" w:hAnsiTheme="minorEastAsia" w:eastAsiaTheme="minorEastAsia"/>
          <w:i w:val="0"/>
          <w:color w:val="auto"/>
          <w:sz w:val="21"/>
          <w:szCs w:val="21"/>
          <w:lang w:eastAsia="zh-CN"/>
        </w:rPr>
        <w:t>预测时段</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_Toc408414032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140</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2215120F">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"_Toc408414033" </w:instrText>
      </w:r>
      <w:r>
        <w:fldChar w:fldCharType="separate"/>
      </w:r>
      <w:r>
        <w:rPr>
          <w:rStyle w:val="89"/>
          <w:rFonts w:asciiTheme="minorEastAsia" w:hAnsiTheme="minorEastAsia" w:eastAsiaTheme="minorEastAsia"/>
          <w:i w:val="0"/>
          <w:color w:val="auto"/>
          <w:sz w:val="21"/>
          <w:szCs w:val="21"/>
          <w:lang w:eastAsia="zh-CN"/>
        </w:rPr>
        <w:t>10.2.3</w:t>
      </w:r>
      <w:r>
        <w:rPr>
          <w:rStyle w:val="89"/>
          <w:rFonts w:hint="eastAsia" w:asciiTheme="minorEastAsia" w:hAnsiTheme="minorEastAsia" w:eastAsiaTheme="minorEastAsia"/>
          <w:i w:val="0"/>
          <w:color w:val="auto"/>
          <w:sz w:val="21"/>
          <w:szCs w:val="21"/>
          <w:lang w:eastAsia="zh-CN"/>
        </w:rPr>
        <w:t>预测内容</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_Toc408414033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140</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00D70A83">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"_Toc408414034" </w:instrText>
      </w:r>
      <w:r>
        <w:fldChar w:fldCharType="separate"/>
      </w:r>
      <w:r>
        <w:rPr>
          <w:rStyle w:val="89"/>
          <w:rFonts w:asciiTheme="minorEastAsia" w:hAnsiTheme="minorEastAsia" w:eastAsiaTheme="minorEastAsia"/>
          <w:i w:val="0"/>
          <w:color w:val="auto"/>
          <w:sz w:val="21"/>
          <w:szCs w:val="21"/>
          <w:lang w:eastAsia="zh-CN"/>
        </w:rPr>
        <w:t>10.2.4</w:t>
      </w:r>
      <w:r>
        <w:rPr>
          <w:rStyle w:val="89"/>
          <w:rFonts w:hint="eastAsia" w:asciiTheme="minorEastAsia" w:hAnsiTheme="minorEastAsia" w:eastAsiaTheme="minorEastAsia"/>
          <w:i w:val="0"/>
          <w:color w:val="auto"/>
          <w:sz w:val="21"/>
          <w:szCs w:val="21"/>
          <w:lang w:eastAsia="zh-CN"/>
        </w:rPr>
        <w:t>预测结果</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_Toc408414034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140</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0BF6D021">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"_Toc408414035" </w:instrText>
      </w:r>
      <w:r>
        <w:fldChar w:fldCharType="separate"/>
      </w:r>
      <w:r>
        <w:rPr>
          <w:rStyle w:val="89"/>
          <w:rFonts w:asciiTheme="minorEastAsia" w:hAnsiTheme="minorEastAsia" w:eastAsiaTheme="minorEastAsia"/>
          <w:color w:val="auto"/>
          <w:sz w:val="21"/>
          <w:szCs w:val="21"/>
        </w:rPr>
        <w:t>10.3</w:t>
      </w:r>
      <w:r>
        <w:rPr>
          <w:rStyle w:val="89"/>
          <w:rFonts w:hint="eastAsia" w:asciiTheme="minorEastAsia" w:hAnsiTheme="minorEastAsia" w:eastAsiaTheme="minorEastAsia"/>
          <w:color w:val="auto"/>
          <w:sz w:val="21"/>
          <w:szCs w:val="21"/>
        </w:rPr>
        <w:t>水土保持防治措施</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_Toc408414035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141</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2F2A5901">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"_Toc408414036" </w:instrText>
      </w:r>
      <w:r>
        <w:fldChar w:fldCharType="separate"/>
      </w:r>
      <w:r>
        <w:rPr>
          <w:rStyle w:val="89"/>
          <w:rFonts w:asciiTheme="minorEastAsia" w:hAnsiTheme="minorEastAsia" w:eastAsiaTheme="minorEastAsia"/>
          <w:color w:val="auto"/>
          <w:sz w:val="21"/>
          <w:szCs w:val="21"/>
          <w:lang w:eastAsia="zh-CN"/>
        </w:rPr>
        <w:t>10.4</w:t>
      </w:r>
      <w:r>
        <w:rPr>
          <w:rStyle w:val="89"/>
          <w:rFonts w:hint="eastAsia" w:asciiTheme="minorEastAsia" w:hAnsiTheme="minorEastAsia" w:eastAsiaTheme="minorEastAsia"/>
          <w:color w:val="auto"/>
          <w:sz w:val="21"/>
          <w:szCs w:val="21"/>
          <w:lang w:eastAsia="zh-CN"/>
        </w:rPr>
        <w:t>主体工程施工方法及施工工艺</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_Toc408414036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142</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37BD3804">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"_Toc408414037" </w:instrText>
      </w:r>
      <w:r>
        <w:fldChar w:fldCharType="separate"/>
      </w:r>
      <w:r>
        <w:rPr>
          <w:rStyle w:val="89"/>
          <w:rFonts w:asciiTheme="minorEastAsia" w:hAnsiTheme="minorEastAsia" w:eastAsiaTheme="minorEastAsia"/>
          <w:color w:val="auto"/>
          <w:sz w:val="21"/>
          <w:szCs w:val="21"/>
          <w:lang w:eastAsia="zh-CN"/>
        </w:rPr>
        <w:t>10.5</w:t>
      </w:r>
      <w:r>
        <w:rPr>
          <w:rStyle w:val="89"/>
          <w:rFonts w:hint="eastAsia" w:asciiTheme="minorEastAsia" w:hAnsiTheme="minorEastAsia" w:eastAsiaTheme="minorEastAsia"/>
          <w:color w:val="auto"/>
          <w:sz w:val="21"/>
          <w:szCs w:val="21"/>
          <w:lang w:eastAsia="zh-CN"/>
        </w:rPr>
        <w:t>水土保持监测</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_Toc408414037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143</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44ED9486">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"_Toc408414038" </w:instrText>
      </w:r>
      <w:r>
        <w:fldChar w:fldCharType="separate"/>
      </w:r>
      <w:r>
        <w:rPr>
          <w:rStyle w:val="89"/>
          <w:rFonts w:asciiTheme="minorEastAsia" w:hAnsiTheme="minorEastAsia" w:eastAsiaTheme="minorEastAsia"/>
          <w:color w:val="auto"/>
          <w:sz w:val="21"/>
          <w:szCs w:val="21"/>
        </w:rPr>
        <w:t>10.6</w:t>
      </w:r>
      <w:r>
        <w:rPr>
          <w:rStyle w:val="89"/>
          <w:rFonts w:hint="eastAsia" w:asciiTheme="minorEastAsia" w:hAnsiTheme="minorEastAsia" w:eastAsiaTheme="minorEastAsia"/>
          <w:color w:val="auto"/>
          <w:sz w:val="21"/>
          <w:szCs w:val="21"/>
        </w:rPr>
        <w:t>结论</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_Toc408414038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143</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25C13F70">
      <w:pPr>
        <w:pStyle w:val="51"/>
        <w:rPr>
          <w:rFonts w:asciiTheme="minorEastAsia" w:hAnsiTheme="minorEastAsia" w:eastAsiaTheme="minorEastAsia" w:cstheme="minorBidi"/>
          <w:b/>
          <w:bCs w:val="0"/>
          <w:caps w:val="0"/>
          <w:kern w:val="2"/>
          <w:sz w:val="21"/>
          <w:szCs w:val="21"/>
          <w:lang w:bidi="ar-SA"/>
        </w:rPr>
      </w:pPr>
      <w:r>
        <w:fldChar w:fldCharType="begin"/>
      </w:r>
      <w:r>
        <w:instrText xml:space="preserve"> HYPERLINK \l "_Toc408414039" </w:instrText>
      </w:r>
      <w:r>
        <w:fldChar w:fldCharType="separate"/>
      </w:r>
      <w:r>
        <w:rPr>
          <w:rStyle w:val="89"/>
          <w:rFonts w:asciiTheme="minorEastAsia" w:hAnsiTheme="minorEastAsia" w:eastAsiaTheme="minorEastAsia"/>
          <w:b/>
          <w:color w:val="auto"/>
          <w:sz w:val="21"/>
          <w:szCs w:val="21"/>
        </w:rPr>
        <w:t>11</w:t>
      </w:r>
      <w:r>
        <w:rPr>
          <w:rStyle w:val="89"/>
          <w:rFonts w:hint="eastAsia" w:asciiTheme="minorEastAsia" w:hAnsiTheme="minorEastAsia" w:eastAsiaTheme="minorEastAsia"/>
          <w:b/>
          <w:color w:val="auto"/>
          <w:sz w:val="21"/>
          <w:szCs w:val="21"/>
        </w:rPr>
        <w:t>环境风险评价</w:t>
      </w:r>
      <w:r>
        <w:rPr>
          <w:rFonts w:asciiTheme="minorEastAsia" w:hAnsiTheme="minorEastAsia" w:eastAsiaTheme="minorEastAsia"/>
          <w:b/>
          <w:sz w:val="21"/>
          <w:szCs w:val="21"/>
        </w:rPr>
        <w:tab/>
      </w:r>
      <w:r>
        <w:rPr>
          <w:rFonts w:asciiTheme="minorEastAsia" w:hAnsiTheme="minorEastAsia" w:eastAsiaTheme="minorEastAsia"/>
          <w:b/>
          <w:sz w:val="21"/>
          <w:szCs w:val="21"/>
        </w:rPr>
        <w:fldChar w:fldCharType="begin"/>
      </w:r>
      <w:r>
        <w:rPr>
          <w:rFonts w:asciiTheme="minorEastAsia" w:hAnsiTheme="minorEastAsia" w:eastAsiaTheme="minorEastAsia"/>
          <w:b/>
          <w:sz w:val="21"/>
          <w:szCs w:val="21"/>
        </w:rPr>
        <w:instrText xml:space="preserve"> PAGEREF _Toc408414039 \h </w:instrText>
      </w:r>
      <w:r>
        <w:rPr>
          <w:rFonts w:asciiTheme="minorEastAsia" w:hAnsiTheme="minorEastAsia" w:eastAsiaTheme="minorEastAsia"/>
          <w:b/>
          <w:sz w:val="21"/>
          <w:szCs w:val="21"/>
        </w:rPr>
        <w:fldChar w:fldCharType="separate"/>
      </w:r>
      <w:r>
        <w:rPr>
          <w:rFonts w:asciiTheme="minorEastAsia" w:hAnsiTheme="minorEastAsia" w:eastAsiaTheme="minorEastAsia"/>
          <w:b/>
          <w:sz w:val="21"/>
          <w:szCs w:val="21"/>
        </w:rPr>
        <w:t>145</w:t>
      </w:r>
      <w:r>
        <w:rPr>
          <w:rFonts w:asciiTheme="minorEastAsia" w:hAnsiTheme="minorEastAsia" w:eastAsiaTheme="minorEastAsia"/>
          <w:b/>
          <w:sz w:val="21"/>
          <w:szCs w:val="21"/>
        </w:rPr>
        <w:fldChar w:fldCharType="end"/>
      </w:r>
      <w:r>
        <w:rPr>
          <w:rFonts w:asciiTheme="minorEastAsia" w:hAnsiTheme="minorEastAsia" w:eastAsiaTheme="minorEastAsia"/>
          <w:b/>
          <w:sz w:val="21"/>
          <w:szCs w:val="21"/>
        </w:rPr>
        <w:fldChar w:fldCharType="end"/>
      </w:r>
    </w:p>
    <w:p w14:paraId="73D9A97A">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"_Toc408414040" </w:instrText>
      </w:r>
      <w:r>
        <w:fldChar w:fldCharType="separate"/>
      </w:r>
      <w:r>
        <w:rPr>
          <w:rStyle w:val="89"/>
          <w:rFonts w:asciiTheme="minorEastAsia" w:hAnsiTheme="minorEastAsia" w:eastAsiaTheme="minorEastAsia"/>
          <w:color w:val="auto"/>
          <w:sz w:val="21"/>
          <w:szCs w:val="21"/>
          <w:lang w:eastAsia="zh-CN"/>
        </w:rPr>
        <w:t>11.1</w:t>
      </w:r>
      <w:r>
        <w:rPr>
          <w:rStyle w:val="89"/>
          <w:rFonts w:hint="eastAsia" w:asciiTheme="minorEastAsia" w:hAnsiTheme="minorEastAsia" w:eastAsiaTheme="minorEastAsia"/>
          <w:color w:val="auto"/>
          <w:sz w:val="21"/>
          <w:szCs w:val="21"/>
          <w:lang w:eastAsia="zh-CN"/>
        </w:rPr>
        <w:t>环境风险识别</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_Toc408414040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145</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6A33066D">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"_Toc408414041" </w:instrText>
      </w:r>
      <w:r>
        <w:fldChar w:fldCharType="separate"/>
      </w:r>
      <w:r>
        <w:rPr>
          <w:rStyle w:val="89"/>
          <w:rFonts w:asciiTheme="minorEastAsia" w:hAnsiTheme="minorEastAsia" w:eastAsiaTheme="minorEastAsia"/>
          <w:i w:val="0"/>
          <w:color w:val="auto"/>
          <w:sz w:val="21"/>
          <w:szCs w:val="21"/>
          <w:lang w:eastAsia="zh-CN"/>
        </w:rPr>
        <w:t>11.1.1</w:t>
      </w:r>
      <w:r>
        <w:rPr>
          <w:rStyle w:val="89"/>
          <w:rFonts w:hint="eastAsia" w:asciiTheme="minorEastAsia" w:hAnsiTheme="minorEastAsia" w:eastAsiaTheme="minorEastAsia"/>
          <w:i w:val="0"/>
          <w:color w:val="auto"/>
          <w:sz w:val="21"/>
          <w:szCs w:val="21"/>
          <w:lang w:eastAsia="zh-CN"/>
        </w:rPr>
        <w:t>物质风险性识别</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_Toc408414041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145</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0F2D8675">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"_Toc408414042" </w:instrText>
      </w:r>
      <w:r>
        <w:fldChar w:fldCharType="separate"/>
      </w:r>
      <w:r>
        <w:rPr>
          <w:rStyle w:val="89"/>
          <w:rFonts w:asciiTheme="minorEastAsia" w:hAnsiTheme="minorEastAsia" w:eastAsiaTheme="minorEastAsia"/>
          <w:i w:val="0"/>
          <w:color w:val="auto"/>
          <w:sz w:val="21"/>
          <w:szCs w:val="21"/>
          <w:lang w:eastAsia="zh-CN"/>
        </w:rPr>
        <w:t>11.1.2</w:t>
      </w:r>
      <w:r>
        <w:rPr>
          <w:rStyle w:val="89"/>
          <w:rFonts w:hint="eastAsia" w:asciiTheme="minorEastAsia" w:hAnsiTheme="minorEastAsia" w:eastAsiaTheme="minorEastAsia"/>
          <w:i w:val="0"/>
          <w:color w:val="auto"/>
          <w:sz w:val="21"/>
          <w:szCs w:val="21"/>
          <w:lang w:eastAsia="zh-CN"/>
        </w:rPr>
        <w:t>生产设施风险识别范围</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_Toc408414042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146</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44DB809F">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"_Toc408414043" </w:instrText>
      </w:r>
      <w:r>
        <w:fldChar w:fldCharType="separate"/>
      </w:r>
      <w:r>
        <w:rPr>
          <w:rStyle w:val="89"/>
          <w:rFonts w:asciiTheme="minorEastAsia" w:hAnsiTheme="minorEastAsia" w:eastAsiaTheme="minorEastAsia"/>
          <w:color w:val="auto"/>
          <w:sz w:val="21"/>
          <w:szCs w:val="21"/>
          <w:lang w:eastAsia="zh-CN"/>
        </w:rPr>
        <w:t>11.2</w:t>
      </w:r>
      <w:r>
        <w:rPr>
          <w:rStyle w:val="89"/>
          <w:rFonts w:hint="eastAsia" w:asciiTheme="minorEastAsia" w:hAnsiTheme="minorEastAsia" w:eastAsiaTheme="minorEastAsia"/>
          <w:color w:val="auto"/>
          <w:sz w:val="21"/>
          <w:szCs w:val="21"/>
          <w:lang w:eastAsia="zh-CN"/>
        </w:rPr>
        <w:t>评价工作等级、范围</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_Toc408414043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149</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35D2DDA7">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"_Toc408414044" </w:instrText>
      </w:r>
      <w:r>
        <w:fldChar w:fldCharType="separate"/>
      </w:r>
      <w:r>
        <w:rPr>
          <w:rStyle w:val="89"/>
          <w:rFonts w:asciiTheme="minorEastAsia" w:hAnsiTheme="minorEastAsia" w:eastAsiaTheme="minorEastAsia"/>
          <w:color w:val="auto"/>
          <w:sz w:val="21"/>
          <w:szCs w:val="21"/>
          <w:lang w:eastAsia="zh-CN"/>
        </w:rPr>
        <w:t>11.3</w:t>
      </w:r>
      <w:r>
        <w:rPr>
          <w:rStyle w:val="89"/>
          <w:rFonts w:hint="eastAsia" w:asciiTheme="minorEastAsia" w:hAnsiTheme="minorEastAsia" w:eastAsiaTheme="minorEastAsia"/>
          <w:color w:val="auto"/>
          <w:sz w:val="21"/>
          <w:szCs w:val="21"/>
          <w:lang w:eastAsia="zh-CN"/>
        </w:rPr>
        <w:t>源项分析</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_Toc408414044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149</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654B66B5">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"_Toc408414045" </w:instrText>
      </w:r>
      <w:r>
        <w:fldChar w:fldCharType="separate"/>
      </w:r>
      <w:r>
        <w:rPr>
          <w:rStyle w:val="89"/>
          <w:rFonts w:asciiTheme="minorEastAsia" w:hAnsiTheme="minorEastAsia" w:eastAsiaTheme="minorEastAsia"/>
          <w:i w:val="0"/>
          <w:color w:val="auto"/>
          <w:sz w:val="21"/>
          <w:szCs w:val="21"/>
          <w:lang w:eastAsia="zh-CN"/>
        </w:rPr>
        <w:t>11.3.1</w:t>
      </w:r>
      <w:r>
        <w:rPr>
          <w:rStyle w:val="89"/>
          <w:rFonts w:hint="eastAsia" w:asciiTheme="minorEastAsia" w:hAnsiTheme="minorEastAsia" w:eastAsiaTheme="minorEastAsia"/>
          <w:i w:val="0"/>
          <w:color w:val="auto"/>
          <w:sz w:val="21"/>
          <w:szCs w:val="21"/>
          <w:lang w:eastAsia="zh-CN"/>
        </w:rPr>
        <w:t>井喷</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_Toc408414045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149</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627D7E85">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"_Toc408414046" </w:instrText>
      </w:r>
      <w:r>
        <w:fldChar w:fldCharType="separate"/>
      </w:r>
      <w:r>
        <w:rPr>
          <w:rStyle w:val="89"/>
          <w:rFonts w:asciiTheme="minorEastAsia" w:hAnsiTheme="minorEastAsia" w:eastAsiaTheme="minorEastAsia"/>
          <w:i w:val="0"/>
          <w:color w:val="auto"/>
          <w:sz w:val="21"/>
          <w:szCs w:val="21"/>
          <w:lang w:eastAsia="zh-CN"/>
        </w:rPr>
        <w:t>11.3.2</w:t>
      </w:r>
      <w:r>
        <w:rPr>
          <w:rStyle w:val="89"/>
          <w:rFonts w:hint="eastAsia" w:asciiTheme="minorEastAsia" w:hAnsiTheme="minorEastAsia" w:eastAsiaTheme="minorEastAsia"/>
          <w:i w:val="0"/>
          <w:color w:val="auto"/>
          <w:sz w:val="21"/>
          <w:szCs w:val="21"/>
          <w:lang w:eastAsia="zh-CN"/>
        </w:rPr>
        <w:t>火灾和爆炸</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_Toc408414046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150</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019AF688">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"_Toc408414047" </w:instrText>
      </w:r>
      <w:r>
        <w:fldChar w:fldCharType="separate"/>
      </w:r>
      <w:r>
        <w:rPr>
          <w:rStyle w:val="89"/>
          <w:rFonts w:asciiTheme="minorEastAsia" w:hAnsiTheme="minorEastAsia" w:eastAsiaTheme="minorEastAsia"/>
          <w:i w:val="0"/>
          <w:color w:val="auto"/>
          <w:sz w:val="21"/>
          <w:szCs w:val="21"/>
          <w:lang w:eastAsia="zh-CN"/>
        </w:rPr>
        <w:t>11.3.3</w:t>
      </w:r>
      <w:r>
        <w:rPr>
          <w:rStyle w:val="89"/>
          <w:rFonts w:hint="eastAsia" w:asciiTheme="minorEastAsia" w:hAnsiTheme="minorEastAsia" w:eastAsiaTheme="minorEastAsia"/>
          <w:i w:val="0"/>
          <w:color w:val="auto"/>
          <w:sz w:val="21"/>
          <w:szCs w:val="21"/>
          <w:lang w:eastAsia="zh-CN"/>
        </w:rPr>
        <w:t>管线破裂及放空作业</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_Toc408414047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151</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42EBA14C">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"_Toc408414048" </w:instrText>
      </w:r>
      <w:r>
        <w:fldChar w:fldCharType="separate"/>
      </w:r>
      <w:r>
        <w:rPr>
          <w:rStyle w:val="89"/>
          <w:rFonts w:asciiTheme="minorEastAsia" w:hAnsiTheme="minorEastAsia" w:eastAsiaTheme="minorEastAsia"/>
          <w:i w:val="0"/>
          <w:color w:val="auto"/>
          <w:sz w:val="21"/>
          <w:szCs w:val="21"/>
          <w:lang w:eastAsia="zh-CN"/>
        </w:rPr>
        <w:t>11.3.4</w:t>
      </w:r>
      <w:r>
        <w:rPr>
          <w:rStyle w:val="89"/>
          <w:rFonts w:hint="eastAsia" w:asciiTheme="minorEastAsia" w:hAnsiTheme="minorEastAsia" w:eastAsiaTheme="minorEastAsia"/>
          <w:i w:val="0"/>
          <w:color w:val="auto"/>
          <w:sz w:val="21"/>
          <w:szCs w:val="21"/>
          <w:lang w:eastAsia="zh-CN"/>
        </w:rPr>
        <w:t>机械损坏事故</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_Toc408414048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151</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460E629B">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"_Toc408414049" </w:instrText>
      </w:r>
      <w:r>
        <w:fldChar w:fldCharType="separate"/>
      </w:r>
      <w:r>
        <w:rPr>
          <w:rStyle w:val="89"/>
          <w:rFonts w:asciiTheme="minorEastAsia" w:hAnsiTheme="minorEastAsia" w:eastAsiaTheme="minorEastAsia"/>
          <w:i w:val="0"/>
          <w:color w:val="auto"/>
          <w:sz w:val="21"/>
          <w:szCs w:val="21"/>
          <w:lang w:eastAsia="zh-CN"/>
        </w:rPr>
        <w:t>11.3.5</w:t>
      </w:r>
      <w:r>
        <w:rPr>
          <w:rStyle w:val="89"/>
          <w:rFonts w:hint="eastAsia" w:asciiTheme="minorEastAsia" w:hAnsiTheme="minorEastAsia" w:eastAsiaTheme="minorEastAsia"/>
          <w:i w:val="0"/>
          <w:color w:val="auto"/>
          <w:sz w:val="21"/>
          <w:szCs w:val="21"/>
          <w:lang w:eastAsia="zh-CN"/>
        </w:rPr>
        <w:t>洪涝灾害</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_Toc408414049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151</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4F80D3F4">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"_Toc408414050" </w:instrText>
      </w:r>
      <w:r>
        <w:fldChar w:fldCharType="separate"/>
      </w:r>
      <w:r>
        <w:rPr>
          <w:rStyle w:val="89"/>
          <w:rFonts w:asciiTheme="minorEastAsia" w:hAnsiTheme="minorEastAsia" w:eastAsiaTheme="minorEastAsia"/>
          <w:i w:val="0"/>
          <w:color w:val="auto"/>
          <w:sz w:val="21"/>
          <w:szCs w:val="21"/>
          <w:lang w:eastAsia="zh-CN"/>
        </w:rPr>
        <w:t>11.3.6</w:t>
      </w:r>
      <w:r>
        <w:rPr>
          <w:rStyle w:val="89"/>
          <w:rFonts w:hint="eastAsia" w:asciiTheme="minorEastAsia" w:hAnsiTheme="minorEastAsia" w:eastAsiaTheme="minorEastAsia"/>
          <w:i w:val="0"/>
          <w:color w:val="auto"/>
          <w:sz w:val="21"/>
          <w:szCs w:val="21"/>
          <w:lang w:eastAsia="zh-CN"/>
        </w:rPr>
        <w:t>风险事故概率估算</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_Toc408414050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151</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2E6C1FF2">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"_Toc408414051" </w:instrText>
      </w:r>
      <w:r>
        <w:fldChar w:fldCharType="separate"/>
      </w:r>
      <w:r>
        <w:rPr>
          <w:rStyle w:val="89"/>
          <w:rFonts w:asciiTheme="minorEastAsia" w:hAnsiTheme="minorEastAsia" w:eastAsiaTheme="minorEastAsia"/>
          <w:color w:val="auto"/>
          <w:sz w:val="21"/>
          <w:szCs w:val="21"/>
          <w:lang w:eastAsia="zh-CN"/>
        </w:rPr>
        <w:t>11.4</w:t>
      </w:r>
      <w:r>
        <w:rPr>
          <w:rStyle w:val="89"/>
          <w:rFonts w:hint="eastAsia" w:asciiTheme="minorEastAsia" w:hAnsiTheme="minorEastAsia" w:eastAsiaTheme="minorEastAsia"/>
          <w:color w:val="auto"/>
          <w:sz w:val="21"/>
          <w:szCs w:val="21"/>
          <w:lang w:eastAsia="zh-CN"/>
        </w:rPr>
        <w:t>风险计算和预测</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_Toc408414051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152</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6CC92573">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"_Toc408414052" </w:instrText>
      </w:r>
      <w:r>
        <w:fldChar w:fldCharType="separate"/>
      </w:r>
      <w:r>
        <w:rPr>
          <w:rStyle w:val="89"/>
          <w:rFonts w:asciiTheme="minorEastAsia" w:hAnsiTheme="minorEastAsia" w:eastAsiaTheme="minorEastAsia"/>
          <w:i w:val="0"/>
          <w:color w:val="auto"/>
          <w:sz w:val="21"/>
          <w:szCs w:val="21"/>
          <w:lang w:eastAsia="zh-CN"/>
        </w:rPr>
        <w:t>11.4.1</w:t>
      </w:r>
      <w:r>
        <w:rPr>
          <w:rStyle w:val="89"/>
          <w:rFonts w:hint="eastAsia" w:asciiTheme="minorEastAsia" w:hAnsiTheme="minorEastAsia" w:eastAsiaTheme="minorEastAsia"/>
          <w:i w:val="0"/>
          <w:color w:val="auto"/>
          <w:sz w:val="21"/>
          <w:szCs w:val="21"/>
          <w:lang w:eastAsia="zh-CN"/>
        </w:rPr>
        <w:t>罐区泄漏</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_Toc408414052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152</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59E8ACAE">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"_Toc408414053" </w:instrText>
      </w:r>
      <w:r>
        <w:fldChar w:fldCharType="separate"/>
      </w:r>
      <w:r>
        <w:rPr>
          <w:rStyle w:val="89"/>
          <w:rFonts w:asciiTheme="minorEastAsia" w:hAnsiTheme="minorEastAsia" w:eastAsiaTheme="minorEastAsia"/>
          <w:i w:val="0"/>
          <w:color w:val="auto"/>
          <w:sz w:val="21"/>
          <w:szCs w:val="21"/>
          <w:lang w:eastAsia="zh-CN"/>
        </w:rPr>
        <w:t>11.4.2</w:t>
      </w:r>
      <w:r>
        <w:rPr>
          <w:rStyle w:val="89"/>
          <w:rFonts w:hint="eastAsia" w:asciiTheme="minorEastAsia" w:hAnsiTheme="minorEastAsia" w:eastAsiaTheme="minorEastAsia"/>
          <w:i w:val="0"/>
          <w:color w:val="auto"/>
          <w:sz w:val="21"/>
          <w:szCs w:val="21"/>
          <w:lang w:eastAsia="zh-CN"/>
        </w:rPr>
        <w:t>储罐池火</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_Toc408414053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153</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065CFDEC">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"_Toc408414054" </w:instrText>
      </w:r>
      <w:r>
        <w:fldChar w:fldCharType="separate"/>
      </w:r>
      <w:r>
        <w:rPr>
          <w:rStyle w:val="89"/>
          <w:rFonts w:asciiTheme="minorEastAsia" w:hAnsiTheme="minorEastAsia" w:eastAsiaTheme="minorEastAsia"/>
          <w:i w:val="0"/>
          <w:color w:val="auto"/>
          <w:sz w:val="21"/>
          <w:szCs w:val="21"/>
          <w:lang w:eastAsia="zh-CN"/>
        </w:rPr>
        <w:t>11.4.3</w:t>
      </w:r>
      <w:r>
        <w:rPr>
          <w:rStyle w:val="89"/>
          <w:rFonts w:hint="eastAsia" w:asciiTheme="minorEastAsia" w:hAnsiTheme="minorEastAsia" w:eastAsiaTheme="minorEastAsia"/>
          <w:i w:val="0"/>
          <w:color w:val="auto"/>
          <w:sz w:val="21"/>
          <w:szCs w:val="21"/>
          <w:lang w:eastAsia="zh-CN"/>
        </w:rPr>
        <w:t>原油池火燃烧产生的伴生污染</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_Toc408414054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154</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07CEA410">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"_Toc408414055" </w:instrText>
      </w:r>
      <w:r>
        <w:fldChar w:fldCharType="separate"/>
      </w:r>
      <w:r>
        <w:rPr>
          <w:rStyle w:val="89"/>
          <w:rFonts w:asciiTheme="minorEastAsia" w:hAnsiTheme="minorEastAsia" w:eastAsiaTheme="minorEastAsia"/>
          <w:color w:val="auto"/>
          <w:sz w:val="21"/>
          <w:szCs w:val="21"/>
          <w:lang w:eastAsia="zh-CN"/>
        </w:rPr>
        <w:t>11.5</w:t>
      </w:r>
      <w:r>
        <w:rPr>
          <w:rStyle w:val="89"/>
          <w:rFonts w:hint="eastAsia" w:asciiTheme="minorEastAsia" w:hAnsiTheme="minorEastAsia" w:eastAsiaTheme="minorEastAsia"/>
          <w:color w:val="auto"/>
          <w:sz w:val="21"/>
          <w:szCs w:val="21"/>
          <w:lang w:eastAsia="zh-CN"/>
        </w:rPr>
        <w:t>环境风险分析</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_Toc408414055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154</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467092A6">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"_Toc408414056" </w:instrText>
      </w:r>
      <w:r>
        <w:fldChar w:fldCharType="separate"/>
      </w:r>
      <w:r>
        <w:rPr>
          <w:rStyle w:val="89"/>
          <w:rFonts w:asciiTheme="minorEastAsia" w:hAnsiTheme="minorEastAsia" w:eastAsiaTheme="minorEastAsia"/>
          <w:color w:val="auto"/>
          <w:sz w:val="21"/>
          <w:szCs w:val="21"/>
          <w:lang w:eastAsia="zh-CN"/>
        </w:rPr>
        <w:t>11.6</w:t>
      </w:r>
      <w:r>
        <w:rPr>
          <w:rStyle w:val="89"/>
          <w:rFonts w:hint="eastAsia" w:asciiTheme="minorEastAsia" w:hAnsiTheme="minorEastAsia" w:eastAsiaTheme="minorEastAsia"/>
          <w:color w:val="auto"/>
          <w:sz w:val="21"/>
          <w:szCs w:val="21"/>
          <w:lang w:eastAsia="zh-CN"/>
        </w:rPr>
        <w:t>风险管理及减缓风险措施</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_Toc408414056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156</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4F3D385E">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"_Toc408414057" </w:instrText>
      </w:r>
      <w:r>
        <w:fldChar w:fldCharType="separate"/>
      </w:r>
      <w:r>
        <w:rPr>
          <w:rStyle w:val="89"/>
          <w:rFonts w:asciiTheme="minorEastAsia" w:hAnsiTheme="minorEastAsia" w:eastAsiaTheme="minorEastAsia"/>
          <w:i w:val="0"/>
          <w:color w:val="auto"/>
          <w:sz w:val="21"/>
          <w:szCs w:val="21"/>
          <w:lang w:eastAsia="zh-CN"/>
        </w:rPr>
        <w:t>11.6.1</w:t>
      </w:r>
      <w:r>
        <w:rPr>
          <w:rStyle w:val="89"/>
          <w:rFonts w:hint="eastAsia" w:asciiTheme="minorEastAsia" w:hAnsiTheme="minorEastAsia" w:eastAsiaTheme="minorEastAsia"/>
          <w:i w:val="0"/>
          <w:color w:val="auto"/>
          <w:sz w:val="21"/>
          <w:szCs w:val="21"/>
          <w:lang w:eastAsia="zh-CN"/>
        </w:rPr>
        <w:t>事故减缓措施</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_Toc408414057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156</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23AF7095">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"_Toc408414058" </w:instrText>
      </w:r>
      <w:r>
        <w:fldChar w:fldCharType="separate"/>
      </w:r>
      <w:r>
        <w:rPr>
          <w:rStyle w:val="89"/>
          <w:rFonts w:asciiTheme="minorEastAsia" w:hAnsiTheme="minorEastAsia" w:eastAsiaTheme="minorEastAsia"/>
          <w:i w:val="0"/>
          <w:color w:val="auto"/>
          <w:sz w:val="21"/>
          <w:szCs w:val="21"/>
          <w:lang w:eastAsia="zh-CN"/>
        </w:rPr>
        <w:t>11.6.2</w:t>
      </w:r>
      <w:r>
        <w:rPr>
          <w:rStyle w:val="89"/>
          <w:rFonts w:hint="eastAsia" w:asciiTheme="minorEastAsia" w:hAnsiTheme="minorEastAsia" w:eastAsiaTheme="minorEastAsia"/>
          <w:i w:val="0"/>
          <w:color w:val="auto"/>
          <w:sz w:val="21"/>
          <w:szCs w:val="21"/>
          <w:lang w:eastAsia="zh-CN"/>
        </w:rPr>
        <w:t>储油罐火灾及爆炸事故管理</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_Toc408414058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158</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0286AFD9">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"_Toc408414059" </w:instrText>
      </w:r>
      <w:r>
        <w:fldChar w:fldCharType="separate"/>
      </w:r>
      <w:r>
        <w:rPr>
          <w:rStyle w:val="89"/>
          <w:rFonts w:asciiTheme="minorEastAsia" w:hAnsiTheme="minorEastAsia" w:eastAsiaTheme="minorEastAsia"/>
          <w:color w:val="auto"/>
          <w:sz w:val="21"/>
          <w:szCs w:val="21"/>
          <w:lang w:eastAsia="zh-CN"/>
        </w:rPr>
        <w:t>11.7</w:t>
      </w:r>
      <w:r>
        <w:rPr>
          <w:rStyle w:val="89"/>
          <w:rFonts w:hint="eastAsia" w:asciiTheme="minorEastAsia" w:hAnsiTheme="minorEastAsia" w:eastAsiaTheme="minorEastAsia"/>
          <w:color w:val="auto"/>
          <w:sz w:val="21"/>
          <w:szCs w:val="21"/>
          <w:lang w:eastAsia="zh-CN"/>
        </w:rPr>
        <w:t>风险防范措施</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_Toc408414059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159</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17F4E884">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"_Toc408414060" </w:instrText>
      </w:r>
      <w:r>
        <w:fldChar w:fldCharType="separate"/>
      </w:r>
      <w:r>
        <w:rPr>
          <w:rStyle w:val="89"/>
          <w:rFonts w:asciiTheme="minorEastAsia" w:hAnsiTheme="minorEastAsia" w:eastAsiaTheme="minorEastAsia"/>
          <w:i w:val="0"/>
          <w:color w:val="auto"/>
          <w:sz w:val="21"/>
          <w:szCs w:val="21"/>
          <w:lang w:eastAsia="zh-CN"/>
        </w:rPr>
        <w:t>11.7.1</w:t>
      </w:r>
      <w:r>
        <w:rPr>
          <w:rStyle w:val="89"/>
          <w:rFonts w:hint="eastAsia" w:asciiTheme="minorEastAsia" w:hAnsiTheme="minorEastAsia" w:eastAsiaTheme="minorEastAsia"/>
          <w:i w:val="0"/>
          <w:color w:val="auto"/>
          <w:sz w:val="21"/>
          <w:szCs w:val="21"/>
          <w:lang w:eastAsia="zh-CN"/>
        </w:rPr>
        <w:t>一级防控</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_Toc408414060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160</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47967BC4">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"_Toc408414061" </w:instrText>
      </w:r>
      <w:r>
        <w:fldChar w:fldCharType="separate"/>
      </w:r>
      <w:r>
        <w:rPr>
          <w:rStyle w:val="89"/>
          <w:rFonts w:asciiTheme="minorEastAsia" w:hAnsiTheme="minorEastAsia" w:eastAsiaTheme="minorEastAsia"/>
          <w:i w:val="0"/>
          <w:color w:val="auto"/>
          <w:sz w:val="21"/>
          <w:szCs w:val="21"/>
          <w:lang w:eastAsia="zh-CN"/>
        </w:rPr>
        <w:t>11.7.2</w:t>
      </w:r>
      <w:r>
        <w:rPr>
          <w:rStyle w:val="89"/>
          <w:rFonts w:hint="eastAsia" w:asciiTheme="minorEastAsia" w:hAnsiTheme="minorEastAsia" w:eastAsiaTheme="minorEastAsia"/>
          <w:i w:val="0"/>
          <w:color w:val="auto"/>
          <w:sz w:val="21"/>
          <w:szCs w:val="21"/>
          <w:lang w:eastAsia="zh-CN"/>
        </w:rPr>
        <w:t>二级防控</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_Toc408414061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160</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26C711E4">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"_Toc408414062" </w:instrText>
      </w:r>
      <w:r>
        <w:fldChar w:fldCharType="separate"/>
      </w:r>
      <w:r>
        <w:rPr>
          <w:rStyle w:val="89"/>
          <w:rFonts w:asciiTheme="minorEastAsia" w:hAnsiTheme="minorEastAsia" w:eastAsiaTheme="minorEastAsia"/>
          <w:i w:val="0"/>
          <w:color w:val="auto"/>
          <w:sz w:val="21"/>
          <w:szCs w:val="21"/>
          <w:lang w:eastAsia="zh-CN"/>
        </w:rPr>
        <w:t>11.7.3</w:t>
      </w:r>
      <w:r>
        <w:rPr>
          <w:rStyle w:val="89"/>
          <w:rFonts w:hint="eastAsia" w:asciiTheme="minorEastAsia" w:hAnsiTheme="minorEastAsia" w:eastAsiaTheme="minorEastAsia"/>
          <w:i w:val="0"/>
          <w:color w:val="auto"/>
          <w:sz w:val="21"/>
          <w:szCs w:val="21"/>
          <w:lang w:eastAsia="zh-CN"/>
        </w:rPr>
        <w:t>风险防范物资</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_Toc408414062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160</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3A5C8498">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"_Toc408414063" </w:instrText>
      </w:r>
      <w:r>
        <w:fldChar w:fldCharType="separate"/>
      </w:r>
      <w:r>
        <w:rPr>
          <w:rStyle w:val="89"/>
          <w:rFonts w:asciiTheme="minorEastAsia" w:hAnsiTheme="minorEastAsia" w:eastAsiaTheme="minorEastAsia"/>
          <w:color w:val="auto"/>
          <w:sz w:val="21"/>
          <w:szCs w:val="21"/>
          <w:lang w:eastAsia="zh-CN"/>
        </w:rPr>
        <w:t>11.8</w:t>
      </w:r>
      <w:r>
        <w:rPr>
          <w:rStyle w:val="89"/>
          <w:rFonts w:hint="eastAsia" w:asciiTheme="minorEastAsia" w:hAnsiTheme="minorEastAsia" w:eastAsiaTheme="minorEastAsia"/>
          <w:color w:val="auto"/>
          <w:sz w:val="21"/>
          <w:szCs w:val="21"/>
          <w:lang w:eastAsia="zh-CN"/>
        </w:rPr>
        <w:t>应急预案</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_Toc408414063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160</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20CB0C6C">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"_Toc408414064" </w:instrText>
      </w:r>
      <w:r>
        <w:fldChar w:fldCharType="separate"/>
      </w:r>
      <w:r>
        <w:rPr>
          <w:rStyle w:val="89"/>
          <w:rFonts w:asciiTheme="minorEastAsia" w:hAnsiTheme="minorEastAsia" w:eastAsiaTheme="minorEastAsia"/>
          <w:i w:val="0"/>
          <w:color w:val="auto"/>
          <w:sz w:val="21"/>
          <w:szCs w:val="21"/>
          <w:lang w:eastAsia="zh-CN"/>
        </w:rPr>
        <w:t>11.8.1</w:t>
      </w:r>
      <w:r>
        <w:rPr>
          <w:rStyle w:val="89"/>
          <w:rFonts w:hint="eastAsia" w:asciiTheme="minorEastAsia" w:hAnsiTheme="minorEastAsia" w:eastAsiaTheme="minorEastAsia"/>
          <w:i w:val="0"/>
          <w:color w:val="auto"/>
          <w:sz w:val="21"/>
          <w:szCs w:val="21"/>
          <w:lang w:eastAsia="zh-CN"/>
        </w:rPr>
        <w:t>应急处理方法</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_Toc408414064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160</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1004D211">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"_Toc408414065" </w:instrText>
      </w:r>
      <w:r>
        <w:fldChar w:fldCharType="separate"/>
      </w:r>
      <w:r>
        <w:rPr>
          <w:rStyle w:val="89"/>
          <w:rFonts w:asciiTheme="minorEastAsia" w:hAnsiTheme="minorEastAsia" w:eastAsiaTheme="minorEastAsia"/>
          <w:i w:val="0"/>
          <w:color w:val="auto"/>
          <w:sz w:val="21"/>
          <w:szCs w:val="21"/>
          <w:lang w:eastAsia="zh-CN"/>
        </w:rPr>
        <w:t>11.8.2</w:t>
      </w:r>
      <w:r>
        <w:rPr>
          <w:rStyle w:val="89"/>
          <w:rFonts w:hint="eastAsia" w:asciiTheme="minorEastAsia" w:hAnsiTheme="minorEastAsia" w:eastAsiaTheme="minorEastAsia"/>
          <w:i w:val="0"/>
          <w:color w:val="auto"/>
          <w:sz w:val="21"/>
          <w:szCs w:val="21"/>
          <w:lang w:eastAsia="zh-CN"/>
        </w:rPr>
        <w:t>应急计划区</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_Toc408414065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160</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1523434B">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"_Toc408414066" </w:instrText>
      </w:r>
      <w:r>
        <w:fldChar w:fldCharType="separate"/>
      </w:r>
      <w:r>
        <w:rPr>
          <w:rStyle w:val="89"/>
          <w:rFonts w:asciiTheme="minorEastAsia" w:hAnsiTheme="minorEastAsia" w:eastAsiaTheme="minorEastAsia"/>
          <w:i w:val="0"/>
          <w:color w:val="auto"/>
          <w:sz w:val="21"/>
          <w:szCs w:val="21"/>
          <w:lang w:eastAsia="zh-CN"/>
        </w:rPr>
        <w:t>11.8.3</w:t>
      </w:r>
      <w:r>
        <w:rPr>
          <w:rStyle w:val="89"/>
          <w:rFonts w:hint="eastAsia" w:asciiTheme="minorEastAsia" w:hAnsiTheme="minorEastAsia" w:eastAsiaTheme="minorEastAsia"/>
          <w:i w:val="0"/>
          <w:color w:val="auto"/>
          <w:sz w:val="21"/>
          <w:szCs w:val="21"/>
          <w:lang w:eastAsia="zh-CN"/>
        </w:rPr>
        <w:t>应急组织机构及人员</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_Toc408414066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161</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6592B9D2">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"_Toc408414067" </w:instrText>
      </w:r>
      <w:r>
        <w:fldChar w:fldCharType="separate"/>
      </w:r>
      <w:r>
        <w:rPr>
          <w:rStyle w:val="89"/>
          <w:rFonts w:asciiTheme="minorEastAsia" w:hAnsiTheme="minorEastAsia" w:eastAsiaTheme="minorEastAsia"/>
          <w:i w:val="0"/>
          <w:color w:val="auto"/>
          <w:sz w:val="21"/>
          <w:szCs w:val="21"/>
          <w:lang w:eastAsia="zh-CN"/>
        </w:rPr>
        <w:t>11.8.4</w:t>
      </w:r>
      <w:r>
        <w:rPr>
          <w:rStyle w:val="89"/>
          <w:rFonts w:hint="eastAsia" w:asciiTheme="minorEastAsia" w:hAnsiTheme="minorEastAsia" w:eastAsiaTheme="minorEastAsia"/>
          <w:i w:val="0"/>
          <w:color w:val="auto"/>
          <w:sz w:val="21"/>
          <w:szCs w:val="21"/>
          <w:lang w:eastAsia="zh-CN"/>
        </w:rPr>
        <w:t>应急状态分类及应急响应程序</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_Toc408414067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161</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3930ED68">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"_Toc408414068" </w:instrText>
      </w:r>
      <w:r>
        <w:fldChar w:fldCharType="separate"/>
      </w:r>
      <w:r>
        <w:rPr>
          <w:rStyle w:val="89"/>
          <w:rFonts w:asciiTheme="minorEastAsia" w:hAnsiTheme="minorEastAsia" w:eastAsiaTheme="minorEastAsia"/>
          <w:i w:val="0"/>
          <w:color w:val="auto"/>
          <w:sz w:val="21"/>
          <w:szCs w:val="21"/>
          <w:lang w:eastAsia="zh-CN"/>
        </w:rPr>
        <w:t>11.8.5</w:t>
      </w:r>
      <w:r>
        <w:rPr>
          <w:rStyle w:val="89"/>
          <w:rFonts w:hint="eastAsia" w:asciiTheme="minorEastAsia" w:hAnsiTheme="minorEastAsia" w:eastAsiaTheme="minorEastAsia"/>
          <w:i w:val="0"/>
          <w:color w:val="auto"/>
          <w:sz w:val="21"/>
          <w:szCs w:val="21"/>
          <w:lang w:eastAsia="zh-CN"/>
        </w:rPr>
        <w:t>应急救援保障</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_Toc408414068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162</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3F155808">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"_Toc408414069" </w:instrText>
      </w:r>
      <w:r>
        <w:fldChar w:fldCharType="separate"/>
      </w:r>
      <w:r>
        <w:rPr>
          <w:rStyle w:val="89"/>
          <w:rFonts w:asciiTheme="minorEastAsia" w:hAnsiTheme="minorEastAsia" w:eastAsiaTheme="minorEastAsia"/>
          <w:i w:val="0"/>
          <w:color w:val="auto"/>
          <w:sz w:val="21"/>
          <w:szCs w:val="21"/>
          <w:lang w:eastAsia="zh-CN"/>
        </w:rPr>
        <w:t>11.8.6</w:t>
      </w:r>
      <w:r>
        <w:rPr>
          <w:rStyle w:val="89"/>
          <w:rFonts w:hint="eastAsia" w:asciiTheme="minorEastAsia" w:hAnsiTheme="minorEastAsia" w:eastAsiaTheme="minorEastAsia"/>
          <w:i w:val="0"/>
          <w:color w:val="auto"/>
          <w:sz w:val="21"/>
          <w:szCs w:val="21"/>
          <w:lang w:eastAsia="zh-CN"/>
        </w:rPr>
        <w:t>应急报警程序、通讯联络方式</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_Toc408414069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162</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4DA9ED53">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"_Toc408414070" </w:instrText>
      </w:r>
      <w:r>
        <w:fldChar w:fldCharType="separate"/>
      </w:r>
      <w:r>
        <w:rPr>
          <w:rStyle w:val="89"/>
          <w:rFonts w:asciiTheme="minorEastAsia" w:hAnsiTheme="minorEastAsia" w:eastAsiaTheme="minorEastAsia"/>
          <w:i w:val="0"/>
          <w:color w:val="auto"/>
          <w:sz w:val="21"/>
          <w:szCs w:val="21"/>
          <w:lang w:eastAsia="zh-CN"/>
        </w:rPr>
        <w:t>11.8.7</w:t>
      </w:r>
      <w:r>
        <w:rPr>
          <w:rStyle w:val="89"/>
          <w:rFonts w:hint="eastAsia" w:asciiTheme="minorEastAsia" w:hAnsiTheme="minorEastAsia" w:eastAsiaTheme="minorEastAsia"/>
          <w:i w:val="0"/>
          <w:color w:val="auto"/>
          <w:sz w:val="21"/>
          <w:szCs w:val="21"/>
          <w:lang w:eastAsia="zh-CN"/>
        </w:rPr>
        <w:t>应急环境监测与评估</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_Toc408414070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162</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56C38AB8">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"_Toc408414071" </w:instrText>
      </w:r>
      <w:r>
        <w:fldChar w:fldCharType="separate"/>
      </w:r>
      <w:r>
        <w:rPr>
          <w:rStyle w:val="89"/>
          <w:rFonts w:asciiTheme="minorEastAsia" w:hAnsiTheme="minorEastAsia" w:eastAsiaTheme="minorEastAsia"/>
          <w:i w:val="0"/>
          <w:color w:val="auto"/>
          <w:sz w:val="21"/>
          <w:szCs w:val="21"/>
          <w:lang w:eastAsia="zh-CN"/>
        </w:rPr>
        <w:t>11.8.8</w:t>
      </w:r>
      <w:r>
        <w:rPr>
          <w:rStyle w:val="89"/>
          <w:rFonts w:hint="eastAsia" w:asciiTheme="minorEastAsia" w:hAnsiTheme="minorEastAsia" w:eastAsiaTheme="minorEastAsia"/>
          <w:i w:val="0"/>
          <w:color w:val="auto"/>
          <w:sz w:val="21"/>
          <w:szCs w:val="21"/>
          <w:lang w:eastAsia="zh-CN"/>
        </w:rPr>
        <w:t>人员紧急撤离、疏散计划</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_Toc408414071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163</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44E63FE7">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"_Toc408414072" </w:instrText>
      </w:r>
      <w:r>
        <w:fldChar w:fldCharType="separate"/>
      </w:r>
      <w:r>
        <w:rPr>
          <w:rStyle w:val="89"/>
          <w:rFonts w:asciiTheme="minorEastAsia" w:hAnsiTheme="minorEastAsia" w:eastAsiaTheme="minorEastAsia"/>
          <w:i w:val="0"/>
          <w:color w:val="auto"/>
          <w:sz w:val="21"/>
          <w:szCs w:val="21"/>
          <w:lang w:eastAsia="zh-CN"/>
        </w:rPr>
        <w:t>11.8.9</w:t>
      </w:r>
      <w:r>
        <w:rPr>
          <w:rStyle w:val="89"/>
          <w:rFonts w:hint="eastAsia" w:asciiTheme="minorEastAsia" w:hAnsiTheme="minorEastAsia" w:eastAsiaTheme="minorEastAsia"/>
          <w:i w:val="0"/>
          <w:color w:val="auto"/>
          <w:sz w:val="21"/>
          <w:szCs w:val="21"/>
          <w:lang w:eastAsia="zh-CN"/>
        </w:rPr>
        <w:t>事故应急救援关闭程序与恢复措施</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_Toc408414072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163</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28093C47">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"_Toc408414073" </w:instrText>
      </w:r>
      <w:r>
        <w:fldChar w:fldCharType="separate"/>
      </w:r>
      <w:r>
        <w:rPr>
          <w:rStyle w:val="89"/>
          <w:rFonts w:asciiTheme="minorEastAsia" w:hAnsiTheme="minorEastAsia" w:eastAsiaTheme="minorEastAsia"/>
          <w:i w:val="0"/>
          <w:color w:val="auto"/>
          <w:sz w:val="21"/>
          <w:szCs w:val="21"/>
          <w:lang w:eastAsia="zh-CN"/>
        </w:rPr>
        <w:t>11.8.10</w:t>
      </w:r>
      <w:r>
        <w:rPr>
          <w:rStyle w:val="89"/>
          <w:rFonts w:hint="eastAsia" w:asciiTheme="minorEastAsia" w:hAnsiTheme="minorEastAsia" w:eastAsiaTheme="minorEastAsia"/>
          <w:i w:val="0"/>
          <w:color w:val="auto"/>
          <w:sz w:val="21"/>
          <w:szCs w:val="21"/>
          <w:lang w:eastAsia="zh-CN"/>
        </w:rPr>
        <w:t>应急计划培训</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_Toc408414073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164</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19B46488">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"_Toc408414074" </w:instrText>
      </w:r>
      <w:r>
        <w:fldChar w:fldCharType="separate"/>
      </w:r>
      <w:r>
        <w:rPr>
          <w:rStyle w:val="89"/>
          <w:rFonts w:asciiTheme="minorEastAsia" w:hAnsiTheme="minorEastAsia" w:eastAsiaTheme="minorEastAsia"/>
          <w:i w:val="0"/>
          <w:color w:val="auto"/>
          <w:sz w:val="21"/>
          <w:szCs w:val="21"/>
          <w:lang w:eastAsia="zh-CN"/>
        </w:rPr>
        <w:t>11.8.11</w:t>
      </w:r>
      <w:r>
        <w:rPr>
          <w:rStyle w:val="89"/>
          <w:rFonts w:hint="eastAsia" w:asciiTheme="minorEastAsia" w:hAnsiTheme="minorEastAsia" w:eastAsiaTheme="minorEastAsia"/>
          <w:i w:val="0"/>
          <w:color w:val="auto"/>
          <w:sz w:val="21"/>
          <w:szCs w:val="21"/>
          <w:lang w:eastAsia="zh-CN"/>
        </w:rPr>
        <w:t>公众教育和信息</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_Toc408414074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164</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2CCEF170">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"_Toc408414075" </w:instrText>
      </w:r>
      <w:r>
        <w:fldChar w:fldCharType="separate"/>
      </w:r>
      <w:r>
        <w:rPr>
          <w:rStyle w:val="89"/>
          <w:rFonts w:asciiTheme="minorEastAsia" w:hAnsiTheme="minorEastAsia" w:eastAsiaTheme="minorEastAsia"/>
          <w:color w:val="auto"/>
          <w:sz w:val="21"/>
          <w:szCs w:val="21"/>
          <w:lang w:eastAsia="zh-CN"/>
        </w:rPr>
        <w:t>11.9</w:t>
      </w:r>
      <w:r>
        <w:rPr>
          <w:rStyle w:val="89"/>
          <w:rFonts w:hint="eastAsia" w:asciiTheme="minorEastAsia" w:hAnsiTheme="minorEastAsia" w:eastAsiaTheme="minorEastAsia"/>
          <w:color w:val="auto"/>
          <w:sz w:val="21"/>
          <w:szCs w:val="21"/>
          <w:lang w:eastAsia="zh-CN"/>
        </w:rPr>
        <w:t>草原防火环境影响分析及措施</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_Toc408414075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165</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1D4527D4">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"_Toc408414076" </w:instrText>
      </w:r>
      <w:r>
        <w:fldChar w:fldCharType="separate"/>
      </w:r>
      <w:r>
        <w:rPr>
          <w:rStyle w:val="89"/>
          <w:rFonts w:asciiTheme="minorEastAsia" w:hAnsiTheme="minorEastAsia" w:eastAsiaTheme="minorEastAsia"/>
          <w:i w:val="0"/>
          <w:color w:val="auto"/>
          <w:sz w:val="21"/>
          <w:szCs w:val="21"/>
          <w:lang w:eastAsia="zh-CN"/>
        </w:rPr>
        <w:t>11.9.1</w:t>
      </w:r>
      <w:r>
        <w:rPr>
          <w:rStyle w:val="89"/>
          <w:rFonts w:hint="eastAsia" w:asciiTheme="minorEastAsia" w:hAnsiTheme="minorEastAsia" w:eastAsiaTheme="minorEastAsia"/>
          <w:i w:val="0"/>
          <w:color w:val="auto"/>
          <w:sz w:val="21"/>
          <w:szCs w:val="21"/>
          <w:lang w:eastAsia="zh-CN"/>
        </w:rPr>
        <w:t>草原火灾影响</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_Toc408414076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165</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4AC1B304">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"_Toc408414077" </w:instrText>
      </w:r>
      <w:r>
        <w:fldChar w:fldCharType="separate"/>
      </w:r>
      <w:r>
        <w:rPr>
          <w:rStyle w:val="89"/>
          <w:rFonts w:asciiTheme="minorEastAsia" w:hAnsiTheme="minorEastAsia" w:eastAsiaTheme="minorEastAsia"/>
          <w:i w:val="0"/>
          <w:color w:val="auto"/>
          <w:sz w:val="21"/>
          <w:szCs w:val="21"/>
          <w:lang w:eastAsia="zh-CN"/>
        </w:rPr>
        <w:t>11.9.2</w:t>
      </w:r>
      <w:r>
        <w:rPr>
          <w:rStyle w:val="89"/>
          <w:rFonts w:hint="eastAsia" w:asciiTheme="minorEastAsia" w:hAnsiTheme="minorEastAsia" w:eastAsiaTheme="minorEastAsia"/>
          <w:i w:val="0"/>
          <w:color w:val="auto"/>
          <w:sz w:val="21"/>
          <w:szCs w:val="21"/>
          <w:lang w:eastAsia="zh-CN"/>
        </w:rPr>
        <w:t>草原防火措施</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_Toc408414077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165</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0897D6C9">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"_Toc408414078" </w:instrText>
      </w:r>
      <w:r>
        <w:fldChar w:fldCharType="separate"/>
      </w:r>
      <w:r>
        <w:rPr>
          <w:rStyle w:val="89"/>
          <w:rFonts w:asciiTheme="minorEastAsia" w:hAnsiTheme="minorEastAsia" w:eastAsiaTheme="minorEastAsia"/>
          <w:color w:val="auto"/>
          <w:sz w:val="21"/>
          <w:szCs w:val="21"/>
          <w:lang w:eastAsia="zh-CN"/>
        </w:rPr>
        <w:t>11.10</w:t>
      </w:r>
      <w:r>
        <w:rPr>
          <w:rStyle w:val="89"/>
          <w:rFonts w:hint="eastAsia" w:asciiTheme="minorEastAsia" w:hAnsiTheme="minorEastAsia" w:eastAsiaTheme="minorEastAsia"/>
          <w:color w:val="auto"/>
          <w:sz w:val="21"/>
          <w:szCs w:val="21"/>
          <w:lang w:eastAsia="zh-CN"/>
        </w:rPr>
        <w:t>放射性物质</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_Toc408414078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166</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3507C807">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"_Toc408414079" </w:instrText>
      </w:r>
      <w:r>
        <w:fldChar w:fldCharType="separate"/>
      </w:r>
      <w:r>
        <w:rPr>
          <w:rStyle w:val="89"/>
          <w:rFonts w:asciiTheme="minorEastAsia" w:hAnsiTheme="minorEastAsia" w:eastAsiaTheme="minorEastAsia"/>
          <w:color w:val="auto"/>
          <w:sz w:val="21"/>
          <w:szCs w:val="21"/>
          <w:lang w:eastAsia="zh-CN"/>
        </w:rPr>
        <w:t>11.11</w:t>
      </w:r>
      <w:r>
        <w:rPr>
          <w:rStyle w:val="89"/>
          <w:rFonts w:hint="eastAsia" w:asciiTheme="minorEastAsia" w:hAnsiTheme="minorEastAsia" w:eastAsiaTheme="minorEastAsia"/>
          <w:color w:val="auto"/>
          <w:sz w:val="21"/>
          <w:szCs w:val="21"/>
          <w:lang w:eastAsia="zh-CN"/>
        </w:rPr>
        <w:t>建立安全、消防及环保部门联动机制</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_Toc408414079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167</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1BAEDD6D">
      <w:pPr>
        <w:pStyle w:val="51"/>
        <w:rPr>
          <w:rFonts w:asciiTheme="minorEastAsia" w:hAnsiTheme="minorEastAsia" w:eastAsiaTheme="minorEastAsia" w:cstheme="minorBidi"/>
          <w:b/>
          <w:bCs w:val="0"/>
          <w:caps w:val="0"/>
          <w:kern w:val="2"/>
          <w:sz w:val="21"/>
          <w:szCs w:val="21"/>
          <w:lang w:bidi="ar-SA"/>
        </w:rPr>
      </w:pPr>
      <w:r>
        <w:fldChar w:fldCharType="begin"/>
      </w:r>
      <w:r>
        <w:instrText xml:space="preserve"> HYPERLINK \l "_Toc408414080" </w:instrText>
      </w:r>
      <w:r>
        <w:fldChar w:fldCharType="separate"/>
      </w:r>
      <w:r>
        <w:rPr>
          <w:rStyle w:val="89"/>
          <w:rFonts w:asciiTheme="minorEastAsia" w:hAnsiTheme="minorEastAsia" w:eastAsiaTheme="minorEastAsia"/>
          <w:b/>
          <w:color w:val="auto"/>
          <w:sz w:val="21"/>
          <w:szCs w:val="21"/>
        </w:rPr>
        <w:t>12</w:t>
      </w:r>
      <w:r>
        <w:rPr>
          <w:rStyle w:val="89"/>
          <w:rFonts w:hint="eastAsia" w:asciiTheme="minorEastAsia" w:hAnsiTheme="minorEastAsia" w:eastAsiaTheme="minorEastAsia"/>
          <w:b/>
          <w:color w:val="auto"/>
          <w:sz w:val="21"/>
          <w:szCs w:val="21"/>
        </w:rPr>
        <w:t>清洁生产与污染物总量控制</w:t>
      </w:r>
      <w:r>
        <w:rPr>
          <w:rFonts w:asciiTheme="minorEastAsia" w:hAnsiTheme="minorEastAsia" w:eastAsiaTheme="minorEastAsia"/>
          <w:b/>
          <w:sz w:val="21"/>
          <w:szCs w:val="21"/>
        </w:rPr>
        <w:tab/>
      </w:r>
      <w:r>
        <w:rPr>
          <w:rFonts w:asciiTheme="minorEastAsia" w:hAnsiTheme="minorEastAsia" w:eastAsiaTheme="minorEastAsia"/>
          <w:b/>
          <w:sz w:val="21"/>
          <w:szCs w:val="21"/>
        </w:rPr>
        <w:fldChar w:fldCharType="begin"/>
      </w:r>
      <w:r>
        <w:rPr>
          <w:rFonts w:asciiTheme="minorEastAsia" w:hAnsiTheme="minorEastAsia" w:eastAsiaTheme="minorEastAsia"/>
          <w:b/>
          <w:sz w:val="21"/>
          <w:szCs w:val="21"/>
        </w:rPr>
        <w:instrText xml:space="preserve"> PAGEREF _Toc408414080 \h </w:instrText>
      </w:r>
      <w:r>
        <w:rPr>
          <w:rFonts w:asciiTheme="minorEastAsia" w:hAnsiTheme="minorEastAsia" w:eastAsiaTheme="minorEastAsia"/>
          <w:b/>
          <w:sz w:val="21"/>
          <w:szCs w:val="21"/>
        </w:rPr>
        <w:fldChar w:fldCharType="separate"/>
      </w:r>
      <w:r>
        <w:rPr>
          <w:rFonts w:asciiTheme="minorEastAsia" w:hAnsiTheme="minorEastAsia" w:eastAsiaTheme="minorEastAsia"/>
          <w:b/>
          <w:sz w:val="21"/>
          <w:szCs w:val="21"/>
        </w:rPr>
        <w:t>168</w:t>
      </w:r>
      <w:r>
        <w:rPr>
          <w:rFonts w:asciiTheme="minorEastAsia" w:hAnsiTheme="minorEastAsia" w:eastAsiaTheme="minorEastAsia"/>
          <w:b/>
          <w:sz w:val="21"/>
          <w:szCs w:val="21"/>
        </w:rPr>
        <w:fldChar w:fldCharType="end"/>
      </w:r>
      <w:r>
        <w:rPr>
          <w:rFonts w:asciiTheme="minorEastAsia" w:hAnsiTheme="minorEastAsia" w:eastAsiaTheme="minorEastAsia"/>
          <w:b/>
          <w:sz w:val="21"/>
          <w:szCs w:val="21"/>
        </w:rPr>
        <w:fldChar w:fldCharType="end"/>
      </w:r>
    </w:p>
    <w:p w14:paraId="026CD113">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"_Toc408414081" </w:instrText>
      </w:r>
      <w:r>
        <w:fldChar w:fldCharType="separate"/>
      </w:r>
      <w:r>
        <w:rPr>
          <w:rStyle w:val="89"/>
          <w:rFonts w:asciiTheme="minorEastAsia" w:hAnsiTheme="minorEastAsia" w:eastAsiaTheme="minorEastAsia"/>
          <w:color w:val="auto"/>
          <w:sz w:val="21"/>
          <w:szCs w:val="21"/>
          <w:lang w:eastAsia="zh-CN"/>
        </w:rPr>
        <w:t>12.1</w:t>
      </w:r>
      <w:r>
        <w:rPr>
          <w:rStyle w:val="89"/>
          <w:rFonts w:hint="eastAsia" w:asciiTheme="minorEastAsia" w:hAnsiTheme="minorEastAsia" w:eastAsiaTheme="minorEastAsia"/>
          <w:color w:val="auto"/>
          <w:sz w:val="21"/>
          <w:szCs w:val="21"/>
          <w:lang w:eastAsia="zh-CN"/>
        </w:rPr>
        <w:t>清洁生产</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_Toc408414081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168</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2730F4A9">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"_Toc408414082" </w:instrText>
      </w:r>
      <w:r>
        <w:fldChar w:fldCharType="separate"/>
      </w:r>
      <w:r>
        <w:rPr>
          <w:rStyle w:val="89"/>
          <w:rFonts w:asciiTheme="minorEastAsia" w:hAnsiTheme="minorEastAsia" w:eastAsiaTheme="minorEastAsia"/>
          <w:i w:val="0"/>
          <w:color w:val="auto"/>
          <w:sz w:val="21"/>
          <w:szCs w:val="21"/>
          <w:lang w:eastAsia="zh-CN"/>
        </w:rPr>
        <w:t>12.1.1</w:t>
      </w:r>
      <w:r>
        <w:rPr>
          <w:rStyle w:val="89"/>
          <w:rFonts w:hint="eastAsia" w:asciiTheme="minorEastAsia" w:hAnsiTheme="minorEastAsia" w:eastAsiaTheme="minorEastAsia"/>
          <w:i w:val="0"/>
          <w:color w:val="auto"/>
          <w:sz w:val="21"/>
          <w:szCs w:val="21"/>
          <w:lang w:eastAsia="zh-CN"/>
        </w:rPr>
        <w:t>工艺技术选择合理性分析</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_Toc408414082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168</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7723C1BE">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"_Toc408414083" </w:instrText>
      </w:r>
      <w:r>
        <w:fldChar w:fldCharType="separate"/>
      </w:r>
      <w:r>
        <w:rPr>
          <w:rStyle w:val="89"/>
          <w:rFonts w:asciiTheme="minorEastAsia" w:hAnsiTheme="minorEastAsia" w:eastAsiaTheme="minorEastAsia"/>
          <w:i w:val="0"/>
          <w:color w:val="auto"/>
          <w:sz w:val="21"/>
          <w:szCs w:val="21"/>
          <w:lang w:eastAsia="zh-CN"/>
        </w:rPr>
        <w:t>12.1.2</w:t>
      </w:r>
      <w:r>
        <w:rPr>
          <w:rStyle w:val="89"/>
          <w:rFonts w:hint="eastAsia" w:asciiTheme="minorEastAsia" w:hAnsiTheme="minorEastAsia" w:eastAsiaTheme="minorEastAsia"/>
          <w:i w:val="0"/>
          <w:color w:val="auto"/>
          <w:sz w:val="21"/>
          <w:szCs w:val="21"/>
          <w:lang w:eastAsia="zh-CN"/>
        </w:rPr>
        <w:t>清洁生产措施</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_Toc408414083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168</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53EEBB40">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"_Toc408414084" </w:instrText>
      </w:r>
      <w:r>
        <w:fldChar w:fldCharType="separate"/>
      </w:r>
      <w:r>
        <w:rPr>
          <w:rStyle w:val="89"/>
          <w:rFonts w:asciiTheme="minorEastAsia" w:hAnsiTheme="minorEastAsia" w:eastAsiaTheme="minorEastAsia"/>
          <w:i w:val="0"/>
          <w:color w:val="auto"/>
          <w:sz w:val="21"/>
          <w:szCs w:val="21"/>
          <w:lang w:eastAsia="zh-CN"/>
        </w:rPr>
        <w:t>12.1.3</w:t>
      </w:r>
      <w:r>
        <w:rPr>
          <w:rStyle w:val="89"/>
          <w:rFonts w:hint="eastAsia" w:asciiTheme="minorEastAsia" w:hAnsiTheme="minorEastAsia" w:eastAsiaTheme="minorEastAsia"/>
          <w:i w:val="0"/>
          <w:color w:val="auto"/>
          <w:sz w:val="21"/>
          <w:szCs w:val="21"/>
          <w:lang w:eastAsia="zh-CN"/>
        </w:rPr>
        <w:t>清洁生产技术指标</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_Toc408414084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169</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205DEC02">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"_Toc408414085" </w:instrText>
      </w:r>
      <w:r>
        <w:fldChar w:fldCharType="separate"/>
      </w:r>
      <w:r>
        <w:rPr>
          <w:rStyle w:val="89"/>
          <w:rFonts w:asciiTheme="minorEastAsia" w:hAnsiTheme="minorEastAsia" w:eastAsiaTheme="minorEastAsia"/>
          <w:i w:val="0"/>
          <w:color w:val="auto"/>
          <w:sz w:val="21"/>
          <w:szCs w:val="21"/>
          <w:lang w:eastAsia="zh-CN"/>
        </w:rPr>
        <w:t>12.1.4</w:t>
      </w:r>
      <w:r>
        <w:rPr>
          <w:rStyle w:val="89"/>
          <w:rFonts w:hint="eastAsia" w:asciiTheme="minorEastAsia" w:hAnsiTheme="minorEastAsia" w:eastAsiaTheme="minorEastAsia"/>
          <w:i w:val="0"/>
          <w:color w:val="auto"/>
          <w:sz w:val="21"/>
          <w:szCs w:val="21"/>
          <w:lang w:eastAsia="zh-CN"/>
        </w:rPr>
        <w:t>循环经济分析</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_Toc408414085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170</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193B0109">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"_Toc408414086" </w:instrText>
      </w:r>
      <w:r>
        <w:fldChar w:fldCharType="separate"/>
      </w:r>
      <w:r>
        <w:rPr>
          <w:rStyle w:val="89"/>
          <w:rFonts w:asciiTheme="minorEastAsia" w:hAnsiTheme="minorEastAsia" w:eastAsiaTheme="minorEastAsia"/>
          <w:i w:val="0"/>
          <w:color w:val="auto"/>
          <w:sz w:val="21"/>
          <w:szCs w:val="21"/>
          <w:lang w:eastAsia="zh-CN"/>
        </w:rPr>
        <w:t>12.1.5</w:t>
      </w:r>
      <w:r>
        <w:rPr>
          <w:rStyle w:val="89"/>
          <w:rFonts w:hint="eastAsia" w:asciiTheme="minorEastAsia" w:hAnsiTheme="minorEastAsia" w:eastAsiaTheme="minorEastAsia"/>
          <w:i w:val="0"/>
          <w:color w:val="auto"/>
          <w:sz w:val="21"/>
          <w:szCs w:val="21"/>
          <w:lang w:eastAsia="zh-CN"/>
        </w:rPr>
        <w:t>本工程清洁生产水平分析及改进措施</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_Toc408414086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170</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4652EFC9">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"_Toc408414087" </w:instrText>
      </w:r>
      <w:r>
        <w:fldChar w:fldCharType="separate"/>
      </w:r>
      <w:r>
        <w:rPr>
          <w:rStyle w:val="89"/>
          <w:rFonts w:asciiTheme="minorEastAsia" w:hAnsiTheme="minorEastAsia" w:eastAsiaTheme="minorEastAsia"/>
          <w:color w:val="auto"/>
          <w:sz w:val="21"/>
          <w:szCs w:val="21"/>
          <w:lang w:eastAsia="zh-CN"/>
        </w:rPr>
        <w:t>12.2</w:t>
      </w:r>
      <w:r>
        <w:rPr>
          <w:rStyle w:val="89"/>
          <w:rFonts w:hint="eastAsia" w:asciiTheme="minorEastAsia" w:hAnsiTheme="minorEastAsia" w:eastAsiaTheme="minorEastAsia"/>
          <w:color w:val="auto"/>
          <w:sz w:val="21"/>
          <w:szCs w:val="21"/>
          <w:lang w:eastAsia="zh-CN"/>
        </w:rPr>
        <w:t>污染物排放总量控制</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_Toc408414087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171</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47A8C267">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"_Toc408414088" </w:instrText>
      </w:r>
      <w:r>
        <w:fldChar w:fldCharType="separate"/>
      </w:r>
      <w:r>
        <w:rPr>
          <w:rStyle w:val="89"/>
          <w:rFonts w:asciiTheme="minorEastAsia" w:hAnsiTheme="minorEastAsia" w:eastAsiaTheme="minorEastAsia"/>
          <w:i w:val="0"/>
          <w:color w:val="auto"/>
          <w:sz w:val="21"/>
          <w:szCs w:val="21"/>
          <w:lang w:eastAsia="zh-CN"/>
        </w:rPr>
        <w:t>12.2.1</w:t>
      </w:r>
      <w:r>
        <w:rPr>
          <w:rStyle w:val="89"/>
          <w:rFonts w:hint="eastAsia" w:asciiTheme="minorEastAsia" w:hAnsiTheme="minorEastAsia" w:eastAsiaTheme="minorEastAsia"/>
          <w:i w:val="0"/>
          <w:color w:val="auto"/>
          <w:sz w:val="21"/>
          <w:szCs w:val="21"/>
          <w:lang w:eastAsia="zh-CN"/>
        </w:rPr>
        <w:t>污染物总量控制原则</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_Toc408414088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171</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24D15CA7">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"_Toc408414089" </w:instrText>
      </w:r>
      <w:r>
        <w:fldChar w:fldCharType="separate"/>
      </w:r>
      <w:r>
        <w:rPr>
          <w:rStyle w:val="89"/>
          <w:rFonts w:asciiTheme="minorEastAsia" w:hAnsiTheme="minorEastAsia" w:eastAsiaTheme="minorEastAsia"/>
          <w:i w:val="0"/>
          <w:color w:val="auto"/>
          <w:sz w:val="21"/>
          <w:szCs w:val="21"/>
          <w:lang w:eastAsia="zh-CN"/>
        </w:rPr>
        <w:t>12.2.2</w:t>
      </w:r>
      <w:r>
        <w:rPr>
          <w:rStyle w:val="89"/>
          <w:rFonts w:hint="eastAsia" w:asciiTheme="minorEastAsia" w:hAnsiTheme="minorEastAsia" w:eastAsiaTheme="minorEastAsia"/>
          <w:i w:val="0"/>
          <w:color w:val="auto"/>
          <w:sz w:val="21"/>
          <w:szCs w:val="21"/>
          <w:lang w:eastAsia="zh-CN"/>
        </w:rPr>
        <w:t>污染物排放总量</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_Toc408414089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172</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61061D4E">
      <w:pPr>
        <w:pStyle w:val="51"/>
        <w:rPr>
          <w:rFonts w:asciiTheme="minorEastAsia" w:hAnsiTheme="minorEastAsia" w:eastAsiaTheme="minorEastAsia" w:cstheme="minorBidi"/>
          <w:b/>
          <w:bCs w:val="0"/>
          <w:caps w:val="0"/>
          <w:kern w:val="2"/>
          <w:sz w:val="21"/>
          <w:szCs w:val="21"/>
          <w:lang w:bidi="ar-SA"/>
        </w:rPr>
      </w:pPr>
      <w:r>
        <w:fldChar w:fldCharType="begin"/>
      </w:r>
      <w:r>
        <w:instrText xml:space="preserve"> HYPERLINK \l "_Toc408414090" </w:instrText>
      </w:r>
      <w:r>
        <w:fldChar w:fldCharType="separate"/>
      </w:r>
      <w:r>
        <w:rPr>
          <w:rStyle w:val="89"/>
          <w:rFonts w:asciiTheme="minorEastAsia" w:hAnsiTheme="minorEastAsia" w:eastAsiaTheme="minorEastAsia"/>
          <w:b/>
          <w:color w:val="auto"/>
          <w:sz w:val="21"/>
          <w:szCs w:val="21"/>
        </w:rPr>
        <w:t>13</w:t>
      </w:r>
      <w:r>
        <w:rPr>
          <w:rStyle w:val="89"/>
          <w:rFonts w:hint="eastAsia" w:asciiTheme="minorEastAsia" w:hAnsiTheme="minorEastAsia" w:eastAsiaTheme="minorEastAsia"/>
          <w:b/>
          <w:color w:val="auto"/>
          <w:sz w:val="21"/>
          <w:szCs w:val="21"/>
        </w:rPr>
        <w:t>项目选址可行性及产业政策相符性</w:t>
      </w:r>
      <w:r>
        <w:rPr>
          <w:rFonts w:asciiTheme="minorEastAsia" w:hAnsiTheme="minorEastAsia" w:eastAsiaTheme="minorEastAsia"/>
          <w:b/>
          <w:sz w:val="21"/>
          <w:szCs w:val="21"/>
        </w:rPr>
        <w:tab/>
      </w:r>
      <w:r>
        <w:rPr>
          <w:rFonts w:asciiTheme="minorEastAsia" w:hAnsiTheme="minorEastAsia" w:eastAsiaTheme="minorEastAsia"/>
          <w:b/>
          <w:sz w:val="21"/>
          <w:szCs w:val="21"/>
        </w:rPr>
        <w:fldChar w:fldCharType="begin"/>
      </w:r>
      <w:r>
        <w:rPr>
          <w:rFonts w:asciiTheme="minorEastAsia" w:hAnsiTheme="minorEastAsia" w:eastAsiaTheme="minorEastAsia"/>
          <w:b/>
          <w:sz w:val="21"/>
          <w:szCs w:val="21"/>
        </w:rPr>
        <w:instrText xml:space="preserve"> PAGEREF _Toc408414090 \h </w:instrText>
      </w:r>
      <w:r>
        <w:rPr>
          <w:rFonts w:asciiTheme="minorEastAsia" w:hAnsiTheme="minorEastAsia" w:eastAsiaTheme="minorEastAsia"/>
          <w:b/>
          <w:sz w:val="21"/>
          <w:szCs w:val="21"/>
        </w:rPr>
        <w:fldChar w:fldCharType="separate"/>
      </w:r>
      <w:r>
        <w:rPr>
          <w:rFonts w:asciiTheme="minorEastAsia" w:hAnsiTheme="minorEastAsia" w:eastAsiaTheme="minorEastAsia"/>
          <w:b/>
          <w:sz w:val="21"/>
          <w:szCs w:val="21"/>
        </w:rPr>
        <w:t>174</w:t>
      </w:r>
      <w:r>
        <w:rPr>
          <w:rFonts w:asciiTheme="minorEastAsia" w:hAnsiTheme="minorEastAsia" w:eastAsiaTheme="minorEastAsia"/>
          <w:b/>
          <w:sz w:val="21"/>
          <w:szCs w:val="21"/>
        </w:rPr>
        <w:fldChar w:fldCharType="end"/>
      </w:r>
      <w:r>
        <w:rPr>
          <w:rFonts w:asciiTheme="minorEastAsia" w:hAnsiTheme="minorEastAsia" w:eastAsiaTheme="minorEastAsia"/>
          <w:b/>
          <w:sz w:val="21"/>
          <w:szCs w:val="21"/>
        </w:rPr>
        <w:fldChar w:fldCharType="end"/>
      </w:r>
    </w:p>
    <w:p w14:paraId="27D2BD31">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"_Toc408414091" </w:instrText>
      </w:r>
      <w:r>
        <w:fldChar w:fldCharType="separate"/>
      </w:r>
      <w:r>
        <w:rPr>
          <w:rStyle w:val="89"/>
          <w:rFonts w:asciiTheme="minorEastAsia" w:hAnsiTheme="minorEastAsia" w:eastAsiaTheme="minorEastAsia"/>
          <w:color w:val="auto"/>
          <w:sz w:val="21"/>
          <w:szCs w:val="21"/>
          <w:lang w:eastAsia="zh-CN"/>
        </w:rPr>
        <w:t>13.1</w:t>
      </w:r>
      <w:r>
        <w:rPr>
          <w:rStyle w:val="89"/>
          <w:rFonts w:hint="eastAsia" w:asciiTheme="minorEastAsia" w:hAnsiTheme="minorEastAsia" w:eastAsiaTheme="minorEastAsia"/>
          <w:color w:val="auto"/>
          <w:sz w:val="21"/>
          <w:szCs w:val="21"/>
          <w:lang w:eastAsia="zh-CN"/>
        </w:rPr>
        <w:t>项目选址合理性分析</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_Toc408414091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174</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7891DE0E">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"_Toc408414092" </w:instrText>
      </w:r>
      <w:r>
        <w:fldChar w:fldCharType="separate"/>
      </w:r>
      <w:r>
        <w:rPr>
          <w:rStyle w:val="89"/>
          <w:rFonts w:asciiTheme="minorEastAsia" w:hAnsiTheme="minorEastAsia" w:eastAsiaTheme="minorEastAsia"/>
          <w:i w:val="0"/>
          <w:color w:val="auto"/>
          <w:sz w:val="21"/>
          <w:szCs w:val="21"/>
          <w:lang w:eastAsia="zh-CN"/>
        </w:rPr>
        <w:t>13.1.1</w:t>
      </w:r>
      <w:r>
        <w:rPr>
          <w:rStyle w:val="89"/>
          <w:rFonts w:hint="eastAsia" w:asciiTheme="minorEastAsia" w:hAnsiTheme="minorEastAsia" w:eastAsiaTheme="minorEastAsia"/>
          <w:i w:val="0"/>
          <w:color w:val="auto"/>
          <w:sz w:val="21"/>
          <w:szCs w:val="21"/>
          <w:lang w:eastAsia="zh-CN"/>
        </w:rPr>
        <w:t>环境相容性分析</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_Toc408414092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174</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64F6F9D2">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"_Toc408414093" </w:instrText>
      </w:r>
      <w:r>
        <w:fldChar w:fldCharType="separate"/>
      </w:r>
      <w:r>
        <w:rPr>
          <w:rStyle w:val="89"/>
          <w:rFonts w:asciiTheme="minorEastAsia" w:hAnsiTheme="minorEastAsia" w:eastAsiaTheme="minorEastAsia"/>
          <w:i w:val="0"/>
          <w:color w:val="auto"/>
          <w:sz w:val="21"/>
          <w:szCs w:val="21"/>
          <w:lang w:eastAsia="zh-CN"/>
        </w:rPr>
        <w:t>13.1.2</w:t>
      </w:r>
      <w:r>
        <w:rPr>
          <w:rStyle w:val="89"/>
          <w:rFonts w:hint="eastAsia" w:asciiTheme="minorEastAsia" w:hAnsiTheme="minorEastAsia" w:eastAsiaTheme="minorEastAsia"/>
          <w:i w:val="0"/>
          <w:color w:val="auto"/>
          <w:sz w:val="21"/>
          <w:szCs w:val="21"/>
          <w:lang w:eastAsia="zh-CN"/>
        </w:rPr>
        <w:t>站场、井场选址合理性分析</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_Toc408414093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175</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5540638F">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"_Toc408414094" </w:instrText>
      </w:r>
      <w:r>
        <w:fldChar w:fldCharType="separate"/>
      </w:r>
      <w:r>
        <w:rPr>
          <w:rStyle w:val="89"/>
          <w:rFonts w:asciiTheme="minorEastAsia" w:hAnsiTheme="minorEastAsia" w:eastAsiaTheme="minorEastAsia"/>
          <w:color w:val="auto"/>
          <w:sz w:val="21"/>
          <w:szCs w:val="21"/>
          <w:lang w:eastAsia="zh-CN"/>
        </w:rPr>
        <w:t>13.2</w:t>
      </w:r>
      <w:r>
        <w:rPr>
          <w:rStyle w:val="89"/>
          <w:rFonts w:hint="eastAsia" w:asciiTheme="minorEastAsia" w:hAnsiTheme="minorEastAsia" w:eastAsiaTheme="minorEastAsia"/>
          <w:color w:val="auto"/>
          <w:sz w:val="21"/>
          <w:szCs w:val="21"/>
          <w:lang w:eastAsia="zh-CN"/>
        </w:rPr>
        <w:t>项目建设与产业政策符合性分析</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_Toc408414094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175</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0D95BDBE">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"_Toc408414095" </w:instrText>
      </w:r>
      <w:r>
        <w:fldChar w:fldCharType="separate"/>
      </w:r>
      <w:r>
        <w:rPr>
          <w:rStyle w:val="89"/>
          <w:rFonts w:asciiTheme="minorEastAsia" w:hAnsiTheme="minorEastAsia" w:eastAsiaTheme="minorEastAsia"/>
          <w:i w:val="0"/>
          <w:color w:val="auto"/>
          <w:sz w:val="21"/>
          <w:szCs w:val="21"/>
          <w:lang w:eastAsia="zh-CN"/>
        </w:rPr>
        <w:t>13.2.1</w:t>
      </w:r>
      <w:r>
        <w:rPr>
          <w:rStyle w:val="89"/>
          <w:rFonts w:hint="eastAsia" w:asciiTheme="minorEastAsia" w:hAnsiTheme="minorEastAsia" w:eastAsiaTheme="minorEastAsia"/>
          <w:i w:val="0"/>
          <w:color w:val="auto"/>
          <w:sz w:val="21"/>
          <w:szCs w:val="21"/>
          <w:lang w:eastAsia="zh-CN"/>
        </w:rPr>
        <w:t>产业政策相符性分析</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_Toc408414095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175</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28DD8BB1">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"_Toc408414096" </w:instrText>
      </w:r>
      <w:r>
        <w:fldChar w:fldCharType="separate"/>
      </w:r>
      <w:r>
        <w:rPr>
          <w:rStyle w:val="89"/>
          <w:rFonts w:asciiTheme="minorEastAsia" w:hAnsiTheme="minorEastAsia" w:eastAsiaTheme="minorEastAsia"/>
          <w:i w:val="0"/>
          <w:color w:val="auto"/>
          <w:sz w:val="21"/>
          <w:szCs w:val="21"/>
          <w:lang w:eastAsia="zh-CN"/>
        </w:rPr>
        <w:t>13.2.2</w:t>
      </w:r>
      <w:r>
        <w:rPr>
          <w:rStyle w:val="89"/>
          <w:rFonts w:hint="eastAsia" w:asciiTheme="minorEastAsia" w:hAnsiTheme="minorEastAsia" w:eastAsiaTheme="minorEastAsia"/>
          <w:i w:val="0"/>
          <w:color w:val="auto"/>
          <w:sz w:val="21"/>
          <w:szCs w:val="21"/>
          <w:lang w:eastAsia="zh-CN"/>
        </w:rPr>
        <w:t>与内蒙古自治区</w:t>
      </w:r>
      <w:r>
        <w:rPr>
          <w:rStyle w:val="89"/>
          <w:rFonts w:asciiTheme="minorEastAsia" w:hAnsiTheme="minorEastAsia" w:eastAsiaTheme="minorEastAsia"/>
          <w:i w:val="0"/>
          <w:color w:val="auto"/>
          <w:sz w:val="21"/>
          <w:szCs w:val="21"/>
          <w:lang w:eastAsia="zh-CN"/>
        </w:rPr>
        <w:t>“</w:t>
      </w:r>
      <w:r>
        <w:rPr>
          <w:rStyle w:val="89"/>
          <w:rFonts w:hint="eastAsia" w:asciiTheme="minorEastAsia" w:hAnsiTheme="minorEastAsia" w:eastAsiaTheme="minorEastAsia"/>
          <w:i w:val="0"/>
          <w:color w:val="auto"/>
          <w:sz w:val="21"/>
          <w:szCs w:val="21"/>
          <w:lang w:eastAsia="zh-CN"/>
        </w:rPr>
        <w:t>十二五</w:t>
      </w:r>
      <w:r>
        <w:rPr>
          <w:rStyle w:val="89"/>
          <w:rFonts w:asciiTheme="minorEastAsia" w:hAnsiTheme="minorEastAsia" w:eastAsiaTheme="minorEastAsia"/>
          <w:i w:val="0"/>
          <w:color w:val="auto"/>
          <w:sz w:val="21"/>
          <w:szCs w:val="21"/>
          <w:lang w:eastAsia="zh-CN"/>
        </w:rPr>
        <w:t>”</w:t>
      </w:r>
      <w:r>
        <w:rPr>
          <w:rStyle w:val="89"/>
          <w:rFonts w:hint="eastAsia" w:asciiTheme="minorEastAsia" w:hAnsiTheme="minorEastAsia" w:eastAsiaTheme="minorEastAsia"/>
          <w:i w:val="0"/>
          <w:color w:val="auto"/>
          <w:sz w:val="21"/>
          <w:szCs w:val="21"/>
          <w:lang w:eastAsia="zh-CN"/>
        </w:rPr>
        <w:t>规划的相符性</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_Toc408414096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176</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47CF86C0">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"_Toc408414097" </w:instrText>
      </w:r>
      <w:r>
        <w:fldChar w:fldCharType="separate"/>
      </w:r>
      <w:r>
        <w:rPr>
          <w:rStyle w:val="89"/>
          <w:rFonts w:asciiTheme="minorEastAsia" w:hAnsiTheme="minorEastAsia" w:eastAsiaTheme="minorEastAsia"/>
          <w:i w:val="0"/>
          <w:color w:val="auto"/>
          <w:sz w:val="21"/>
          <w:szCs w:val="21"/>
          <w:lang w:eastAsia="zh-CN"/>
        </w:rPr>
        <w:t>13.2.3</w:t>
      </w:r>
      <w:r>
        <w:rPr>
          <w:rStyle w:val="89"/>
          <w:rFonts w:hint="eastAsia" w:asciiTheme="minorEastAsia" w:hAnsiTheme="minorEastAsia" w:eastAsiaTheme="minorEastAsia"/>
          <w:i w:val="0"/>
          <w:color w:val="auto"/>
          <w:sz w:val="21"/>
          <w:szCs w:val="21"/>
          <w:lang w:eastAsia="zh-CN"/>
        </w:rPr>
        <w:t>与锡林郭勒盟</w:t>
      </w:r>
      <w:r>
        <w:rPr>
          <w:rStyle w:val="89"/>
          <w:rFonts w:asciiTheme="minorEastAsia" w:hAnsiTheme="minorEastAsia" w:eastAsiaTheme="minorEastAsia"/>
          <w:i w:val="0"/>
          <w:color w:val="auto"/>
          <w:sz w:val="21"/>
          <w:szCs w:val="21"/>
          <w:lang w:eastAsia="zh-CN"/>
        </w:rPr>
        <w:t>“</w:t>
      </w:r>
      <w:r>
        <w:rPr>
          <w:rStyle w:val="89"/>
          <w:rFonts w:hint="eastAsia" w:asciiTheme="minorEastAsia" w:hAnsiTheme="minorEastAsia" w:eastAsiaTheme="minorEastAsia"/>
          <w:i w:val="0"/>
          <w:color w:val="auto"/>
          <w:sz w:val="21"/>
          <w:szCs w:val="21"/>
          <w:lang w:eastAsia="zh-CN"/>
        </w:rPr>
        <w:t>十二五</w:t>
      </w:r>
      <w:r>
        <w:rPr>
          <w:rStyle w:val="89"/>
          <w:rFonts w:asciiTheme="minorEastAsia" w:hAnsiTheme="minorEastAsia" w:eastAsiaTheme="minorEastAsia"/>
          <w:i w:val="0"/>
          <w:color w:val="auto"/>
          <w:sz w:val="21"/>
          <w:szCs w:val="21"/>
          <w:lang w:eastAsia="zh-CN"/>
        </w:rPr>
        <w:t>”</w:t>
      </w:r>
      <w:r>
        <w:rPr>
          <w:rStyle w:val="89"/>
          <w:rFonts w:hint="eastAsia" w:asciiTheme="minorEastAsia" w:hAnsiTheme="minorEastAsia" w:eastAsiaTheme="minorEastAsia"/>
          <w:i w:val="0"/>
          <w:color w:val="auto"/>
          <w:sz w:val="21"/>
          <w:szCs w:val="21"/>
          <w:lang w:eastAsia="zh-CN"/>
        </w:rPr>
        <w:t>规划的相符性</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_Toc408414097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176</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27BF5454">
      <w:pPr>
        <w:pStyle w:val="51"/>
        <w:rPr>
          <w:rFonts w:asciiTheme="minorEastAsia" w:hAnsiTheme="minorEastAsia" w:eastAsiaTheme="minorEastAsia" w:cstheme="minorBidi"/>
          <w:b/>
          <w:bCs w:val="0"/>
          <w:caps w:val="0"/>
          <w:kern w:val="2"/>
          <w:sz w:val="21"/>
          <w:szCs w:val="21"/>
          <w:lang w:bidi="ar-SA"/>
        </w:rPr>
      </w:pPr>
      <w:r>
        <w:fldChar w:fldCharType="begin"/>
      </w:r>
      <w:r>
        <w:instrText xml:space="preserve"> HYPERLINK \l "_Toc408414098" </w:instrText>
      </w:r>
      <w:r>
        <w:fldChar w:fldCharType="separate"/>
      </w:r>
      <w:r>
        <w:rPr>
          <w:rStyle w:val="89"/>
          <w:rFonts w:asciiTheme="minorEastAsia" w:hAnsiTheme="minorEastAsia" w:eastAsiaTheme="minorEastAsia"/>
          <w:b/>
          <w:color w:val="auto"/>
          <w:sz w:val="21"/>
          <w:szCs w:val="21"/>
        </w:rPr>
        <w:t>14</w:t>
      </w:r>
      <w:r>
        <w:rPr>
          <w:rStyle w:val="89"/>
          <w:rFonts w:hint="eastAsia" w:asciiTheme="minorEastAsia" w:hAnsiTheme="minorEastAsia" w:eastAsiaTheme="minorEastAsia"/>
          <w:b/>
          <w:color w:val="auto"/>
          <w:sz w:val="21"/>
          <w:szCs w:val="21"/>
        </w:rPr>
        <w:t>环境影响经济损益分析</w:t>
      </w:r>
      <w:r>
        <w:rPr>
          <w:rFonts w:asciiTheme="minorEastAsia" w:hAnsiTheme="minorEastAsia" w:eastAsiaTheme="minorEastAsia"/>
          <w:b/>
          <w:sz w:val="21"/>
          <w:szCs w:val="21"/>
        </w:rPr>
        <w:tab/>
      </w:r>
      <w:r>
        <w:rPr>
          <w:rFonts w:asciiTheme="minorEastAsia" w:hAnsiTheme="minorEastAsia" w:eastAsiaTheme="minorEastAsia"/>
          <w:b/>
          <w:sz w:val="21"/>
          <w:szCs w:val="21"/>
        </w:rPr>
        <w:fldChar w:fldCharType="begin"/>
      </w:r>
      <w:r>
        <w:rPr>
          <w:rFonts w:asciiTheme="minorEastAsia" w:hAnsiTheme="minorEastAsia" w:eastAsiaTheme="minorEastAsia"/>
          <w:b/>
          <w:sz w:val="21"/>
          <w:szCs w:val="21"/>
        </w:rPr>
        <w:instrText xml:space="preserve"> PAGEREF _Toc408414098 \h </w:instrText>
      </w:r>
      <w:r>
        <w:rPr>
          <w:rFonts w:asciiTheme="minorEastAsia" w:hAnsiTheme="minorEastAsia" w:eastAsiaTheme="minorEastAsia"/>
          <w:b/>
          <w:sz w:val="21"/>
          <w:szCs w:val="21"/>
        </w:rPr>
        <w:fldChar w:fldCharType="separate"/>
      </w:r>
      <w:r>
        <w:rPr>
          <w:rFonts w:asciiTheme="minorEastAsia" w:hAnsiTheme="minorEastAsia" w:eastAsiaTheme="minorEastAsia"/>
          <w:b/>
          <w:sz w:val="21"/>
          <w:szCs w:val="21"/>
        </w:rPr>
        <w:t>177</w:t>
      </w:r>
      <w:r>
        <w:rPr>
          <w:rFonts w:asciiTheme="minorEastAsia" w:hAnsiTheme="minorEastAsia" w:eastAsiaTheme="minorEastAsia"/>
          <w:b/>
          <w:sz w:val="21"/>
          <w:szCs w:val="21"/>
        </w:rPr>
        <w:fldChar w:fldCharType="end"/>
      </w:r>
      <w:r>
        <w:rPr>
          <w:rFonts w:asciiTheme="minorEastAsia" w:hAnsiTheme="minorEastAsia" w:eastAsiaTheme="minorEastAsia"/>
          <w:b/>
          <w:sz w:val="21"/>
          <w:szCs w:val="21"/>
        </w:rPr>
        <w:fldChar w:fldCharType="end"/>
      </w:r>
    </w:p>
    <w:p w14:paraId="766D07B7">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"_Toc408414099" </w:instrText>
      </w:r>
      <w:r>
        <w:fldChar w:fldCharType="separate"/>
      </w:r>
      <w:r>
        <w:rPr>
          <w:rStyle w:val="89"/>
          <w:rFonts w:asciiTheme="minorEastAsia" w:hAnsiTheme="minorEastAsia" w:eastAsiaTheme="minorEastAsia"/>
          <w:color w:val="auto"/>
          <w:sz w:val="21"/>
          <w:szCs w:val="21"/>
          <w:lang w:eastAsia="zh-CN"/>
        </w:rPr>
        <w:t>14.1</w:t>
      </w:r>
      <w:r>
        <w:rPr>
          <w:rStyle w:val="89"/>
          <w:rFonts w:hint="eastAsia" w:asciiTheme="minorEastAsia" w:hAnsiTheme="minorEastAsia" w:eastAsiaTheme="minorEastAsia"/>
          <w:color w:val="auto"/>
          <w:sz w:val="21"/>
          <w:szCs w:val="21"/>
          <w:lang w:eastAsia="zh-CN"/>
        </w:rPr>
        <w:t>经济效益分析</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_Toc408414099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177</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5067935D">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"_Toc408414100" </w:instrText>
      </w:r>
      <w:r>
        <w:fldChar w:fldCharType="separate"/>
      </w:r>
      <w:r>
        <w:rPr>
          <w:rStyle w:val="89"/>
          <w:rFonts w:asciiTheme="minorEastAsia" w:hAnsiTheme="minorEastAsia" w:eastAsiaTheme="minorEastAsia"/>
          <w:color w:val="auto"/>
          <w:sz w:val="21"/>
          <w:szCs w:val="21"/>
          <w:lang w:eastAsia="zh-CN"/>
        </w:rPr>
        <w:t>14.2</w:t>
      </w:r>
      <w:r>
        <w:rPr>
          <w:rStyle w:val="89"/>
          <w:rFonts w:hint="eastAsia" w:asciiTheme="minorEastAsia" w:hAnsiTheme="minorEastAsia" w:eastAsiaTheme="minorEastAsia"/>
          <w:color w:val="auto"/>
          <w:sz w:val="21"/>
          <w:szCs w:val="21"/>
          <w:lang w:eastAsia="zh-CN"/>
        </w:rPr>
        <w:t>环境损失费估算</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_Toc408414100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177</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793DE2B6">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"_Toc408414101" </w:instrText>
      </w:r>
      <w:r>
        <w:fldChar w:fldCharType="separate"/>
      </w:r>
      <w:r>
        <w:rPr>
          <w:rStyle w:val="89"/>
          <w:rFonts w:asciiTheme="minorEastAsia" w:hAnsiTheme="minorEastAsia" w:eastAsiaTheme="minorEastAsia"/>
          <w:color w:val="auto"/>
          <w:sz w:val="21"/>
          <w:szCs w:val="21"/>
          <w:lang w:eastAsia="zh-CN"/>
        </w:rPr>
        <w:t>14.3</w:t>
      </w:r>
      <w:r>
        <w:rPr>
          <w:rStyle w:val="89"/>
          <w:rFonts w:hint="eastAsia" w:asciiTheme="minorEastAsia" w:hAnsiTheme="minorEastAsia" w:eastAsiaTheme="minorEastAsia"/>
          <w:color w:val="auto"/>
          <w:sz w:val="21"/>
          <w:szCs w:val="21"/>
          <w:lang w:eastAsia="zh-CN"/>
        </w:rPr>
        <w:t>环保投资估算及环境效益分析</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_Toc408414101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178</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5516E2BA">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"_Toc408414102" </w:instrText>
      </w:r>
      <w:r>
        <w:fldChar w:fldCharType="separate"/>
      </w:r>
      <w:r>
        <w:rPr>
          <w:rStyle w:val="89"/>
          <w:rFonts w:asciiTheme="minorEastAsia" w:hAnsiTheme="minorEastAsia" w:eastAsiaTheme="minorEastAsia"/>
          <w:i w:val="0"/>
          <w:color w:val="auto"/>
          <w:sz w:val="21"/>
          <w:szCs w:val="21"/>
          <w:lang w:eastAsia="zh-CN"/>
        </w:rPr>
        <w:t>14.3.1</w:t>
      </w:r>
      <w:r>
        <w:rPr>
          <w:rStyle w:val="89"/>
          <w:rFonts w:hint="eastAsia" w:asciiTheme="minorEastAsia" w:hAnsiTheme="minorEastAsia" w:eastAsiaTheme="minorEastAsia"/>
          <w:i w:val="0"/>
          <w:color w:val="auto"/>
          <w:sz w:val="21"/>
          <w:szCs w:val="21"/>
          <w:lang w:eastAsia="zh-CN"/>
        </w:rPr>
        <w:t>环保措施投资估算</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_Toc408414102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178</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55D6E7D3">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"_Toc408414103" </w:instrText>
      </w:r>
      <w:r>
        <w:fldChar w:fldCharType="separate"/>
      </w:r>
      <w:r>
        <w:rPr>
          <w:rStyle w:val="89"/>
          <w:rFonts w:asciiTheme="minorEastAsia" w:hAnsiTheme="minorEastAsia" w:eastAsiaTheme="minorEastAsia"/>
          <w:i w:val="0"/>
          <w:color w:val="auto"/>
          <w:sz w:val="21"/>
          <w:szCs w:val="21"/>
        </w:rPr>
        <w:t>14.3.2</w:t>
      </w:r>
      <w:r>
        <w:rPr>
          <w:rStyle w:val="89"/>
          <w:rFonts w:hint="eastAsia" w:asciiTheme="minorEastAsia" w:hAnsiTheme="minorEastAsia" w:eastAsiaTheme="minorEastAsia"/>
          <w:i w:val="0"/>
          <w:color w:val="auto"/>
          <w:sz w:val="21"/>
          <w:szCs w:val="21"/>
        </w:rPr>
        <w:t>环境效益简要分析</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_Toc408414103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178</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59E16C6A">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"_Toc408414104" </w:instrText>
      </w:r>
      <w:r>
        <w:fldChar w:fldCharType="separate"/>
      </w:r>
      <w:r>
        <w:rPr>
          <w:rStyle w:val="89"/>
          <w:rFonts w:asciiTheme="minorEastAsia" w:hAnsiTheme="minorEastAsia" w:eastAsiaTheme="minorEastAsia"/>
          <w:color w:val="auto"/>
          <w:sz w:val="21"/>
          <w:szCs w:val="21"/>
          <w:lang w:eastAsia="zh-CN"/>
        </w:rPr>
        <w:t>14.4</w:t>
      </w:r>
      <w:r>
        <w:rPr>
          <w:rStyle w:val="89"/>
          <w:rFonts w:hint="eastAsia" w:asciiTheme="minorEastAsia" w:hAnsiTheme="minorEastAsia" w:eastAsiaTheme="minorEastAsia"/>
          <w:color w:val="auto"/>
          <w:sz w:val="21"/>
          <w:szCs w:val="21"/>
          <w:lang w:eastAsia="zh-CN"/>
        </w:rPr>
        <w:t>潜在社会影响分析</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_Toc408414104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179</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63190A3A">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"_Toc408414105" </w:instrText>
      </w:r>
      <w:r>
        <w:fldChar w:fldCharType="separate"/>
      </w:r>
      <w:r>
        <w:rPr>
          <w:rStyle w:val="89"/>
          <w:rFonts w:asciiTheme="minorEastAsia" w:hAnsiTheme="minorEastAsia" w:eastAsiaTheme="minorEastAsia"/>
          <w:color w:val="auto"/>
          <w:sz w:val="21"/>
          <w:szCs w:val="21"/>
          <w:lang w:eastAsia="zh-CN"/>
        </w:rPr>
        <w:t>14.5</w:t>
      </w:r>
      <w:r>
        <w:rPr>
          <w:rStyle w:val="89"/>
          <w:rFonts w:hint="eastAsia" w:asciiTheme="minorEastAsia" w:hAnsiTheme="minorEastAsia" w:eastAsiaTheme="minorEastAsia"/>
          <w:color w:val="auto"/>
          <w:sz w:val="21"/>
          <w:szCs w:val="21"/>
          <w:lang w:eastAsia="zh-CN"/>
        </w:rPr>
        <w:t>环境经济损益分析结论</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_Toc408414105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179</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4C606F0B">
      <w:pPr>
        <w:pStyle w:val="51"/>
        <w:rPr>
          <w:rFonts w:asciiTheme="minorEastAsia" w:hAnsiTheme="minorEastAsia" w:eastAsiaTheme="minorEastAsia" w:cstheme="minorBidi"/>
          <w:b/>
          <w:bCs w:val="0"/>
          <w:caps w:val="0"/>
          <w:kern w:val="2"/>
          <w:sz w:val="21"/>
          <w:szCs w:val="21"/>
          <w:lang w:bidi="ar-SA"/>
        </w:rPr>
      </w:pPr>
      <w:r>
        <w:fldChar w:fldCharType="begin"/>
      </w:r>
      <w:r>
        <w:instrText xml:space="preserve"> HYPERLINK \l "_Toc408414106" </w:instrText>
      </w:r>
      <w:r>
        <w:fldChar w:fldCharType="separate"/>
      </w:r>
      <w:r>
        <w:rPr>
          <w:rStyle w:val="89"/>
          <w:rFonts w:asciiTheme="minorEastAsia" w:hAnsiTheme="minorEastAsia" w:eastAsiaTheme="minorEastAsia"/>
          <w:b/>
          <w:color w:val="auto"/>
          <w:sz w:val="21"/>
          <w:szCs w:val="21"/>
        </w:rPr>
        <w:t>15 HSE</w:t>
      </w:r>
      <w:r>
        <w:rPr>
          <w:rStyle w:val="89"/>
          <w:rFonts w:hint="eastAsia" w:asciiTheme="minorEastAsia" w:hAnsiTheme="minorEastAsia" w:eastAsiaTheme="minorEastAsia"/>
          <w:b/>
          <w:color w:val="auto"/>
          <w:sz w:val="21"/>
          <w:szCs w:val="21"/>
        </w:rPr>
        <w:t>管理体系及环境监控</w:t>
      </w:r>
      <w:r>
        <w:rPr>
          <w:rFonts w:asciiTheme="minorEastAsia" w:hAnsiTheme="minorEastAsia" w:eastAsiaTheme="minorEastAsia"/>
          <w:b/>
          <w:sz w:val="21"/>
          <w:szCs w:val="21"/>
        </w:rPr>
        <w:tab/>
      </w:r>
      <w:r>
        <w:rPr>
          <w:rFonts w:asciiTheme="minorEastAsia" w:hAnsiTheme="minorEastAsia" w:eastAsiaTheme="minorEastAsia"/>
          <w:b/>
          <w:sz w:val="21"/>
          <w:szCs w:val="21"/>
        </w:rPr>
        <w:fldChar w:fldCharType="begin"/>
      </w:r>
      <w:r>
        <w:rPr>
          <w:rFonts w:asciiTheme="minorEastAsia" w:hAnsiTheme="minorEastAsia" w:eastAsiaTheme="minorEastAsia"/>
          <w:b/>
          <w:sz w:val="21"/>
          <w:szCs w:val="21"/>
        </w:rPr>
        <w:instrText xml:space="preserve"> PAGEREF _Toc408414106 \h </w:instrText>
      </w:r>
      <w:r>
        <w:rPr>
          <w:rFonts w:asciiTheme="minorEastAsia" w:hAnsiTheme="minorEastAsia" w:eastAsiaTheme="minorEastAsia"/>
          <w:b/>
          <w:sz w:val="21"/>
          <w:szCs w:val="21"/>
        </w:rPr>
        <w:fldChar w:fldCharType="separate"/>
      </w:r>
      <w:r>
        <w:rPr>
          <w:rFonts w:asciiTheme="minorEastAsia" w:hAnsiTheme="minorEastAsia" w:eastAsiaTheme="minorEastAsia"/>
          <w:b/>
          <w:sz w:val="21"/>
          <w:szCs w:val="21"/>
        </w:rPr>
        <w:t>181</w:t>
      </w:r>
      <w:r>
        <w:rPr>
          <w:rFonts w:asciiTheme="minorEastAsia" w:hAnsiTheme="minorEastAsia" w:eastAsiaTheme="minorEastAsia"/>
          <w:b/>
          <w:sz w:val="21"/>
          <w:szCs w:val="21"/>
        </w:rPr>
        <w:fldChar w:fldCharType="end"/>
      </w:r>
      <w:r>
        <w:rPr>
          <w:rFonts w:asciiTheme="minorEastAsia" w:hAnsiTheme="minorEastAsia" w:eastAsiaTheme="minorEastAsia"/>
          <w:b/>
          <w:sz w:val="21"/>
          <w:szCs w:val="21"/>
        </w:rPr>
        <w:fldChar w:fldCharType="end"/>
      </w:r>
    </w:p>
    <w:p w14:paraId="7B4C7E7E">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"_Toc408414107" </w:instrText>
      </w:r>
      <w:r>
        <w:fldChar w:fldCharType="separate"/>
      </w:r>
      <w:r>
        <w:rPr>
          <w:rStyle w:val="89"/>
          <w:rFonts w:asciiTheme="minorEastAsia" w:hAnsiTheme="minorEastAsia" w:eastAsiaTheme="minorEastAsia"/>
          <w:color w:val="auto"/>
          <w:sz w:val="21"/>
          <w:szCs w:val="21"/>
          <w:lang w:eastAsia="zh-CN"/>
        </w:rPr>
        <w:t>15.1HSE</w:t>
      </w:r>
      <w:r>
        <w:rPr>
          <w:rStyle w:val="89"/>
          <w:rFonts w:hint="eastAsia" w:asciiTheme="minorEastAsia" w:hAnsiTheme="minorEastAsia" w:eastAsiaTheme="minorEastAsia"/>
          <w:color w:val="auto"/>
          <w:sz w:val="21"/>
          <w:szCs w:val="21"/>
          <w:lang w:eastAsia="zh-CN"/>
        </w:rPr>
        <w:t>管理体系的建立和运行</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_Toc408414107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181</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26502526">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"_Toc408414108" </w:instrText>
      </w:r>
      <w:r>
        <w:fldChar w:fldCharType="separate"/>
      </w:r>
      <w:r>
        <w:rPr>
          <w:rStyle w:val="89"/>
          <w:rFonts w:asciiTheme="minorEastAsia" w:hAnsiTheme="minorEastAsia" w:eastAsiaTheme="minorEastAsia"/>
          <w:i w:val="0"/>
          <w:color w:val="auto"/>
          <w:sz w:val="21"/>
          <w:szCs w:val="21"/>
          <w:lang w:eastAsia="zh-CN"/>
        </w:rPr>
        <w:t>15.1.1</w:t>
      </w:r>
      <w:r>
        <w:rPr>
          <w:rStyle w:val="89"/>
          <w:rFonts w:hint="eastAsia" w:asciiTheme="minorEastAsia" w:hAnsiTheme="minorEastAsia" w:eastAsiaTheme="minorEastAsia"/>
          <w:i w:val="0"/>
          <w:color w:val="auto"/>
          <w:sz w:val="21"/>
          <w:szCs w:val="21"/>
          <w:lang w:eastAsia="zh-CN"/>
        </w:rPr>
        <w:t>组织结构</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_Toc408414108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181</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01E124CA">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"_Toc408414109" </w:instrText>
      </w:r>
      <w:r>
        <w:fldChar w:fldCharType="separate"/>
      </w:r>
      <w:r>
        <w:rPr>
          <w:rStyle w:val="89"/>
          <w:rFonts w:asciiTheme="minorEastAsia" w:hAnsiTheme="minorEastAsia" w:eastAsiaTheme="minorEastAsia"/>
          <w:i w:val="0"/>
          <w:color w:val="auto"/>
          <w:sz w:val="21"/>
          <w:szCs w:val="21"/>
          <w:lang w:eastAsia="zh-CN"/>
        </w:rPr>
        <w:t>15.1.2</w:t>
      </w:r>
      <w:r>
        <w:rPr>
          <w:rStyle w:val="89"/>
          <w:rFonts w:hint="eastAsia" w:asciiTheme="minorEastAsia" w:hAnsiTheme="minorEastAsia" w:eastAsiaTheme="minorEastAsia"/>
          <w:i w:val="0"/>
          <w:color w:val="auto"/>
          <w:sz w:val="21"/>
          <w:szCs w:val="21"/>
          <w:lang w:eastAsia="zh-CN"/>
        </w:rPr>
        <w:t>规章制度</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_Toc408414109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181</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22E5963C">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"_Toc408414110" </w:instrText>
      </w:r>
      <w:r>
        <w:fldChar w:fldCharType="separate"/>
      </w:r>
      <w:r>
        <w:rPr>
          <w:rStyle w:val="89"/>
          <w:rFonts w:asciiTheme="minorEastAsia" w:hAnsiTheme="minorEastAsia" w:eastAsiaTheme="minorEastAsia"/>
          <w:i w:val="0"/>
          <w:color w:val="auto"/>
          <w:sz w:val="21"/>
          <w:szCs w:val="21"/>
        </w:rPr>
        <w:t>15.1.3</w:t>
      </w:r>
      <w:r>
        <w:rPr>
          <w:rStyle w:val="89"/>
          <w:rFonts w:hint="eastAsia" w:asciiTheme="minorEastAsia" w:hAnsiTheme="minorEastAsia" w:eastAsiaTheme="minorEastAsia"/>
          <w:i w:val="0"/>
          <w:color w:val="auto"/>
          <w:sz w:val="21"/>
          <w:szCs w:val="21"/>
        </w:rPr>
        <w:t>管理措施</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_Toc408414110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182</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53091F58">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"_Toc408414111" </w:instrText>
      </w:r>
      <w:r>
        <w:fldChar w:fldCharType="separate"/>
      </w:r>
      <w:r>
        <w:rPr>
          <w:rStyle w:val="89"/>
          <w:rFonts w:asciiTheme="minorEastAsia" w:hAnsiTheme="minorEastAsia" w:eastAsiaTheme="minorEastAsia"/>
          <w:color w:val="auto"/>
          <w:sz w:val="21"/>
          <w:szCs w:val="21"/>
          <w:lang w:eastAsia="zh-CN"/>
        </w:rPr>
        <w:t>15.2</w:t>
      </w:r>
      <w:r>
        <w:rPr>
          <w:rStyle w:val="89"/>
          <w:rFonts w:hint="eastAsia" w:asciiTheme="minorEastAsia" w:hAnsiTheme="minorEastAsia" w:eastAsiaTheme="minorEastAsia"/>
          <w:color w:val="auto"/>
          <w:sz w:val="21"/>
          <w:szCs w:val="21"/>
          <w:lang w:eastAsia="zh-CN"/>
        </w:rPr>
        <w:t>环境监控</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_Toc408414111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183</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497AD479">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"_Toc408414112" </w:instrText>
      </w:r>
      <w:r>
        <w:fldChar w:fldCharType="separate"/>
      </w:r>
      <w:r>
        <w:rPr>
          <w:rStyle w:val="89"/>
          <w:rFonts w:asciiTheme="minorEastAsia" w:hAnsiTheme="minorEastAsia" w:eastAsiaTheme="minorEastAsia"/>
          <w:i w:val="0"/>
          <w:color w:val="auto"/>
          <w:sz w:val="21"/>
          <w:szCs w:val="21"/>
          <w:lang w:eastAsia="zh-CN"/>
        </w:rPr>
        <w:t>15.2.1</w:t>
      </w:r>
      <w:r>
        <w:rPr>
          <w:rStyle w:val="89"/>
          <w:rFonts w:hint="eastAsia" w:asciiTheme="minorEastAsia" w:hAnsiTheme="minorEastAsia" w:eastAsiaTheme="minorEastAsia"/>
          <w:i w:val="0"/>
          <w:color w:val="auto"/>
          <w:sz w:val="21"/>
          <w:szCs w:val="21"/>
          <w:lang w:eastAsia="zh-CN"/>
        </w:rPr>
        <w:t>环境监理计划</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_Toc408414112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183</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6B9CE51B">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"_Toc408414113" </w:instrText>
      </w:r>
      <w:r>
        <w:fldChar w:fldCharType="separate"/>
      </w:r>
      <w:r>
        <w:rPr>
          <w:rStyle w:val="89"/>
          <w:rFonts w:asciiTheme="minorEastAsia" w:hAnsiTheme="minorEastAsia" w:eastAsiaTheme="minorEastAsia"/>
          <w:i w:val="0"/>
          <w:color w:val="auto"/>
          <w:sz w:val="21"/>
          <w:szCs w:val="21"/>
          <w:lang w:eastAsia="zh-CN"/>
        </w:rPr>
        <w:t>15.2.2</w:t>
      </w:r>
      <w:r>
        <w:rPr>
          <w:rStyle w:val="89"/>
          <w:rFonts w:hint="eastAsia" w:asciiTheme="minorEastAsia" w:hAnsiTheme="minorEastAsia" w:eastAsiaTheme="minorEastAsia"/>
          <w:i w:val="0"/>
          <w:color w:val="auto"/>
          <w:sz w:val="21"/>
          <w:szCs w:val="21"/>
          <w:lang w:eastAsia="zh-CN"/>
        </w:rPr>
        <w:t>环境监测计划</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_Toc408414113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184</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273DC232">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"_Toc408414114" </w:instrText>
      </w:r>
      <w:r>
        <w:fldChar w:fldCharType="separate"/>
      </w:r>
      <w:r>
        <w:rPr>
          <w:rStyle w:val="89"/>
          <w:rFonts w:asciiTheme="minorEastAsia" w:hAnsiTheme="minorEastAsia" w:eastAsiaTheme="minorEastAsia"/>
          <w:color w:val="auto"/>
          <w:sz w:val="21"/>
          <w:szCs w:val="21"/>
          <w:lang w:eastAsia="zh-CN"/>
        </w:rPr>
        <w:t>15.3</w:t>
      </w:r>
      <w:r>
        <w:rPr>
          <w:rStyle w:val="89"/>
          <w:rFonts w:hint="eastAsia" w:asciiTheme="minorEastAsia" w:hAnsiTheme="minorEastAsia" w:eastAsiaTheme="minorEastAsia"/>
          <w:color w:val="auto"/>
          <w:sz w:val="21"/>
          <w:szCs w:val="21"/>
          <w:lang w:eastAsia="zh-CN"/>
        </w:rPr>
        <w:t>环保措施汇总及竣工验收一览表</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_Toc408414114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185</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11F3DCF9">
      <w:pPr>
        <w:pStyle w:val="51"/>
        <w:rPr>
          <w:rFonts w:asciiTheme="minorEastAsia" w:hAnsiTheme="minorEastAsia" w:eastAsiaTheme="minorEastAsia" w:cstheme="minorBidi"/>
          <w:b/>
          <w:bCs w:val="0"/>
          <w:caps w:val="0"/>
          <w:kern w:val="2"/>
          <w:sz w:val="21"/>
          <w:szCs w:val="21"/>
          <w:lang w:bidi="ar-SA"/>
        </w:rPr>
      </w:pPr>
      <w:r>
        <w:fldChar w:fldCharType="begin"/>
      </w:r>
      <w:r>
        <w:instrText xml:space="preserve"> HYPERLINK \l "_Toc408414115" </w:instrText>
      </w:r>
      <w:r>
        <w:fldChar w:fldCharType="separate"/>
      </w:r>
      <w:r>
        <w:rPr>
          <w:rStyle w:val="89"/>
          <w:rFonts w:asciiTheme="minorEastAsia" w:hAnsiTheme="minorEastAsia" w:eastAsiaTheme="minorEastAsia"/>
          <w:b/>
          <w:color w:val="auto"/>
          <w:sz w:val="21"/>
          <w:szCs w:val="21"/>
        </w:rPr>
        <w:t>16</w:t>
      </w:r>
      <w:r>
        <w:rPr>
          <w:rStyle w:val="89"/>
          <w:rFonts w:hint="eastAsia" w:asciiTheme="minorEastAsia" w:hAnsiTheme="minorEastAsia" w:eastAsiaTheme="minorEastAsia"/>
          <w:b/>
          <w:color w:val="auto"/>
          <w:sz w:val="21"/>
          <w:szCs w:val="21"/>
        </w:rPr>
        <w:t>公众参与</w:t>
      </w:r>
      <w:r>
        <w:rPr>
          <w:rFonts w:asciiTheme="minorEastAsia" w:hAnsiTheme="minorEastAsia" w:eastAsiaTheme="minorEastAsia"/>
          <w:b/>
          <w:sz w:val="21"/>
          <w:szCs w:val="21"/>
        </w:rPr>
        <w:tab/>
      </w:r>
      <w:r>
        <w:rPr>
          <w:rFonts w:asciiTheme="minorEastAsia" w:hAnsiTheme="minorEastAsia" w:eastAsiaTheme="minorEastAsia"/>
          <w:b/>
          <w:sz w:val="21"/>
          <w:szCs w:val="21"/>
        </w:rPr>
        <w:fldChar w:fldCharType="begin"/>
      </w:r>
      <w:r>
        <w:rPr>
          <w:rFonts w:asciiTheme="minorEastAsia" w:hAnsiTheme="minorEastAsia" w:eastAsiaTheme="minorEastAsia"/>
          <w:b/>
          <w:sz w:val="21"/>
          <w:szCs w:val="21"/>
        </w:rPr>
        <w:instrText xml:space="preserve"> PAGEREF _Toc408414115 \h </w:instrText>
      </w:r>
      <w:r>
        <w:rPr>
          <w:rFonts w:asciiTheme="minorEastAsia" w:hAnsiTheme="minorEastAsia" w:eastAsiaTheme="minorEastAsia"/>
          <w:b/>
          <w:sz w:val="21"/>
          <w:szCs w:val="21"/>
        </w:rPr>
        <w:fldChar w:fldCharType="separate"/>
      </w:r>
      <w:r>
        <w:rPr>
          <w:rFonts w:asciiTheme="minorEastAsia" w:hAnsiTheme="minorEastAsia" w:eastAsiaTheme="minorEastAsia"/>
          <w:b/>
          <w:sz w:val="21"/>
          <w:szCs w:val="21"/>
        </w:rPr>
        <w:t>187</w:t>
      </w:r>
      <w:r>
        <w:rPr>
          <w:rFonts w:asciiTheme="minorEastAsia" w:hAnsiTheme="minorEastAsia" w:eastAsiaTheme="minorEastAsia"/>
          <w:b/>
          <w:sz w:val="21"/>
          <w:szCs w:val="21"/>
        </w:rPr>
        <w:fldChar w:fldCharType="end"/>
      </w:r>
      <w:r>
        <w:rPr>
          <w:rFonts w:asciiTheme="minorEastAsia" w:hAnsiTheme="minorEastAsia" w:eastAsiaTheme="minorEastAsia"/>
          <w:b/>
          <w:sz w:val="21"/>
          <w:szCs w:val="21"/>
        </w:rPr>
        <w:fldChar w:fldCharType="end"/>
      </w:r>
    </w:p>
    <w:p w14:paraId="47DBDD02">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"_Toc408414116" </w:instrText>
      </w:r>
      <w:r>
        <w:fldChar w:fldCharType="separate"/>
      </w:r>
      <w:r>
        <w:rPr>
          <w:rStyle w:val="89"/>
          <w:rFonts w:asciiTheme="minorEastAsia" w:hAnsiTheme="minorEastAsia" w:eastAsiaTheme="minorEastAsia"/>
          <w:color w:val="auto"/>
          <w:sz w:val="21"/>
          <w:szCs w:val="21"/>
          <w:lang w:eastAsia="zh-CN"/>
        </w:rPr>
        <w:t>16.1</w:t>
      </w:r>
      <w:r>
        <w:rPr>
          <w:rStyle w:val="89"/>
          <w:rFonts w:hint="eastAsia" w:asciiTheme="minorEastAsia" w:hAnsiTheme="minorEastAsia" w:eastAsiaTheme="minorEastAsia"/>
          <w:color w:val="auto"/>
          <w:sz w:val="21"/>
          <w:szCs w:val="21"/>
          <w:lang w:eastAsia="zh-CN"/>
        </w:rPr>
        <w:t>公众参与的目的和意义</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_Toc408414116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187</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32FAF864">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"_Toc408414117" </w:instrText>
      </w:r>
      <w:r>
        <w:fldChar w:fldCharType="separate"/>
      </w:r>
      <w:r>
        <w:rPr>
          <w:rStyle w:val="89"/>
          <w:rFonts w:asciiTheme="minorEastAsia" w:hAnsiTheme="minorEastAsia" w:eastAsiaTheme="minorEastAsia"/>
          <w:color w:val="auto"/>
          <w:sz w:val="21"/>
          <w:szCs w:val="21"/>
          <w:lang w:eastAsia="zh-CN"/>
        </w:rPr>
        <w:t>16.2</w:t>
      </w:r>
      <w:r>
        <w:rPr>
          <w:rStyle w:val="89"/>
          <w:rFonts w:hint="eastAsia" w:asciiTheme="minorEastAsia" w:hAnsiTheme="minorEastAsia" w:eastAsiaTheme="minorEastAsia"/>
          <w:color w:val="auto"/>
          <w:sz w:val="21"/>
          <w:szCs w:val="21"/>
          <w:lang w:eastAsia="zh-CN"/>
        </w:rPr>
        <w:t>公众参与的方式和范围</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_Toc408414117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187</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38386BF7">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"_Toc408414118" </w:instrText>
      </w:r>
      <w:r>
        <w:fldChar w:fldCharType="separate"/>
      </w:r>
      <w:r>
        <w:rPr>
          <w:rStyle w:val="89"/>
          <w:rFonts w:asciiTheme="minorEastAsia" w:hAnsiTheme="minorEastAsia" w:eastAsiaTheme="minorEastAsia"/>
          <w:color w:val="auto"/>
          <w:sz w:val="21"/>
          <w:szCs w:val="21"/>
          <w:lang w:eastAsia="zh-CN"/>
        </w:rPr>
        <w:t>16.3</w:t>
      </w:r>
      <w:r>
        <w:rPr>
          <w:rStyle w:val="89"/>
          <w:rFonts w:hint="eastAsia" w:asciiTheme="minorEastAsia" w:hAnsiTheme="minorEastAsia" w:eastAsiaTheme="minorEastAsia"/>
          <w:color w:val="auto"/>
          <w:sz w:val="21"/>
          <w:szCs w:val="21"/>
          <w:lang w:eastAsia="zh-CN"/>
        </w:rPr>
        <w:t>第一次公示</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_Toc408414118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187</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0E12DCF1">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"_Toc408414119" </w:instrText>
      </w:r>
      <w:r>
        <w:fldChar w:fldCharType="separate"/>
      </w:r>
      <w:r>
        <w:rPr>
          <w:rStyle w:val="89"/>
          <w:rFonts w:asciiTheme="minorEastAsia" w:hAnsiTheme="minorEastAsia" w:eastAsiaTheme="minorEastAsia"/>
          <w:i w:val="0"/>
          <w:color w:val="auto"/>
          <w:sz w:val="21"/>
          <w:szCs w:val="21"/>
          <w:lang w:eastAsia="zh-CN"/>
        </w:rPr>
        <w:t>16.3.1</w:t>
      </w:r>
      <w:r>
        <w:rPr>
          <w:rStyle w:val="89"/>
          <w:rFonts w:hint="eastAsia" w:asciiTheme="minorEastAsia" w:hAnsiTheme="minorEastAsia" w:eastAsiaTheme="minorEastAsia"/>
          <w:i w:val="0"/>
          <w:color w:val="auto"/>
          <w:sz w:val="21"/>
          <w:szCs w:val="21"/>
          <w:lang w:eastAsia="zh-CN"/>
        </w:rPr>
        <w:t>第一次公示</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_Toc408414119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187</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06A85314">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"_Toc408414120" </w:instrText>
      </w:r>
      <w:r>
        <w:fldChar w:fldCharType="separate"/>
      </w:r>
      <w:r>
        <w:rPr>
          <w:rStyle w:val="89"/>
          <w:rFonts w:asciiTheme="minorEastAsia" w:hAnsiTheme="minorEastAsia" w:eastAsiaTheme="minorEastAsia"/>
          <w:i w:val="0"/>
          <w:color w:val="auto"/>
          <w:sz w:val="21"/>
          <w:szCs w:val="21"/>
          <w:lang w:eastAsia="zh-CN"/>
        </w:rPr>
        <w:t>16.3.2</w:t>
      </w:r>
      <w:r>
        <w:rPr>
          <w:rStyle w:val="89"/>
          <w:rFonts w:hint="eastAsia" w:asciiTheme="minorEastAsia" w:hAnsiTheme="minorEastAsia" w:eastAsiaTheme="minorEastAsia"/>
          <w:i w:val="0"/>
          <w:color w:val="auto"/>
          <w:sz w:val="21"/>
          <w:szCs w:val="21"/>
          <w:lang w:eastAsia="zh-CN"/>
        </w:rPr>
        <w:t>第一次公示结果</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_Toc408414120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190</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6D69C69B">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"_Toc408414121" </w:instrText>
      </w:r>
      <w:r>
        <w:fldChar w:fldCharType="separate"/>
      </w:r>
      <w:r>
        <w:rPr>
          <w:rStyle w:val="89"/>
          <w:rFonts w:asciiTheme="minorEastAsia" w:hAnsiTheme="minorEastAsia" w:eastAsiaTheme="minorEastAsia"/>
          <w:color w:val="auto"/>
          <w:sz w:val="21"/>
          <w:szCs w:val="21"/>
          <w:lang w:eastAsia="zh-CN"/>
        </w:rPr>
        <w:t>16.4</w:t>
      </w:r>
      <w:r>
        <w:rPr>
          <w:rStyle w:val="89"/>
          <w:rFonts w:hint="eastAsia" w:asciiTheme="minorEastAsia" w:hAnsiTheme="minorEastAsia" w:eastAsiaTheme="minorEastAsia"/>
          <w:color w:val="auto"/>
          <w:sz w:val="21"/>
          <w:szCs w:val="21"/>
          <w:lang w:eastAsia="zh-CN"/>
        </w:rPr>
        <w:t>第二次公众参与</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_Toc408414121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190</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46965C55">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"_Toc408414122" </w:instrText>
      </w:r>
      <w:r>
        <w:fldChar w:fldCharType="separate"/>
      </w:r>
      <w:r>
        <w:rPr>
          <w:rStyle w:val="89"/>
          <w:rFonts w:asciiTheme="minorEastAsia" w:hAnsiTheme="minorEastAsia" w:eastAsiaTheme="minorEastAsia"/>
          <w:i w:val="0"/>
          <w:color w:val="auto"/>
          <w:sz w:val="21"/>
          <w:szCs w:val="21"/>
          <w:lang w:eastAsia="zh-CN"/>
        </w:rPr>
        <w:t>16.4.1</w:t>
      </w:r>
      <w:r>
        <w:rPr>
          <w:rStyle w:val="89"/>
          <w:rFonts w:hint="eastAsia" w:asciiTheme="minorEastAsia" w:hAnsiTheme="minorEastAsia" w:eastAsiaTheme="minorEastAsia"/>
          <w:i w:val="0"/>
          <w:color w:val="auto"/>
          <w:sz w:val="21"/>
          <w:szCs w:val="21"/>
          <w:lang w:eastAsia="zh-CN"/>
        </w:rPr>
        <w:t>媒体公示</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_Toc408414122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190</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10D4ADEF">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"_Toc408414123" </w:instrText>
      </w:r>
      <w:r>
        <w:fldChar w:fldCharType="separate"/>
      </w:r>
      <w:r>
        <w:rPr>
          <w:rStyle w:val="89"/>
          <w:rFonts w:asciiTheme="minorEastAsia" w:hAnsiTheme="minorEastAsia" w:eastAsiaTheme="minorEastAsia"/>
          <w:i w:val="0"/>
          <w:color w:val="auto"/>
          <w:sz w:val="21"/>
          <w:szCs w:val="21"/>
          <w:lang w:eastAsia="zh-CN"/>
        </w:rPr>
        <w:t>16.4.2</w:t>
      </w:r>
      <w:r>
        <w:rPr>
          <w:rStyle w:val="89"/>
          <w:rFonts w:hint="eastAsia" w:asciiTheme="minorEastAsia" w:hAnsiTheme="minorEastAsia" w:eastAsiaTheme="minorEastAsia"/>
          <w:i w:val="0"/>
          <w:color w:val="auto"/>
          <w:sz w:val="21"/>
          <w:szCs w:val="21"/>
          <w:lang w:eastAsia="zh-CN"/>
        </w:rPr>
        <w:t>第二次公示结果</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_Toc408414123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191</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4A60F38F">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"_Toc408414124" </w:instrText>
      </w:r>
      <w:r>
        <w:fldChar w:fldCharType="separate"/>
      </w:r>
      <w:r>
        <w:rPr>
          <w:rStyle w:val="89"/>
          <w:rFonts w:asciiTheme="minorEastAsia" w:hAnsiTheme="minorEastAsia" w:eastAsiaTheme="minorEastAsia"/>
          <w:color w:val="auto"/>
          <w:sz w:val="21"/>
          <w:szCs w:val="21"/>
          <w:lang w:eastAsia="zh-CN"/>
        </w:rPr>
        <w:t>16. 5</w:t>
      </w:r>
      <w:r>
        <w:rPr>
          <w:rStyle w:val="89"/>
          <w:rFonts w:hint="eastAsia" w:asciiTheme="minorEastAsia" w:hAnsiTheme="minorEastAsia" w:eastAsiaTheme="minorEastAsia"/>
          <w:color w:val="auto"/>
          <w:sz w:val="21"/>
          <w:szCs w:val="21"/>
          <w:lang w:eastAsia="zh-CN"/>
        </w:rPr>
        <w:t>问卷调查</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_Toc408414124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191</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0360BC90">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"_Toc408414125" </w:instrText>
      </w:r>
      <w:r>
        <w:fldChar w:fldCharType="separate"/>
      </w:r>
      <w:r>
        <w:rPr>
          <w:rStyle w:val="89"/>
          <w:rFonts w:asciiTheme="minorEastAsia" w:hAnsiTheme="minorEastAsia" w:eastAsiaTheme="minorEastAsia"/>
          <w:i w:val="0"/>
          <w:color w:val="auto"/>
          <w:sz w:val="21"/>
          <w:szCs w:val="21"/>
          <w:lang w:eastAsia="zh-CN"/>
        </w:rPr>
        <w:t>16.5.1</w:t>
      </w:r>
      <w:r>
        <w:rPr>
          <w:rStyle w:val="89"/>
          <w:rFonts w:hint="eastAsia" w:asciiTheme="minorEastAsia" w:hAnsiTheme="minorEastAsia" w:eastAsiaTheme="minorEastAsia"/>
          <w:i w:val="0"/>
          <w:color w:val="auto"/>
          <w:sz w:val="21"/>
          <w:szCs w:val="21"/>
          <w:lang w:eastAsia="zh-CN"/>
        </w:rPr>
        <w:t>问卷调查</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_Toc408414125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191</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699E871B">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"_Toc408414126" </w:instrText>
      </w:r>
      <w:r>
        <w:fldChar w:fldCharType="separate"/>
      </w:r>
      <w:r>
        <w:rPr>
          <w:rStyle w:val="89"/>
          <w:rFonts w:asciiTheme="minorEastAsia" w:hAnsiTheme="minorEastAsia" w:eastAsiaTheme="minorEastAsia"/>
          <w:i w:val="0"/>
          <w:color w:val="auto"/>
          <w:sz w:val="21"/>
          <w:szCs w:val="21"/>
          <w:lang w:eastAsia="zh-CN"/>
        </w:rPr>
        <w:t>16.5.2</w:t>
      </w:r>
      <w:r>
        <w:rPr>
          <w:rStyle w:val="89"/>
          <w:rFonts w:hint="eastAsia" w:asciiTheme="minorEastAsia" w:hAnsiTheme="minorEastAsia" w:eastAsiaTheme="minorEastAsia"/>
          <w:i w:val="0"/>
          <w:color w:val="auto"/>
          <w:sz w:val="21"/>
          <w:szCs w:val="21"/>
          <w:lang w:eastAsia="zh-CN"/>
        </w:rPr>
        <w:t>调查对象</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_Toc408414126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192</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7D8F74CF">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"_Toc408414127" </w:instrText>
      </w:r>
      <w:r>
        <w:fldChar w:fldCharType="separate"/>
      </w:r>
      <w:r>
        <w:rPr>
          <w:rStyle w:val="89"/>
          <w:rFonts w:asciiTheme="minorEastAsia" w:hAnsiTheme="minorEastAsia" w:eastAsiaTheme="minorEastAsia"/>
          <w:i w:val="0"/>
          <w:color w:val="auto"/>
          <w:sz w:val="21"/>
          <w:szCs w:val="21"/>
          <w:lang w:eastAsia="zh-CN"/>
        </w:rPr>
        <w:t>16.5.3</w:t>
      </w:r>
      <w:r>
        <w:rPr>
          <w:rStyle w:val="89"/>
          <w:rFonts w:hint="eastAsia" w:asciiTheme="minorEastAsia" w:hAnsiTheme="minorEastAsia" w:eastAsiaTheme="minorEastAsia"/>
          <w:i w:val="0"/>
          <w:color w:val="auto"/>
          <w:sz w:val="21"/>
          <w:szCs w:val="21"/>
          <w:lang w:eastAsia="zh-CN"/>
        </w:rPr>
        <w:t>调查结果汇总分析</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_Toc408414127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194</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2ECF20F0">
      <w:pPr>
        <w:pStyle w:val="37"/>
        <w:ind w:firstLine="480"/>
        <w:rPr>
          <w:rFonts w:asciiTheme="minorEastAsia" w:hAnsiTheme="minorEastAsia" w:eastAsiaTheme="minorEastAsia" w:cstheme="minorBidi"/>
          <w:i w:val="0"/>
          <w:iCs w:val="0"/>
          <w:kern w:val="2"/>
          <w:sz w:val="21"/>
          <w:szCs w:val="21"/>
          <w:lang w:eastAsia="zh-CN" w:bidi="ar-SA"/>
        </w:rPr>
      </w:pPr>
      <w:r>
        <w:fldChar w:fldCharType="begin"/>
      </w:r>
      <w:r>
        <w:instrText xml:space="preserve"> HYPERLINK \l "_Toc408414128" </w:instrText>
      </w:r>
      <w:r>
        <w:fldChar w:fldCharType="separate"/>
      </w:r>
      <w:r>
        <w:rPr>
          <w:rStyle w:val="89"/>
          <w:rFonts w:asciiTheme="minorEastAsia" w:hAnsiTheme="minorEastAsia" w:eastAsiaTheme="minorEastAsia"/>
          <w:i w:val="0"/>
          <w:color w:val="auto"/>
          <w:sz w:val="21"/>
          <w:szCs w:val="21"/>
          <w:lang w:eastAsia="zh-CN"/>
        </w:rPr>
        <w:t>16.5.4</w:t>
      </w:r>
      <w:r>
        <w:rPr>
          <w:rStyle w:val="89"/>
          <w:rFonts w:hint="eastAsia" w:asciiTheme="minorEastAsia" w:hAnsiTheme="minorEastAsia" w:eastAsiaTheme="minorEastAsia"/>
          <w:i w:val="0"/>
          <w:color w:val="auto"/>
          <w:sz w:val="21"/>
          <w:szCs w:val="21"/>
          <w:lang w:eastAsia="zh-CN"/>
        </w:rPr>
        <w:t>问卷调查结果分析</w:t>
      </w:r>
      <w:r>
        <w:rPr>
          <w:rFonts w:asciiTheme="minorEastAsia" w:hAnsiTheme="minorEastAsia" w:eastAsiaTheme="minorEastAsia"/>
          <w:i w:val="0"/>
          <w:sz w:val="21"/>
          <w:szCs w:val="21"/>
        </w:rPr>
        <w:tab/>
      </w:r>
      <w:r>
        <w:rPr>
          <w:rFonts w:asciiTheme="minorEastAsia" w:hAnsiTheme="minorEastAsia" w:eastAsiaTheme="minorEastAsia"/>
          <w:i w:val="0"/>
          <w:sz w:val="21"/>
          <w:szCs w:val="21"/>
        </w:rPr>
        <w:fldChar w:fldCharType="begin"/>
      </w:r>
      <w:r>
        <w:rPr>
          <w:rFonts w:asciiTheme="minorEastAsia" w:hAnsiTheme="minorEastAsia" w:eastAsiaTheme="minorEastAsia"/>
          <w:i w:val="0"/>
          <w:sz w:val="21"/>
          <w:szCs w:val="21"/>
        </w:rPr>
        <w:instrText xml:space="preserve"> PAGEREF _Toc408414128 \h </w:instrText>
      </w:r>
      <w:r>
        <w:rPr>
          <w:rFonts w:asciiTheme="minorEastAsia" w:hAnsiTheme="minorEastAsia" w:eastAsiaTheme="minorEastAsia"/>
          <w:i w:val="0"/>
          <w:sz w:val="21"/>
          <w:szCs w:val="21"/>
        </w:rPr>
        <w:fldChar w:fldCharType="separate"/>
      </w:r>
      <w:r>
        <w:rPr>
          <w:rFonts w:asciiTheme="minorEastAsia" w:hAnsiTheme="minorEastAsia" w:eastAsiaTheme="minorEastAsia"/>
          <w:i w:val="0"/>
          <w:sz w:val="21"/>
          <w:szCs w:val="21"/>
        </w:rPr>
        <w:t>195</w:t>
      </w:r>
      <w:r>
        <w:rPr>
          <w:rFonts w:asciiTheme="minorEastAsia" w:hAnsiTheme="minorEastAsia" w:eastAsiaTheme="minorEastAsia"/>
          <w:i w:val="0"/>
          <w:sz w:val="21"/>
          <w:szCs w:val="21"/>
        </w:rPr>
        <w:fldChar w:fldCharType="end"/>
      </w:r>
      <w:r>
        <w:rPr>
          <w:rFonts w:asciiTheme="minorEastAsia" w:hAnsiTheme="minorEastAsia" w:eastAsiaTheme="minorEastAsia"/>
          <w:i w:val="0"/>
          <w:sz w:val="21"/>
          <w:szCs w:val="21"/>
        </w:rPr>
        <w:fldChar w:fldCharType="end"/>
      </w:r>
    </w:p>
    <w:p w14:paraId="39978482">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"_Toc408414129" </w:instrText>
      </w:r>
      <w:r>
        <w:fldChar w:fldCharType="separate"/>
      </w:r>
      <w:r>
        <w:rPr>
          <w:rStyle w:val="89"/>
          <w:rFonts w:asciiTheme="minorEastAsia" w:hAnsiTheme="minorEastAsia" w:eastAsiaTheme="minorEastAsia"/>
          <w:color w:val="auto"/>
          <w:sz w:val="21"/>
          <w:szCs w:val="21"/>
          <w:lang w:eastAsia="zh-CN"/>
        </w:rPr>
        <w:t>16.6</w:t>
      </w:r>
      <w:r>
        <w:rPr>
          <w:rStyle w:val="89"/>
          <w:rFonts w:hint="eastAsia" w:asciiTheme="minorEastAsia" w:hAnsiTheme="minorEastAsia" w:eastAsiaTheme="minorEastAsia"/>
          <w:color w:val="auto"/>
          <w:sz w:val="21"/>
          <w:szCs w:val="21"/>
          <w:lang w:eastAsia="zh-CN"/>
        </w:rPr>
        <w:t>公众参与意见的落实</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_Toc408414129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195</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5597D191">
      <w:pPr>
        <w:pStyle w:val="51"/>
        <w:rPr>
          <w:rFonts w:asciiTheme="minorEastAsia" w:hAnsiTheme="minorEastAsia" w:eastAsiaTheme="minorEastAsia" w:cstheme="minorBidi"/>
          <w:b/>
          <w:bCs w:val="0"/>
          <w:caps w:val="0"/>
          <w:kern w:val="2"/>
          <w:sz w:val="21"/>
          <w:szCs w:val="21"/>
          <w:lang w:bidi="ar-SA"/>
        </w:rPr>
      </w:pPr>
      <w:r>
        <w:fldChar w:fldCharType="begin"/>
      </w:r>
      <w:r>
        <w:instrText xml:space="preserve"> HYPERLINK \l "_Toc408414130" </w:instrText>
      </w:r>
      <w:r>
        <w:fldChar w:fldCharType="separate"/>
      </w:r>
      <w:r>
        <w:rPr>
          <w:rStyle w:val="89"/>
          <w:rFonts w:asciiTheme="minorEastAsia" w:hAnsiTheme="minorEastAsia" w:eastAsiaTheme="minorEastAsia"/>
          <w:b/>
          <w:color w:val="auto"/>
          <w:sz w:val="21"/>
          <w:szCs w:val="21"/>
        </w:rPr>
        <w:t xml:space="preserve">17 </w:t>
      </w:r>
      <w:r>
        <w:rPr>
          <w:rStyle w:val="89"/>
          <w:rFonts w:hint="eastAsia" w:asciiTheme="minorEastAsia" w:hAnsiTheme="minorEastAsia" w:eastAsiaTheme="minorEastAsia"/>
          <w:b/>
          <w:color w:val="auto"/>
          <w:sz w:val="21"/>
          <w:szCs w:val="21"/>
        </w:rPr>
        <w:t>结论与建议</w:t>
      </w:r>
      <w:r>
        <w:rPr>
          <w:rFonts w:asciiTheme="minorEastAsia" w:hAnsiTheme="minorEastAsia" w:eastAsiaTheme="minorEastAsia"/>
          <w:b/>
          <w:sz w:val="21"/>
          <w:szCs w:val="21"/>
        </w:rPr>
        <w:tab/>
      </w:r>
      <w:r>
        <w:rPr>
          <w:rFonts w:asciiTheme="minorEastAsia" w:hAnsiTheme="minorEastAsia" w:eastAsiaTheme="minorEastAsia"/>
          <w:b/>
          <w:sz w:val="21"/>
          <w:szCs w:val="21"/>
        </w:rPr>
        <w:fldChar w:fldCharType="begin"/>
      </w:r>
      <w:r>
        <w:rPr>
          <w:rFonts w:asciiTheme="minorEastAsia" w:hAnsiTheme="minorEastAsia" w:eastAsiaTheme="minorEastAsia"/>
          <w:b/>
          <w:sz w:val="21"/>
          <w:szCs w:val="21"/>
        </w:rPr>
        <w:instrText xml:space="preserve"> PAGEREF _Toc408414130 \h </w:instrText>
      </w:r>
      <w:r>
        <w:rPr>
          <w:rFonts w:asciiTheme="minorEastAsia" w:hAnsiTheme="minorEastAsia" w:eastAsiaTheme="minorEastAsia"/>
          <w:b/>
          <w:sz w:val="21"/>
          <w:szCs w:val="21"/>
        </w:rPr>
        <w:fldChar w:fldCharType="separate"/>
      </w:r>
      <w:r>
        <w:rPr>
          <w:rFonts w:asciiTheme="minorEastAsia" w:hAnsiTheme="minorEastAsia" w:eastAsiaTheme="minorEastAsia"/>
          <w:b/>
          <w:sz w:val="21"/>
          <w:szCs w:val="21"/>
        </w:rPr>
        <w:t>197</w:t>
      </w:r>
      <w:r>
        <w:rPr>
          <w:rFonts w:asciiTheme="minorEastAsia" w:hAnsiTheme="minorEastAsia" w:eastAsiaTheme="minorEastAsia"/>
          <w:b/>
          <w:sz w:val="21"/>
          <w:szCs w:val="21"/>
        </w:rPr>
        <w:fldChar w:fldCharType="end"/>
      </w:r>
      <w:r>
        <w:rPr>
          <w:rFonts w:asciiTheme="minorEastAsia" w:hAnsiTheme="minorEastAsia" w:eastAsiaTheme="minorEastAsia"/>
          <w:b/>
          <w:sz w:val="21"/>
          <w:szCs w:val="21"/>
        </w:rPr>
        <w:fldChar w:fldCharType="end"/>
      </w:r>
    </w:p>
    <w:p w14:paraId="419C6CDF">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"_Toc408414131" </w:instrText>
      </w:r>
      <w:r>
        <w:fldChar w:fldCharType="separate"/>
      </w:r>
      <w:r>
        <w:rPr>
          <w:rStyle w:val="89"/>
          <w:rFonts w:asciiTheme="minorEastAsia" w:hAnsiTheme="minorEastAsia" w:eastAsiaTheme="minorEastAsia"/>
          <w:color w:val="auto"/>
          <w:sz w:val="21"/>
          <w:szCs w:val="21"/>
          <w:lang w:eastAsia="zh-CN"/>
        </w:rPr>
        <w:t>17.1</w:t>
      </w:r>
      <w:r>
        <w:rPr>
          <w:rStyle w:val="89"/>
          <w:rFonts w:hint="eastAsia" w:asciiTheme="minorEastAsia" w:hAnsiTheme="minorEastAsia" w:eastAsiaTheme="minorEastAsia"/>
          <w:color w:val="auto"/>
          <w:sz w:val="21"/>
          <w:szCs w:val="21"/>
          <w:lang w:eastAsia="zh-CN"/>
        </w:rPr>
        <w:t>工程概况</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_Toc408414131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197</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4910E405">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"_Toc408414132" </w:instrText>
      </w:r>
      <w:r>
        <w:fldChar w:fldCharType="separate"/>
      </w:r>
      <w:r>
        <w:rPr>
          <w:rStyle w:val="89"/>
          <w:rFonts w:asciiTheme="minorEastAsia" w:hAnsiTheme="minorEastAsia" w:eastAsiaTheme="minorEastAsia"/>
          <w:color w:val="auto"/>
          <w:sz w:val="21"/>
          <w:szCs w:val="21"/>
          <w:lang w:eastAsia="zh-CN"/>
        </w:rPr>
        <w:t>17.2</w:t>
      </w:r>
      <w:r>
        <w:rPr>
          <w:rStyle w:val="89"/>
          <w:rFonts w:hint="eastAsia" w:asciiTheme="minorEastAsia" w:hAnsiTheme="minorEastAsia" w:eastAsiaTheme="minorEastAsia"/>
          <w:color w:val="auto"/>
          <w:sz w:val="21"/>
          <w:szCs w:val="21"/>
          <w:lang w:eastAsia="zh-CN"/>
        </w:rPr>
        <w:t>产业政策及区域规划符合性分析</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_Toc408414132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197</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62F4B1A3">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"_Toc408414133" </w:instrText>
      </w:r>
      <w:r>
        <w:fldChar w:fldCharType="separate"/>
      </w:r>
      <w:r>
        <w:rPr>
          <w:rStyle w:val="89"/>
          <w:rFonts w:asciiTheme="minorEastAsia" w:hAnsiTheme="minorEastAsia" w:eastAsiaTheme="minorEastAsia"/>
          <w:color w:val="auto"/>
          <w:sz w:val="21"/>
          <w:szCs w:val="21"/>
          <w:lang w:eastAsia="zh-CN"/>
        </w:rPr>
        <w:t>17.3</w:t>
      </w:r>
      <w:r>
        <w:rPr>
          <w:rStyle w:val="89"/>
          <w:rFonts w:hint="eastAsia" w:asciiTheme="minorEastAsia" w:hAnsiTheme="minorEastAsia" w:eastAsiaTheme="minorEastAsia"/>
          <w:color w:val="auto"/>
          <w:sz w:val="21"/>
          <w:szCs w:val="21"/>
          <w:lang w:eastAsia="zh-CN"/>
        </w:rPr>
        <w:t>环境质量现状评价</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_Toc408414133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198</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7BEEE4EE">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"_Toc408414134" </w:instrText>
      </w:r>
      <w:r>
        <w:fldChar w:fldCharType="separate"/>
      </w:r>
      <w:r>
        <w:rPr>
          <w:rStyle w:val="89"/>
          <w:rFonts w:asciiTheme="minorEastAsia" w:hAnsiTheme="minorEastAsia" w:eastAsiaTheme="minorEastAsia"/>
          <w:color w:val="auto"/>
          <w:sz w:val="21"/>
          <w:szCs w:val="21"/>
          <w:lang w:eastAsia="zh-CN"/>
        </w:rPr>
        <w:t>17.4</w:t>
      </w:r>
      <w:r>
        <w:rPr>
          <w:rStyle w:val="89"/>
          <w:rFonts w:hint="eastAsia" w:asciiTheme="minorEastAsia" w:hAnsiTheme="minorEastAsia" w:eastAsiaTheme="minorEastAsia"/>
          <w:color w:val="auto"/>
          <w:sz w:val="21"/>
          <w:szCs w:val="21"/>
          <w:lang w:eastAsia="zh-CN"/>
        </w:rPr>
        <w:t>环境影响评价</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_Toc408414134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199</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1569D935">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"_Toc408414135" </w:instrText>
      </w:r>
      <w:r>
        <w:fldChar w:fldCharType="separate"/>
      </w:r>
      <w:r>
        <w:rPr>
          <w:rStyle w:val="89"/>
          <w:rFonts w:asciiTheme="minorEastAsia" w:hAnsiTheme="minorEastAsia" w:eastAsiaTheme="minorEastAsia"/>
          <w:color w:val="auto"/>
          <w:sz w:val="21"/>
          <w:szCs w:val="21"/>
          <w:lang w:eastAsia="zh-CN"/>
        </w:rPr>
        <w:t>17.5</w:t>
      </w:r>
      <w:r>
        <w:rPr>
          <w:rStyle w:val="89"/>
          <w:rFonts w:hint="eastAsia" w:asciiTheme="minorEastAsia" w:hAnsiTheme="minorEastAsia" w:eastAsiaTheme="minorEastAsia"/>
          <w:color w:val="auto"/>
          <w:sz w:val="21"/>
          <w:szCs w:val="21"/>
          <w:lang w:eastAsia="zh-CN"/>
        </w:rPr>
        <w:t>清洁生产</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_Toc408414135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200</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0B3402A2">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"_Toc408414136" </w:instrText>
      </w:r>
      <w:r>
        <w:fldChar w:fldCharType="separate"/>
      </w:r>
      <w:r>
        <w:rPr>
          <w:rStyle w:val="89"/>
          <w:rFonts w:asciiTheme="minorEastAsia" w:hAnsiTheme="minorEastAsia" w:eastAsiaTheme="minorEastAsia"/>
          <w:color w:val="auto"/>
          <w:sz w:val="21"/>
          <w:szCs w:val="21"/>
          <w:lang w:eastAsia="zh-CN"/>
        </w:rPr>
        <w:t>17.6</w:t>
      </w:r>
      <w:r>
        <w:rPr>
          <w:rStyle w:val="89"/>
          <w:rFonts w:hint="eastAsia" w:asciiTheme="minorEastAsia" w:hAnsiTheme="minorEastAsia" w:eastAsiaTheme="minorEastAsia"/>
          <w:color w:val="auto"/>
          <w:sz w:val="21"/>
          <w:szCs w:val="21"/>
          <w:lang w:eastAsia="zh-CN"/>
        </w:rPr>
        <w:t>环境风险</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_Toc408414136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201</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6B268666">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"_Toc408414137" </w:instrText>
      </w:r>
      <w:r>
        <w:fldChar w:fldCharType="separate"/>
      </w:r>
      <w:r>
        <w:rPr>
          <w:rStyle w:val="89"/>
          <w:rFonts w:asciiTheme="minorEastAsia" w:hAnsiTheme="minorEastAsia" w:eastAsiaTheme="minorEastAsia"/>
          <w:color w:val="auto"/>
          <w:sz w:val="21"/>
          <w:szCs w:val="21"/>
          <w:lang w:eastAsia="zh-CN"/>
        </w:rPr>
        <w:t>17.7</w:t>
      </w:r>
      <w:r>
        <w:rPr>
          <w:rStyle w:val="89"/>
          <w:rFonts w:hint="eastAsia" w:asciiTheme="minorEastAsia" w:hAnsiTheme="minorEastAsia" w:eastAsiaTheme="minorEastAsia"/>
          <w:color w:val="auto"/>
          <w:sz w:val="21"/>
          <w:szCs w:val="21"/>
          <w:lang w:eastAsia="zh-CN"/>
        </w:rPr>
        <w:t>污染物总量控制</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_Toc408414137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201</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09CEB8B2">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"_Toc408414138" </w:instrText>
      </w:r>
      <w:r>
        <w:fldChar w:fldCharType="separate"/>
      </w:r>
      <w:r>
        <w:rPr>
          <w:rStyle w:val="89"/>
          <w:rFonts w:asciiTheme="minorEastAsia" w:hAnsiTheme="minorEastAsia" w:eastAsiaTheme="minorEastAsia"/>
          <w:color w:val="auto"/>
          <w:sz w:val="21"/>
          <w:szCs w:val="21"/>
          <w:lang w:eastAsia="zh-CN"/>
        </w:rPr>
        <w:t>17.8</w:t>
      </w:r>
      <w:r>
        <w:rPr>
          <w:rStyle w:val="89"/>
          <w:rFonts w:hint="eastAsia" w:asciiTheme="minorEastAsia" w:hAnsiTheme="minorEastAsia" w:eastAsiaTheme="minorEastAsia"/>
          <w:color w:val="auto"/>
          <w:sz w:val="21"/>
          <w:szCs w:val="21"/>
          <w:lang w:eastAsia="zh-CN"/>
        </w:rPr>
        <w:t>公众参与</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_Toc408414138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201</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47D81521">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"_Toc408414139" </w:instrText>
      </w:r>
      <w:r>
        <w:fldChar w:fldCharType="separate"/>
      </w:r>
      <w:r>
        <w:rPr>
          <w:rStyle w:val="89"/>
          <w:rFonts w:asciiTheme="minorEastAsia" w:hAnsiTheme="minorEastAsia" w:eastAsiaTheme="minorEastAsia"/>
          <w:color w:val="auto"/>
          <w:sz w:val="21"/>
          <w:szCs w:val="21"/>
          <w:lang w:eastAsia="zh-CN"/>
        </w:rPr>
        <w:t>17.9</w:t>
      </w:r>
      <w:r>
        <w:rPr>
          <w:rStyle w:val="89"/>
          <w:rFonts w:hint="eastAsia" w:asciiTheme="minorEastAsia" w:hAnsiTheme="minorEastAsia" w:eastAsiaTheme="minorEastAsia"/>
          <w:color w:val="auto"/>
          <w:sz w:val="21"/>
          <w:szCs w:val="21"/>
          <w:lang w:eastAsia="zh-CN"/>
        </w:rPr>
        <w:t>结论</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_Toc408414139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201</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40009836">
      <w:pPr>
        <w:pStyle w:val="62"/>
        <w:tabs>
          <w:tab w:val="right" w:leader="dot" w:pos="8303"/>
        </w:tabs>
        <w:ind w:firstLine="400"/>
        <w:rPr>
          <w:rFonts w:asciiTheme="minorEastAsia" w:hAnsiTheme="minorEastAsia" w:eastAsiaTheme="minorEastAsia" w:cstheme="minorBidi"/>
          <w:smallCaps w:val="0"/>
          <w:kern w:val="2"/>
          <w:sz w:val="21"/>
          <w:szCs w:val="21"/>
          <w:lang w:eastAsia="zh-CN" w:bidi="ar-SA"/>
        </w:rPr>
      </w:pPr>
      <w:r>
        <w:fldChar w:fldCharType="begin"/>
      </w:r>
      <w:r>
        <w:instrText xml:space="preserve"> HYPERLINK \l "_Toc408414140" </w:instrText>
      </w:r>
      <w:r>
        <w:fldChar w:fldCharType="separate"/>
      </w:r>
      <w:r>
        <w:rPr>
          <w:rStyle w:val="89"/>
          <w:rFonts w:asciiTheme="minorEastAsia" w:hAnsiTheme="minorEastAsia" w:eastAsiaTheme="minorEastAsia"/>
          <w:color w:val="auto"/>
          <w:sz w:val="21"/>
          <w:szCs w:val="21"/>
          <w:lang w:eastAsia="zh-CN"/>
        </w:rPr>
        <w:t>17.10</w:t>
      </w:r>
      <w:r>
        <w:rPr>
          <w:rStyle w:val="89"/>
          <w:rFonts w:hint="eastAsia" w:asciiTheme="minorEastAsia" w:hAnsiTheme="minorEastAsia" w:eastAsiaTheme="minorEastAsia"/>
          <w:color w:val="auto"/>
          <w:sz w:val="21"/>
          <w:szCs w:val="21"/>
          <w:lang w:eastAsia="zh-CN"/>
        </w:rPr>
        <w:t>建议</w:t>
      </w:r>
      <w:r>
        <w:rPr>
          <w:rFonts w:asciiTheme="minorEastAsia" w:hAnsiTheme="minorEastAsia" w:eastAsiaTheme="minorEastAsia"/>
          <w:sz w:val="21"/>
          <w:szCs w:val="21"/>
        </w:rPr>
        <w:tab/>
      </w:r>
      <w:r>
        <w:rPr>
          <w:rFonts w:asciiTheme="minorEastAsia" w:hAnsiTheme="minorEastAsia" w:eastAsiaTheme="minorEastAsia"/>
          <w:sz w:val="21"/>
          <w:szCs w:val="21"/>
        </w:rPr>
        <w:fldChar w:fldCharType="begin"/>
      </w:r>
      <w:r>
        <w:rPr>
          <w:rFonts w:asciiTheme="minorEastAsia" w:hAnsiTheme="minorEastAsia" w:eastAsiaTheme="minorEastAsia"/>
          <w:sz w:val="21"/>
          <w:szCs w:val="21"/>
        </w:rPr>
        <w:instrText xml:space="preserve"> PAGEREF _Toc408414140 \h </w:instrText>
      </w:r>
      <w:r>
        <w:rPr>
          <w:rFonts w:asciiTheme="minorEastAsia" w:hAnsiTheme="minorEastAsia" w:eastAsiaTheme="minorEastAsia"/>
          <w:sz w:val="21"/>
          <w:szCs w:val="21"/>
        </w:rPr>
        <w:fldChar w:fldCharType="separate"/>
      </w:r>
      <w:r>
        <w:rPr>
          <w:rFonts w:asciiTheme="minorEastAsia" w:hAnsiTheme="minorEastAsia" w:eastAsiaTheme="minorEastAsia"/>
          <w:sz w:val="21"/>
          <w:szCs w:val="21"/>
        </w:rPr>
        <w:t>202</w:t>
      </w:r>
      <w:r>
        <w:rPr>
          <w:rFonts w:asciiTheme="minorEastAsia" w:hAnsiTheme="minorEastAsia" w:eastAsiaTheme="minorEastAsia"/>
          <w:sz w:val="21"/>
          <w:szCs w:val="21"/>
        </w:rPr>
        <w:fldChar w:fldCharType="end"/>
      </w:r>
      <w:r>
        <w:rPr>
          <w:rFonts w:asciiTheme="minorEastAsia" w:hAnsiTheme="minorEastAsia" w:eastAsiaTheme="minorEastAsia"/>
          <w:sz w:val="21"/>
          <w:szCs w:val="21"/>
        </w:rPr>
        <w:fldChar w:fldCharType="end"/>
      </w:r>
    </w:p>
    <w:p w14:paraId="39CFA242">
      <w:pPr>
        <w:ind w:firstLine="0" w:firstLineChars="0"/>
        <w:jc w:val="center"/>
        <w:rPr>
          <w:b/>
          <w:szCs w:val="44"/>
          <w:lang w:eastAsia="zh-CN"/>
        </w:rPr>
      </w:pPr>
      <w:r>
        <w:rPr>
          <w:rStyle w:val="89"/>
          <w:rFonts w:asciiTheme="minorEastAsia" w:hAnsiTheme="minorEastAsia" w:eastAsiaTheme="minorEastAsia"/>
          <w:bCs/>
          <w:caps/>
          <w:color w:val="auto"/>
          <w:sz w:val="21"/>
          <w:szCs w:val="21"/>
        </w:rPr>
        <w:fldChar w:fldCharType="end"/>
      </w:r>
      <w:r>
        <w:rPr>
          <w:b/>
          <w:szCs w:val="44"/>
          <w:lang w:eastAsia="zh-CN"/>
        </w:rPr>
        <w:t>前   言</w:t>
      </w:r>
      <w:bookmarkEnd w:id="0"/>
    </w:p>
    <w:p w14:paraId="54C504B1">
      <w:pPr>
        <w:ind w:firstLine="480"/>
        <w:rPr>
          <w:rFonts w:asciiTheme="minorEastAsia" w:hAnsiTheme="minorEastAsia" w:eastAsiaTheme="minorEastAsia"/>
          <w:kern w:val="2"/>
          <w:szCs w:val="24"/>
          <w:lang w:eastAsia="zh-CN" w:bidi="ar-SA"/>
        </w:rPr>
      </w:pPr>
      <w:r>
        <w:rPr>
          <w:rFonts w:asciiTheme="minorEastAsia" w:hAnsiTheme="minorEastAsia" w:eastAsiaTheme="minorEastAsia"/>
          <w:kern w:val="2"/>
          <w:szCs w:val="24"/>
          <w:lang w:eastAsia="zh-CN" w:bidi="ar-SA"/>
        </w:rPr>
        <w:t>乌里雅斯太油田</w:t>
      </w:r>
      <w:r>
        <w:rPr>
          <w:rFonts w:hint="eastAsia" w:asciiTheme="minorEastAsia" w:hAnsiTheme="minorEastAsia" w:eastAsiaTheme="minorEastAsia"/>
          <w:kern w:val="2"/>
          <w:szCs w:val="24"/>
          <w:lang w:eastAsia="zh-CN" w:bidi="ar-SA"/>
        </w:rPr>
        <w:t>位于乌里雅斯太凹陷，构造上隶属于二连盆地马尼特坳陷东北端，整体呈北东向长条型展布，为一西北断东南超的半地堑，基岩最大埋深4500m，凹陷长约220km，宽16－20km，面积近3000km</w:t>
      </w:r>
      <w:r>
        <w:rPr>
          <w:rFonts w:hint="eastAsia" w:asciiTheme="minorEastAsia" w:hAnsiTheme="minorEastAsia" w:eastAsiaTheme="minorEastAsia"/>
          <w:kern w:val="2"/>
          <w:szCs w:val="24"/>
          <w:vertAlign w:val="superscript"/>
          <w:lang w:eastAsia="zh-CN" w:bidi="ar-SA"/>
        </w:rPr>
        <w:t>2</w:t>
      </w:r>
      <w:r>
        <w:rPr>
          <w:rFonts w:hint="eastAsia" w:asciiTheme="minorEastAsia" w:hAnsiTheme="minorEastAsia" w:eastAsiaTheme="minorEastAsia"/>
          <w:kern w:val="2"/>
          <w:szCs w:val="24"/>
          <w:lang w:eastAsia="zh-CN" w:bidi="ar-SA"/>
        </w:rPr>
        <w:t>，分为南、中、北三个次级洼槽，目前油气勘探主要集中在南洼槽。油田勘查许可证编号为“0200000430137”，有效期自2004年7月1日至2006年7月1日。油田采矿许可证号为“020000810004”，有效期自2008年2月至2018年2月。</w:t>
      </w:r>
    </w:p>
    <w:p w14:paraId="17AE0E40">
      <w:pPr>
        <w:ind w:firstLine="480"/>
        <w:rPr>
          <w:rFonts w:asciiTheme="minorEastAsia" w:hAnsiTheme="minorEastAsia" w:eastAsiaTheme="minorEastAsia"/>
          <w:bCs/>
          <w:kern w:val="2"/>
          <w:szCs w:val="24"/>
          <w:lang w:eastAsia="zh-CN" w:bidi="ar-SA"/>
        </w:rPr>
      </w:pPr>
      <w:r>
        <w:rPr>
          <w:rFonts w:asciiTheme="minorEastAsia" w:hAnsiTheme="minorEastAsia" w:eastAsiaTheme="minorEastAsia"/>
          <w:kern w:val="2"/>
          <w:szCs w:val="24"/>
          <w:lang w:eastAsia="zh-CN" w:bidi="ar-SA"/>
        </w:rPr>
        <w:t>乌里雅斯太油田地面产能开发建设项目</w:t>
      </w:r>
      <w:r>
        <w:rPr>
          <w:rFonts w:asciiTheme="minorEastAsia" w:hAnsiTheme="minorEastAsia" w:eastAsiaTheme="minorEastAsia"/>
          <w:bCs/>
          <w:kern w:val="2"/>
          <w:szCs w:val="24"/>
          <w:lang w:eastAsia="zh-CN" w:bidi="ar-SA"/>
        </w:rPr>
        <w:t>位于内蒙古自治区</w:t>
      </w:r>
      <w:r>
        <w:rPr>
          <w:rFonts w:hint="eastAsia" w:asciiTheme="minorEastAsia" w:hAnsiTheme="minorEastAsia" w:eastAsiaTheme="minorEastAsia"/>
          <w:bCs/>
          <w:kern w:val="2"/>
          <w:szCs w:val="24"/>
          <w:lang w:eastAsia="zh-CN" w:bidi="ar-SA"/>
        </w:rPr>
        <w:t>锡林郭勒盟</w:t>
      </w:r>
      <w:r>
        <w:rPr>
          <w:rFonts w:asciiTheme="minorEastAsia" w:hAnsiTheme="minorEastAsia" w:eastAsiaTheme="minorEastAsia"/>
          <w:bCs/>
          <w:kern w:val="2"/>
          <w:szCs w:val="24"/>
          <w:lang w:eastAsia="zh-CN" w:bidi="ar-SA"/>
        </w:rPr>
        <w:t>东乌珠穆沁旗</w:t>
      </w:r>
      <w:r>
        <w:rPr>
          <w:rFonts w:asciiTheme="minorEastAsia" w:hAnsiTheme="minorEastAsia" w:eastAsiaTheme="minorEastAsia"/>
          <w:kern w:val="2"/>
          <w:szCs w:val="24"/>
          <w:lang w:eastAsia="zh-CN" w:bidi="ar-SA"/>
        </w:rPr>
        <w:t>乌里雅斯太</w:t>
      </w:r>
      <w:r>
        <w:rPr>
          <w:rFonts w:hint="eastAsia" w:asciiTheme="minorEastAsia" w:hAnsiTheme="minorEastAsia" w:eastAsiaTheme="minorEastAsia"/>
          <w:kern w:val="2"/>
          <w:szCs w:val="24"/>
          <w:lang w:eastAsia="zh-CN" w:bidi="ar-SA"/>
        </w:rPr>
        <w:t>镇</w:t>
      </w:r>
      <w:r>
        <w:rPr>
          <w:rFonts w:hint="eastAsia" w:asciiTheme="minorEastAsia" w:hAnsiTheme="minorEastAsia" w:eastAsiaTheme="minorEastAsia"/>
          <w:bCs/>
          <w:kern w:val="2"/>
          <w:szCs w:val="24"/>
          <w:lang w:eastAsia="zh-CN" w:bidi="ar-SA"/>
        </w:rPr>
        <w:t>境内</w:t>
      </w:r>
      <w:r>
        <w:rPr>
          <w:rFonts w:asciiTheme="minorEastAsia" w:hAnsiTheme="minorEastAsia" w:eastAsiaTheme="minorEastAsia"/>
          <w:bCs/>
          <w:kern w:val="2"/>
          <w:szCs w:val="24"/>
          <w:lang w:eastAsia="zh-CN" w:bidi="ar-SA"/>
        </w:rPr>
        <w:t>，地理坐标为东经11</w:t>
      </w:r>
      <w:r>
        <w:rPr>
          <w:rFonts w:hint="eastAsia" w:asciiTheme="minorEastAsia" w:hAnsiTheme="minorEastAsia" w:eastAsiaTheme="minorEastAsia"/>
          <w:bCs/>
          <w:kern w:val="2"/>
          <w:szCs w:val="24"/>
          <w:lang w:eastAsia="zh-CN" w:bidi="ar-SA"/>
        </w:rPr>
        <w:t>6</w:t>
      </w:r>
      <w:r>
        <w:rPr>
          <w:rFonts w:asciiTheme="minorEastAsia" w:hAnsiTheme="minorEastAsia" w:eastAsiaTheme="minorEastAsia"/>
          <w:bCs/>
          <w:kern w:val="2"/>
          <w:szCs w:val="24"/>
          <w:lang w:eastAsia="zh-CN" w:bidi="ar-SA"/>
        </w:rPr>
        <w:t>º50'</w:t>
      </w:r>
      <w:r>
        <w:rPr>
          <w:rFonts w:hint="eastAsia" w:asciiTheme="minorEastAsia" w:hAnsiTheme="minorEastAsia" w:eastAsiaTheme="minorEastAsia"/>
          <w:bCs/>
          <w:kern w:val="2"/>
          <w:szCs w:val="24"/>
          <w:lang w:eastAsia="zh-CN" w:bidi="ar-SA"/>
        </w:rPr>
        <w:t>15</w:t>
      </w:r>
      <w:r>
        <w:rPr>
          <w:rFonts w:asciiTheme="minorEastAsia" w:hAnsiTheme="minorEastAsia" w:eastAsiaTheme="minorEastAsia"/>
          <w:bCs/>
          <w:kern w:val="2"/>
          <w:szCs w:val="24"/>
          <w:lang w:eastAsia="zh-CN" w:bidi="ar-SA"/>
        </w:rPr>
        <w:t>"—116º</w:t>
      </w:r>
      <w:r>
        <w:rPr>
          <w:rFonts w:hint="eastAsia" w:asciiTheme="minorEastAsia" w:hAnsiTheme="minorEastAsia" w:eastAsiaTheme="minorEastAsia"/>
          <w:bCs/>
          <w:kern w:val="2"/>
          <w:szCs w:val="24"/>
          <w:lang w:eastAsia="zh-CN" w:bidi="ar-SA"/>
        </w:rPr>
        <w:t>57</w:t>
      </w:r>
      <w:r>
        <w:rPr>
          <w:rFonts w:asciiTheme="minorEastAsia" w:hAnsiTheme="minorEastAsia" w:eastAsiaTheme="minorEastAsia"/>
          <w:bCs/>
          <w:kern w:val="2"/>
          <w:szCs w:val="24"/>
          <w:lang w:eastAsia="zh-CN" w:bidi="ar-SA"/>
        </w:rPr>
        <w:t>'</w:t>
      </w:r>
      <w:r>
        <w:rPr>
          <w:rFonts w:hint="eastAsia" w:asciiTheme="minorEastAsia" w:hAnsiTheme="minorEastAsia" w:eastAsiaTheme="minorEastAsia"/>
          <w:bCs/>
          <w:kern w:val="2"/>
          <w:szCs w:val="24"/>
          <w:lang w:eastAsia="zh-CN" w:bidi="ar-SA"/>
        </w:rPr>
        <w:t>15</w:t>
      </w:r>
      <w:r>
        <w:rPr>
          <w:rFonts w:asciiTheme="minorEastAsia" w:hAnsiTheme="minorEastAsia" w:eastAsiaTheme="minorEastAsia"/>
          <w:bCs/>
          <w:kern w:val="2"/>
          <w:szCs w:val="24"/>
          <w:lang w:eastAsia="zh-CN" w:bidi="ar-SA"/>
        </w:rPr>
        <w:t>"，北纬4</w:t>
      </w:r>
      <w:r>
        <w:rPr>
          <w:rFonts w:hint="eastAsia" w:asciiTheme="minorEastAsia" w:hAnsiTheme="minorEastAsia" w:eastAsiaTheme="minorEastAsia"/>
          <w:bCs/>
          <w:kern w:val="2"/>
          <w:szCs w:val="24"/>
          <w:lang w:eastAsia="zh-CN" w:bidi="ar-SA"/>
        </w:rPr>
        <w:t>5</w:t>
      </w:r>
      <w:r>
        <w:rPr>
          <w:rFonts w:asciiTheme="minorEastAsia" w:hAnsiTheme="minorEastAsia" w:eastAsiaTheme="minorEastAsia"/>
          <w:bCs/>
          <w:kern w:val="2"/>
          <w:szCs w:val="24"/>
          <w:lang w:eastAsia="zh-CN" w:bidi="ar-SA"/>
        </w:rPr>
        <w:t>º</w:t>
      </w:r>
      <w:r>
        <w:rPr>
          <w:rFonts w:hint="eastAsia" w:asciiTheme="minorEastAsia" w:hAnsiTheme="minorEastAsia" w:eastAsiaTheme="minorEastAsia"/>
          <w:bCs/>
          <w:kern w:val="2"/>
          <w:szCs w:val="24"/>
          <w:lang w:eastAsia="zh-CN" w:bidi="ar-SA"/>
        </w:rPr>
        <w:t>32</w:t>
      </w:r>
      <w:r>
        <w:rPr>
          <w:rFonts w:asciiTheme="minorEastAsia" w:hAnsiTheme="minorEastAsia" w:eastAsiaTheme="minorEastAsia"/>
          <w:bCs/>
          <w:kern w:val="2"/>
          <w:szCs w:val="24"/>
          <w:lang w:eastAsia="zh-CN" w:bidi="ar-SA"/>
        </w:rPr>
        <w:t>'</w:t>
      </w:r>
      <w:r>
        <w:rPr>
          <w:rFonts w:hint="eastAsia" w:asciiTheme="minorEastAsia" w:hAnsiTheme="minorEastAsia" w:eastAsiaTheme="minorEastAsia"/>
          <w:bCs/>
          <w:kern w:val="2"/>
          <w:szCs w:val="24"/>
          <w:lang w:eastAsia="zh-CN" w:bidi="ar-SA"/>
        </w:rPr>
        <w:t>30</w:t>
      </w:r>
      <w:r>
        <w:rPr>
          <w:rFonts w:asciiTheme="minorEastAsia" w:hAnsiTheme="minorEastAsia" w:eastAsiaTheme="minorEastAsia"/>
          <w:bCs/>
          <w:kern w:val="2"/>
          <w:szCs w:val="24"/>
          <w:lang w:eastAsia="zh-CN" w:bidi="ar-SA"/>
        </w:rPr>
        <w:t>"—45º</w:t>
      </w:r>
      <w:r>
        <w:rPr>
          <w:rFonts w:hint="eastAsia" w:asciiTheme="minorEastAsia" w:hAnsiTheme="minorEastAsia" w:eastAsiaTheme="minorEastAsia"/>
          <w:bCs/>
          <w:kern w:val="2"/>
          <w:szCs w:val="24"/>
          <w:lang w:eastAsia="zh-CN" w:bidi="ar-SA"/>
        </w:rPr>
        <w:t>43</w:t>
      </w:r>
      <w:r>
        <w:rPr>
          <w:rFonts w:asciiTheme="minorEastAsia" w:hAnsiTheme="minorEastAsia" w:eastAsiaTheme="minorEastAsia"/>
          <w:bCs/>
          <w:kern w:val="2"/>
          <w:szCs w:val="24"/>
          <w:lang w:eastAsia="zh-CN" w:bidi="ar-SA"/>
        </w:rPr>
        <w:t>'</w:t>
      </w:r>
      <w:r>
        <w:rPr>
          <w:rFonts w:hint="eastAsia" w:asciiTheme="minorEastAsia" w:hAnsiTheme="minorEastAsia" w:eastAsiaTheme="minorEastAsia"/>
          <w:bCs/>
          <w:kern w:val="2"/>
          <w:szCs w:val="24"/>
          <w:lang w:eastAsia="zh-CN" w:bidi="ar-SA"/>
        </w:rPr>
        <w:t>00</w:t>
      </w:r>
      <w:r>
        <w:rPr>
          <w:rFonts w:asciiTheme="minorEastAsia" w:hAnsiTheme="minorEastAsia" w:eastAsiaTheme="minorEastAsia"/>
          <w:bCs/>
          <w:kern w:val="2"/>
          <w:szCs w:val="24"/>
          <w:lang w:eastAsia="zh-CN" w:bidi="ar-SA"/>
        </w:rPr>
        <w:t>"</w:t>
      </w:r>
      <w:r>
        <w:rPr>
          <w:rFonts w:hint="eastAsia" w:asciiTheme="minorEastAsia" w:hAnsiTheme="minorEastAsia" w:eastAsiaTheme="minorEastAsia"/>
          <w:bCs/>
          <w:kern w:val="2"/>
          <w:szCs w:val="24"/>
          <w:lang w:eastAsia="zh-CN" w:bidi="ar-SA"/>
        </w:rPr>
        <w:t>，</w:t>
      </w:r>
      <w:r>
        <w:rPr>
          <w:rFonts w:asciiTheme="minorEastAsia" w:hAnsiTheme="minorEastAsia" w:eastAsiaTheme="minorEastAsia"/>
          <w:bCs/>
          <w:kern w:val="2"/>
          <w:szCs w:val="24"/>
          <w:lang w:eastAsia="zh-CN" w:bidi="ar-SA"/>
        </w:rPr>
        <w:t>距</w:t>
      </w:r>
      <w:r>
        <w:rPr>
          <w:rFonts w:asciiTheme="minorEastAsia" w:hAnsiTheme="minorEastAsia" w:eastAsiaTheme="minorEastAsia"/>
          <w:kern w:val="2"/>
          <w:szCs w:val="24"/>
          <w:lang w:eastAsia="zh-CN" w:bidi="ar-SA"/>
        </w:rPr>
        <w:t>乌里雅斯太</w:t>
      </w:r>
      <w:r>
        <w:rPr>
          <w:rFonts w:hint="eastAsia" w:asciiTheme="minorEastAsia" w:hAnsiTheme="minorEastAsia" w:eastAsiaTheme="minorEastAsia"/>
          <w:kern w:val="2"/>
          <w:szCs w:val="24"/>
          <w:lang w:eastAsia="zh-CN" w:bidi="ar-SA"/>
        </w:rPr>
        <w:t>镇</w:t>
      </w:r>
      <w:r>
        <w:rPr>
          <w:rFonts w:asciiTheme="minorEastAsia" w:hAnsiTheme="minorEastAsia" w:eastAsiaTheme="minorEastAsia"/>
          <w:bCs/>
          <w:kern w:val="2"/>
          <w:szCs w:val="24"/>
          <w:lang w:eastAsia="zh-CN" w:bidi="ar-SA"/>
        </w:rPr>
        <w:t>约</w:t>
      </w:r>
      <w:r>
        <w:rPr>
          <w:rFonts w:hint="eastAsia" w:asciiTheme="minorEastAsia" w:hAnsiTheme="minorEastAsia" w:eastAsiaTheme="minorEastAsia"/>
          <w:bCs/>
          <w:kern w:val="2"/>
          <w:szCs w:val="24"/>
          <w:lang w:eastAsia="zh-CN" w:bidi="ar-SA"/>
        </w:rPr>
        <w:t>15.0km，</w:t>
      </w:r>
      <w:r>
        <w:rPr>
          <w:rFonts w:asciiTheme="minorEastAsia" w:hAnsiTheme="minorEastAsia" w:eastAsiaTheme="minorEastAsia"/>
          <w:bCs/>
          <w:kern w:val="2"/>
          <w:szCs w:val="24"/>
          <w:lang w:eastAsia="zh-CN" w:bidi="ar-SA"/>
        </w:rPr>
        <w:t>距阿尔善油田</w:t>
      </w:r>
      <w:r>
        <w:rPr>
          <w:rFonts w:hint="eastAsia" w:asciiTheme="minorEastAsia" w:hAnsiTheme="minorEastAsia" w:eastAsiaTheme="minorEastAsia"/>
          <w:bCs/>
          <w:kern w:val="2"/>
          <w:szCs w:val="24"/>
          <w:lang w:eastAsia="zh-CN" w:bidi="ar-SA"/>
        </w:rPr>
        <w:t>基地</w:t>
      </w:r>
      <w:r>
        <w:rPr>
          <w:rFonts w:asciiTheme="minorEastAsia" w:hAnsiTheme="minorEastAsia" w:eastAsiaTheme="minorEastAsia"/>
          <w:bCs/>
          <w:kern w:val="2"/>
          <w:szCs w:val="24"/>
          <w:lang w:eastAsia="zh-CN" w:bidi="ar-SA"/>
        </w:rPr>
        <w:t>约</w:t>
      </w:r>
      <w:r>
        <w:rPr>
          <w:rFonts w:hint="eastAsia" w:asciiTheme="minorEastAsia" w:hAnsiTheme="minorEastAsia" w:eastAsiaTheme="minorEastAsia"/>
          <w:bCs/>
          <w:kern w:val="2"/>
          <w:szCs w:val="24"/>
          <w:lang w:eastAsia="zh-CN" w:bidi="ar-SA"/>
        </w:rPr>
        <w:t>170km，由</w:t>
      </w:r>
      <w:r>
        <w:rPr>
          <w:rFonts w:asciiTheme="minorEastAsia" w:hAnsiTheme="minorEastAsia" w:eastAsiaTheme="minorEastAsia"/>
          <w:bCs/>
          <w:kern w:val="2"/>
          <w:szCs w:val="24"/>
          <w:lang w:eastAsia="zh-CN" w:bidi="ar-SA"/>
        </w:rPr>
        <w:t>中国石油华北油田公司二连分公司</w:t>
      </w:r>
      <w:r>
        <w:rPr>
          <w:rFonts w:hint="eastAsia" w:asciiTheme="minorEastAsia" w:hAnsiTheme="minorEastAsia" w:eastAsiaTheme="minorEastAsia"/>
          <w:bCs/>
          <w:kern w:val="2"/>
          <w:szCs w:val="24"/>
          <w:lang w:eastAsia="zh-CN" w:bidi="ar-SA"/>
        </w:rPr>
        <w:t>建设</w:t>
      </w:r>
      <w:r>
        <w:rPr>
          <w:rFonts w:asciiTheme="minorEastAsia" w:hAnsiTheme="minorEastAsia" w:eastAsiaTheme="minorEastAsia"/>
          <w:bCs/>
          <w:kern w:val="2"/>
          <w:szCs w:val="24"/>
          <w:lang w:eastAsia="zh-CN" w:bidi="ar-SA"/>
        </w:rPr>
        <w:t>。</w:t>
      </w:r>
    </w:p>
    <w:p w14:paraId="4D7BE30B">
      <w:pPr>
        <w:ind w:firstLine="480"/>
        <w:rPr>
          <w:rFonts w:asciiTheme="minorEastAsia" w:hAnsiTheme="minorEastAsia" w:eastAsiaTheme="minorEastAsia"/>
          <w:kern w:val="2"/>
          <w:szCs w:val="24"/>
          <w:lang w:eastAsia="zh-CN" w:bidi="ar-SA"/>
        </w:rPr>
      </w:pPr>
      <w:r>
        <w:rPr>
          <w:rFonts w:asciiTheme="minorEastAsia" w:hAnsiTheme="minorEastAsia" w:eastAsiaTheme="minorEastAsia"/>
          <w:kern w:val="2"/>
          <w:szCs w:val="24"/>
          <w:lang w:eastAsia="zh-CN" w:bidi="ar-SA"/>
        </w:rPr>
        <w:t>乌里雅斯太油田地面产能开发建设项目</w:t>
      </w:r>
      <w:r>
        <w:rPr>
          <w:rFonts w:hint="eastAsia" w:asciiTheme="minorEastAsia" w:hAnsiTheme="minorEastAsia" w:eastAsiaTheme="minorEastAsia"/>
          <w:kern w:val="2"/>
          <w:szCs w:val="24"/>
          <w:lang w:eastAsia="zh-CN" w:bidi="ar-SA"/>
        </w:rPr>
        <w:t xml:space="preserve">，开发太53 </w:t>
      </w:r>
      <w:r>
        <w:rPr>
          <w:rFonts w:asciiTheme="minorEastAsia" w:hAnsiTheme="minorEastAsia" w:eastAsiaTheme="minorEastAsia"/>
          <w:kern w:val="2"/>
          <w:szCs w:val="24"/>
          <w:lang w:eastAsia="zh-CN" w:bidi="ar-SA"/>
        </w:rPr>
        <w:t>断块</w:t>
      </w:r>
      <w:r>
        <w:rPr>
          <w:rFonts w:hint="eastAsia" w:asciiTheme="minorEastAsia" w:hAnsiTheme="minorEastAsia" w:eastAsiaTheme="minorEastAsia"/>
          <w:kern w:val="2"/>
          <w:szCs w:val="24"/>
          <w:lang w:eastAsia="zh-CN" w:bidi="ar-SA"/>
        </w:rPr>
        <w:t xml:space="preserve">和太27 </w:t>
      </w:r>
      <w:r>
        <w:rPr>
          <w:rFonts w:asciiTheme="minorEastAsia" w:hAnsiTheme="minorEastAsia" w:eastAsiaTheme="minorEastAsia"/>
          <w:kern w:val="2"/>
          <w:szCs w:val="24"/>
          <w:lang w:eastAsia="zh-CN" w:bidi="ar-SA"/>
        </w:rPr>
        <w:t>断块</w:t>
      </w:r>
      <w:r>
        <w:rPr>
          <w:rFonts w:hint="eastAsia" w:asciiTheme="minorEastAsia" w:hAnsiTheme="minorEastAsia" w:eastAsiaTheme="minorEastAsia"/>
          <w:kern w:val="2"/>
          <w:szCs w:val="24"/>
          <w:lang w:eastAsia="zh-CN" w:bidi="ar-SA"/>
        </w:rPr>
        <w:t xml:space="preserve">，太53 </w:t>
      </w:r>
      <w:r>
        <w:rPr>
          <w:rFonts w:asciiTheme="minorEastAsia" w:hAnsiTheme="minorEastAsia" w:eastAsiaTheme="minorEastAsia"/>
          <w:kern w:val="2"/>
          <w:szCs w:val="24"/>
          <w:lang w:eastAsia="zh-CN" w:bidi="ar-SA"/>
        </w:rPr>
        <w:t>断块</w:t>
      </w:r>
      <w:r>
        <w:rPr>
          <w:rFonts w:hint="eastAsia" w:asciiTheme="minorEastAsia" w:hAnsiTheme="minorEastAsia" w:eastAsiaTheme="minorEastAsia"/>
          <w:kern w:val="2"/>
          <w:szCs w:val="24"/>
          <w:lang w:eastAsia="zh-CN" w:bidi="ar-SA"/>
        </w:rPr>
        <w:t>探明含油面积12.95km</w:t>
      </w:r>
      <w:r>
        <w:rPr>
          <w:rFonts w:hint="eastAsia" w:asciiTheme="minorEastAsia" w:hAnsiTheme="minorEastAsia" w:eastAsiaTheme="minorEastAsia"/>
          <w:kern w:val="2"/>
          <w:szCs w:val="24"/>
          <w:vertAlign w:val="superscript"/>
          <w:lang w:eastAsia="zh-CN" w:bidi="ar-SA"/>
        </w:rPr>
        <w:t>2</w:t>
      </w:r>
      <w:r>
        <w:rPr>
          <w:rFonts w:hint="eastAsia" w:asciiTheme="minorEastAsia" w:hAnsiTheme="minorEastAsia" w:eastAsiaTheme="minorEastAsia"/>
          <w:kern w:val="2"/>
          <w:szCs w:val="24"/>
          <w:lang w:eastAsia="zh-CN" w:bidi="ar-SA"/>
        </w:rPr>
        <w:t>，地质储量1060.54×10</w:t>
      </w:r>
      <w:r>
        <w:rPr>
          <w:rFonts w:hint="eastAsia" w:asciiTheme="minorEastAsia" w:hAnsiTheme="minorEastAsia" w:eastAsiaTheme="minorEastAsia"/>
          <w:kern w:val="2"/>
          <w:szCs w:val="24"/>
          <w:vertAlign w:val="superscript"/>
          <w:lang w:eastAsia="zh-CN" w:bidi="ar-SA"/>
        </w:rPr>
        <w:t>4</w:t>
      </w:r>
      <w:r>
        <w:rPr>
          <w:rFonts w:hint="eastAsia" w:asciiTheme="minorEastAsia" w:hAnsiTheme="minorEastAsia" w:eastAsiaTheme="minorEastAsia"/>
          <w:kern w:val="2"/>
          <w:szCs w:val="24"/>
          <w:lang w:eastAsia="zh-CN" w:bidi="ar-SA"/>
        </w:rPr>
        <w:t>t。现有油井22口，开井16口；太27断块探明含油面积11.27km</w:t>
      </w:r>
      <w:r>
        <w:rPr>
          <w:rFonts w:hint="eastAsia" w:asciiTheme="minorEastAsia" w:hAnsiTheme="minorEastAsia" w:eastAsiaTheme="minorEastAsia"/>
          <w:kern w:val="2"/>
          <w:szCs w:val="24"/>
          <w:vertAlign w:val="superscript"/>
          <w:lang w:eastAsia="zh-CN" w:bidi="ar-SA"/>
        </w:rPr>
        <w:t>2</w:t>
      </w:r>
      <w:r>
        <w:rPr>
          <w:rFonts w:hint="eastAsia" w:asciiTheme="minorEastAsia" w:hAnsiTheme="minorEastAsia" w:eastAsiaTheme="minorEastAsia"/>
          <w:kern w:val="2"/>
          <w:szCs w:val="24"/>
          <w:lang w:eastAsia="zh-CN" w:bidi="ar-SA"/>
        </w:rPr>
        <w:t>，地质储量1226.91×10</w:t>
      </w:r>
      <w:r>
        <w:rPr>
          <w:rFonts w:hint="eastAsia" w:asciiTheme="minorEastAsia" w:hAnsiTheme="minorEastAsia" w:eastAsiaTheme="minorEastAsia"/>
          <w:kern w:val="2"/>
          <w:szCs w:val="24"/>
          <w:vertAlign w:val="superscript"/>
          <w:lang w:eastAsia="zh-CN" w:bidi="ar-SA"/>
        </w:rPr>
        <w:t>4</w:t>
      </w:r>
      <w:r>
        <w:rPr>
          <w:rFonts w:hint="eastAsia" w:asciiTheme="minorEastAsia" w:hAnsiTheme="minorEastAsia" w:eastAsiaTheme="minorEastAsia"/>
          <w:kern w:val="2"/>
          <w:szCs w:val="24"/>
          <w:lang w:eastAsia="zh-CN" w:bidi="ar-SA"/>
        </w:rPr>
        <w:t>t。现有油井26口；现有注水井21口（太27断块16口，太53断块5口），开井</w:t>
      </w:r>
      <w:r>
        <w:rPr>
          <w:rFonts w:asciiTheme="minorEastAsia" w:hAnsiTheme="minorEastAsia" w:eastAsiaTheme="minorEastAsia"/>
          <w:kern w:val="2"/>
          <w:szCs w:val="24"/>
          <w:lang w:eastAsia="zh-CN" w:bidi="ar-SA"/>
        </w:rPr>
        <w:t>17</w:t>
      </w:r>
      <w:r>
        <w:rPr>
          <w:rFonts w:hint="eastAsia" w:asciiTheme="minorEastAsia" w:hAnsiTheme="minorEastAsia" w:eastAsiaTheme="minorEastAsia"/>
          <w:kern w:val="2"/>
          <w:szCs w:val="24"/>
          <w:lang w:eastAsia="zh-CN" w:bidi="ar-SA"/>
        </w:rPr>
        <w:t>口（太</w:t>
      </w:r>
      <w:r>
        <w:rPr>
          <w:rFonts w:asciiTheme="minorEastAsia" w:hAnsiTheme="minorEastAsia" w:eastAsiaTheme="minorEastAsia"/>
          <w:kern w:val="2"/>
          <w:szCs w:val="24"/>
          <w:lang w:eastAsia="zh-CN" w:bidi="ar-SA"/>
        </w:rPr>
        <w:t>27</w:t>
      </w:r>
      <w:r>
        <w:rPr>
          <w:rFonts w:hint="eastAsia" w:asciiTheme="minorEastAsia" w:hAnsiTheme="minorEastAsia" w:eastAsiaTheme="minorEastAsia"/>
          <w:kern w:val="2"/>
          <w:szCs w:val="24"/>
          <w:lang w:eastAsia="zh-CN" w:bidi="ar-SA"/>
        </w:rPr>
        <w:t>断块</w:t>
      </w:r>
      <w:r>
        <w:rPr>
          <w:rFonts w:asciiTheme="minorEastAsia" w:hAnsiTheme="minorEastAsia" w:eastAsiaTheme="minorEastAsia"/>
          <w:kern w:val="2"/>
          <w:szCs w:val="24"/>
          <w:lang w:eastAsia="zh-CN" w:bidi="ar-SA"/>
        </w:rPr>
        <w:t>13</w:t>
      </w:r>
      <w:r>
        <w:rPr>
          <w:rFonts w:hint="eastAsia" w:asciiTheme="minorEastAsia" w:hAnsiTheme="minorEastAsia" w:eastAsiaTheme="minorEastAsia"/>
          <w:kern w:val="2"/>
          <w:szCs w:val="24"/>
          <w:lang w:eastAsia="zh-CN" w:bidi="ar-SA"/>
        </w:rPr>
        <w:t>口，太</w:t>
      </w:r>
      <w:r>
        <w:rPr>
          <w:rFonts w:asciiTheme="minorEastAsia" w:hAnsiTheme="minorEastAsia" w:eastAsiaTheme="minorEastAsia"/>
          <w:kern w:val="2"/>
          <w:szCs w:val="24"/>
          <w:lang w:eastAsia="zh-CN" w:bidi="ar-SA"/>
        </w:rPr>
        <w:t>53</w:t>
      </w:r>
      <w:r>
        <w:rPr>
          <w:rFonts w:hint="eastAsia" w:asciiTheme="minorEastAsia" w:hAnsiTheme="minorEastAsia" w:eastAsiaTheme="minorEastAsia"/>
          <w:kern w:val="2"/>
          <w:szCs w:val="24"/>
          <w:lang w:eastAsia="zh-CN" w:bidi="ar-SA"/>
        </w:rPr>
        <w:t>断块</w:t>
      </w:r>
      <w:r>
        <w:rPr>
          <w:rFonts w:asciiTheme="minorEastAsia" w:hAnsiTheme="minorEastAsia" w:eastAsiaTheme="minorEastAsia"/>
          <w:kern w:val="2"/>
          <w:szCs w:val="24"/>
          <w:lang w:eastAsia="zh-CN" w:bidi="ar-SA"/>
        </w:rPr>
        <w:t>4</w:t>
      </w:r>
      <w:r>
        <w:rPr>
          <w:rFonts w:hint="eastAsia" w:asciiTheme="minorEastAsia" w:hAnsiTheme="minorEastAsia" w:eastAsiaTheme="minorEastAsia"/>
          <w:kern w:val="2"/>
          <w:szCs w:val="24"/>
          <w:lang w:eastAsia="zh-CN" w:bidi="ar-SA"/>
        </w:rPr>
        <w:t>口）。</w:t>
      </w:r>
    </w:p>
    <w:p w14:paraId="2891B273">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乌里雅斯太油田2004年投入试采，2006年结合产能建设雅一站接转站，产能3×10</w:t>
      </w:r>
      <w:r>
        <w:rPr>
          <w:rFonts w:hint="eastAsia" w:asciiTheme="minorEastAsia" w:hAnsiTheme="minorEastAsia" w:eastAsiaTheme="minorEastAsia"/>
          <w:vertAlign w:val="superscript"/>
          <w:lang w:eastAsia="zh-CN"/>
        </w:rPr>
        <w:t>4</w:t>
      </w:r>
      <w:r>
        <w:rPr>
          <w:rFonts w:hint="eastAsia" w:asciiTheme="minorEastAsia" w:hAnsiTheme="minorEastAsia" w:eastAsiaTheme="minorEastAsia"/>
          <w:lang w:eastAsia="zh-CN"/>
        </w:rPr>
        <w:t>t/a。</w:t>
      </w:r>
      <w:r>
        <w:rPr>
          <w:rFonts w:asciiTheme="minorEastAsia" w:hAnsiTheme="minorEastAsia" w:eastAsiaTheme="minorEastAsia"/>
          <w:kern w:val="2"/>
          <w:szCs w:val="24"/>
          <w:lang w:eastAsia="zh-CN" w:bidi="ar-SA"/>
        </w:rPr>
        <w:t>乌里雅斯太油田</w:t>
      </w:r>
      <w:r>
        <w:rPr>
          <w:rFonts w:hint="eastAsia" w:asciiTheme="minorEastAsia" w:hAnsiTheme="minorEastAsia" w:eastAsiaTheme="minorEastAsia"/>
          <w:kern w:val="2"/>
          <w:szCs w:val="24"/>
          <w:lang w:eastAsia="zh-CN" w:bidi="ar-SA"/>
        </w:rPr>
        <w:t>现有工程</w:t>
      </w:r>
      <w:r>
        <w:rPr>
          <w:rFonts w:asciiTheme="minorEastAsia" w:hAnsiTheme="minorEastAsia" w:eastAsiaTheme="minorEastAsia"/>
          <w:kern w:val="2"/>
          <w:szCs w:val="24"/>
          <w:lang w:eastAsia="zh-CN" w:bidi="ar-SA"/>
        </w:rPr>
        <w:t>环境影响评价及环保验收手续齐全。</w:t>
      </w:r>
      <w:r>
        <w:rPr>
          <w:rFonts w:hint="eastAsia" w:asciiTheme="minorEastAsia" w:hAnsiTheme="minorEastAsia" w:eastAsiaTheme="minorEastAsia"/>
          <w:kern w:val="2"/>
          <w:szCs w:val="24"/>
          <w:lang w:eastAsia="zh-CN" w:bidi="ar-SA"/>
        </w:rPr>
        <w:t>环境影响评价报告表</w:t>
      </w:r>
      <w:r>
        <w:rPr>
          <w:rFonts w:hint="eastAsia" w:asciiTheme="minorEastAsia" w:hAnsiTheme="minorEastAsia" w:eastAsiaTheme="minorEastAsia"/>
          <w:bCs/>
          <w:lang w:eastAsia="zh-CN"/>
        </w:rPr>
        <w:t>《华北油田二连分公司乌里雅斯太油田开发项目环境影响报告表》</w:t>
      </w:r>
      <w:r>
        <w:rPr>
          <w:rFonts w:hint="eastAsia" w:asciiTheme="minorEastAsia" w:hAnsiTheme="minorEastAsia" w:eastAsiaTheme="minorEastAsia"/>
          <w:lang w:eastAsia="zh-CN"/>
        </w:rPr>
        <w:t>，</w:t>
      </w:r>
      <w:r>
        <w:rPr>
          <w:rFonts w:hint="eastAsia" w:asciiTheme="minorEastAsia" w:hAnsiTheme="minorEastAsia" w:eastAsiaTheme="minorEastAsia"/>
          <w:kern w:val="2"/>
          <w:szCs w:val="24"/>
          <w:lang w:eastAsia="zh-CN" w:bidi="ar-SA"/>
        </w:rPr>
        <w:t>由锡盟环保局</w:t>
      </w:r>
      <w:r>
        <w:rPr>
          <w:rFonts w:hint="eastAsia" w:asciiTheme="minorEastAsia" w:hAnsiTheme="minorEastAsia" w:eastAsiaTheme="minorEastAsia"/>
          <w:bCs/>
          <w:lang w:eastAsia="zh-CN"/>
        </w:rPr>
        <w:t>批复</w:t>
      </w:r>
      <w:r>
        <w:rPr>
          <w:rFonts w:hint="eastAsia" w:asciiTheme="minorEastAsia" w:hAnsiTheme="minorEastAsia" w:eastAsiaTheme="minorEastAsia"/>
          <w:kern w:val="2"/>
          <w:szCs w:val="24"/>
          <w:lang w:eastAsia="zh-CN" w:bidi="ar-SA"/>
        </w:rPr>
        <w:t>（</w:t>
      </w:r>
      <w:r>
        <w:rPr>
          <w:rFonts w:hint="eastAsia" w:asciiTheme="minorEastAsia" w:hAnsiTheme="minorEastAsia" w:eastAsiaTheme="minorEastAsia"/>
          <w:bCs/>
          <w:lang w:eastAsia="zh-CN"/>
        </w:rPr>
        <w:t>锡署环审表[2006]68号），《乌里雅斯太油田开发项目验收申请报告》，由锡盟环保局验收（锡环验[2007]015号）。</w:t>
      </w:r>
    </w:p>
    <w:p w14:paraId="710B2836">
      <w:pPr>
        <w:ind w:firstLine="480"/>
        <w:rPr>
          <w:rFonts w:asciiTheme="minorEastAsia" w:hAnsiTheme="minorEastAsia" w:eastAsiaTheme="minorEastAsia"/>
          <w:lang w:eastAsia="zh-CN"/>
        </w:rPr>
      </w:pPr>
      <w:r>
        <w:rPr>
          <w:rFonts w:asciiTheme="minorEastAsia" w:hAnsiTheme="minorEastAsia" w:eastAsiaTheme="minorEastAsia"/>
          <w:kern w:val="2"/>
          <w:szCs w:val="24"/>
          <w:lang w:eastAsia="zh-CN" w:bidi="ar-SA"/>
        </w:rPr>
        <w:t>乌里雅斯太油田地面产能开发建设项目</w:t>
      </w:r>
      <w:r>
        <w:rPr>
          <w:rFonts w:hint="eastAsia" w:asciiTheme="minorEastAsia" w:hAnsiTheme="minorEastAsia" w:eastAsiaTheme="minorEastAsia"/>
          <w:kern w:val="2"/>
          <w:szCs w:val="24"/>
          <w:lang w:eastAsia="zh-CN" w:bidi="ar-SA"/>
        </w:rPr>
        <w:t>将</w:t>
      </w:r>
      <w:r>
        <w:rPr>
          <w:rFonts w:hint="eastAsia" w:asciiTheme="minorEastAsia" w:hAnsiTheme="minorEastAsia" w:eastAsiaTheme="minorEastAsia"/>
          <w:lang w:eastAsia="zh-CN"/>
        </w:rPr>
        <w:t>雅一站接转站扩建为雅斯联合站，根据产量预测设计</w:t>
      </w:r>
      <w:r>
        <w:rPr>
          <w:rFonts w:hint="eastAsia" w:asciiTheme="minorEastAsia" w:hAnsiTheme="minorEastAsia" w:eastAsiaTheme="minorEastAsia"/>
          <w:kern w:val="2"/>
          <w:szCs w:val="24"/>
          <w:lang w:eastAsia="zh-CN" w:bidi="ar-SA"/>
        </w:rPr>
        <w:t>规模</w:t>
      </w:r>
      <w:r>
        <w:rPr>
          <w:rFonts w:hint="eastAsia" w:asciiTheme="minorEastAsia" w:hAnsiTheme="minorEastAsia" w:eastAsiaTheme="minorEastAsia"/>
          <w:lang w:eastAsia="zh-CN"/>
        </w:rPr>
        <w:t>产能8×10</w:t>
      </w:r>
      <w:r>
        <w:rPr>
          <w:rFonts w:hint="eastAsia" w:asciiTheme="minorEastAsia" w:hAnsiTheme="minorEastAsia" w:eastAsiaTheme="minorEastAsia"/>
          <w:vertAlign w:val="superscript"/>
          <w:lang w:eastAsia="zh-CN"/>
        </w:rPr>
        <w:t>4</w:t>
      </w:r>
      <w:r>
        <w:rPr>
          <w:rFonts w:hint="eastAsia" w:asciiTheme="minorEastAsia" w:hAnsiTheme="minorEastAsia" w:eastAsiaTheme="minorEastAsia"/>
          <w:lang w:eastAsia="zh-CN"/>
        </w:rPr>
        <w:t>t/a，功能包括集油、分离、沉降脱水、加热、掺水、伴生气处理、天然气发电、装卸车、注水、污水处理、变配电等，扩建后的雅斯联合站，处理合格的原油通过阿乌宝线进入宝力格联合站，单井集油采用掺水流程，单井计量采用示功图计量，不建计量站，实现一级布站。新钻油水井93口，其中，油井74口，注水井19口。</w:t>
      </w:r>
      <w:r>
        <w:rPr>
          <w:rFonts w:asciiTheme="minorEastAsia" w:hAnsiTheme="minorEastAsia" w:eastAsiaTheme="minorEastAsia"/>
          <w:kern w:val="2"/>
          <w:szCs w:val="24"/>
          <w:lang w:eastAsia="zh-CN" w:bidi="ar-SA"/>
        </w:rPr>
        <w:t>本次评价只包括油田内部生产、集输、处理及相关配套的供注水、土建、供热、暖通等辅助工程的扩建部分。</w:t>
      </w:r>
    </w:p>
    <w:p w14:paraId="78A60A32">
      <w:pPr>
        <w:pStyle w:val="321"/>
        <w:spacing w:line="360" w:lineRule="auto"/>
        <w:ind w:firstLine="540" w:firstLineChars="225"/>
        <w:rPr>
          <w:rFonts w:asciiTheme="minorEastAsia" w:hAnsiTheme="minorEastAsia" w:eastAsiaTheme="minorEastAsia"/>
          <w:lang w:eastAsia="zh-CN"/>
        </w:rPr>
      </w:pPr>
      <w:r>
        <w:rPr>
          <w:rFonts w:asciiTheme="minorEastAsia" w:hAnsiTheme="minorEastAsia" w:eastAsiaTheme="minorEastAsia"/>
          <w:lang w:eastAsia="zh-CN"/>
        </w:rPr>
        <w:t>根据国务院第253号令《建设项目环境保护管理条例》和国家环保部第2号令《建设项目环境影响评价分类管理名录》等有关要求，</w:t>
      </w:r>
      <w:r>
        <w:rPr>
          <w:rFonts w:hint="eastAsia" w:asciiTheme="minorEastAsia" w:hAnsiTheme="minorEastAsia" w:eastAsiaTheme="minorEastAsia"/>
          <w:lang w:eastAsia="zh-CN"/>
        </w:rPr>
        <w:t>本项目属于</w:t>
      </w:r>
      <w:r>
        <w:rPr>
          <w:rFonts w:asciiTheme="minorEastAsia" w:hAnsiTheme="minorEastAsia" w:eastAsiaTheme="minorEastAsia"/>
          <w:lang w:eastAsia="zh-CN"/>
        </w:rPr>
        <w:t>《建设项目环境影响评价分类管理名录》</w:t>
      </w:r>
      <w:r>
        <w:rPr>
          <w:rFonts w:hint="eastAsia" w:asciiTheme="minorEastAsia" w:hAnsiTheme="minorEastAsia" w:eastAsiaTheme="minorEastAsia"/>
          <w:lang w:eastAsia="zh-CN"/>
        </w:rPr>
        <w:t>中“F石油、天然气—1</w:t>
      </w:r>
      <w:r>
        <w:rPr>
          <w:rFonts w:asciiTheme="minorEastAsia" w:hAnsiTheme="minorEastAsia" w:eastAsiaTheme="minorEastAsia"/>
          <w:lang w:eastAsia="zh-CN"/>
        </w:rPr>
        <w:t>、</w:t>
      </w:r>
      <w:r>
        <w:rPr>
          <w:rFonts w:hint="eastAsia" w:asciiTheme="minorEastAsia" w:hAnsiTheme="minorEastAsia" w:eastAsiaTheme="minorEastAsia"/>
          <w:lang w:eastAsia="zh-CN"/>
        </w:rPr>
        <w:t>石油开采”</w:t>
      </w:r>
      <w:r>
        <w:rPr>
          <w:rFonts w:asciiTheme="minorEastAsia" w:hAnsiTheme="minorEastAsia" w:eastAsiaTheme="minorEastAsia"/>
          <w:lang w:eastAsia="zh-CN"/>
        </w:rPr>
        <w:t>需编制报告书的类别。</w:t>
      </w:r>
    </w:p>
    <w:p w14:paraId="57AFBEFD">
      <w:pPr>
        <w:ind w:firstLine="480"/>
        <w:rPr>
          <w:rFonts w:asciiTheme="minorEastAsia" w:hAnsiTheme="minorEastAsia" w:eastAsiaTheme="minorEastAsia"/>
          <w:lang w:eastAsia="zh-CN"/>
        </w:rPr>
        <w:sectPr>
          <w:headerReference r:id="rId7" w:type="first"/>
          <w:footerReference r:id="rId10" w:type="first"/>
          <w:headerReference r:id="rId5" w:type="default"/>
          <w:footerReference r:id="rId8" w:type="default"/>
          <w:headerReference r:id="rId6" w:type="even"/>
          <w:footerReference r:id="rId9" w:type="even"/>
          <w:pgSz w:w="11907" w:h="16840"/>
          <w:pgMar w:top="1440" w:right="1797" w:bottom="1440" w:left="1797" w:header="851" w:footer="992" w:gutter="0"/>
          <w:pgNumType w:start="1"/>
          <w:cols w:space="720" w:num="1"/>
          <w:docGrid w:linePitch="312" w:charSpace="0"/>
        </w:sectPr>
      </w:pPr>
      <w:r>
        <w:rPr>
          <w:rFonts w:hint="eastAsia" w:asciiTheme="minorEastAsia" w:hAnsiTheme="minorEastAsia" w:eastAsiaTheme="minorEastAsia"/>
          <w:lang w:eastAsia="zh-CN"/>
        </w:rPr>
        <w:t>2014年9月</w:t>
      </w:r>
      <w:r>
        <w:rPr>
          <w:rFonts w:asciiTheme="minorEastAsia" w:hAnsiTheme="minorEastAsia" w:eastAsiaTheme="minorEastAsia"/>
          <w:lang w:eastAsia="zh-CN"/>
        </w:rPr>
        <w:t>受</w:t>
      </w:r>
      <w:r>
        <w:rPr>
          <w:rFonts w:hint="eastAsia" w:asciiTheme="minorEastAsia" w:hAnsiTheme="minorEastAsia" w:eastAsiaTheme="minorEastAsia"/>
          <w:lang w:eastAsia="zh-CN"/>
        </w:rPr>
        <w:t>中国石油华北油田公司合作开发项目部二连项目组</w:t>
      </w:r>
      <w:r>
        <w:rPr>
          <w:rFonts w:asciiTheme="minorEastAsia" w:hAnsiTheme="minorEastAsia" w:eastAsiaTheme="minorEastAsia"/>
          <w:lang w:eastAsia="zh-CN"/>
        </w:rPr>
        <w:t>的委托，</w:t>
      </w:r>
      <w:r>
        <w:rPr>
          <w:rFonts w:hint="eastAsia" w:asciiTheme="minorEastAsia" w:hAnsiTheme="minorEastAsia" w:eastAsiaTheme="minorEastAsia"/>
          <w:lang w:eastAsia="zh-CN"/>
        </w:rPr>
        <w:t>中晟环保科技开发投资有限公司</w:t>
      </w:r>
      <w:r>
        <w:rPr>
          <w:rFonts w:asciiTheme="minorEastAsia" w:hAnsiTheme="minorEastAsia" w:eastAsiaTheme="minorEastAsia"/>
          <w:lang w:eastAsia="zh-CN"/>
        </w:rPr>
        <w:t>承担了本项目环境影响评价工作。评价单位接受委托后，组织工程技术人员深入现场进行实地踏勘</w:t>
      </w:r>
      <w:r>
        <w:rPr>
          <w:rFonts w:hint="eastAsia" w:asciiTheme="minorEastAsia" w:hAnsiTheme="minorEastAsia" w:eastAsiaTheme="minorEastAsia"/>
          <w:lang w:eastAsia="zh-CN"/>
        </w:rPr>
        <w:t>，</w:t>
      </w:r>
      <w:r>
        <w:rPr>
          <w:rFonts w:asciiTheme="minorEastAsia" w:hAnsiTheme="minorEastAsia" w:eastAsiaTheme="minorEastAsia"/>
          <w:lang w:eastAsia="zh-CN"/>
        </w:rPr>
        <w:t>通过对现场勘察和调查，以及对工程相关资料和区域环境资料的分析，根据国家、</w:t>
      </w:r>
      <w:r>
        <w:rPr>
          <w:rFonts w:hint="eastAsia" w:asciiTheme="minorEastAsia" w:hAnsiTheme="minorEastAsia" w:eastAsiaTheme="minorEastAsia"/>
          <w:lang w:eastAsia="zh-CN"/>
        </w:rPr>
        <w:t>内蒙古</w:t>
      </w:r>
      <w:r>
        <w:rPr>
          <w:rFonts w:asciiTheme="minorEastAsia" w:hAnsiTheme="minorEastAsia" w:eastAsiaTheme="minorEastAsia"/>
          <w:lang w:eastAsia="zh-CN"/>
        </w:rPr>
        <w:t>有关环境保护法规、区域经济发展规划，按照环</w:t>
      </w:r>
      <w:r>
        <w:rPr>
          <w:rFonts w:hint="eastAsia" w:asciiTheme="minorEastAsia" w:hAnsiTheme="minorEastAsia" w:eastAsiaTheme="minorEastAsia"/>
          <w:lang w:eastAsia="zh-CN"/>
        </w:rPr>
        <w:t>境影响</w:t>
      </w:r>
      <w:r>
        <w:rPr>
          <w:rFonts w:asciiTheme="minorEastAsia" w:hAnsiTheme="minorEastAsia" w:eastAsiaTheme="minorEastAsia"/>
          <w:lang w:eastAsia="zh-CN"/>
        </w:rPr>
        <w:t>评</w:t>
      </w:r>
      <w:r>
        <w:rPr>
          <w:rFonts w:hint="eastAsia" w:asciiTheme="minorEastAsia" w:hAnsiTheme="minorEastAsia" w:eastAsiaTheme="minorEastAsia"/>
          <w:lang w:eastAsia="zh-CN"/>
        </w:rPr>
        <w:t>价</w:t>
      </w:r>
      <w:r>
        <w:rPr>
          <w:rFonts w:asciiTheme="minorEastAsia" w:hAnsiTheme="minorEastAsia" w:eastAsiaTheme="minorEastAsia"/>
          <w:lang w:eastAsia="zh-CN"/>
        </w:rPr>
        <w:t>技术导则编制完成了</w:t>
      </w:r>
      <w:r>
        <w:rPr>
          <w:rFonts w:hint="eastAsia" w:asciiTheme="minorEastAsia" w:hAnsiTheme="minorEastAsia" w:eastAsiaTheme="minorEastAsia"/>
          <w:lang w:eastAsia="zh-CN"/>
        </w:rPr>
        <w:t>《</w:t>
      </w:r>
      <w:r>
        <w:rPr>
          <w:rFonts w:asciiTheme="minorEastAsia" w:hAnsiTheme="minorEastAsia" w:eastAsiaTheme="minorEastAsia"/>
          <w:kern w:val="2"/>
          <w:szCs w:val="24"/>
          <w:lang w:eastAsia="zh-CN" w:bidi="ar-SA"/>
        </w:rPr>
        <w:t>乌里雅斯太油田地面产能开发建设项目</w:t>
      </w:r>
      <w:r>
        <w:rPr>
          <w:rFonts w:hint="eastAsia" w:asciiTheme="minorEastAsia" w:hAnsiTheme="minorEastAsia" w:eastAsiaTheme="minorEastAsia"/>
          <w:lang w:eastAsia="zh-CN"/>
        </w:rPr>
        <w:t>环境影响报告书》</w:t>
      </w:r>
      <w:r>
        <w:rPr>
          <w:rFonts w:asciiTheme="minorEastAsia" w:hAnsiTheme="minorEastAsia" w:eastAsiaTheme="minorEastAsia"/>
          <w:lang w:eastAsia="zh-CN"/>
        </w:rPr>
        <w:t>。在报告书编制过程中，得到各级环境保护行政主管部门的大力支持和协助，在此谨表谢意！</w:t>
      </w:r>
      <w:r>
        <w:rPr>
          <w:rFonts w:hint="eastAsia" w:asciiTheme="minorEastAsia" w:hAnsiTheme="minorEastAsia" w:eastAsiaTheme="minorEastAsia"/>
          <w:lang w:eastAsia="zh-CN"/>
        </w:rPr>
        <w:t xml:space="preserve">      </w:t>
      </w:r>
      <w:r>
        <w:rPr>
          <w:rFonts w:asciiTheme="minorEastAsia" w:hAnsiTheme="minorEastAsia" w:eastAsiaTheme="minorEastAsia"/>
          <w:kern w:val="2"/>
          <w:szCs w:val="24"/>
          <w:lang w:eastAsia="zh-CN" w:bidi="ar-SA"/>
        </w:rPr>
        <w:t xml:space="preserve">   </w:t>
      </w:r>
      <w:r>
        <w:rPr>
          <w:rFonts w:asciiTheme="minorEastAsia" w:hAnsiTheme="minorEastAsia" w:eastAsiaTheme="minorEastAsia"/>
          <w:sz w:val="44"/>
          <w:szCs w:val="44"/>
          <w:lang w:eastAsia="zh-CN"/>
        </w:rPr>
        <w:t xml:space="preserve">     </w:t>
      </w:r>
    </w:p>
    <w:p w14:paraId="57CF8189">
      <w:pPr>
        <w:pStyle w:val="2"/>
        <w:rPr>
          <w:lang w:eastAsia="zh-CN"/>
        </w:rPr>
      </w:pPr>
      <w:bookmarkStart w:id="4" w:name="_Toc248649400"/>
      <w:bookmarkStart w:id="5" w:name="_Toc408413879"/>
      <w:r>
        <w:rPr>
          <w:lang w:eastAsia="zh-CN"/>
        </w:rPr>
        <w:t>1</w:t>
      </w:r>
      <w:bookmarkEnd w:id="4"/>
      <w:r>
        <w:rPr>
          <w:lang w:eastAsia="zh-CN"/>
        </w:rPr>
        <w:t>总则</w:t>
      </w:r>
      <w:bookmarkEnd w:id="5"/>
    </w:p>
    <w:bookmarkEnd w:id="1"/>
    <w:bookmarkEnd w:id="2"/>
    <w:bookmarkEnd w:id="3"/>
    <w:p w14:paraId="5E8919CF">
      <w:pPr>
        <w:pStyle w:val="3"/>
        <w:rPr>
          <w:lang w:eastAsia="zh-CN"/>
        </w:rPr>
      </w:pPr>
      <w:bookmarkStart w:id="6" w:name="_Toc280020048"/>
      <w:bookmarkStart w:id="7" w:name="_Toc287598092"/>
      <w:bookmarkStart w:id="8" w:name="_Toc202420666"/>
      <w:bookmarkStart w:id="9" w:name="_Toc279676555"/>
      <w:bookmarkStart w:id="10" w:name="_Toc408413880"/>
      <w:bookmarkStart w:id="11" w:name="_Toc208823778"/>
      <w:bookmarkStart w:id="12" w:name="_Toc115010795"/>
      <w:bookmarkStart w:id="13" w:name="_Toc208825653"/>
      <w:bookmarkStart w:id="14" w:name="_Toc208829454"/>
      <w:bookmarkStart w:id="15" w:name="_Toc208829724"/>
      <w:bookmarkStart w:id="16" w:name="_Toc208826610"/>
      <w:bookmarkStart w:id="17" w:name="_Toc209538552"/>
      <w:bookmarkStart w:id="18" w:name="_Toc208829994"/>
      <w:bookmarkStart w:id="19" w:name="_Toc206995515"/>
      <w:bookmarkStart w:id="20" w:name="_Toc104587474"/>
      <w:bookmarkStart w:id="21" w:name="_Toc208827898"/>
      <w:bookmarkStart w:id="22" w:name="_Toc208825201"/>
      <w:bookmarkStart w:id="23" w:name="_Toc203877828"/>
      <w:bookmarkStart w:id="24" w:name="_Toc153387821"/>
      <w:bookmarkStart w:id="25" w:name="_Toc208827624"/>
      <w:bookmarkStart w:id="26" w:name="_Toc208826245"/>
      <w:r>
        <w:rPr>
          <w:lang w:eastAsia="zh-CN"/>
        </w:rPr>
        <w:t>1.1评价目的</w:t>
      </w:r>
      <w:bookmarkEnd w:id="6"/>
      <w:bookmarkEnd w:id="7"/>
      <w:bookmarkEnd w:id="8"/>
      <w:bookmarkEnd w:id="9"/>
      <w:r>
        <w:rPr>
          <w:lang w:eastAsia="zh-CN"/>
        </w:rPr>
        <w:t>及指导思想</w:t>
      </w:r>
      <w:bookmarkEnd w:id="10"/>
    </w:p>
    <w:p w14:paraId="7A26745F">
      <w:pPr>
        <w:pStyle w:val="4"/>
        <w:rPr>
          <w:lang w:eastAsia="zh-CN"/>
        </w:rPr>
      </w:pPr>
      <w:bookmarkStart w:id="27" w:name="_Toc408413881"/>
      <w:r>
        <w:rPr>
          <w:lang w:eastAsia="zh-CN"/>
        </w:rPr>
        <w:t>1.1.1评价目的</w:t>
      </w:r>
      <w:bookmarkEnd w:id="27"/>
    </w:p>
    <w:p w14:paraId="709547C7">
      <w:pPr>
        <w:ind w:firstLine="480"/>
        <w:rPr>
          <w:rFonts w:asciiTheme="minorEastAsia" w:hAnsiTheme="minorEastAsia" w:eastAsiaTheme="minorEastAsia"/>
          <w:kern w:val="2"/>
          <w:szCs w:val="24"/>
          <w:lang w:eastAsia="zh-CN" w:bidi="ar-SA"/>
        </w:rPr>
      </w:pPr>
      <w:r>
        <w:rPr>
          <w:rFonts w:asciiTheme="minorEastAsia" w:hAnsiTheme="minorEastAsia" w:eastAsiaTheme="minorEastAsia"/>
          <w:kern w:val="2"/>
          <w:szCs w:val="24"/>
          <w:lang w:eastAsia="zh-CN" w:bidi="ar-SA"/>
        </w:rPr>
        <w:t>通过区域环境现状调查评价，确定区域主要环境问题；通过环境影响预测，确定项目建设对环境敏感目标的影响；根据环境影响预测结果，确定技术可行、经济合理的环境治理措施，以保证油田区域内经济建设与环境保护协调发展。</w:t>
      </w:r>
    </w:p>
    <w:p w14:paraId="72136646">
      <w:pPr>
        <w:pStyle w:val="4"/>
        <w:rPr>
          <w:lang w:eastAsia="zh-CN"/>
        </w:rPr>
      </w:pPr>
      <w:bookmarkStart w:id="28" w:name="_Toc408413882"/>
      <w:bookmarkStart w:id="29" w:name="_Toc260126934"/>
      <w:bookmarkStart w:id="30" w:name="_Toc144834421"/>
      <w:bookmarkStart w:id="31" w:name="_Toc148972422"/>
      <w:bookmarkStart w:id="32" w:name="_Toc174265870"/>
      <w:bookmarkStart w:id="33" w:name="_Toc144835025"/>
      <w:bookmarkStart w:id="34" w:name="_Toc144833687"/>
      <w:bookmarkStart w:id="35" w:name="_Toc145169396"/>
      <w:r>
        <w:rPr>
          <w:lang w:eastAsia="zh-CN"/>
        </w:rPr>
        <w:t>1.1.2指导思想</w:t>
      </w:r>
      <w:bookmarkEnd w:id="28"/>
      <w:r>
        <w:rPr>
          <w:lang w:eastAsia="zh-CN"/>
        </w:rPr>
        <w:tab/>
      </w:r>
    </w:p>
    <w:bookmarkEnd w:id="29"/>
    <w:bookmarkEnd w:id="30"/>
    <w:bookmarkEnd w:id="31"/>
    <w:bookmarkEnd w:id="32"/>
    <w:bookmarkEnd w:id="33"/>
    <w:bookmarkEnd w:id="34"/>
    <w:bookmarkEnd w:id="35"/>
    <w:p w14:paraId="3D5DA5DD">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（1）</w:t>
      </w:r>
      <w:r>
        <w:rPr>
          <w:rFonts w:asciiTheme="minorEastAsia" w:hAnsiTheme="minorEastAsia" w:eastAsiaTheme="minorEastAsia"/>
          <w:kern w:val="2"/>
          <w:szCs w:val="24"/>
          <w:lang w:eastAsia="zh-CN" w:bidi="ar-SA"/>
        </w:rPr>
        <w:t>依据国家和内蒙古自治区有关环保法律法规、产业政策以及环境影响评价技术规定，以“预防为主、防治结合、清洁生产、全过程控制”的现代环境管理思想和循环经济理念为指导，体现实现可持续发展战略思想。密切结合本项目工程特点和所在区域的环境特征，在区域总体发展规划和环境功能区划的总原则下，以科学、求实、严谨的工作作风开展评价工作。</w:t>
      </w:r>
    </w:p>
    <w:p w14:paraId="29807EB8">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（2）</w:t>
      </w:r>
      <w:r>
        <w:rPr>
          <w:rFonts w:asciiTheme="minorEastAsia" w:hAnsiTheme="minorEastAsia" w:eastAsiaTheme="minorEastAsia"/>
          <w:kern w:val="2"/>
          <w:szCs w:val="24"/>
          <w:lang w:eastAsia="zh-CN" w:bidi="ar-SA"/>
        </w:rPr>
        <w:t>评价中始终贯彻“清洁生产</w:t>
      </w:r>
      <w:r>
        <w:rPr>
          <w:rFonts w:hint="eastAsia" w:asciiTheme="minorEastAsia" w:hAnsiTheme="minorEastAsia" w:eastAsiaTheme="minorEastAsia"/>
          <w:kern w:val="2"/>
          <w:szCs w:val="24"/>
          <w:lang w:eastAsia="zh-CN" w:bidi="ar-SA"/>
        </w:rPr>
        <w:t>、</w:t>
      </w:r>
      <w:r>
        <w:rPr>
          <w:rFonts w:asciiTheme="minorEastAsia" w:hAnsiTheme="minorEastAsia" w:eastAsiaTheme="minorEastAsia"/>
          <w:kern w:val="2"/>
          <w:szCs w:val="24"/>
          <w:lang w:eastAsia="zh-CN" w:bidi="ar-SA"/>
        </w:rPr>
        <w:t>达标排放</w:t>
      </w:r>
      <w:r>
        <w:rPr>
          <w:rFonts w:hint="eastAsia" w:asciiTheme="minorEastAsia" w:hAnsiTheme="minorEastAsia" w:eastAsiaTheme="minorEastAsia"/>
          <w:kern w:val="2"/>
          <w:szCs w:val="24"/>
          <w:lang w:eastAsia="zh-CN" w:bidi="ar-SA"/>
        </w:rPr>
        <w:t>、</w:t>
      </w:r>
      <w:r>
        <w:rPr>
          <w:rFonts w:asciiTheme="minorEastAsia" w:hAnsiTheme="minorEastAsia" w:eastAsiaTheme="minorEastAsia"/>
          <w:kern w:val="2"/>
          <w:szCs w:val="24"/>
          <w:lang w:eastAsia="zh-CN" w:bidi="ar-SA"/>
        </w:rPr>
        <w:t>总量控制”的原则，坚持环境防治对策并举，重点突出环境污染防治与生态恢复方案。</w:t>
      </w:r>
    </w:p>
    <w:p w14:paraId="1BBFC461">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（3）</w:t>
      </w:r>
      <w:r>
        <w:rPr>
          <w:rFonts w:asciiTheme="minorEastAsia" w:hAnsiTheme="minorEastAsia" w:eastAsiaTheme="minorEastAsia"/>
          <w:kern w:val="2"/>
          <w:szCs w:val="24"/>
          <w:lang w:eastAsia="zh-CN" w:bidi="ar-SA"/>
        </w:rPr>
        <w:t>根据本项目特点，本次评价工作以工程分析为基础，以控制污染物排放、生态保护及风险评价为重点，以清洁生产水平、总量控制为关注点，提出相应的防治措施。</w:t>
      </w:r>
    </w:p>
    <w:p w14:paraId="6A9534EA">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（4）</w:t>
      </w:r>
      <w:r>
        <w:rPr>
          <w:rFonts w:asciiTheme="minorEastAsia" w:hAnsiTheme="minorEastAsia" w:eastAsiaTheme="minorEastAsia"/>
          <w:kern w:val="2"/>
          <w:szCs w:val="24"/>
          <w:lang w:eastAsia="zh-CN" w:bidi="ar-SA"/>
        </w:rPr>
        <w:t>在充分利用现有资料的基础上，</w:t>
      </w:r>
      <w:r>
        <w:rPr>
          <w:rFonts w:hint="eastAsia" w:asciiTheme="minorEastAsia" w:hAnsiTheme="minorEastAsia" w:eastAsiaTheme="minorEastAsia"/>
          <w:kern w:val="2"/>
          <w:szCs w:val="24"/>
          <w:lang w:eastAsia="zh-CN" w:bidi="ar-SA"/>
        </w:rPr>
        <w:t>按照规范要求进行</w:t>
      </w:r>
      <w:r>
        <w:rPr>
          <w:rFonts w:asciiTheme="minorEastAsia" w:hAnsiTheme="minorEastAsia" w:eastAsiaTheme="minorEastAsia"/>
          <w:kern w:val="2"/>
          <w:szCs w:val="24"/>
          <w:lang w:eastAsia="zh-CN" w:bidi="ar-SA"/>
        </w:rPr>
        <w:t>环境现状监测，并提出切实可行的措施，为决策部门、环境管理部门及下阶段设计、施工和生产提供科学依据。遵循经济发展和生态建设相结合的原则，加强生态建设和环境保护，实现项目开发与环境保护、生态建设的可持续发展。</w:t>
      </w:r>
    </w:p>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14:paraId="11C59A90">
      <w:pPr>
        <w:pStyle w:val="3"/>
        <w:rPr>
          <w:lang w:eastAsia="zh-CN"/>
        </w:rPr>
      </w:pPr>
      <w:bookmarkStart w:id="36" w:name="_Toc279676556"/>
      <w:bookmarkStart w:id="37" w:name="_Toc287598093"/>
      <w:bookmarkStart w:id="38" w:name="_Toc202420667"/>
      <w:bookmarkStart w:id="39" w:name="_Toc280020049"/>
      <w:bookmarkStart w:id="40" w:name="_Toc408413883"/>
      <w:bookmarkStart w:id="41" w:name="_Toc104003466"/>
      <w:bookmarkStart w:id="42" w:name="_Toc78774986"/>
      <w:bookmarkStart w:id="43" w:name="_Toc92810071"/>
      <w:bookmarkStart w:id="44" w:name="_Toc77923719"/>
      <w:bookmarkStart w:id="45" w:name="_Toc92780871"/>
      <w:r>
        <w:rPr>
          <w:lang w:eastAsia="zh-CN"/>
        </w:rPr>
        <w:t>1.2编制依据</w:t>
      </w:r>
      <w:bookmarkEnd w:id="36"/>
      <w:bookmarkEnd w:id="37"/>
      <w:bookmarkEnd w:id="38"/>
      <w:bookmarkEnd w:id="39"/>
      <w:bookmarkEnd w:id="40"/>
    </w:p>
    <w:p w14:paraId="3091F3F5">
      <w:pPr>
        <w:pStyle w:val="4"/>
        <w:rPr>
          <w:lang w:eastAsia="zh-CN"/>
        </w:rPr>
      </w:pPr>
      <w:bookmarkStart w:id="46" w:name="_Toc287598094"/>
      <w:bookmarkStart w:id="47" w:name="_Toc202420668"/>
      <w:bookmarkStart w:id="48" w:name="_Toc408413884"/>
      <w:bookmarkStart w:id="49" w:name="_Toc173659613"/>
      <w:bookmarkStart w:id="50" w:name="_Toc279676557"/>
      <w:r>
        <w:rPr>
          <w:lang w:eastAsia="zh-CN"/>
        </w:rPr>
        <w:t>1.2.1国家法律法规</w:t>
      </w:r>
      <w:bookmarkEnd w:id="46"/>
      <w:bookmarkEnd w:id="47"/>
      <w:bookmarkEnd w:id="48"/>
      <w:bookmarkEnd w:id="49"/>
      <w:bookmarkEnd w:id="50"/>
    </w:p>
    <w:p w14:paraId="7183DA8D">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（1）</w:t>
      </w:r>
      <w:r>
        <w:rPr>
          <w:rFonts w:asciiTheme="minorEastAsia" w:hAnsiTheme="minorEastAsia" w:eastAsiaTheme="minorEastAsia"/>
          <w:kern w:val="2"/>
          <w:szCs w:val="24"/>
          <w:lang w:eastAsia="zh-CN" w:bidi="ar-SA"/>
        </w:rPr>
        <w:t>《中华人民共和国环境保护法》(</w:t>
      </w:r>
      <w:r>
        <w:rPr>
          <w:rFonts w:hint="eastAsia" w:asciiTheme="minorEastAsia" w:hAnsiTheme="minorEastAsia" w:eastAsiaTheme="minorEastAsia"/>
          <w:kern w:val="2"/>
          <w:szCs w:val="24"/>
          <w:lang w:eastAsia="zh-CN" w:bidi="ar-SA"/>
        </w:rPr>
        <w:t>2015</w:t>
      </w:r>
      <w:r>
        <w:rPr>
          <w:rFonts w:asciiTheme="minorEastAsia" w:hAnsiTheme="minorEastAsia" w:eastAsiaTheme="minorEastAsia"/>
          <w:kern w:val="2"/>
          <w:szCs w:val="24"/>
          <w:lang w:eastAsia="zh-CN" w:bidi="ar-SA"/>
        </w:rPr>
        <w:t>.1.</w:t>
      </w:r>
      <w:r>
        <w:rPr>
          <w:rFonts w:hint="eastAsia" w:asciiTheme="minorEastAsia" w:hAnsiTheme="minorEastAsia" w:eastAsiaTheme="minorEastAsia"/>
          <w:kern w:val="2"/>
          <w:szCs w:val="24"/>
          <w:lang w:eastAsia="zh-CN" w:bidi="ar-SA"/>
        </w:rPr>
        <w:t>1</w:t>
      </w:r>
      <w:r>
        <w:rPr>
          <w:rFonts w:asciiTheme="minorEastAsia" w:hAnsiTheme="minorEastAsia" w:eastAsiaTheme="minorEastAsia"/>
          <w:kern w:val="2"/>
          <w:szCs w:val="24"/>
          <w:lang w:eastAsia="zh-CN" w:bidi="ar-SA"/>
        </w:rPr>
        <w:t>)；</w:t>
      </w:r>
    </w:p>
    <w:p w14:paraId="40C7BAEB">
      <w:pPr>
        <w:ind w:firstLine="480"/>
        <w:outlineLvl w:val="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（2）</w:t>
      </w:r>
      <w:r>
        <w:rPr>
          <w:rFonts w:asciiTheme="minorEastAsia" w:hAnsiTheme="minorEastAsia" w:eastAsiaTheme="minorEastAsia"/>
          <w:kern w:val="2"/>
          <w:szCs w:val="24"/>
          <w:lang w:eastAsia="zh-CN" w:bidi="ar-SA"/>
        </w:rPr>
        <w:t>《中华人民共和国环境噪声污染防治法》(1996.10.29)；</w:t>
      </w:r>
    </w:p>
    <w:p w14:paraId="259C6328">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（3）</w:t>
      </w:r>
      <w:r>
        <w:rPr>
          <w:rFonts w:asciiTheme="minorEastAsia" w:hAnsiTheme="minorEastAsia" w:eastAsiaTheme="minorEastAsia"/>
          <w:kern w:val="2"/>
          <w:szCs w:val="24"/>
          <w:lang w:eastAsia="zh-CN" w:bidi="ar-SA"/>
        </w:rPr>
        <w:t>《中华人民共和国水污染防治法》(2008.6.1)；</w:t>
      </w:r>
    </w:p>
    <w:p w14:paraId="5E02C9D4">
      <w:pPr>
        <w:ind w:firstLine="480"/>
        <w:outlineLvl w:val="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（4）</w:t>
      </w:r>
      <w:r>
        <w:rPr>
          <w:rFonts w:asciiTheme="minorEastAsia" w:hAnsiTheme="minorEastAsia" w:eastAsiaTheme="minorEastAsia"/>
          <w:kern w:val="2"/>
          <w:szCs w:val="24"/>
          <w:lang w:eastAsia="zh-CN" w:bidi="ar-SA"/>
        </w:rPr>
        <w:t>《中华人民共和国大气污染防治法》(2000.</w:t>
      </w:r>
      <w:r>
        <w:rPr>
          <w:rFonts w:hint="eastAsia" w:asciiTheme="minorEastAsia" w:hAnsiTheme="minorEastAsia" w:eastAsiaTheme="minorEastAsia"/>
          <w:kern w:val="2"/>
          <w:szCs w:val="24"/>
          <w:lang w:eastAsia="zh-CN" w:bidi="ar-SA"/>
        </w:rPr>
        <w:t>9</w:t>
      </w:r>
      <w:r>
        <w:rPr>
          <w:rFonts w:asciiTheme="minorEastAsia" w:hAnsiTheme="minorEastAsia" w:eastAsiaTheme="minorEastAsia"/>
          <w:kern w:val="2"/>
          <w:szCs w:val="24"/>
          <w:lang w:eastAsia="zh-CN" w:bidi="ar-SA"/>
        </w:rPr>
        <w:t>.</w:t>
      </w:r>
      <w:r>
        <w:rPr>
          <w:rFonts w:hint="eastAsia" w:asciiTheme="minorEastAsia" w:hAnsiTheme="minorEastAsia" w:eastAsiaTheme="minorEastAsia"/>
          <w:kern w:val="2"/>
          <w:szCs w:val="24"/>
          <w:lang w:eastAsia="zh-CN" w:bidi="ar-SA"/>
        </w:rPr>
        <w:t>1</w:t>
      </w:r>
      <w:r>
        <w:rPr>
          <w:rFonts w:asciiTheme="minorEastAsia" w:hAnsiTheme="minorEastAsia" w:eastAsiaTheme="minorEastAsia"/>
          <w:kern w:val="2"/>
          <w:szCs w:val="24"/>
          <w:lang w:eastAsia="zh-CN" w:bidi="ar-SA"/>
        </w:rPr>
        <w:t>)；</w:t>
      </w:r>
    </w:p>
    <w:p w14:paraId="1EFC5EF0">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（5）</w:t>
      </w:r>
      <w:r>
        <w:rPr>
          <w:rFonts w:asciiTheme="minorEastAsia" w:hAnsiTheme="minorEastAsia" w:eastAsiaTheme="minorEastAsia"/>
          <w:kern w:val="2"/>
          <w:szCs w:val="24"/>
          <w:lang w:eastAsia="zh-CN" w:bidi="ar-SA"/>
        </w:rPr>
        <w:t>《中华人民共和国固体废物污染环境防治法》(2005.10.2)；</w:t>
      </w:r>
    </w:p>
    <w:p w14:paraId="6B0327E0">
      <w:pPr>
        <w:ind w:firstLine="480"/>
        <w:outlineLvl w:val="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（6）</w:t>
      </w:r>
      <w:r>
        <w:rPr>
          <w:rFonts w:asciiTheme="minorEastAsia" w:hAnsiTheme="minorEastAsia" w:eastAsiaTheme="minorEastAsia"/>
          <w:kern w:val="2"/>
          <w:szCs w:val="24"/>
          <w:lang w:eastAsia="zh-CN" w:bidi="ar-SA"/>
        </w:rPr>
        <w:t>《中华人民共和国水土保持法》(2011.3.1)；</w:t>
      </w:r>
    </w:p>
    <w:p w14:paraId="118774D0">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（7）</w:t>
      </w:r>
      <w:r>
        <w:rPr>
          <w:rFonts w:asciiTheme="minorEastAsia" w:hAnsiTheme="minorEastAsia" w:eastAsiaTheme="minorEastAsia"/>
          <w:kern w:val="2"/>
          <w:szCs w:val="24"/>
          <w:lang w:eastAsia="zh-CN" w:bidi="ar-SA"/>
        </w:rPr>
        <w:t>《中华人民共和国清洁生产促进法》(2012.7.1)；</w:t>
      </w:r>
    </w:p>
    <w:p w14:paraId="4DDF5957">
      <w:pPr>
        <w:ind w:firstLine="480"/>
        <w:outlineLvl w:val="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（8）</w:t>
      </w:r>
      <w:r>
        <w:rPr>
          <w:rFonts w:asciiTheme="minorEastAsia" w:hAnsiTheme="minorEastAsia" w:eastAsiaTheme="minorEastAsia"/>
          <w:kern w:val="2"/>
          <w:szCs w:val="24"/>
          <w:lang w:eastAsia="zh-CN" w:bidi="ar-SA"/>
        </w:rPr>
        <w:t>《中华人民共和国环境影响评价法》(2002.10.28)；</w:t>
      </w:r>
    </w:p>
    <w:p w14:paraId="61E2265F">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（9）</w:t>
      </w:r>
      <w:r>
        <w:rPr>
          <w:rFonts w:asciiTheme="minorEastAsia" w:hAnsiTheme="minorEastAsia" w:eastAsiaTheme="minorEastAsia"/>
          <w:kern w:val="2"/>
          <w:szCs w:val="24"/>
          <w:lang w:eastAsia="zh-CN" w:bidi="ar-SA"/>
        </w:rPr>
        <w:t>《中华人民共和国草原法》(2003.3.1)；</w:t>
      </w:r>
    </w:p>
    <w:p w14:paraId="09CD69FA">
      <w:pPr>
        <w:ind w:firstLine="480"/>
        <w:outlineLvl w:val="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（10）</w:t>
      </w:r>
      <w:r>
        <w:rPr>
          <w:rFonts w:asciiTheme="minorEastAsia" w:hAnsiTheme="minorEastAsia" w:eastAsiaTheme="minorEastAsia"/>
          <w:kern w:val="2"/>
          <w:szCs w:val="24"/>
          <w:lang w:eastAsia="zh-CN" w:bidi="ar-SA"/>
        </w:rPr>
        <w:t>《中华人民共和国防沙治沙法》(2001.8.31)；</w:t>
      </w:r>
    </w:p>
    <w:p w14:paraId="1804FC79">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（11）</w:t>
      </w:r>
      <w:r>
        <w:rPr>
          <w:rFonts w:asciiTheme="minorEastAsia" w:hAnsiTheme="minorEastAsia" w:eastAsiaTheme="minorEastAsia"/>
          <w:kern w:val="2"/>
          <w:szCs w:val="24"/>
          <w:lang w:eastAsia="zh-CN" w:bidi="ar-SA"/>
        </w:rPr>
        <w:t>《中华人民共和国矿产资源法(修正)》(1997.7.1)；</w:t>
      </w:r>
    </w:p>
    <w:p w14:paraId="03C3D829">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（12）</w:t>
      </w:r>
      <w:r>
        <w:rPr>
          <w:rFonts w:asciiTheme="minorEastAsia" w:hAnsiTheme="minorEastAsia" w:eastAsiaTheme="minorEastAsia"/>
          <w:kern w:val="2"/>
          <w:szCs w:val="24"/>
          <w:lang w:eastAsia="zh-CN" w:bidi="ar-SA"/>
        </w:rPr>
        <w:t>《废弃钻井液处理规范》（DB23/T693-2000），2000年10月；</w:t>
      </w:r>
    </w:p>
    <w:p w14:paraId="6CFF4D07">
      <w:pPr>
        <w:ind w:firstLine="480"/>
        <w:outlineLvl w:val="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 xml:space="preserve">（13） </w:t>
      </w:r>
      <w:r>
        <w:rPr>
          <w:rFonts w:asciiTheme="minorEastAsia" w:hAnsiTheme="minorEastAsia" w:eastAsiaTheme="minorEastAsia"/>
          <w:kern w:val="2"/>
          <w:szCs w:val="24"/>
          <w:lang w:eastAsia="zh-CN" w:bidi="ar-SA"/>
        </w:rPr>
        <w:t>《建设项目环境保护管理条例》，中华人民共和国国务院令第253号</w:t>
      </w:r>
      <w:r>
        <w:rPr>
          <w:rFonts w:hint="eastAsia" w:asciiTheme="minorEastAsia" w:hAnsiTheme="minorEastAsia" w:eastAsiaTheme="minorEastAsia"/>
          <w:kern w:val="2"/>
          <w:szCs w:val="24"/>
          <w:lang w:eastAsia="zh-CN" w:bidi="ar-SA"/>
        </w:rPr>
        <w:t>；</w:t>
      </w:r>
    </w:p>
    <w:p w14:paraId="2D73E6E9">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（14）</w:t>
      </w:r>
      <w:r>
        <w:rPr>
          <w:rFonts w:asciiTheme="minorEastAsia" w:hAnsiTheme="minorEastAsia" w:eastAsiaTheme="minorEastAsia"/>
          <w:kern w:val="2"/>
          <w:szCs w:val="24"/>
          <w:lang w:eastAsia="zh-CN" w:bidi="ar-SA"/>
        </w:rPr>
        <w:t>《关于加强工业节水工作的意见》，国家经济贸易委员会等，国经贸资源[2000]1015号，2000年10月；</w:t>
      </w:r>
    </w:p>
    <w:p w14:paraId="66E8D4B6">
      <w:pPr>
        <w:ind w:firstLine="480"/>
        <w:outlineLvl w:val="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（15）</w:t>
      </w:r>
      <w:r>
        <w:rPr>
          <w:rFonts w:asciiTheme="minorEastAsia" w:hAnsiTheme="minorEastAsia" w:eastAsiaTheme="minorEastAsia"/>
          <w:kern w:val="2"/>
          <w:szCs w:val="24"/>
          <w:lang w:eastAsia="zh-CN" w:bidi="ar-SA"/>
        </w:rPr>
        <w:t>《土地复垦条例》，国务院令第592号，2011年3月5日；</w:t>
      </w:r>
    </w:p>
    <w:p w14:paraId="77E97841">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（16）</w:t>
      </w:r>
      <w:r>
        <w:rPr>
          <w:rFonts w:asciiTheme="minorEastAsia" w:hAnsiTheme="minorEastAsia" w:eastAsiaTheme="minorEastAsia"/>
          <w:kern w:val="2"/>
          <w:szCs w:val="24"/>
          <w:lang w:eastAsia="zh-CN" w:bidi="ar-SA"/>
        </w:rPr>
        <w:t>《关于环境保护若干问题的决定》，国务院国发[1996]31号，1996年8月；</w:t>
      </w:r>
    </w:p>
    <w:p w14:paraId="5988A383">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（17）</w:t>
      </w:r>
      <w:r>
        <w:rPr>
          <w:rFonts w:asciiTheme="minorEastAsia" w:hAnsiTheme="minorEastAsia" w:eastAsiaTheme="minorEastAsia"/>
          <w:kern w:val="2"/>
          <w:szCs w:val="24"/>
          <w:lang w:eastAsia="zh-CN" w:bidi="ar-SA"/>
        </w:rPr>
        <w:t>《关于加强资源开发生态环境保护监管工作的意见》，国家环境保护总局环法［2004］24号文，2004年2月；</w:t>
      </w:r>
    </w:p>
    <w:p w14:paraId="75EF0390">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（18）</w:t>
      </w:r>
      <w:r>
        <w:rPr>
          <w:rFonts w:asciiTheme="minorEastAsia" w:hAnsiTheme="minorEastAsia" w:eastAsiaTheme="minorEastAsia"/>
          <w:kern w:val="2"/>
          <w:szCs w:val="24"/>
          <w:lang w:eastAsia="zh-CN" w:bidi="ar-SA"/>
        </w:rPr>
        <w:t>《关于印发&lt;环境影响评价公众参与暂行办法&gt;的通知》(环发[2006]28号)，2006年2月14日；</w:t>
      </w:r>
    </w:p>
    <w:p w14:paraId="77EBCA94">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（19）</w:t>
      </w:r>
      <w:r>
        <w:rPr>
          <w:rFonts w:asciiTheme="minorEastAsia" w:hAnsiTheme="minorEastAsia" w:eastAsiaTheme="minorEastAsia"/>
          <w:kern w:val="2"/>
          <w:szCs w:val="24"/>
          <w:lang w:eastAsia="zh-CN" w:bidi="ar-SA"/>
        </w:rPr>
        <w:t>《产业结构调整指导目录</w:t>
      </w:r>
      <w:r>
        <w:rPr>
          <w:rFonts w:hint="eastAsia" w:asciiTheme="minorEastAsia" w:hAnsiTheme="minorEastAsia" w:eastAsiaTheme="minorEastAsia"/>
          <w:kern w:val="2"/>
          <w:szCs w:val="24"/>
          <w:lang w:eastAsia="zh-CN" w:bidi="ar-SA"/>
        </w:rPr>
        <w:t>（2013年修订本）</w:t>
      </w:r>
      <w:r>
        <w:rPr>
          <w:rFonts w:asciiTheme="minorEastAsia" w:hAnsiTheme="minorEastAsia" w:eastAsiaTheme="minorEastAsia"/>
          <w:kern w:val="2"/>
          <w:szCs w:val="24"/>
          <w:lang w:eastAsia="zh-CN" w:bidi="ar-SA"/>
        </w:rPr>
        <w:t>》，国家发展和改革委员会  第9号令，2011年3月；</w:t>
      </w:r>
    </w:p>
    <w:p w14:paraId="1CF42FD7">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（20）</w:t>
      </w:r>
      <w:r>
        <w:rPr>
          <w:rFonts w:asciiTheme="minorEastAsia" w:hAnsiTheme="minorEastAsia" w:eastAsiaTheme="minorEastAsia"/>
          <w:kern w:val="2"/>
          <w:szCs w:val="24"/>
          <w:lang w:eastAsia="zh-CN" w:bidi="ar-SA"/>
        </w:rPr>
        <w:t>《石油天然气开采业污染防治技术政策》，环境保护部公告，2012年第18号；</w:t>
      </w:r>
    </w:p>
    <w:p w14:paraId="3289B78E">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（21）</w:t>
      </w:r>
      <w:r>
        <w:rPr>
          <w:rFonts w:asciiTheme="minorEastAsia" w:hAnsiTheme="minorEastAsia" w:eastAsiaTheme="minorEastAsia"/>
          <w:kern w:val="2"/>
          <w:szCs w:val="24"/>
          <w:lang w:eastAsia="zh-CN" w:bidi="ar-SA"/>
        </w:rPr>
        <w:t>《关于进一步推进建设项目环境监理试点工作的通知》，环办[2012]5号，2012年1月；</w:t>
      </w:r>
    </w:p>
    <w:p w14:paraId="3AD82227">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（22）</w:t>
      </w:r>
      <w:r>
        <w:rPr>
          <w:rFonts w:asciiTheme="minorEastAsia" w:hAnsiTheme="minorEastAsia" w:eastAsiaTheme="minorEastAsia"/>
          <w:kern w:val="2"/>
          <w:szCs w:val="24"/>
          <w:lang w:eastAsia="zh-CN" w:bidi="ar-SA"/>
        </w:rPr>
        <w:t>《国务院关于印发全国主体功能区规划的通知》，国发[2010]46号，2010年12月21日</w:t>
      </w:r>
      <w:r>
        <w:rPr>
          <w:rFonts w:hint="eastAsia" w:asciiTheme="minorEastAsia" w:hAnsiTheme="minorEastAsia" w:eastAsiaTheme="minorEastAsia"/>
          <w:kern w:val="2"/>
          <w:szCs w:val="24"/>
          <w:lang w:eastAsia="zh-CN" w:bidi="ar-SA"/>
        </w:rPr>
        <w:t>；</w:t>
      </w:r>
    </w:p>
    <w:p w14:paraId="10FED447">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（23）《国家环境保护“十二五”规划》，国家发展和改革委员会，国发[2011]42号，2011年12月。</w:t>
      </w:r>
      <w:bookmarkStart w:id="51" w:name="_Toc202420669"/>
      <w:bookmarkStart w:id="52" w:name="_Toc173659614"/>
      <w:bookmarkStart w:id="53" w:name="_Toc59515719"/>
      <w:bookmarkStart w:id="54" w:name="_Toc279676558"/>
      <w:bookmarkStart w:id="55" w:name="_Toc287598095"/>
      <w:bookmarkStart w:id="56" w:name="_Toc67367707"/>
    </w:p>
    <w:p w14:paraId="1256FD70">
      <w:pPr>
        <w:pStyle w:val="4"/>
        <w:rPr>
          <w:lang w:eastAsia="zh-CN"/>
        </w:rPr>
      </w:pPr>
      <w:bookmarkStart w:id="57" w:name="_Toc408413885"/>
      <w:r>
        <w:rPr>
          <w:lang w:eastAsia="zh-CN"/>
        </w:rPr>
        <w:t>1.2.2地方法律法规</w:t>
      </w:r>
      <w:bookmarkEnd w:id="51"/>
      <w:bookmarkEnd w:id="52"/>
      <w:bookmarkEnd w:id="53"/>
      <w:bookmarkEnd w:id="54"/>
      <w:bookmarkEnd w:id="55"/>
      <w:bookmarkEnd w:id="56"/>
      <w:bookmarkEnd w:id="57"/>
    </w:p>
    <w:p w14:paraId="6473A854">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（1）</w:t>
      </w:r>
      <w:r>
        <w:rPr>
          <w:rFonts w:asciiTheme="minorEastAsia" w:hAnsiTheme="minorEastAsia" w:eastAsiaTheme="minorEastAsia"/>
          <w:kern w:val="2"/>
          <w:szCs w:val="24"/>
          <w:lang w:eastAsia="zh-CN" w:bidi="ar-SA"/>
        </w:rPr>
        <w:t>《内蒙古自治区建设项目环境保护管理办法实施细则》，内蒙古自治区第九届人民代表大会常务委员会公告第二十五号，1999年7月；</w:t>
      </w:r>
    </w:p>
    <w:p w14:paraId="06497DC9">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（2）</w:t>
      </w:r>
      <w:r>
        <w:rPr>
          <w:rFonts w:asciiTheme="minorEastAsia" w:hAnsiTheme="minorEastAsia" w:eastAsiaTheme="minorEastAsia"/>
          <w:kern w:val="2"/>
          <w:szCs w:val="24"/>
          <w:lang w:eastAsia="zh-CN" w:bidi="ar-SA"/>
        </w:rPr>
        <w:t>《内蒙古自治区草原管理条例》，内蒙古自治区人大常委会，2004年11月26日；</w:t>
      </w:r>
    </w:p>
    <w:p w14:paraId="1517C7D4">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（3）《内蒙古锡林郭勒盟矿产资源总体规划(2008-2015年)》，锡林郭勒盟人民政府，2007年4月；</w:t>
      </w:r>
    </w:p>
    <w:p w14:paraId="6F946125">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（4）《内蒙古自治区人民政府关于在西部大开发中加强环境保护工作的通知》(内政字[2000]183 号)；</w:t>
      </w:r>
    </w:p>
    <w:p w14:paraId="3887EA3C">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（5）《内蒙古自治区国民经济和社会发展第十二个五年规划纲要》，内蒙古自治区人民政府，2011年1月；</w:t>
      </w:r>
    </w:p>
    <w:p w14:paraId="395AADCF">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（6）《内蒙古自治区矿产资源总体规划(2008年至2015年)》，内蒙古自治区人民政府，2007年12月；</w:t>
      </w:r>
    </w:p>
    <w:p w14:paraId="2E3D3E9E">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（7）《内蒙古自治区人民政府关于进一步规范矿业开发秩序依法保护环境保障民生的指导意见》，内蒙古自治区人民政府，2011年7月；</w:t>
      </w:r>
    </w:p>
    <w:p w14:paraId="3E01F802">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（8）《内蒙古自治区关于发展和改革委员会关于对内蒙古自治区环境保护厅贯彻执行主体功能区规划有关问题的复函》，内发改办复字[2013]19号，2013年1月30日；</w:t>
      </w:r>
    </w:p>
    <w:p w14:paraId="2ACF215D">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9）关于印发《内蒙古自治区主要污染物排污权交易管理规则（试行）》、《内蒙古自治区主要污染物排污权电子竞价交易规则（试行）》和《内蒙古自治区主要污染物排污权储备管理规则（试行）》的通知；内蒙古自治区环境保护厅内环发[2011]139号，2011年8月12日；</w:t>
      </w:r>
    </w:p>
    <w:p w14:paraId="43628276">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（10）</w:t>
      </w:r>
      <w:r>
        <w:rPr>
          <w:rFonts w:asciiTheme="minorEastAsia" w:hAnsiTheme="minorEastAsia" w:eastAsiaTheme="minorEastAsia"/>
          <w:kern w:val="2"/>
          <w:szCs w:val="24"/>
          <w:lang w:eastAsia="zh-CN" w:bidi="ar-SA"/>
        </w:rPr>
        <w:t>《锡林郭勒盟国民经济和社会发展第十二个五年规划纲要》，锡林郭勒盟人民政府，2012年8月；</w:t>
      </w:r>
    </w:p>
    <w:p w14:paraId="0B0DE654">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（11）</w:t>
      </w:r>
      <w:r>
        <w:rPr>
          <w:rFonts w:asciiTheme="minorEastAsia" w:hAnsiTheme="minorEastAsia" w:eastAsiaTheme="minorEastAsia"/>
          <w:kern w:val="2"/>
          <w:szCs w:val="24"/>
          <w:lang w:eastAsia="zh-CN" w:bidi="ar-SA"/>
        </w:rPr>
        <w:t>《锡林郭勒盟行政公署关于进一步规范矿业开发秩序依法保护环境保障民生的实施意见》（锡署发[2011]161号），2011年12月5</w:t>
      </w:r>
      <w:r>
        <w:rPr>
          <w:rFonts w:hint="eastAsia" w:asciiTheme="minorEastAsia" w:hAnsiTheme="minorEastAsia" w:eastAsiaTheme="minorEastAsia"/>
          <w:kern w:val="2"/>
          <w:szCs w:val="24"/>
          <w:lang w:eastAsia="zh-CN" w:bidi="ar-SA"/>
        </w:rPr>
        <w:t>日</w:t>
      </w:r>
      <w:r>
        <w:rPr>
          <w:rFonts w:asciiTheme="minorEastAsia" w:hAnsiTheme="minorEastAsia" w:eastAsiaTheme="minorEastAsia"/>
          <w:kern w:val="2"/>
          <w:szCs w:val="24"/>
          <w:lang w:eastAsia="zh-CN" w:bidi="ar-SA"/>
        </w:rPr>
        <w:t>；</w:t>
      </w:r>
    </w:p>
    <w:p w14:paraId="613E261A">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（12）</w:t>
      </w:r>
      <w:r>
        <w:rPr>
          <w:rFonts w:asciiTheme="minorEastAsia" w:hAnsiTheme="minorEastAsia" w:eastAsiaTheme="minorEastAsia"/>
          <w:kern w:val="2"/>
          <w:szCs w:val="24"/>
          <w:lang w:eastAsia="zh-CN" w:bidi="ar-SA"/>
        </w:rPr>
        <w:t>《锡林郭勒盟行政公署关于进一步加强矿山地质环境保护与恢复治理工作的通知》（锡署发[2013]35号），2013年4月10日</w:t>
      </w:r>
      <w:r>
        <w:rPr>
          <w:rFonts w:hint="eastAsia" w:asciiTheme="minorEastAsia" w:hAnsiTheme="minorEastAsia" w:eastAsiaTheme="minorEastAsia"/>
          <w:kern w:val="2"/>
          <w:szCs w:val="24"/>
          <w:lang w:eastAsia="zh-CN" w:bidi="ar-SA"/>
        </w:rPr>
        <w:t>。</w:t>
      </w:r>
    </w:p>
    <w:p w14:paraId="6B3B7794">
      <w:pPr>
        <w:pStyle w:val="4"/>
        <w:rPr>
          <w:lang w:eastAsia="zh-CN"/>
        </w:rPr>
      </w:pPr>
      <w:bookmarkStart w:id="58" w:name="_Toc173659615"/>
      <w:bookmarkStart w:id="59" w:name="_Toc279676559"/>
      <w:bookmarkStart w:id="60" w:name="_Toc408413886"/>
      <w:bookmarkStart w:id="61" w:name="_Toc287598096"/>
      <w:bookmarkStart w:id="62" w:name="_Toc202420670"/>
      <w:r>
        <w:rPr>
          <w:lang w:eastAsia="zh-CN"/>
        </w:rPr>
        <w:t>1.2.3技术规范</w:t>
      </w:r>
      <w:bookmarkEnd w:id="58"/>
      <w:bookmarkEnd w:id="59"/>
      <w:bookmarkEnd w:id="60"/>
      <w:bookmarkEnd w:id="61"/>
      <w:bookmarkEnd w:id="62"/>
    </w:p>
    <w:p w14:paraId="63D68E07">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（1）</w:t>
      </w:r>
      <w:r>
        <w:rPr>
          <w:rFonts w:asciiTheme="minorEastAsia" w:hAnsiTheme="minorEastAsia" w:eastAsiaTheme="minorEastAsia"/>
          <w:kern w:val="2"/>
          <w:szCs w:val="24"/>
          <w:lang w:eastAsia="zh-CN" w:bidi="ar-SA"/>
        </w:rPr>
        <w:t>《环境影响评价技术导则——总纲》(HJ2.1-2011)；</w:t>
      </w:r>
    </w:p>
    <w:p w14:paraId="62860CA0">
      <w:pPr>
        <w:ind w:firstLine="480"/>
        <w:outlineLvl w:val="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（2）</w:t>
      </w:r>
      <w:r>
        <w:rPr>
          <w:rFonts w:asciiTheme="minorEastAsia" w:hAnsiTheme="minorEastAsia" w:eastAsiaTheme="minorEastAsia"/>
          <w:kern w:val="2"/>
          <w:szCs w:val="24"/>
          <w:lang w:eastAsia="zh-CN" w:bidi="ar-SA"/>
        </w:rPr>
        <w:t>《环境影响评价技术导则——大气环境》(HJ2.2-2008)；</w:t>
      </w:r>
    </w:p>
    <w:p w14:paraId="367D158E">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（3）</w:t>
      </w:r>
      <w:r>
        <w:rPr>
          <w:rFonts w:asciiTheme="minorEastAsia" w:hAnsiTheme="minorEastAsia" w:eastAsiaTheme="minorEastAsia"/>
          <w:kern w:val="2"/>
          <w:szCs w:val="24"/>
          <w:lang w:eastAsia="zh-CN" w:bidi="ar-SA"/>
        </w:rPr>
        <w:t>《环境影响评价技术导则——地下水环境》(HJ610-2011)；</w:t>
      </w:r>
    </w:p>
    <w:p w14:paraId="5F1D8843">
      <w:pPr>
        <w:ind w:firstLine="480"/>
        <w:outlineLvl w:val="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（4）</w:t>
      </w:r>
      <w:r>
        <w:rPr>
          <w:rFonts w:asciiTheme="minorEastAsia" w:hAnsiTheme="minorEastAsia" w:eastAsiaTheme="minorEastAsia"/>
          <w:kern w:val="2"/>
          <w:szCs w:val="24"/>
          <w:lang w:eastAsia="zh-CN" w:bidi="ar-SA"/>
        </w:rPr>
        <w:t>《环境影响评价技术导则——声环境》(HJ2.4-2009)；</w:t>
      </w:r>
    </w:p>
    <w:p w14:paraId="59DB775E">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（5）</w:t>
      </w:r>
      <w:r>
        <w:rPr>
          <w:rFonts w:asciiTheme="minorEastAsia" w:hAnsiTheme="minorEastAsia" w:eastAsiaTheme="minorEastAsia"/>
          <w:kern w:val="2"/>
          <w:szCs w:val="24"/>
          <w:lang w:eastAsia="zh-CN" w:bidi="ar-SA"/>
        </w:rPr>
        <w:t>《环境影响评价技术导则——生态环境》(HJ19-2011)；</w:t>
      </w:r>
    </w:p>
    <w:p w14:paraId="12170CE0">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（6）</w:t>
      </w:r>
      <w:r>
        <w:rPr>
          <w:rFonts w:asciiTheme="minorEastAsia" w:hAnsiTheme="minorEastAsia" w:eastAsiaTheme="minorEastAsia"/>
          <w:kern w:val="2"/>
          <w:szCs w:val="24"/>
          <w:lang w:eastAsia="zh-CN" w:bidi="ar-SA"/>
        </w:rPr>
        <w:t>《环境影响评价技术导则——陆地石油天然气开发建设项目》(HJ/T349-2007)；</w:t>
      </w:r>
    </w:p>
    <w:p w14:paraId="26B6B3E3">
      <w:pPr>
        <w:ind w:firstLine="480"/>
        <w:outlineLvl w:val="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（7）</w:t>
      </w:r>
      <w:r>
        <w:rPr>
          <w:rFonts w:asciiTheme="minorEastAsia" w:hAnsiTheme="minorEastAsia" w:eastAsiaTheme="minorEastAsia"/>
          <w:kern w:val="2"/>
          <w:szCs w:val="24"/>
          <w:lang w:eastAsia="zh-CN" w:bidi="ar-SA"/>
        </w:rPr>
        <w:t>《建设项目环境风险评价技术导则》(HJ/T169-2004)；</w:t>
      </w:r>
    </w:p>
    <w:p w14:paraId="4B0030A1">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（8）《建设项目环境影响技术评估导则》（HJ616-2011）；</w:t>
      </w:r>
    </w:p>
    <w:p w14:paraId="3E99B5FB">
      <w:pPr>
        <w:ind w:firstLine="480"/>
        <w:outlineLvl w:val="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（9）《开发建设项目水土保持技术规范》（GB50433-2008）</w:t>
      </w:r>
    </w:p>
    <w:p w14:paraId="5F7EB3B7">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（10）《水土保持综合治理 技术规范》(GB/T16453.1～6-2008)；</w:t>
      </w:r>
    </w:p>
    <w:p w14:paraId="76A9D4F5">
      <w:pPr>
        <w:ind w:firstLine="480"/>
        <w:outlineLvl w:val="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（11）《水土保持监测技术规程》（SL277-2002）；</w:t>
      </w:r>
    </w:p>
    <w:p w14:paraId="698EDFB5">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（12）《开发建设项目水土保持技术规范》(GB50433-2008)；</w:t>
      </w:r>
    </w:p>
    <w:p w14:paraId="44826998">
      <w:pPr>
        <w:ind w:firstLine="480"/>
        <w:outlineLvl w:val="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（13）《开发建设项目水土流失防治标准》(GB50434-2008)；</w:t>
      </w:r>
    </w:p>
    <w:p w14:paraId="3B46BCC1">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（14）</w:t>
      </w:r>
      <w:r>
        <w:rPr>
          <w:rFonts w:asciiTheme="minorEastAsia" w:hAnsiTheme="minorEastAsia" w:eastAsiaTheme="minorEastAsia"/>
          <w:kern w:val="2"/>
          <w:szCs w:val="24"/>
          <w:lang w:eastAsia="zh-CN" w:bidi="ar-SA"/>
        </w:rPr>
        <w:t>《</w:t>
      </w:r>
      <w:r>
        <w:rPr>
          <w:rFonts w:hint="eastAsia" w:asciiTheme="minorEastAsia" w:hAnsiTheme="minorEastAsia" w:eastAsiaTheme="minorEastAsia"/>
          <w:kern w:val="2"/>
          <w:szCs w:val="24"/>
          <w:lang w:eastAsia="zh-CN" w:bidi="ar-SA"/>
        </w:rPr>
        <w:t>石</w:t>
      </w:r>
      <w:r>
        <w:rPr>
          <w:rFonts w:asciiTheme="minorEastAsia" w:hAnsiTheme="minorEastAsia" w:eastAsiaTheme="minorEastAsia"/>
          <w:kern w:val="2"/>
          <w:szCs w:val="24"/>
          <w:lang w:eastAsia="zh-CN" w:bidi="ar-SA"/>
        </w:rPr>
        <w:t>油天然气工程设计防火规范》（GB50183-</w:t>
      </w:r>
      <w:r>
        <w:rPr>
          <w:rFonts w:hint="eastAsia" w:asciiTheme="minorEastAsia" w:hAnsiTheme="minorEastAsia" w:eastAsiaTheme="minorEastAsia"/>
          <w:kern w:val="2"/>
          <w:szCs w:val="24"/>
          <w:lang w:eastAsia="zh-CN" w:bidi="ar-SA"/>
        </w:rPr>
        <w:t>2004</w:t>
      </w:r>
      <w:r>
        <w:rPr>
          <w:rFonts w:asciiTheme="minorEastAsia" w:hAnsiTheme="minorEastAsia" w:eastAsiaTheme="minorEastAsia"/>
          <w:kern w:val="2"/>
          <w:szCs w:val="24"/>
          <w:lang w:eastAsia="zh-CN" w:bidi="ar-SA"/>
        </w:rPr>
        <w:t>）</w:t>
      </w:r>
      <w:r>
        <w:rPr>
          <w:rFonts w:hint="eastAsia" w:asciiTheme="minorEastAsia" w:hAnsiTheme="minorEastAsia" w:eastAsiaTheme="minorEastAsia"/>
          <w:kern w:val="2"/>
          <w:szCs w:val="24"/>
          <w:lang w:eastAsia="zh-CN" w:bidi="ar-SA"/>
        </w:rPr>
        <w:t>；</w:t>
      </w:r>
    </w:p>
    <w:p w14:paraId="201CE147">
      <w:pPr>
        <w:ind w:firstLine="480"/>
        <w:outlineLvl w:val="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（15）</w:t>
      </w:r>
      <w:r>
        <w:rPr>
          <w:rFonts w:asciiTheme="minorEastAsia" w:hAnsiTheme="minorEastAsia" w:eastAsiaTheme="minorEastAsia"/>
          <w:kern w:val="2"/>
          <w:szCs w:val="24"/>
          <w:lang w:eastAsia="zh-CN" w:bidi="ar-SA"/>
        </w:rPr>
        <w:t>《油田试井技术规范》（SY/T 6172-2006）</w:t>
      </w:r>
      <w:r>
        <w:rPr>
          <w:rFonts w:hint="eastAsia" w:asciiTheme="minorEastAsia" w:hAnsiTheme="minorEastAsia" w:eastAsiaTheme="minorEastAsia"/>
          <w:kern w:val="2"/>
          <w:szCs w:val="24"/>
          <w:lang w:eastAsia="zh-CN" w:bidi="ar-SA"/>
        </w:rPr>
        <w:t>；</w:t>
      </w:r>
    </w:p>
    <w:p w14:paraId="67406B68">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（16）《</w:t>
      </w:r>
      <w:r>
        <w:rPr>
          <w:rFonts w:asciiTheme="minorEastAsia" w:hAnsiTheme="minorEastAsia" w:eastAsiaTheme="minorEastAsia"/>
          <w:kern w:val="2"/>
          <w:szCs w:val="24"/>
          <w:lang w:eastAsia="zh-CN" w:bidi="ar-SA"/>
        </w:rPr>
        <w:t>油田注水工程施工技术规范</w:t>
      </w:r>
      <w:r>
        <w:rPr>
          <w:rFonts w:hint="eastAsia" w:asciiTheme="minorEastAsia" w:hAnsiTheme="minorEastAsia" w:eastAsiaTheme="minorEastAsia"/>
          <w:kern w:val="2"/>
          <w:szCs w:val="24"/>
          <w:lang w:eastAsia="zh-CN" w:bidi="ar-SA"/>
        </w:rPr>
        <w:t>》（</w:t>
      </w:r>
      <w:r>
        <w:rPr>
          <w:rFonts w:asciiTheme="minorEastAsia" w:hAnsiTheme="minorEastAsia" w:eastAsiaTheme="minorEastAsia"/>
          <w:kern w:val="2"/>
          <w:szCs w:val="24"/>
          <w:lang w:eastAsia="zh-CN" w:bidi="ar-SA"/>
        </w:rPr>
        <w:t>SY/T 4122-2012</w:t>
      </w:r>
      <w:r>
        <w:rPr>
          <w:rFonts w:hint="eastAsia" w:asciiTheme="minorEastAsia" w:hAnsiTheme="minorEastAsia" w:eastAsiaTheme="minorEastAsia"/>
          <w:kern w:val="2"/>
          <w:szCs w:val="24"/>
          <w:lang w:eastAsia="zh-CN" w:bidi="ar-SA"/>
        </w:rPr>
        <w:t>）。</w:t>
      </w:r>
    </w:p>
    <w:p w14:paraId="20C78309">
      <w:pPr>
        <w:pStyle w:val="4"/>
        <w:rPr>
          <w:lang w:eastAsia="zh-CN"/>
        </w:rPr>
      </w:pPr>
      <w:bookmarkStart w:id="63" w:name="_Toc279676560"/>
      <w:bookmarkStart w:id="64" w:name="_Toc408413887"/>
      <w:bookmarkStart w:id="65" w:name="_Toc287598097"/>
      <w:bookmarkStart w:id="66" w:name="_Toc202420671"/>
      <w:bookmarkStart w:id="67" w:name="_Toc173659616"/>
      <w:r>
        <w:rPr>
          <w:lang w:eastAsia="zh-CN"/>
        </w:rPr>
        <w:t>1.2.4相关文件</w:t>
      </w:r>
      <w:bookmarkEnd w:id="63"/>
      <w:bookmarkEnd w:id="64"/>
      <w:bookmarkEnd w:id="65"/>
      <w:bookmarkEnd w:id="66"/>
      <w:bookmarkEnd w:id="67"/>
    </w:p>
    <w:p w14:paraId="427FBACA">
      <w:pPr>
        <w:ind w:firstLine="480"/>
        <w:rPr>
          <w:rFonts w:asciiTheme="minorEastAsia" w:hAnsiTheme="minorEastAsia" w:eastAsiaTheme="minorEastAsia"/>
          <w:kern w:val="2"/>
          <w:szCs w:val="24"/>
          <w:lang w:eastAsia="zh-CN" w:bidi="ar-SA"/>
        </w:rPr>
      </w:pPr>
      <w:r>
        <w:rPr>
          <w:rFonts w:hint="eastAsia"/>
          <w:lang w:eastAsia="zh-CN"/>
        </w:rPr>
        <w:t>（</w:t>
      </w:r>
      <w:r>
        <w:rPr>
          <w:rFonts w:hint="eastAsia" w:asciiTheme="minorEastAsia" w:hAnsiTheme="minorEastAsia" w:eastAsiaTheme="minorEastAsia"/>
          <w:kern w:val="2"/>
          <w:szCs w:val="24"/>
          <w:lang w:eastAsia="zh-CN" w:bidi="ar-SA"/>
        </w:rPr>
        <w:t>1）</w:t>
      </w:r>
      <w:r>
        <w:rPr>
          <w:rFonts w:asciiTheme="minorEastAsia" w:hAnsiTheme="minorEastAsia" w:eastAsiaTheme="minorEastAsia"/>
          <w:kern w:val="2"/>
          <w:szCs w:val="24"/>
          <w:lang w:eastAsia="zh-CN" w:bidi="ar-SA"/>
        </w:rPr>
        <w:t>中国石油华北油田公司二连分公司</w:t>
      </w:r>
      <w:r>
        <w:rPr>
          <w:rFonts w:hint="eastAsia" w:asciiTheme="minorEastAsia" w:hAnsiTheme="minorEastAsia" w:eastAsiaTheme="minorEastAsia"/>
          <w:kern w:val="2"/>
          <w:szCs w:val="24"/>
          <w:lang w:eastAsia="zh-CN" w:bidi="ar-SA"/>
        </w:rPr>
        <w:t>“</w:t>
      </w:r>
      <w:r>
        <w:rPr>
          <w:rFonts w:asciiTheme="minorEastAsia" w:hAnsiTheme="minorEastAsia" w:eastAsiaTheme="minorEastAsia"/>
          <w:kern w:val="2"/>
          <w:szCs w:val="24"/>
          <w:lang w:eastAsia="zh-CN" w:bidi="ar-SA"/>
        </w:rPr>
        <w:t>关于编制乌里雅斯太油田地面产能开发建设项目环境影响评价报告</w:t>
      </w:r>
      <w:r>
        <w:rPr>
          <w:rFonts w:hint="eastAsia" w:asciiTheme="minorEastAsia" w:hAnsiTheme="minorEastAsia" w:eastAsiaTheme="minorEastAsia"/>
          <w:kern w:val="2"/>
          <w:szCs w:val="24"/>
          <w:lang w:eastAsia="zh-CN" w:bidi="ar-SA"/>
        </w:rPr>
        <w:t>”</w:t>
      </w:r>
      <w:r>
        <w:rPr>
          <w:rFonts w:asciiTheme="minorEastAsia" w:hAnsiTheme="minorEastAsia" w:eastAsiaTheme="minorEastAsia"/>
          <w:kern w:val="2"/>
          <w:szCs w:val="24"/>
          <w:lang w:eastAsia="zh-CN" w:bidi="ar-SA"/>
        </w:rPr>
        <w:t>委托书，201</w:t>
      </w:r>
      <w:r>
        <w:rPr>
          <w:rFonts w:hint="eastAsia" w:asciiTheme="minorEastAsia" w:hAnsiTheme="minorEastAsia" w:eastAsiaTheme="minorEastAsia"/>
          <w:kern w:val="2"/>
          <w:szCs w:val="24"/>
          <w:lang w:eastAsia="zh-CN" w:bidi="ar-SA"/>
        </w:rPr>
        <w:t>4</w:t>
      </w:r>
      <w:r>
        <w:rPr>
          <w:rFonts w:asciiTheme="minorEastAsia" w:hAnsiTheme="minorEastAsia" w:eastAsiaTheme="minorEastAsia"/>
          <w:kern w:val="2"/>
          <w:szCs w:val="24"/>
          <w:lang w:eastAsia="zh-CN" w:bidi="ar-SA"/>
        </w:rPr>
        <w:t>年</w:t>
      </w:r>
      <w:r>
        <w:rPr>
          <w:rFonts w:hint="eastAsia" w:asciiTheme="minorEastAsia" w:hAnsiTheme="minorEastAsia" w:eastAsiaTheme="minorEastAsia"/>
          <w:kern w:val="2"/>
          <w:szCs w:val="24"/>
          <w:lang w:eastAsia="zh-CN" w:bidi="ar-SA"/>
        </w:rPr>
        <w:t>9</w:t>
      </w:r>
      <w:r>
        <w:rPr>
          <w:rFonts w:asciiTheme="minorEastAsia" w:hAnsiTheme="minorEastAsia" w:eastAsiaTheme="minorEastAsia"/>
          <w:kern w:val="2"/>
          <w:szCs w:val="24"/>
          <w:lang w:eastAsia="zh-CN" w:bidi="ar-SA"/>
        </w:rPr>
        <w:t xml:space="preserve">月； </w:t>
      </w:r>
    </w:p>
    <w:p w14:paraId="09FA94ED">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（2）《</w:t>
      </w:r>
      <w:r>
        <w:rPr>
          <w:rFonts w:asciiTheme="minorEastAsia" w:hAnsiTheme="minorEastAsia" w:eastAsiaTheme="minorEastAsia"/>
          <w:kern w:val="2"/>
          <w:szCs w:val="24"/>
          <w:lang w:eastAsia="zh-CN" w:bidi="ar-SA"/>
        </w:rPr>
        <w:t>乌里雅斯太油田</w:t>
      </w:r>
      <w:r>
        <w:rPr>
          <w:rFonts w:hint="eastAsia" w:asciiTheme="minorEastAsia" w:hAnsiTheme="minorEastAsia" w:eastAsiaTheme="minorEastAsia"/>
          <w:kern w:val="2"/>
          <w:szCs w:val="24"/>
          <w:lang w:eastAsia="zh-CN" w:bidi="ar-SA"/>
        </w:rPr>
        <w:t>太53区块新增石油探明储量》，中国石油</w:t>
      </w:r>
      <w:r>
        <w:rPr>
          <w:rFonts w:asciiTheme="minorEastAsia" w:hAnsiTheme="minorEastAsia" w:eastAsiaTheme="minorEastAsia"/>
          <w:kern w:val="2"/>
          <w:szCs w:val="24"/>
          <w:lang w:eastAsia="zh-CN" w:bidi="ar-SA"/>
        </w:rPr>
        <w:t>华北油田</w:t>
      </w:r>
      <w:r>
        <w:rPr>
          <w:rFonts w:hint="eastAsia" w:asciiTheme="minorEastAsia" w:hAnsiTheme="minorEastAsia" w:eastAsiaTheme="minorEastAsia"/>
          <w:kern w:val="2"/>
          <w:szCs w:val="24"/>
          <w:lang w:eastAsia="zh-CN" w:bidi="ar-SA"/>
        </w:rPr>
        <w:t>公司，</w:t>
      </w:r>
      <w:r>
        <w:rPr>
          <w:rFonts w:asciiTheme="minorEastAsia" w:hAnsiTheme="minorEastAsia" w:eastAsiaTheme="minorEastAsia"/>
          <w:kern w:val="2"/>
          <w:szCs w:val="24"/>
          <w:lang w:eastAsia="zh-CN" w:bidi="ar-SA"/>
        </w:rPr>
        <w:t>20</w:t>
      </w:r>
      <w:r>
        <w:rPr>
          <w:rFonts w:hint="eastAsia" w:asciiTheme="minorEastAsia" w:hAnsiTheme="minorEastAsia" w:eastAsiaTheme="minorEastAsia"/>
          <w:kern w:val="2"/>
          <w:szCs w:val="24"/>
          <w:lang w:eastAsia="zh-CN" w:bidi="ar-SA"/>
        </w:rPr>
        <w:t>06</w:t>
      </w:r>
      <w:r>
        <w:rPr>
          <w:rFonts w:asciiTheme="minorEastAsia" w:hAnsiTheme="minorEastAsia" w:eastAsiaTheme="minorEastAsia"/>
          <w:kern w:val="2"/>
          <w:szCs w:val="24"/>
          <w:lang w:eastAsia="zh-CN" w:bidi="ar-SA"/>
        </w:rPr>
        <w:t>年</w:t>
      </w:r>
      <w:r>
        <w:rPr>
          <w:rFonts w:hint="eastAsia" w:asciiTheme="minorEastAsia" w:hAnsiTheme="minorEastAsia" w:eastAsiaTheme="minorEastAsia"/>
          <w:kern w:val="2"/>
          <w:szCs w:val="24"/>
          <w:lang w:eastAsia="zh-CN" w:bidi="ar-SA"/>
        </w:rPr>
        <w:t>7</w:t>
      </w:r>
      <w:r>
        <w:rPr>
          <w:rFonts w:asciiTheme="minorEastAsia" w:hAnsiTheme="minorEastAsia" w:eastAsiaTheme="minorEastAsia"/>
          <w:kern w:val="2"/>
          <w:szCs w:val="24"/>
          <w:lang w:eastAsia="zh-CN" w:bidi="ar-SA"/>
        </w:rPr>
        <w:t>月；</w:t>
      </w:r>
    </w:p>
    <w:p w14:paraId="73346097">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（3）</w:t>
      </w:r>
      <w:r>
        <w:rPr>
          <w:rFonts w:asciiTheme="minorEastAsia" w:hAnsiTheme="minorEastAsia" w:eastAsiaTheme="minorEastAsia"/>
          <w:kern w:val="2"/>
          <w:szCs w:val="24"/>
          <w:lang w:eastAsia="zh-CN" w:bidi="ar-SA"/>
        </w:rPr>
        <w:t>《中国石油华北油田公司</w:t>
      </w:r>
      <w:r>
        <w:rPr>
          <w:rFonts w:hint="eastAsia" w:asciiTheme="minorEastAsia" w:hAnsiTheme="minorEastAsia" w:eastAsiaTheme="minorEastAsia"/>
          <w:kern w:val="2"/>
          <w:szCs w:val="24"/>
          <w:lang w:eastAsia="zh-CN" w:bidi="ar-SA"/>
        </w:rPr>
        <w:t>雅斯油田改扩建工程建设项目可行性研究报告</w:t>
      </w:r>
      <w:r>
        <w:rPr>
          <w:rFonts w:asciiTheme="minorEastAsia" w:hAnsiTheme="minorEastAsia" w:eastAsiaTheme="minorEastAsia"/>
          <w:kern w:val="2"/>
          <w:szCs w:val="24"/>
          <w:lang w:eastAsia="zh-CN" w:bidi="ar-SA"/>
        </w:rPr>
        <w:t>》，</w:t>
      </w:r>
      <w:r>
        <w:rPr>
          <w:rFonts w:hint="eastAsia" w:asciiTheme="minorEastAsia" w:hAnsiTheme="minorEastAsia" w:eastAsiaTheme="minorEastAsia"/>
          <w:kern w:val="2"/>
          <w:szCs w:val="24"/>
          <w:lang w:eastAsia="zh-CN" w:bidi="ar-SA"/>
        </w:rPr>
        <w:t>中国石油</w:t>
      </w:r>
      <w:r>
        <w:rPr>
          <w:rFonts w:asciiTheme="minorEastAsia" w:hAnsiTheme="minorEastAsia" w:eastAsiaTheme="minorEastAsia"/>
          <w:kern w:val="2"/>
          <w:szCs w:val="24"/>
          <w:lang w:eastAsia="zh-CN" w:bidi="ar-SA"/>
        </w:rPr>
        <w:t>华北油田二连分公司， 20</w:t>
      </w:r>
      <w:r>
        <w:rPr>
          <w:rFonts w:hint="eastAsia" w:asciiTheme="minorEastAsia" w:hAnsiTheme="minorEastAsia" w:eastAsiaTheme="minorEastAsia"/>
          <w:kern w:val="2"/>
          <w:szCs w:val="24"/>
          <w:lang w:eastAsia="zh-CN" w:bidi="ar-SA"/>
        </w:rPr>
        <w:t>14</w:t>
      </w:r>
      <w:r>
        <w:rPr>
          <w:rFonts w:asciiTheme="minorEastAsia" w:hAnsiTheme="minorEastAsia" w:eastAsiaTheme="minorEastAsia"/>
          <w:kern w:val="2"/>
          <w:szCs w:val="24"/>
          <w:lang w:eastAsia="zh-CN" w:bidi="ar-SA"/>
        </w:rPr>
        <w:t>年</w:t>
      </w:r>
      <w:r>
        <w:rPr>
          <w:rFonts w:hint="eastAsia" w:asciiTheme="minorEastAsia" w:hAnsiTheme="minorEastAsia" w:eastAsiaTheme="minorEastAsia"/>
          <w:kern w:val="2"/>
          <w:szCs w:val="24"/>
          <w:lang w:eastAsia="zh-CN" w:bidi="ar-SA"/>
        </w:rPr>
        <w:t>1</w:t>
      </w:r>
      <w:r>
        <w:rPr>
          <w:rFonts w:asciiTheme="minorEastAsia" w:hAnsiTheme="minorEastAsia" w:eastAsiaTheme="minorEastAsia"/>
          <w:kern w:val="2"/>
          <w:szCs w:val="24"/>
          <w:lang w:eastAsia="zh-CN" w:bidi="ar-SA"/>
        </w:rPr>
        <w:t>月；</w:t>
      </w:r>
    </w:p>
    <w:p w14:paraId="1B9E9151">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（4）《华北油田二连分公司乌里雅斯太油田开发项目环境影响报告表》，锡盟环境科学研究所，2006年11月；</w:t>
      </w:r>
    </w:p>
    <w:p w14:paraId="7CF025F4">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（6）《锡林郭勒盟环境保护局关于东乌珠穆沁旗乌里雅斯太油田开发项目环境影响报告表的批复》（锡署环审表[2006]68号），2006年11月；</w:t>
      </w:r>
    </w:p>
    <w:p w14:paraId="04B63C99">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（7）《乌里雅斯太油田开发项目验收申请报告》（包括锡盟环保局的验收意见，锡环验[2007]015号），中国石油</w:t>
      </w:r>
      <w:r>
        <w:rPr>
          <w:rFonts w:asciiTheme="minorEastAsia" w:hAnsiTheme="minorEastAsia" w:eastAsiaTheme="minorEastAsia"/>
          <w:kern w:val="2"/>
          <w:szCs w:val="24"/>
          <w:lang w:eastAsia="zh-CN" w:bidi="ar-SA"/>
        </w:rPr>
        <w:t>华北油田二连分公司，</w:t>
      </w:r>
      <w:r>
        <w:rPr>
          <w:rFonts w:hint="eastAsia" w:asciiTheme="minorEastAsia" w:hAnsiTheme="minorEastAsia" w:eastAsiaTheme="minorEastAsia"/>
          <w:kern w:val="2"/>
          <w:szCs w:val="24"/>
          <w:lang w:eastAsia="zh-CN" w:bidi="ar-SA"/>
        </w:rPr>
        <w:t>锡盟环保局，</w:t>
      </w:r>
      <w:r>
        <w:rPr>
          <w:rFonts w:asciiTheme="minorEastAsia" w:hAnsiTheme="minorEastAsia" w:eastAsiaTheme="minorEastAsia"/>
          <w:kern w:val="2"/>
          <w:szCs w:val="24"/>
          <w:lang w:eastAsia="zh-CN" w:bidi="ar-SA"/>
        </w:rPr>
        <w:t xml:space="preserve"> 20</w:t>
      </w:r>
      <w:r>
        <w:rPr>
          <w:rFonts w:hint="eastAsia" w:asciiTheme="minorEastAsia" w:hAnsiTheme="minorEastAsia" w:eastAsiaTheme="minorEastAsia"/>
          <w:kern w:val="2"/>
          <w:szCs w:val="24"/>
          <w:lang w:eastAsia="zh-CN" w:bidi="ar-SA"/>
        </w:rPr>
        <w:t>07</w:t>
      </w:r>
      <w:r>
        <w:rPr>
          <w:rFonts w:asciiTheme="minorEastAsia" w:hAnsiTheme="minorEastAsia" w:eastAsiaTheme="minorEastAsia"/>
          <w:kern w:val="2"/>
          <w:szCs w:val="24"/>
          <w:lang w:eastAsia="zh-CN" w:bidi="ar-SA"/>
        </w:rPr>
        <w:t>年</w:t>
      </w:r>
      <w:r>
        <w:rPr>
          <w:rFonts w:hint="eastAsia" w:asciiTheme="minorEastAsia" w:hAnsiTheme="minorEastAsia" w:eastAsiaTheme="minorEastAsia"/>
          <w:kern w:val="2"/>
          <w:szCs w:val="24"/>
          <w:lang w:eastAsia="zh-CN" w:bidi="ar-SA"/>
        </w:rPr>
        <w:t>11</w:t>
      </w:r>
      <w:r>
        <w:rPr>
          <w:rFonts w:asciiTheme="minorEastAsia" w:hAnsiTheme="minorEastAsia" w:eastAsiaTheme="minorEastAsia"/>
          <w:kern w:val="2"/>
          <w:szCs w:val="24"/>
          <w:lang w:eastAsia="zh-CN" w:bidi="ar-SA"/>
        </w:rPr>
        <w:t>月</w:t>
      </w:r>
      <w:r>
        <w:rPr>
          <w:rFonts w:hint="eastAsia" w:asciiTheme="minorEastAsia" w:hAnsiTheme="minorEastAsia" w:eastAsiaTheme="minorEastAsia"/>
          <w:kern w:val="2"/>
          <w:szCs w:val="24"/>
          <w:lang w:eastAsia="zh-CN" w:bidi="ar-SA"/>
        </w:rPr>
        <w:t>；</w:t>
      </w:r>
    </w:p>
    <w:p w14:paraId="57A5B057">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（8）《国家能源局关于中国石油塔里木等9个油田分公司2010年油气开发项目备案确认的函》（国能油气[2010]331号），2010年4月；</w:t>
      </w:r>
    </w:p>
    <w:p w14:paraId="5EFECEDA">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（9）</w:t>
      </w:r>
      <w:r>
        <w:rPr>
          <w:rFonts w:asciiTheme="minorEastAsia" w:hAnsiTheme="minorEastAsia" w:eastAsiaTheme="minorEastAsia"/>
          <w:kern w:val="2"/>
          <w:szCs w:val="24"/>
          <w:lang w:eastAsia="zh-CN" w:bidi="ar-SA"/>
        </w:rPr>
        <w:t>《华北油田二连分公司东乌珠穆沁旗石油开采项目水资源论证报告》，内蒙古自治区水事监理服务中心，2011年9月</w:t>
      </w:r>
      <w:r>
        <w:rPr>
          <w:rFonts w:hint="eastAsia" w:asciiTheme="minorEastAsia" w:hAnsiTheme="minorEastAsia" w:eastAsiaTheme="minorEastAsia"/>
          <w:kern w:val="2"/>
          <w:szCs w:val="24"/>
          <w:lang w:eastAsia="zh-CN" w:bidi="ar-SA"/>
        </w:rPr>
        <w:t>；</w:t>
      </w:r>
    </w:p>
    <w:p w14:paraId="2C3958A4">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（10）《锡林郭勒盟水利局关于华北石油二连分公司东乌珠穆沁旗石油开采项目水资源论证报告书的批复》（锡水发[2011]458号）；</w:t>
      </w:r>
    </w:p>
    <w:p w14:paraId="6D428C71">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（11）</w:t>
      </w:r>
      <w:r>
        <w:rPr>
          <w:rFonts w:asciiTheme="minorEastAsia" w:hAnsiTheme="minorEastAsia" w:eastAsiaTheme="minorEastAsia"/>
          <w:kern w:val="2"/>
          <w:szCs w:val="24"/>
          <w:lang w:eastAsia="zh-CN" w:bidi="ar-SA"/>
        </w:rPr>
        <w:t>《华北油田二连分公司石油开发建设项目水土保持方案报告书》，内蒙古自治区水文总局，2008年5月；</w:t>
      </w:r>
    </w:p>
    <w:p w14:paraId="2B97F26B">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（12）</w:t>
      </w:r>
      <w:r>
        <w:rPr>
          <w:rFonts w:asciiTheme="minorEastAsia" w:hAnsiTheme="minorEastAsia" w:eastAsiaTheme="minorEastAsia"/>
          <w:kern w:val="2"/>
          <w:szCs w:val="24"/>
          <w:lang w:eastAsia="zh-CN" w:bidi="ar-SA"/>
        </w:rPr>
        <w:t>《锡盟水利局关于华北油田二连分公司石油开发建设项目水土保持方案报告书的批复》（锡水发[2008]542 号）；</w:t>
      </w:r>
    </w:p>
    <w:p w14:paraId="03E9ACCF">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（13）</w:t>
      </w:r>
      <w:r>
        <w:rPr>
          <w:rFonts w:asciiTheme="minorEastAsia" w:hAnsiTheme="minorEastAsia" w:eastAsiaTheme="minorEastAsia"/>
          <w:kern w:val="2"/>
          <w:szCs w:val="24"/>
          <w:lang w:eastAsia="zh-CN" w:bidi="ar-SA"/>
        </w:rPr>
        <w:t>《</w:t>
      </w:r>
      <w:r>
        <w:rPr>
          <w:rFonts w:hint="eastAsia" w:asciiTheme="minorEastAsia" w:hAnsiTheme="minorEastAsia" w:eastAsiaTheme="minorEastAsia"/>
          <w:kern w:val="2"/>
          <w:szCs w:val="24"/>
          <w:lang w:eastAsia="zh-CN" w:bidi="ar-SA"/>
        </w:rPr>
        <w:t>阿尔、乌里雅斯太油田原油外输系统及配套工程</w:t>
      </w:r>
      <w:r>
        <w:rPr>
          <w:rFonts w:asciiTheme="minorEastAsia" w:hAnsiTheme="minorEastAsia" w:eastAsiaTheme="minorEastAsia"/>
          <w:kern w:val="2"/>
          <w:szCs w:val="24"/>
          <w:lang w:eastAsia="zh-CN" w:bidi="ar-SA"/>
        </w:rPr>
        <w:t>水土保持方案报告书》，内蒙古自治区水利科学研究院，20</w:t>
      </w:r>
      <w:r>
        <w:rPr>
          <w:rFonts w:hint="eastAsia" w:asciiTheme="minorEastAsia" w:hAnsiTheme="minorEastAsia" w:eastAsiaTheme="minorEastAsia"/>
          <w:kern w:val="2"/>
          <w:szCs w:val="24"/>
          <w:lang w:eastAsia="zh-CN" w:bidi="ar-SA"/>
        </w:rPr>
        <w:t>11</w:t>
      </w:r>
      <w:r>
        <w:rPr>
          <w:rFonts w:asciiTheme="minorEastAsia" w:hAnsiTheme="minorEastAsia" w:eastAsiaTheme="minorEastAsia"/>
          <w:kern w:val="2"/>
          <w:szCs w:val="24"/>
          <w:lang w:eastAsia="zh-CN" w:bidi="ar-SA"/>
        </w:rPr>
        <w:t>年</w:t>
      </w:r>
      <w:r>
        <w:rPr>
          <w:rFonts w:hint="eastAsia" w:asciiTheme="minorEastAsia" w:hAnsiTheme="minorEastAsia" w:eastAsiaTheme="minorEastAsia"/>
          <w:kern w:val="2"/>
          <w:szCs w:val="24"/>
          <w:lang w:eastAsia="zh-CN" w:bidi="ar-SA"/>
        </w:rPr>
        <w:t>11</w:t>
      </w:r>
      <w:r>
        <w:rPr>
          <w:rFonts w:asciiTheme="minorEastAsia" w:hAnsiTheme="minorEastAsia" w:eastAsiaTheme="minorEastAsia"/>
          <w:kern w:val="2"/>
          <w:szCs w:val="24"/>
          <w:lang w:eastAsia="zh-CN" w:bidi="ar-SA"/>
        </w:rPr>
        <w:t>月；</w:t>
      </w:r>
    </w:p>
    <w:p w14:paraId="0A61B139">
      <w:pPr>
        <w:pStyle w:val="3"/>
        <w:rPr>
          <w:lang w:eastAsia="zh-CN"/>
        </w:rPr>
      </w:pPr>
      <w:bookmarkStart w:id="68" w:name="_Toc408413888"/>
      <w:r>
        <w:rPr>
          <w:lang w:eastAsia="zh-CN"/>
        </w:rPr>
        <w:t>1.3评价重点</w:t>
      </w:r>
      <w:bookmarkEnd w:id="68"/>
    </w:p>
    <w:p w14:paraId="52BE56E1">
      <w:pPr>
        <w:ind w:firstLine="480"/>
        <w:rPr>
          <w:rFonts w:asciiTheme="minorEastAsia" w:hAnsiTheme="minorEastAsia" w:eastAsiaTheme="minorEastAsia"/>
          <w:kern w:val="2"/>
          <w:szCs w:val="24"/>
          <w:lang w:eastAsia="zh-CN" w:bidi="ar-SA"/>
        </w:rPr>
      </w:pPr>
      <w:r>
        <w:rPr>
          <w:rFonts w:asciiTheme="minorEastAsia" w:hAnsiTheme="minorEastAsia" w:eastAsiaTheme="minorEastAsia"/>
          <w:kern w:val="2"/>
          <w:szCs w:val="24"/>
          <w:lang w:eastAsia="zh-CN" w:bidi="ar-SA"/>
        </w:rPr>
        <w:t>根据本工程站场建设及管线建设的具体特点，在工程分析的基础上，以生态环境影响评价以及风险评价为重点。</w:t>
      </w:r>
    </w:p>
    <w:p w14:paraId="6B32F2C7">
      <w:pPr>
        <w:pStyle w:val="3"/>
        <w:rPr>
          <w:lang w:eastAsia="zh-CN"/>
        </w:rPr>
      </w:pPr>
      <w:bookmarkStart w:id="69" w:name="_Toc408413889"/>
      <w:bookmarkStart w:id="70" w:name="_Toc287598101"/>
      <w:bookmarkStart w:id="71" w:name="_Toc173659620"/>
      <w:bookmarkStart w:id="72" w:name="_Toc202420675"/>
      <w:bookmarkStart w:id="73" w:name="_Toc280020051"/>
      <w:bookmarkStart w:id="74" w:name="_Toc279676564"/>
      <w:r>
        <w:rPr>
          <w:lang w:eastAsia="zh-CN"/>
        </w:rPr>
        <w:t>1.4环境功能区划及评价标准</w:t>
      </w:r>
      <w:bookmarkEnd w:id="69"/>
      <w:bookmarkEnd w:id="70"/>
      <w:bookmarkEnd w:id="71"/>
      <w:bookmarkEnd w:id="72"/>
      <w:bookmarkEnd w:id="73"/>
      <w:bookmarkEnd w:id="74"/>
    </w:p>
    <w:p w14:paraId="51E794B7">
      <w:pPr>
        <w:ind w:firstLine="480"/>
        <w:rPr>
          <w:rFonts w:asciiTheme="minorEastAsia" w:hAnsiTheme="minorEastAsia" w:eastAsiaTheme="minorEastAsia"/>
          <w:kern w:val="2"/>
          <w:szCs w:val="24"/>
          <w:lang w:eastAsia="zh-CN" w:bidi="ar-SA"/>
        </w:rPr>
      </w:pPr>
      <w:r>
        <w:rPr>
          <w:rFonts w:asciiTheme="minorEastAsia" w:hAnsiTheme="minorEastAsia" w:eastAsiaTheme="minorEastAsia"/>
          <w:kern w:val="2"/>
          <w:szCs w:val="24"/>
          <w:lang w:eastAsia="zh-CN" w:bidi="ar-SA"/>
        </w:rPr>
        <w:t>空气环境：本项目评价区环境空气功能划为二类区，执行《环境空气质量标准》(GB3095-1996)及其修改单(环发[2000]1号)中二级标准；</w:t>
      </w:r>
    </w:p>
    <w:p w14:paraId="3D360360">
      <w:pPr>
        <w:ind w:firstLine="480"/>
        <w:rPr>
          <w:rFonts w:asciiTheme="minorEastAsia" w:hAnsiTheme="minorEastAsia" w:eastAsiaTheme="minorEastAsia"/>
          <w:kern w:val="2"/>
          <w:szCs w:val="24"/>
          <w:lang w:eastAsia="zh-CN" w:bidi="ar-SA"/>
        </w:rPr>
      </w:pPr>
      <w:r>
        <w:rPr>
          <w:rFonts w:asciiTheme="minorEastAsia" w:hAnsiTheme="minorEastAsia" w:eastAsiaTheme="minorEastAsia"/>
          <w:kern w:val="2"/>
          <w:szCs w:val="24"/>
          <w:lang w:eastAsia="zh-CN" w:bidi="ar-SA"/>
        </w:rPr>
        <w:t>土壤环境：根据《土壤环境质量标准》(GB15618-1995)中的规定，油田周围土壤环境质量分类属于二类，执行二级标准；</w:t>
      </w:r>
    </w:p>
    <w:p w14:paraId="3AA8DBB5">
      <w:pPr>
        <w:ind w:firstLine="480"/>
        <w:rPr>
          <w:rFonts w:asciiTheme="minorEastAsia" w:hAnsiTheme="minorEastAsia" w:eastAsiaTheme="minorEastAsia"/>
          <w:kern w:val="2"/>
          <w:szCs w:val="24"/>
          <w:lang w:eastAsia="zh-CN" w:bidi="ar-SA"/>
        </w:rPr>
      </w:pPr>
      <w:r>
        <w:rPr>
          <w:rFonts w:asciiTheme="minorEastAsia" w:hAnsiTheme="minorEastAsia" w:eastAsiaTheme="minorEastAsia"/>
          <w:kern w:val="2"/>
          <w:szCs w:val="24"/>
          <w:lang w:eastAsia="zh-CN" w:bidi="ar-SA"/>
        </w:rPr>
        <w:t>声环境：根据《声环境质量标准》 (GB3096-2008)中的规定和油田周围的环境状况，油田周围功能区划为2类声环境功能区；</w:t>
      </w:r>
    </w:p>
    <w:p w14:paraId="50D18AD9">
      <w:pPr>
        <w:ind w:firstLine="480"/>
        <w:rPr>
          <w:rFonts w:asciiTheme="minorEastAsia" w:hAnsiTheme="minorEastAsia" w:eastAsiaTheme="minorEastAsia"/>
          <w:kern w:val="2"/>
          <w:szCs w:val="24"/>
          <w:lang w:eastAsia="zh-CN" w:bidi="ar-SA"/>
        </w:rPr>
      </w:pPr>
      <w:r>
        <w:rPr>
          <w:rFonts w:asciiTheme="minorEastAsia" w:hAnsiTheme="minorEastAsia" w:eastAsiaTheme="minorEastAsia"/>
          <w:kern w:val="2"/>
          <w:szCs w:val="24"/>
          <w:lang w:eastAsia="zh-CN" w:bidi="ar-SA"/>
        </w:rPr>
        <w:t>地下水：根据《地下水质量标准》(GB/T14848-93)中的规定和油田的水文地质状况，油田的地下水环境执行Ⅲ类标准；</w:t>
      </w:r>
    </w:p>
    <w:p w14:paraId="1D31D8B9">
      <w:pPr>
        <w:ind w:firstLine="480"/>
        <w:rPr>
          <w:rFonts w:asciiTheme="minorEastAsia" w:hAnsiTheme="minorEastAsia" w:eastAsiaTheme="minorEastAsia"/>
          <w:kern w:val="2"/>
          <w:szCs w:val="24"/>
          <w:lang w:eastAsia="zh-CN" w:bidi="ar-SA"/>
        </w:rPr>
      </w:pPr>
      <w:r>
        <w:rPr>
          <w:rFonts w:asciiTheme="minorEastAsia" w:hAnsiTheme="minorEastAsia" w:eastAsiaTheme="minorEastAsia"/>
          <w:kern w:val="2"/>
          <w:szCs w:val="24"/>
          <w:lang w:eastAsia="zh-CN" w:bidi="ar-SA"/>
        </w:rPr>
        <w:t>生态环境：油田所在地属于内蒙古高原典型草原生物多样性保护生态功能区</w:t>
      </w:r>
      <w:r>
        <w:rPr>
          <w:rFonts w:hint="eastAsia" w:asciiTheme="minorEastAsia" w:hAnsiTheme="minorEastAsia" w:eastAsiaTheme="minorEastAsia"/>
          <w:kern w:val="2"/>
          <w:szCs w:val="24"/>
          <w:lang w:eastAsia="zh-CN" w:bidi="ar-SA"/>
        </w:rPr>
        <w:t>，</w:t>
      </w:r>
      <w:r>
        <w:rPr>
          <w:rFonts w:asciiTheme="minorEastAsia" w:hAnsiTheme="minorEastAsia" w:eastAsiaTheme="minorEastAsia"/>
          <w:kern w:val="2"/>
          <w:szCs w:val="24"/>
          <w:lang w:eastAsia="zh-CN" w:bidi="ar-SA"/>
        </w:rPr>
        <w:t>详见生态功能区划图1.4-1。</w:t>
      </w:r>
    </w:p>
    <w:p w14:paraId="66B99F6F">
      <w:pPr>
        <w:pStyle w:val="3"/>
        <w:rPr>
          <w:lang w:eastAsia="zh-CN"/>
        </w:rPr>
      </w:pPr>
      <w:bookmarkStart w:id="75" w:name="_Toc408413890"/>
      <w:r>
        <w:rPr>
          <w:lang w:eastAsia="zh-CN"/>
        </w:rPr>
        <w:t>1.</w:t>
      </w:r>
      <w:r>
        <w:rPr>
          <w:rFonts w:hint="eastAsia"/>
          <w:lang w:eastAsia="zh-CN"/>
        </w:rPr>
        <w:t>5</w:t>
      </w:r>
      <w:r>
        <w:rPr>
          <w:lang w:eastAsia="zh-CN"/>
        </w:rPr>
        <w:t>评价标准</w:t>
      </w:r>
      <w:bookmarkEnd w:id="75"/>
    </w:p>
    <w:p w14:paraId="43D47FE7">
      <w:pPr>
        <w:ind w:firstLine="480"/>
        <w:rPr>
          <w:rFonts w:asciiTheme="minorEastAsia" w:hAnsiTheme="minorEastAsia" w:eastAsiaTheme="minorEastAsia"/>
          <w:kern w:val="2"/>
          <w:szCs w:val="24"/>
          <w:lang w:eastAsia="zh-CN" w:bidi="ar-SA"/>
        </w:rPr>
      </w:pPr>
      <w:r>
        <w:rPr>
          <w:rFonts w:asciiTheme="minorEastAsia" w:hAnsiTheme="minorEastAsia" w:eastAsiaTheme="minorEastAsia"/>
          <w:kern w:val="2"/>
          <w:szCs w:val="24"/>
          <w:lang w:eastAsia="zh-CN" w:bidi="ar-SA"/>
        </w:rPr>
        <w:t>本项目环境影响评价采用锡林郭勒盟环境保护局以</w:t>
      </w:r>
      <w:r>
        <w:rPr>
          <w:rFonts w:hint="eastAsia" w:asciiTheme="minorEastAsia" w:hAnsiTheme="minorEastAsia" w:eastAsiaTheme="minorEastAsia"/>
          <w:kern w:val="2"/>
          <w:szCs w:val="24"/>
          <w:lang w:eastAsia="zh-CN" w:bidi="ar-SA"/>
        </w:rPr>
        <w:t>“</w:t>
      </w:r>
      <w:r>
        <w:rPr>
          <w:rFonts w:asciiTheme="minorEastAsia" w:hAnsiTheme="minorEastAsia" w:eastAsiaTheme="minorEastAsia"/>
          <w:kern w:val="2"/>
          <w:szCs w:val="24"/>
          <w:lang w:eastAsia="zh-CN" w:bidi="ar-SA"/>
        </w:rPr>
        <w:t>锡署环标[201</w:t>
      </w:r>
      <w:r>
        <w:rPr>
          <w:rFonts w:hint="eastAsia" w:asciiTheme="minorEastAsia" w:hAnsiTheme="minorEastAsia" w:eastAsiaTheme="minorEastAsia"/>
          <w:kern w:val="2"/>
          <w:szCs w:val="24"/>
          <w:lang w:eastAsia="zh-CN" w:bidi="ar-SA"/>
        </w:rPr>
        <w:t>4</w:t>
      </w:r>
      <w:r>
        <w:rPr>
          <w:rFonts w:asciiTheme="minorEastAsia" w:hAnsiTheme="minorEastAsia" w:eastAsiaTheme="minorEastAsia"/>
          <w:kern w:val="2"/>
          <w:szCs w:val="24"/>
          <w:lang w:eastAsia="zh-CN" w:bidi="ar-SA"/>
        </w:rPr>
        <w:t>]</w:t>
      </w:r>
      <w:r>
        <w:rPr>
          <w:rFonts w:hint="eastAsia" w:asciiTheme="minorEastAsia" w:hAnsiTheme="minorEastAsia" w:eastAsiaTheme="minorEastAsia"/>
          <w:kern w:val="2"/>
          <w:szCs w:val="24"/>
          <w:lang w:eastAsia="zh-CN" w:bidi="ar-SA"/>
        </w:rPr>
        <w:t>60</w:t>
      </w:r>
      <w:r>
        <w:rPr>
          <w:rFonts w:asciiTheme="minorEastAsia" w:hAnsiTheme="minorEastAsia" w:eastAsiaTheme="minorEastAsia"/>
          <w:kern w:val="2"/>
          <w:szCs w:val="24"/>
          <w:lang w:eastAsia="zh-CN" w:bidi="ar-SA"/>
        </w:rPr>
        <w:t>号</w:t>
      </w:r>
      <w:r>
        <w:rPr>
          <w:rFonts w:hint="eastAsia" w:asciiTheme="minorEastAsia" w:hAnsiTheme="minorEastAsia" w:eastAsiaTheme="minorEastAsia"/>
          <w:kern w:val="2"/>
          <w:szCs w:val="24"/>
          <w:lang w:eastAsia="zh-CN" w:bidi="ar-SA"/>
        </w:rPr>
        <w:t>”</w:t>
      </w:r>
      <w:r>
        <w:rPr>
          <w:rFonts w:asciiTheme="minorEastAsia" w:hAnsiTheme="minorEastAsia" w:eastAsiaTheme="minorEastAsia"/>
          <w:kern w:val="2"/>
          <w:szCs w:val="24"/>
          <w:lang w:eastAsia="zh-CN" w:bidi="ar-SA"/>
        </w:rPr>
        <w:t>文确认的环境质量标准和污染物排放标准。</w:t>
      </w:r>
    </w:p>
    <w:p w14:paraId="7BDBB29A">
      <w:pPr>
        <w:pStyle w:val="4"/>
        <w:rPr>
          <w:lang w:eastAsia="zh-CN"/>
        </w:rPr>
      </w:pPr>
      <w:bookmarkStart w:id="76" w:name="_Toc287598103"/>
      <w:bookmarkStart w:id="77" w:name="_Toc408413891"/>
      <w:bookmarkStart w:id="78" w:name="_Toc173659621"/>
      <w:bookmarkStart w:id="79" w:name="_Toc202420676"/>
      <w:bookmarkStart w:id="80" w:name="_Toc279676566"/>
      <w:r>
        <w:rPr>
          <w:lang w:eastAsia="zh-CN"/>
        </w:rPr>
        <w:t>1.</w:t>
      </w:r>
      <w:r>
        <w:rPr>
          <w:rFonts w:hint="eastAsia"/>
          <w:lang w:eastAsia="zh-CN"/>
        </w:rPr>
        <w:t>5</w:t>
      </w:r>
      <w:r>
        <w:rPr>
          <w:lang w:eastAsia="zh-CN"/>
        </w:rPr>
        <w:t>.</w:t>
      </w:r>
      <w:r>
        <w:rPr>
          <w:rFonts w:hint="eastAsia"/>
          <w:lang w:eastAsia="zh-CN"/>
        </w:rPr>
        <w:t>1</w:t>
      </w:r>
      <w:r>
        <w:rPr>
          <w:lang w:eastAsia="zh-CN"/>
        </w:rPr>
        <w:t>环境质量标准</w:t>
      </w:r>
      <w:bookmarkEnd w:id="76"/>
      <w:bookmarkEnd w:id="77"/>
      <w:bookmarkEnd w:id="78"/>
      <w:bookmarkEnd w:id="79"/>
      <w:bookmarkEnd w:id="80"/>
    </w:p>
    <w:p w14:paraId="7C788397">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（1）</w:t>
      </w:r>
      <w:r>
        <w:rPr>
          <w:rFonts w:asciiTheme="minorEastAsia" w:hAnsiTheme="minorEastAsia" w:eastAsiaTheme="minorEastAsia"/>
          <w:kern w:val="2"/>
          <w:szCs w:val="24"/>
          <w:lang w:eastAsia="zh-CN" w:bidi="ar-SA"/>
        </w:rPr>
        <w:t>环境空气质量标准</w:t>
      </w:r>
    </w:p>
    <w:p w14:paraId="2DFCB59E">
      <w:pPr>
        <w:ind w:firstLine="480"/>
        <w:rPr>
          <w:rFonts w:asciiTheme="minorEastAsia" w:hAnsiTheme="minorEastAsia" w:eastAsiaTheme="minorEastAsia"/>
          <w:kern w:val="2"/>
          <w:szCs w:val="24"/>
          <w:lang w:eastAsia="zh-CN" w:bidi="ar-SA"/>
        </w:rPr>
      </w:pPr>
      <w:r>
        <w:rPr>
          <w:rFonts w:asciiTheme="minorEastAsia" w:hAnsiTheme="minorEastAsia" w:eastAsiaTheme="minorEastAsia"/>
          <w:kern w:val="2"/>
          <w:szCs w:val="24"/>
          <w:lang w:eastAsia="zh-CN" w:bidi="ar-SA"/>
        </w:rPr>
        <w:t>环境空气质量标准执行《环境空气质量标准》(GB3095-1996)及其修改单(环发[200</w:t>
      </w:r>
      <w:r>
        <w:rPr>
          <w:rFonts w:hint="eastAsia" w:asciiTheme="minorEastAsia" w:hAnsiTheme="minorEastAsia" w:eastAsiaTheme="minorEastAsia"/>
          <w:kern w:val="2"/>
          <w:szCs w:val="24"/>
          <w:lang w:eastAsia="zh-CN" w:bidi="ar-SA"/>
        </w:rPr>
        <w:t>0</w:t>
      </w:r>
      <w:r>
        <w:rPr>
          <w:rFonts w:asciiTheme="minorEastAsia" w:hAnsiTheme="minorEastAsia" w:eastAsiaTheme="minorEastAsia"/>
          <w:kern w:val="2"/>
          <w:szCs w:val="24"/>
          <w:lang w:eastAsia="zh-CN" w:bidi="ar-SA"/>
        </w:rPr>
        <w:t>]1号)中二类区二级标准，详见表1.</w:t>
      </w:r>
      <w:r>
        <w:rPr>
          <w:rFonts w:hint="eastAsia" w:asciiTheme="minorEastAsia" w:hAnsiTheme="minorEastAsia" w:eastAsiaTheme="minorEastAsia"/>
          <w:kern w:val="2"/>
          <w:szCs w:val="24"/>
          <w:lang w:eastAsia="zh-CN" w:bidi="ar-SA"/>
        </w:rPr>
        <w:t>5</w:t>
      </w:r>
      <w:r>
        <w:rPr>
          <w:rFonts w:asciiTheme="minorEastAsia" w:hAnsiTheme="minorEastAsia" w:eastAsiaTheme="minorEastAsia"/>
          <w:kern w:val="2"/>
          <w:szCs w:val="24"/>
          <w:lang w:eastAsia="zh-CN" w:bidi="ar-SA"/>
        </w:rPr>
        <w:t>-1所示。</w:t>
      </w:r>
    </w:p>
    <w:p w14:paraId="06041C38">
      <w:pPr>
        <w:spacing w:line="240" w:lineRule="auto"/>
        <w:ind w:firstLine="482"/>
        <w:rPr>
          <w:b/>
          <w:bCs/>
          <w:lang w:eastAsia="zh-CN"/>
        </w:rPr>
      </w:pPr>
      <w:r>
        <w:rPr>
          <w:b/>
          <w:bCs/>
          <w:lang w:eastAsia="zh-CN"/>
        </w:rPr>
        <w:t>表1.</w:t>
      </w:r>
      <w:r>
        <w:rPr>
          <w:rFonts w:hint="eastAsia"/>
          <w:b/>
          <w:bCs/>
          <w:lang w:eastAsia="zh-CN"/>
        </w:rPr>
        <w:t>5</w:t>
      </w:r>
      <w:r>
        <w:rPr>
          <w:b/>
          <w:bCs/>
          <w:lang w:eastAsia="zh-CN"/>
        </w:rPr>
        <w:t xml:space="preserve">-1  </w:t>
      </w:r>
      <w:r>
        <w:rPr>
          <w:rFonts w:hint="eastAsia"/>
          <w:b/>
          <w:bCs/>
          <w:lang w:eastAsia="zh-CN"/>
        </w:rPr>
        <w:t xml:space="preserve">  </w:t>
      </w:r>
      <w:r>
        <w:rPr>
          <w:b/>
          <w:bCs/>
          <w:lang w:eastAsia="zh-CN"/>
        </w:rPr>
        <w:t>环境空气质量标准</w:t>
      </w:r>
      <w:r>
        <w:rPr>
          <w:rFonts w:hint="eastAsia"/>
          <w:b/>
          <w:bCs/>
          <w:lang w:eastAsia="zh-CN"/>
        </w:rPr>
        <w:t>（节选）</w:t>
      </w:r>
      <w:r>
        <w:rPr>
          <w:b/>
          <w:bCs/>
          <w:lang w:eastAsia="zh-CN"/>
        </w:rPr>
        <w:t xml:space="preserve">  </w:t>
      </w:r>
      <w:r>
        <w:rPr>
          <w:b/>
          <w:bCs/>
          <w:szCs w:val="21"/>
          <w:lang w:eastAsia="zh-CN"/>
        </w:rPr>
        <w:t>单位：mg/m</w:t>
      </w:r>
      <w:r>
        <w:rPr>
          <w:b/>
          <w:bCs/>
          <w:szCs w:val="21"/>
          <w:vertAlign w:val="superscript"/>
          <w:lang w:eastAsia="zh-CN"/>
        </w:rPr>
        <w:t>3</w:t>
      </w:r>
    </w:p>
    <w:tbl>
      <w:tblPr>
        <w:tblStyle w:val="7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89"/>
        <w:gridCol w:w="2088"/>
        <w:gridCol w:w="2676"/>
        <w:gridCol w:w="2676"/>
      </w:tblGrid>
      <w:tr w14:paraId="2BF2F4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089" w:type="dxa"/>
            <w:vMerge w:val="restart"/>
            <w:vAlign w:val="center"/>
          </w:tcPr>
          <w:p w14:paraId="799A471C">
            <w:pPr>
              <w:pStyle w:val="518"/>
            </w:pPr>
            <w:r>
              <w:t>序号</w:t>
            </w:r>
          </w:p>
        </w:tc>
        <w:tc>
          <w:tcPr>
            <w:tcW w:w="2088" w:type="dxa"/>
            <w:vMerge w:val="restart"/>
            <w:vAlign w:val="center"/>
          </w:tcPr>
          <w:p w14:paraId="0ABCD1DC">
            <w:pPr>
              <w:pStyle w:val="518"/>
            </w:pPr>
            <w:r>
              <w:t>污染因子</w:t>
            </w:r>
          </w:p>
        </w:tc>
        <w:tc>
          <w:tcPr>
            <w:tcW w:w="5352" w:type="dxa"/>
            <w:gridSpan w:val="2"/>
            <w:vAlign w:val="center"/>
          </w:tcPr>
          <w:p w14:paraId="48ED17AD">
            <w:pPr>
              <w:pStyle w:val="518"/>
              <w:rPr>
                <w:lang w:eastAsia="zh-CN"/>
              </w:rPr>
            </w:pPr>
            <w:r>
              <w:rPr>
                <w:lang w:eastAsia="zh-CN"/>
              </w:rPr>
              <w:t>二级标准污染物的浓度限值</w:t>
            </w:r>
          </w:p>
        </w:tc>
      </w:tr>
      <w:tr w14:paraId="165AA4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089" w:type="dxa"/>
            <w:vMerge w:val="continue"/>
            <w:vAlign w:val="center"/>
          </w:tcPr>
          <w:p w14:paraId="2017BFC1">
            <w:pPr>
              <w:pStyle w:val="518"/>
              <w:rPr>
                <w:lang w:eastAsia="zh-CN"/>
              </w:rPr>
            </w:pPr>
          </w:p>
        </w:tc>
        <w:tc>
          <w:tcPr>
            <w:tcW w:w="2088" w:type="dxa"/>
            <w:vMerge w:val="continue"/>
            <w:vAlign w:val="center"/>
          </w:tcPr>
          <w:p w14:paraId="19D3F7DD">
            <w:pPr>
              <w:pStyle w:val="518"/>
              <w:rPr>
                <w:lang w:eastAsia="zh-CN"/>
              </w:rPr>
            </w:pPr>
          </w:p>
        </w:tc>
        <w:tc>
          <w:tcPr>
            <w:tcW w:w="2676" w:type="dxa"/>
            <w:vAlign w:val="center"/>
          </w:tcPr>
          <w:p w14:paraId="2D758DBF">
            <w:pPr>
              <w:pStyle w:val="518"/>
            </w:pPr>
            <w:r>
              <w:t>小时平均</w:t>
            </w:r>
          </w:p>
        </w:tc>
        <w:tc>
          <w:tcPr>
            <w:tcW w:w="2676" w:type="dxa"/>
            <w:vAlign w:val="center"/>
          </w:tcPr>
          <w:p w14:paraId="7042F42B">
            <w:pPr>
              <w:pStyle w:val="518"/>
            </w:pPr>
            <w:r>
              <w:t>日平均</w:t>
            </w:r>
          </w:p>
        </w:tc>
      </w:tr>
      <w:tr w14:paraId="374B90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089" w:type="dxa"/>
            <w:vAlign w:val="center"/>
          </w:tcPr>
          <w:p w14:paraId="23323F1D">
            <w:pPr>
              <w:pStyle w:val="518"/>
            </w:pPr>
            <w:r>
              <w:t>1</w:t>
            </w:r>
          </w:p>
        </w:tc>
        <w:tc>
          <w:tcPr>
            <w:tcW w:w="2088" w:type="dxa"/>
            <w:vAlign w:val="center"/>
          </w:tcPr>
          <w:p w14:paraId="3AE8E5C9">
            <w:pPr>
              <w:pStyle w:val="518"/>
            </w:pPr>
            <w:r>
              <w:t>PM</w:t>
            </w:r>
            <w:r>
              <w:rPr>
                <w:vertAlign w:val="subscript"/>
              </w:rPr>
              <w:t>10</w:t>
            </w:r>
          </w:p>
        </w:tc>
        <w:tc>
          <w:tcPr>
            <w:tcW w:w="2676" w:type="dxa"/>
            <w:vAlign w:val="center"/>
          </w:tcPr>
          <w:p w14:paraId="05720879">
            <w:pPr>
              <w:pStyle w:val="518"/>
            </w:pPr>
            <w:r>
              <w:t>－</w:t>
            </w:r>
          </w:p>
        </w:tc>
        <w:tc>
          <w:tcPr>
            <w:tcW w:w="2676" w:type="dxa"/>
            <w:vAlign w:val="center"/>
          </w:tcPr>
          <w:p w14:paraId="5AF0158B">
            <w:pPr>
              <w:pStyle w:val="518"/>
            </w:pPr>
            <w:r>
              <w:t>0.15</w:t>
            </w:r>
          </w:p>
        </w:tc>
      </w:tr>
      <w:tr w14:paraId="2A3CF1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089" w:type="dxa"/>
            <w:vAlign w:val="center"/>
          </w:tcPr>
          <w:p w14:paraId="693F2E70">
            <w:pPr>
              <w:pStyle w:val="518"/>
            </w:pPr>
            <w:r>
              <w:t>2</w:t>
            </w:r>
          </w:p>
        </w:tc>
        <w:tc>
          <w:tcPr>
            <w:tcW w:w="2088" w:type="dxa"/>
            <w:vAlign w:val="center"/>
          </w:tcPr>
          <w:p w14:paraId="4FAE1060">
            <w:pPr>
              <w:pStyle w:val="518"/>
              <w:rPr>
                <w:lang w:eastAsia="zh-CN"/>
              </w:rPr>
            </w:pPr>
            <w:r>
              <w:rPr>
                <w:lang w:eastAsia="zh-CN"/>
              </w:rPr>
              <w:t>TSP</w:t>
            </w:r>
          </w:p>
        </w:tc>
        <w:tc>
          <w:tcPr>
            <w:tcW w:w="2676" w:type="dxa"/>
            <w:vAlign w:val="center"/>
          </w:tcPr>
          <w:p w14:paraId="23070978">
            <w:pPr>
              <w:pStyle w:val="518"/>
            </w:pPr>
            <w:r>
              <w:t>－</w:t>
            </w:r>
          </w:p>
        </w:tc>
        <w:tc>
          <w:tcPr>
            <w:tcW w:w="2676" w:type="dxa"/>
            <w:vAlign w:val="center"/>
          </w:tcPr>
          <w:p w14:paraId="5125E2D7">
            <w:pPr>
              <w:pStyle w:val="518"/>
            </w:pPr>
            <w:r>
              <w:t>0.30</w:t>
            </w:r>
          </w:p>
        </w:tc>
      </w:tr>
      <w:tr w14:paraId="481D55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089" w:type="dxa"/>
            <w:vAlign w:val="center"/>
          </w:tcPr>
          <w:p w14:paraId="57ED9099">
            <w:pPr>
              <w:pStyle w:val="518"/>
            </w:pPr>
            <w:r>
              <w:t>3</w:t>
            </w:r>
          </w:p>
        </w:tc>
        <w:tc>
          <w:tcPr>
            <w:tcW w:w="2088" w:type="dxa"/>
            <w:vAlign w:val="center"/>
          </w:tcPr>
          <w:p w14:paraId="7E2F51C6">
            <w:pPr>
              <w:pStyle w:val="518"/>
            </w:pPr>
            <w:r>
              <w:t>NO</w:t>
            </w:r>
            <w:r>
              <w:rPr>
                <w:vertAlign w:val="subscript"/>
              </w:rPr>
              <w:t>2</w:t>
            </w:r>
          </w:p>
        </w:tc>
        <w:tc>
          <w:tcPr>
            <w:tcW w:w="2676" w:type="dxa"/>
            <w:vAlign w:val="center"/>
          </w:tcPr>
          <w:p w14:paraId="60730224">
            <w:pPr>
              <w:pStyle w:val="518"/>
            </w:pPr>
            <w:r>
              <w:t>0.24</w:t>
            </w:r>
          </w:p>
        </w:tc>
        <w:tc>
          <w:tcPr>
            <w:tcW w:w="2676" w:type="dxa"/>
            <w:vAlign w:val="center"/>
          </w:tcPr>
          <w:p w14:paraId="25440EE5">
            <w:pPr>
              <w:pStyle w:val="518"/>
            </w:pPr>
            <w:r>
              <w:t>0.12</w:t>
            </w:r>
          </w:p>
        </w:tc>
      </w:tr>
      <w:tr w14:paraId="44C3E1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1089" w:type="dxa"/>
            <w:vAlign w:val="center"/>
          </w:tcPr>
          <w:p w14:paraId="6632FBBB">
            <w:pPr>
              <w:pStyle w:val="518"/>
            </w:pPr>
            <w:r>
              <w:t>4</w:t>
            </w:r>
          </w:p>
        </w:tc>
        <w:tc>
          <w:tcPr>
            <w:tcW w:w="2088" w:type="dxa"/>
            <w:vAlign w:val="center"/>
          </w:tcPr>
          <w:p w14:paraId="46B6BA7E">
            <w:pPr>
              <w:pStyle w:val="518"/>
            </w:pPr>
            <w:r>
              <w:t>SO</w:t>
            </w:r>
            <w:r>
              <w:rPr>
                <w:vertAlign w:val="subscript"/>
              </w:rPr>
              <w:t>2</w:t>
            </w:r>
          </w:p>
        </w:tc>
        <w:tc>
          <w:tcPr>
            <w:tcW w:w="2676" w:type="dxa"/>
            <w:vAlign w:val="center"/>
          </w:tcPr>
          <w:p w14:paraId="1F84C28B">
            <w:pPr>
              <w:pStyle w:val="518"/>
              <w:rPr>
                <w:szCs w:val="24"/>
              </w:rPr>
            </w:pPr>
            <w:r>
              <w:rPr>
                <w:szCs w:val="24"/>
              </w:rPr>
              <w:t>0.50</w:t>
            </w:r>
          </w:p>
        </w:tc>
        <w:tc>
          <w:tcPr>
            <w:tcW w:w="2676" w:type="dxa"/>
            <w:vAlign w:val="center"/>
          </w:tcPr>
          <w:p w14:paraId="764B009E">
            <w:pPr>
              <w:pStyle w:val="518"/>
            </w:pPr>
            <w:r>
              <w:t>0.15</w:t>
            </w:r>
          </w:p>
        </w:tc>
      </w:tr>
    </w:tbl>
    <w:p w14:paraId="6E09691A">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（2）</w:t>
      </w:r>
      <w:r>
        <w:rPr>
          <w:rFonts w:asciiTheme="minorEastAsia" w:hAnsiTheme="minorEastAsia" w:eastAsiaTheme="minorEastAsia"/>
          <w:kern w:val="2"/>
          <w:szCs w:val="24"/>
          <w:lang w:eastAsia="zh-CN" w:bidi="ar-SA"/>
        </w:rPr>
        <w:t>地下水质量标准</w:t>
      </w:r>
    </w:p>
    <w:p w14:paraId="42778AF3">
      <w:pPr>
        <w:ind w:firstLine="480"/>
        <w:rPr>
          <w:rFonts w:asciiTheme="minorEastAsia" w:hAnsiTheme="minorEastAsia" w:eastAsiaTheme="minorEastAsia"/>
          <w:kern w:val="2"/>
          <w:szCs w:val="24"/>
          <w:lang w:eastAsia="zh-CN" w:bidi="ar-SA"/>
        </w:rPr>
      </w:pPr>
      <w:r>
        <w:rPr>
          <w:rFonts w:asciiTheme="minorEastAsia" w:hAnsiTheme="minorEastAsia" w:eastAsiaTheme="minorEastAsia"/>
          <w:kern w:val="2"/>
          <w:szCs w:val="24"/>
          <w:lang w:eastAsia="zh-CN" w:bidi="ar-SA"/>
        </w:rPr>
        <w:t>地下水评价标准执行国家《地下水质量标准》(GB/T14848－93)中Ⅲ类水质标准，详见表1.</w:t>
      </w:r>
      <w:r>
        <w:rPr>
          <w:rFonts w:hint="eastAsia" w:asciiTheme="minorEastAsia" w:hAnsiTheme="minorEastAsia" w:eastAsiaTheme="minorEastAsia"/>
          <w:kern w:val="2"/>
          <w:szCs w:val="24"/>
          <w:lang w:eastAsia="zh-CN" w:bidi="ar-SA"/>
        </w:rPr>
        <w:t>5</w:t>
      </w:r>
      <w:r>
        <w:rPr>
          <w:rFonts w:asciiTheme="minorEastAsia" w:hAnsiTheme="minorEastAsia" w:eastAsiaTheme="minorEastAsia"/>
          <w:kern w:val="2"/>
          <w:szCs w:val="24"/>
          <w:lang w:eastAsia="zh-CN" w:bidi="ar-SA"/>
        </w:rPr>
        <w:t>-2。</w:t>
      </w:r>
    </w:p>
    <w:p w14:paraId="74018C01">
      <w:pPr>
        <w:spacing w:line="240" w:lineRule="auto"/>
        <w:ind w:firstLine="482"/>
        <w:rPr>
          <w:b/>
          <w:lang w:eastAsia="zh-CN"/>
        </w:rPr>
      </w:pPr>
      <w:r>
        <w:rPr>
          <w:b/>
          <w:lang w:eastAsia="zh-CN"/>
        </w:rPr>
        <w:t>表1.</w:t>
      </w:r>
      <w:r>
        <w:rPr>
          <w:rFonts w:hint="eastAsia"/>
          <w:b/>
          <w:lang w:eastAsia="zh-CN"/>
        </w:rPr>
        <w:t>5</w:t>
      </w:r>
      <w:r>
        <w:rPr>
          <w:b/>
          <w:lang w:eastAsia="zh-CN"/>
        </w:rPr>
        <w:t xml:space="preserve">-2  </w:t>
      </w:r>
      <w:r>
        <w:rPr>
          <w:rFonts w:hint="eastAsia"/>
          <w:b/>
          <w:lang w:eastAsia="zh-CN"/>
        </w:rPr>
        <w:t xml:space="preserve">  </w:t>
      </w:r>
      <w:r>
        <w:rPr>
          <w:b/>
          <w:lang w:eastAsia="zh-CN"/>
        </w:rPr>
        <w:t>地下水质量标准</w:t>
      </w:r>
      <w:r>
        <w:rPr>
          <w:rFonts w:hint="eastAsia"/>
          <w:b/>
          <w:lang w:eastAsia="zh-CN"/>
        </w:rPr>
        <w:t>（节选）</w:t>
      </w:r>
      <w:r>
        <w:rPr>
          <w:b/>
          <w:lang w:eastAsia="zh-CN"/>
        </w:rPr>
        <w:t xml:space="preserve">  </w:t>
      </w:r>
      <w:r>
        <w:rPr>
          <w:rFonts w:hint="eastAsia"/>
          <w:b/>
          <w:lang w:eastAsia="zh-CN"/>
        </w:rPr>
        <w:t xml:space="preserve">  </w:t>
      </w:r>
      <w:r>
        <w:rPr>
          <w:b/>
          <w:lang w:eastAsia="zh-CN"/>
        </w:rPr>
        <w:t>单位：mg/L(pH除外)</w:t>
      </w:r>
    </w:p>
    <w:tbl>
      <w:tblPr>
        <w:tblStyle w:val="7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28"/>
        <w:gridCol w:w="923"/>
        <w:gridCol w:w="961"/>
        <w:gridCol w:w="898"/>
        <w:gridCol w:w="873"/>
        <w:gridCol w:w="1106"/>
        <w:gridCol w:w="951"/>
        <w:gridCol w:w="1092"/>
      </w:tblGrid>
      <w:tr w14:paraId="5FEBCD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28" w:type="dxa"/>
            <w:vAlign w:val="center"/>
          </w:tcPr>
          <w:p w14:paraId="428C2FAD">
            <w:pPr>
              <w:pStyle w:val="518"/>
              <w:rPr>
                <w:szCs w:val="21"/>
                <w:lang w:eastAsia="zh-CN"/>
              </w:rPr>
            </w:pPr>
            <w:r>
              <w:rPr>
                <w:rFonts w:hint="eastAsia"/>
                <w:szCs w:val="21"/>
                <w:lang w:eastAsia="zh-CN"/>
              </w:rPr>
              <w:t>污染因子</w:t>
            </w:r>
          </w:p>
        </w:tc>
        <w:tc>
          <w:tcPr>
            <w:tcW w:w="923" w:type="dxa"/>
            <w:vAlign w:val="center"/>
          </w:tcPr>
          <w:p w14:paraId="33D68F82">
            <w:pPr>
              <w:pStyle w:val="518"/>
              <w:rPr>
                <w:szCs w:val="21"/>
              </w:rPr>
            </w:pPr>
            <w:r>
              <w:rPr>
                <w:rFonts w:hint="eastAsia"/>
                <w:szCs w:val="21"/>
                <w:lang w:eastAsia="zh-CN"/>
              </w:rPr>
              <w:t>标准值</w:t>
            </w:r>
          </w:p>
        </w:tc>
        <w:tc>
          <w:tcPr>
            <w:tcW w:w="961" w:type="dxa"/>
            <w:vAlign w:val="center"/>
          </w:tcPr>
          <w:p w14:paraId="0B339F38">
            <w:pPr>
              <w:pStyle w:val="518"/>
              <w:rPr>
                <w:szCs w:val="21"/>
                <w:lang w:eastAsia="zh-CN"/>
              </w:rPr>
            </w:pPr>
            <w:r>
              <w:rPr>
                <w:rFonts w:hint="eastAsia"/>
                <w:szCs w:val="21"/>
                <w:lang w:eastAsia="zh-CN"/>
              </w:rPr>
              <w:t>污染</w:t>
            </w:r>
          </w:p>
          <w:p w14:paraId="226430E5">
            <w:pPr>
              <w:pStyle w:val="518"/>
              <w:rPr>
                <w:szCs w:val="21"/>
              </w:rPr>
            </w:pPr>
            <w:r>
              <w:rPr>
                <w:rFonts w:hint="eastAsia"/>
                <w:szCs w:val="21"/>
                <w:lang w:eastAsia="zh-CN"/>
              </w:rPr>
              <w:t>因子</w:t>
            </w:r>
          </w:p>
        </w:tc>
        <w:tc>
          <w:tcPr>
            <w:tcW w:w="898" w:type="dxa"/>
            <w:vAlign w:val="center"/>
          </w:tcPr>
          <w:p w14:paraId="64BCB805">
            <w:pPr>
              <w:pStyle w:val="518"/>
              <w:rPr>
                <w:szCs w:val="21"/>
              </w:rPr>
            </w:pPr>
            <w:r>
              <w:rPr>
                <w:rFonts w:hint="eastAsia"/>
                <w:szCs w:val="21"/>
                <w:lang w:eastAsia="zh-CN"/>
              </w:rPr>
              <w:t>标准值</w:t>
            </w:r>
          </w:p>
        </w:tc>
        <w:tc>
          <w:tcPr>
            <w:tcW w:w="873" w:type="dxa"/>
            <w:vAlign w:val="center"/>
          </w:tcPr>
          <w:p w14:paraId="0EF66E9F">
            <w:pPr>
              <w:pStyle w:val="518"/>
              <w:rPr>
                <w:szCs w:val="21"/>
                <w:lang w:eastAsia="zh-CN"/>
              </w:rPr>
            </w:pPr>
            <w:r>
              <w:rPr>
                <w:rFonts w:hint="eastAsia"/>
                <w:szCs w:val="21"/>
                <w:lang w:eastAsia="zh-CN"/>
              </w:rPr>
              <w:t>污染</w:t>
            </w:r>
          </w:p>
          <w:p w14:paraId="77B845B8">
            <w:pPr>
              <w:pStyle w:val="518"/>
              <w:rPr>
                <w:szCs w:val="21"/>
              </w:rPr>
            </w:pPr>
            <w:r>
              <w:rPr>
                <w:rFonts w:hint="eastAsia"/>
                <w:szCs w:val="21"/>
                <w:lang w:eastAsia="zh-CN"/>
              </w:rPr>
              <w:t>因子</w:t>
            </w:r>
          </w:p>
        </w:tc>
        <w:tc>
          <w:tcPr>
            <w:tcW w:w="1106" w:type="dxa"/>
            <w:vAlign w:val="center"/>
          </w:tcPr>
          <w:p w14:paraId="797305CA">
            <w:pPr>
              <w:pStyle w:val="518"/>
              <w:rPr>
                <w:szCs w:val="21"/>
                <w:lang w:eastAsia="zh-CN"/>
              </w:rPr>
            </w:pPr>
            <w:r>
              <w:rPr>
                <w:rFonts w:hint="eastAsia"/>
                <w:szCs w:val="21"/>
                <w:lang w:eastAsia="zh-CN"/>
              </w:rPr>
              <w:t>标准值</w:t>
            </w:r>
          </w:p>
        </w:tc>
        <w:tc>
          <w:tcPr>
            <w:tcW w:w="951" w:type="dxa"/>
            <w:vAlign w:val="center"/>
          </w:tcPr>
          <w:p w14:paraId="69C8FB6D">
            <w:pPr>
              <w:pStyle w:val="518"/>
              <w:rPr>
                <w:szCs w:val="21"/>
                <w:lang w:eastAsia="zh-CN"/>
              </w:rPr>
            </w:pPr>
            <w:r>
              <w:rPr>
                <w:rFonts w:hint="eastAsia"/>
                <w:szCs w:val="21"/>
                <w:lang w:eastAsia="zh-CN"/>
              </w:rPr>
              <w:t>污染</w:t>
            </w:r>
          </w:p>
          <w:p w14:paraId="0CD7BE6A">
            <w:pPr>
              <w:pStyle w:val="518"/>
              <w:rPr>
                <w:szCs w:val="21"/>
                <w:lang w:eastAsia="zh-CN"/>
              </w:rPr>
            </w:pPr>
            <w:r>
              <w:rPr>
                <w:rFonts w:hint="eastAsia"/>
                <w:szCs w:val="21"/>
                <w:lang w:eastAsia="zh-CN"/>
              </w:rPr>
              <w:t>因子</w:t>
            </w:r>
          </w:p>
        </w:tc>
        <w:tc>
          <w:tcPr>
            <w:tcW w:w="1092" w:type="dxa"/>
            <w:vAlign w:val="center"/>
          </w:tcPr>
          <w:p w14:paraId="119AD81C">
            <w:pPr>
              <w:pStyle w:val="518"/>
              <w:rPr>
                <w:szCs w:val="21"/>
                <w:lang w:eastAsia="zh-CN"/>
              </w:rPr>
            </w:pPr>
            <w:r>
              <w:rPr>
                <w:rFonts w:hint="eastAsia"/>
                <w:szCs w:val="21"/>
                <w:lang w:eastAsia="zh-CN"/>
              </w:rPr>
              <w:t>标准值</w:t>
            </w:r>
          </w:p>
        </w:tc>
      </w:tr>
      <w:tr w14:paraId="50D4FA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28" w:type="dxa"/>
            <w:vAlign w:val="center"/>
          </w:tcPr>
          <w:p w14:paraId="64DDDEC6">
            <w:pPr>
              <w:pStyle w:val="518"/>
              <w:rPr>
                <w:szCs w:val="21"/>
                <w:lang w:eastAsia="zh-CN"/>
              </w:rPr>
            </w:pPr>
            <w:r>
              <w:rPr>
                <w:szCs w:val="21"/>
              </w:rPr>
              <w:t>PH</w:t>
            </w:r>
          </w:p>
        </w:tc>
        <w:tc>
          <w:tcPr>
            <w:tcW w:w="923" w:type="dxa"/>
            <w:vAlign w:val="center"/>
          </w:tcPr>
          <w:p w14:paraId="56E93E66">
            <w:pPr>
              <w:pStyle w:val="518"/>
              <w:rPr>
                <w:szCs w:val="21"/>
              </w:rPr>
            </w:pPr>
            <w:r>
              <w:rPr>
                <w:szCs w:val="21"/>
              </w:rPr>
              <w:t>6.5～8.5</w:t>
            </w:r>
          </w:p>
        </w:tc>
        <w:tc>
          <w:tcPr>
            <w:tcW w:w="961" w:type="dxa"/>
            <w:vAlign w:val="center"/>
          </w:tcPr>
          <w:p w14:paraId="322B4FB5">
            <w:pPr>
              <w:pStyle w:val="518"/>
              <w:rPr>
                <w:szCs w:val="21"/>
              </w:rPr>
            </w:pPr>
            <w:r>
              <w:rPr>
                <w:szCs w:val="21"/>
              </w:rPr>
              <w:t>总硬度</w:t>
            </w:r>
          </w:p>
        </w:tc>
        <w:tc>
          <w:tcPr>
            <w:tcW w:w="898" w:type="dxa"/>
            <w:vAlign w:val="center"/>
          </w:tcPr>
          <w:p w14:paraId="48C854D3">
            <w:pPr>
              <w:pStyle w:val="518"/>
              <w:rPr>
                <w:szCs w:val="21"/>
              </w:rPr>
            </w:pPr>
            <w:r>
              <w:rPr>
                <w:rFonts w:hint="eastAsia"/>
                <w:szCs w:val="21"/>
              </w:rPr>
              <w:t>≤</w:t>
            </w:r>
            <w:r>
              <w:rPr>
                <w:rFonts w:hint="eastAsia"/>
                <w:szCs w:val="21"/>
                <w:lang w:eastAsia="zh-CN"/>
              </w:rPr>
              <w:t>450</w:t>
            </w:r>
          </w:p>
        </w:tc>
        <w:tc>
          <w:tcPr>
            <w:tcW w:w="873" w:type="dxa"/>
            <w:vAlign w:val="center"/>
          </w:tcPr>
          <w:p w14:paraId="737D4089">
            <w:pPr>
              <w:pStyle w:val="518"/>
              <w:rPr>
                <w:szCs w:val="21"/>
              </w:rPr>
            </w:pPr>
            <w:r>
              <w:rPr>
                <w:szCs w:val="21"/>
                <w:lang w:eastAsia="zh-CN"/>
              </w:rPr>
              <w:t>六价铬</w:t>
            </w:r>
          </w:p>
        </w:tc>
        <w:tc>
          <w:tcPr>
            <w:tcW w:w="1106" w:type="dxa"/>
            <w:vAlign w:val="center"/>
          </w:tcPr>
          <w:p w14:paraId="12EC5E44">
            <w:pPr>
              <w:pStyle w:val="518"/>
              <w:rPr>
                <w:szCs w:val="21"/>
              </w:rPr>
            </w:pPr>
            <w:r>
              <w:rPr>
                <w:rFonts w:hint="eastAsia"/>
                <w:szCs w:val="21"/>
              </w:rPr>
              <w:t>≤</w:t>
            </w:r>
            <w:r>
              <w:rPr>
                <w:rFonts w:hint="eastAsia"/>
                <w:szCs w:val="21"/>
                <w:lang w:eastAsia="zh-CN"/>
              </w:rPr>
              <w:t>0.05</w:t>
            </w:r>
          </w:p>
        </w:tc>
        <w:tc>
          <w:tcPr>
            <w:tcW w:w="951" w:type="dxa"/>
            <w:vAlign w:val="center"/>
          </w:tcPr>
          <w:p w14:paraId="712DF70B">
            <w:pPr>
              <w:pStyle w:val="518"/>
              <w:rPr>
                <w:szCs w:val="21"/>
                <w:lang w:eastAsia="zh-CN"/>
              </w:rPr>
            </w:pPr>
            <w:r>
              <w:rPr>
                <w:szCs w:val="21"/>
                <w:lang w:eastAsia="zh-CN"/>
              </w:rPr>
              <w:t>砷</w:t>
            </w:r>
          </w:p>
        </w:tc>
        <w:tc>
          <w:tcPr>
            <w:tcW w:w="1092" w:type="dxa"/>
            <w:vAlign w:val="center"/>
          </w:tcPr>
          <w:p w14:paraId="654E375A">
            <w:pPr>
              <w:pStyle w:val="518"/>
              <w:rPr>
                <w:szCs w:val="21"/>
              </w:rPr>
            </w:pPr>
            <w:r>
              <w:rPr>
                <w:rFonts w:hint="eastAsia"/>
                <w:szCs w:val="21"/>
              </w:rPr>
              <w:t>≤</w:t>
            </w:r>
            <w:r>
              <w:rPr>
                <w:rFonts w:hint="eastAsia"/>
                <w:szCs w:val="21"/>
                <w:lang w:eastAsia="zh-CN"/>
              </w:rPr>
              <w:t>0.05</w:t>
            </w:r>
          </w:p>
        </w:tc>
      </w:tr>
      <w:tr w14:paraId="491AEF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28" w:type="dxa"/>
            <w:vAlign w:val="center"/>
          </w:tcPr>
          <w:p w14:paraId="18803E5B">
            <w:pPr>
              <w:pStyle w:val="518"/>
              <w:rPr>
                <w:szCs w:val="21"/>
                <w:lang w:eastAsia="zh-CN"/>
              </w:rPr>
            </w:pPr>
            <w:r>
              <w:rPr>
                <w:szCs w:val="21"/>
              </w:rPr>
              <w:t>氯化物</w:t>
            </w:r>
          </w:p>
        </w:tc>
        <w:tc>
          <w:tcPr>
            <w:tcW w:w="923" w:type="dxa"/>
            <w:vAlign w:val="center"/>
          </w:tcPr>
          <w:p w14:paraId="556D8FCB">
            <w:pPr>
              <w:pStyle w:val="518"/>
              <w:rPr>
                <w:szCs w:val="21"/>
              </w:rPr>
            </w:pPr>
            <w:r>
              <w:rPr>
                <w:rFonts w:hint="eastAsia"/>
                <w:szCs w:val="21"/>
              </w:rPr>
              <w:t>≤</w:t>
            </w:r>
            <w:r>
              <w:rPr>
                <w:szCs w:val="21"/>
              </w:rPr>
              <w:t>250</w:t>
            </w:r>
          </w:p>
        </w:tc>
        <w:tc>
          <w:tcPr>
            <w:tcW w:w="961" w:type="dxa"/>
            <w:vAlign w:val="center"/>
          </w:tcPr>
          <w:p w14:paraId="65D0316A">
            <w:pPr>
              <w:pStyle w:val="518"/>
              <w:rPr>
                <w:szCs w:val="21"/>
              </w:rPr>
            </w:pPr>
            <w:r>
              <w:rPr>
                <w:szCs w:val="21"/>
                <w:lang w:eastAsia="zh-CN"/>
              </w:rPr>
              <w:t>硫酸盐</w:t>
            </w:r>
          </w:p>
        </w:tc>
        <w:tc>
          <w:tcPr>
            <w:tcW w:w="898" w:type="dxa"/>
            <w:vAlign w:val="center"/>
          </w:tcPr>
          <w:p w14:paraId="1B8B5A25">
            <w:pPr>
              <w:pStyle w:val="518"/>
              <w:rPr>
                <w:szCs w:val="21"/>
              </w:rPr>
            </w:pPr>
            <w:r>
              <w:rPr>
                <w:rFonts w:hint="eastAsia"/>
                <w:szCs w:val="21"/>
              </w:rPr>
              <w:t>≤</w:t>
            </w:r>
            <w:r>
              <w:rPr>
                <w:rFonts w:hint="eastAsia"/>
                <w:szCs w:val="21"/>
                <w:lang w:eastAsia="zh-CN"/>
              </w:rPr>
              <w:t>250</w:t>
            </w:r>
          </w:p>
        </w:tc>
        <w:tc>
          <w:tcPr>
            <w:tcW w:w="873" w:type="dxa"/>
            <w:vAlign w:val="center"/>
          </w:tcPr>
          <w:p w14:paraId="45130A3D">
            <w:pPr>
              <w:pStyle w:val="518"/>
              <w:rPr>
                <w:szCs w:val="21"/>
              </w:rPr>
            </w:pPr>
            <w:r>
              <w:rPr>
                <w:szCs w:val="21"/>
                <w:lang w:eastAsia="zh-CN"/>
              </w:rPr>
              <w:t>锰</w:t>
            </w:r>
          </w:p>
        </w:tc>
        <w:tc>
          <w:tcPr>
            <w:tcW w:w="1106" w:type="dxa"/>
            <w:vAlign w:val="center"/>
          </w:tcPr>
          <w:p w14:paraId="09EACE61">
            <w:pPr>
              <w:pStyle w:val="518"/>
              <w:rPr>
                <w:szCs w:val="21"/>
              </w:rPr>
            </w:pPr>
            <w:r>
              <w:rPr>
                <w:rFonts w:hint="eastAsia"/>
                <w:szCs w:val="21"/>
              </w:rPr>
              <w:t>≤</w:t>
            </w:r>
            <w:r>
              <w:rPr>
                <w:rFonts w:hint="eastAsia"/>
                <w:szCs w:val="21"/>
                <w:lang w:eastAsia="zh-CN"/>
              </w:rPr>
              <w:t>0.1</w:t>
            </w:r>
          </w:p>
        </w:tc>
        <w:tc>
          <w:tcPr>
            <w:tcW w:w="951" w:type="dxa"/>
            <w:vAlign w:val="center"/>
          </w:tcPr>
          <w:p w14:paraId="206E36B6">
            <w:pPr>
              <w:pStyle w:val="518"/>
              <w:rPr>
                <w:szCs w:val="21"/>
                <w:lang w:eastAsia="zh-CN"/>
              </w:rPr>
            </w:pPr>
            <w:r>
              <w:rPr>
                <w:szCs w:val="21"/>
                <w:lang w:eastAsia="zh-CN"/>
              </w:rPr>
              <w:t>汞</w:t>
            </w:r>
          </w:p>
        </w:tc>
        <w:tc>
          <w:tcPr>
            <w:tcW w:w="1092" w:type="dxa"/>
            <w:vAlign w:val="center"/>
          </w:tcPr>
          <w:p w14:paraId="40E80EB4">
            <w:pPr>
              <w:pStyle w:val="518"/>
              <w:rPr>
                <w:szCs w:val="21"/>
              </w:rPr>
            </w:pPr>
            <w:r>
              <w:rPr>
                <w:rFonts w:hint="eastAsia"/>
                <w:szCs w:val="21"/>
              </w:rPr>
              <w:t>≤</w:t>
            </w:r>
            <w:r>
              <w:rPr>
                <w:rFonts w:hint="eastAsia"/>
                <w:szCs w:val="21"/>
                <w:lang w:eastAsia="zh-CN"/>
              </w:rPr>
              <w:t>0.001</w:t>
            </w:r>
          </w:p>
        </w:tc>
      </w:tr>
      <w:tr w14:paraId="74F108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28" w:type="dxa"/>
            <w:vAlign w:val="center"/>
          </w:tcPr>
          <w:p w14:paraId="5DFD21D9">
            <w:pPr>
              <w:pStyle w:val="518"/>
              <w:rPr>
                <w:szCs w:val="21"/>
                <w:lang w:eastAsia="zh-CN"/>
              </w:rPr>
            </w:pPr>
            <w:r>
              <w:rPr>
                <w:szCs w:val="21"/>
              </w:rPr>
              <w:t>高锰酸盐指数</w:t>
            </w:r>
          </w:p>
        </w:tc>
        <w:tc>
          <w:tcPr>
            <w:tcW w:w="923" w:type="dxa"/>
            <w:vAlign w:val="center"/>
          </w:tcPr>
          <w:p w14:paraId="30FF7FAC">
            <w:pPr>
              <w:pStyle w:val="518"/>
              <w:rPr>
                <w:szCs w:val="21"/>
              </w:rPr>
            </w:pPr>
            <w:r>
              <w:rPr>
                <w:rFonts w:hint="eastAsia"/>
                <w:szCs w:val="21"/>
              </w:rPr>
              <w:t>≤</w:t>
            </w:r>
            <w:r>
              <w:rPr>
                <w:rFonts w:hint="eastAsia"/>
                <w:szCs w:val="21"/>
                <w:lang w:eastAsia="zh-CN"/>
              </w:rPr>
              <w:t>3.0</w:t>
            </w:r>
          </w:p>
        </w:tc>
        <w:tc>
          <w:tcPr>
            <w:tcW w:w="961" w:type="dxa"/>
            <w:vAlign w:val="center"/>
          </w:tcPr>
          <w:p w14:paraId="2C7F5E01">
            <w:pPr>
              <w:pStyle w:val="518"/>
              <w:rPr>
                <w:szCs w:val="21"/>
              </w:rPr>
            </w:pPr>
            <w:r>
              <w:rPr>
                <w:szCs w:val="21"/>
                <w:lang w:eastAsia="zh-CN"/>
              </w:rPr>
              <w:t>氟化物</w:t>
            </w:r>
          </w:p>
        </w:tc>
        <w:tc>
          <w:tcPr>
            <w:tcW w:w="898" w:type="dxa"/>
            <w:vAlign w:val="center"/>
          </w:tcPr>
          <w:p w14:paraId="5A5CAC13">
            <w:pPr>
              <w:pStyle w:val="518"/>
              <w:rPr>
                <w:szCs w:val="21"/>
              </w:rPr>
            </w:pPr>
            <w:r>
              <w:rPr>
                <w:rFonts w:hint="eastAsia"/>
                <w:szCs w:val="21"/>
              </w:rPr>
              <w:t>≤</w:t>
            </w:r>
            <w:r>
              <w:rPr>
                <w:rFonts w:hint="eastAsia"/>
                <w:szCs w:val="21"/>
                <w:lang w:eastAsia="zh-CN"/>
              </w:rPr>
              <w:t>1.0</w:t>
            </w:r>
          </w:p>
        </w:tc>
        <w:tc>
          <w:tcPr>
            <w:tcW w:w="873" w:type="dxa"/>
            <w:vAlign w:val="center"/>
          </w:tcPr>
          <w:p w14:paraId="1E8B91B4">
            <w:pPr>
              <w:pStyle w:val="518"/>
              <w:rPr>
                <w:szCs w:val="21"/>
              </w:rPr>
            </w:pPr>
            <w:r>
              <w:rPr>
                <w:szCs w:val="21"/>
                <w:lang w:eastAsia="zh-CN"/>
              </w:rPr>
              <w:t>铁</w:t>
            </w:r>
          </w:p>
        </w:tc>
        <w:tc>
          <w:tcPr>
            <w:tcW w:w="1106" w:type="dxa"/>
            <w:vAlign w:val="center"/>
          </w:tcPr>
          <w:p w14:paraId="34A4EA70">
            <w:pPr>
              <w:pStyle w:val="518"/>
              <w:rPr>
                <w:szCs w:val="21"/>
              </w:rPr>
            </w:pPr>
            <w:r>
              <w:rPr>
                <w:rFonts w:hint="eastAsia"/>
                <w:szCs w:val="21"/>
              </w:rPr>
              <w:t>≤</w:t>
            </w:r>
            <w:r>
              <w:rPr>
                <w:rFonts w:hint="eastAsia"/>
                <w:szCs w:val="21"/>
                <w:lang w:eastAsia="zh-CN"/>
              </w:rPr>
              <w:t>0.3</w:t>
            </w:r>
          </w:p>
        </w:tc>
        <w:tc>
          <w:tcPr>
            <w:tcW w:w="951" w:type="dxa"/>
            <w:vAlign w:val="center"/>
          </w:tcPr>
          <w:p w14:paraId="1FAB8443">
            <w:pPr>
              <w:pStyle w:val="518"/>
              <w:rPr>
                <w:szCs w:val="21"/>
                <w:lang w:eastAsia="zh-CN"/>
              </w:rPr>
            </w:pPr>
            <w:r>
              <w:rPr>
                <w:rFonts w:hint="eastAsia"/>
                <w:szCs w:val="21"/>
                <w:lang w:eastAsia="zh-CN"/>
              </w:rPr>
              <w:t>氨氮</w:t>
            </w:r>
          </w:p>
        </w:tc>
        <w:tc>
          <w:tcPr>
            <w:tcW w:w="1092" w:type="dxa"/>
            <w:vAlign w:val="center"/>
          </w:tcPr>
          <w:p w14:paraId="7635888D">
            <w:pPr>
              <w:pStyle w:val="518"/>
              <w:rPr>
                <w:szCs w:val="21"/>
              </w:rPr>
            </w:pPr>
            <w:r>
              <w:rPr>
                <w:rFonts w:hint="eastAsia"/>
                <w:szCs w:val="21"/>
              </w:rPr>
              <w:t>≤</w:t>
            </w:r>
            <w:r>
              <w:rPr>
                <w:rFonts w:hint="eastAsia"/>
                <w:szCs w:val="21"/>
                <w:lang w:eastAsia="zh-CN"/>
              </w:rPr>
              <w:t>0.2</w:t>
            </w:r>
          </w:p>
        </w:tc>
      </w:tr>
      <w:tr w14:paraId="2F71C8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28" w:type="dxa"/>
            <w:vAlign w:val="center"/>
          </w:tcPr>
          <w:p w14:paraId="5193C935">
            <w:pPr>
              <w:pStyle w:val="518"/>
              <w:rPr>
                <w:szCs w:val="21"/>
                <w:lang w:eastAsia="zh-CN"/>
              </w:rPr>
            </w:pPr>
            <w:r>
              <w:rPr>
                <w:szCs w:val="21"/>
              </w:rPr>
              <w:t>石油类</w:t>
            </w:r>
          </w:p>
        </w:tc>
        <w:tc>
          <w:tcPr>
            <w:tcW w:w="923" w:type="dxa"/>
            <w:vAlign w:val="center"/>
          </w:tcPr>
          <w:p w14:paraId="1AEE0779">
            <w:pPr>
              <w:pStyle w:val="518"/>
              <w:rPr>
                <w:szCs w:val="21"/>
                <w:lang w:eastAsia="zh-CN"/>
              </w:rPr>
            </w:pPr>
            <w:r>
              <w:rPr>
                <w:rFonts w:hint="eastAsia"/>
                <w:szCs w:val="21"/>
              </w:rPr>
              <w:t>≤</w:t>
            </w:r>
            <w:r>
              <w:rPr>
                <w:rFonts w:hint="eastAsia"/>
                <w:szCs w:val="21"/>
                <w:lang w:eastAsia="zh-CN"/>
              </w:rPr>
              <w:t>0.05</w:t>
            </w:r>
          </w:p>
        </w:tc>
        <w:tc>
          <w:tcPr>
            <w:tcW w:w="961" w:type="dxa"/>
            <w:vAlign w:val="center"/>
          </w:tcPr>
          <w:p w14:paraId="11E03D3B">
            <w:pPr>
              <w:pStyle w:val="518"/>
              <w:rPr>
                <w:szCs w:val="21"/>
              </w:rPr>
            </w:pPr>
            <w:r>
              <w:rPr>
                <w:szCs w:val="21"/>
                <w:lang w:eastAsia="zh-CN"/>
              </w:rPr>
              <w:t>溶解性总固体</w:t>
            </w:r>
          </w:p>
        </w:tc>
        <w:tc>
          <w:tcPr>
            <w:tcW w:w="898" w:type="dxa"/>
            <w:vAlign w:val="center"/>
          </w:tcPr>
          <w:p w14:paraId="53A0E16C">
            <w:pPr>
              <w:pStyle w:val="518"/>
              <w:rPr>
                <w:szCs w:val="21"/>
              </w:rPr>
            </w:pPr>
            <w:r>
              <w:rPr>
                <w:rFonts w:hint="eastAsia"/>
                <w:szCs w:val="21"/>
              </w:rPr>
              <w:t>≤</w:t>
            </w:r>
            <w:r>
              <w:rPr>
                <w:rFonts w:hint="eastAsia"/>
                <w:szCs w:val="21"/>
                <w:lang w:eastAsia="zh-CN"/>
              </w:rPr>
              <w:t>1000</w:t>
            </w:r>
          </w:p>
        </w:tc>
        <w:tc>
          <w:tcPr>
            <w:tcW w:w="873" w:type="dxa"/>
            <w:vAlign w:val="center"/>
          </w:tcPr>
          <w:p w14:paraId="7B5FBEF5">
            <w:pPr>
              <w:pStyle w:val="518"/>
              <w:rPr>
                <w:szCs w:val="21"/>
              </w:rPr>
            </w:pPr>
            <w:r>
              <w:rPr>
                <w:szCs w:val="21"/>
                <w:lang w:eastAsia="zh-CN"/>
              </w:rPr>
              <w:t>锌</w:t>
            </w:r>
          </w:p>
        </w:tc>
        <w:tc>
          <w:tcPr>
            <w:tcW w:w="1106" w:type="dxa"/>
            <w:vAlign w:val="center"/>
          </w:tcPr>
          <w:p w14:paraId="6DFC4BDC">
            <w:pPr>
              <w:pStyle w:val="518"/>
              <w:rPr>
                <w:szCs w:val="21"/>
              </w:rPr>
            </w:pPr>
            <w:r>
              <w:rPr>
                <w:rFonts w:hint="eastAsia"/>
                <w:szCs w:val="21"/>
              </w:rPr>
              <w:t>≤</w:t>
            </w:r>
            <w:r>
              <w:rPr>
                <w:rFonts w:hint="eastAsia"/>
                <w:szCs w:val="21"/>
                <w:lang w:eastAsia="zh-CN"/>
              </w:rPr>
              <w:t>1.0</w:t>
            </w:r>
          </w:p>
        </w:tc>
        <w:tc>
          <w:tcPr>
            <w:tcW w:w="951" w:type="dxa"/>
            <w:vAlign w:val="center"/>
          </w:tcPr>
          <w:p w14:paraId="00E72BEC">
            <w:pPr>
              <w:pStyle w:val="518"/>
              <w:rPr>
                <w:szCs w:val="21"/>
                <w:lang w:eastAsia="zh-CN"/>
              </w:rPr>
            </w:pPr>
            <w:r>
              <w:rPr>
                <w:szCs w:val="21"/>
                <w:lang w:eastAsia="zh-CN"/>
              </w:rPr>
              <w:t>总大肠菌群</w:t>
            </w:r>
          </w:p>
        </w:tc>
        <w:tc>
          <w:tcPr>
            <w:tcW w:w="1092" w:type="dxa"/>
            <w:vAlign w:val="center"/>
          </w:tcPr>
          <w:p w14:paraId="17291B89">
            <w:pPr>
              <w:pStyle w:val="518"/>
              <w:rPr>
                <w:szCs w:val="21"/>
              </w:rPr>
            </w:pPr>
            <w:r>
              <w:rPr>
                <w:rFonts w:hint="eastAsia"/>
                <w:szCs w:val="21"/>
              </w:rPr>
              <w:t>≤</w:t>
            </w:r>
            <w:r>
              <w:rPr>
                <w:rFonts w:hint="eastAsia"/>
                <w:szCs w:val="21"/>
                <w:lang w:eastAsia="zh-CN"/>
              </w:rPr>
              <w:t>3.0</w:t>
            </w:r>
          </w:p>
        </w:tc>
      </w:tr>
      <w:tr w14:paraId="19BB00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28" w:type="dxa"/>
            <w:vAlign w:val="center"/>
          </w:tcPr>
          <w:p w14:paraId="12A99BD1">
            <w:pPr>
              <w:pStyle w:val="518"/>
              <w:rPr>
                <w:szCs w:val="21"/>
                <w:lang w:eastAsia="zh-CN"/>
              </w:rPr>
            </w:pPr>
            <w:r>
              <w:rPr>
                <w:szCs w:val="21"/>
                <w:lang w:eastAsia="zh-CN"/>
              </w:rPr>
              <w:t>硝酸盐氮</w:t>
            </w:r>
          </w:p>
        </w:tc>
        <w:tc>
          <w:tcPr>
            <w:tcW w:w="923" w:type="dxa"/>
            <w:vAlign w:val="center"/>
          </w:tcPr>
          <w:p w14:paraId="45E35697">
            <w:pPr>
              <w:pStyle w:val="518"/>
              <w:rPr>
                <w:szCs w:val="21"/>
              </w:rPr>
            </w:pPr>
            <w:r>
              <w:rPr>
                <w:rFonts w:hint="eastAsia"/>
                <w:szCs w:val="21"/>
              </w:rPr>
              <w:t>≤</w:t>
            </w:r>
            <w:r>
              <w:rPr>
                <w:rFonts w:hint="eastAsia"/>
                <w:szCs w:val="21"/>
                <w:lang w:eastAsia="zh-CN"/>
              </w:rPr>
              <w:t>20</w:t>
            </w:r>
          </w:p>
        </w:tc>
        <w:tc>
          <w:tcPr>
            <w:tcW w:w="961" w:type="dxa"/>
            <w:vAlign w:val="center"/>
          </w:tcPr>
          <w:p w14:paraId="71B5996A">
            <w:pPr>
              <w:pStyle w:val="518"/>
              <w:rPr>
                <w:szCs w:val="21"/>
              </w:rPr>
            </w:pPr>
            <w:r>
              <w:rPr>
                <w:szCs w:val="21"/>
                <w:lang w:eastAsia="zh-CN"/>
              </w:rPr>
              <w:t>氰化物</w:t>
            </w:r>
          </w:p>
        </w:tc>
        <w:tc>
          <w:tcPr>
            <w:tcW w:w="898" w:type="dxa"/>
            <w:vAlign w:val="center"/>
          </w:tcPr>
          <w:p w14:paraId="569DF4D6">
            <w:pPr>
              <w:pStyle w:val="518"/>
              <w:rPr>
                <w:szCs w:val="21"/>
              </w:rPr>
            </w:pPr>
            <w:r>
              <w:rPr>
                <w:rFonts w:hint="eastAsia"/>
                <w:szCs w:val="21"/>
              </w:rPr>
              <w:t>≤</w:t>
            </w:r>
            <w:r>
              <w:rPr>
                <w:rFonts w:hint="eastAsia"/>
                <w:szCs w:val="21"/>
                <w:lang w:eastAsia="zh-CN"/>
              </w:rPr>
              <w:t>0.05</w:t>
            </w:r>
          </w:p>
        </w:tc>
        <w:tc>
          <w:tcPr>
            <w:tcW w:w="873" w:type="dxa"/>
            <w:vAlign w:val="center"/>
          </w:tcPr>
          <w:p w14:paraId="4082A671">
            <w:pPr>
              <w:pStyle w:val="518"/>
              <w:rPr>
                <w:szCs w:val="21"/>
              </w:rPr>
            </w:pPr>
            <w:r>
              <w:rPr>
                <w:szCs w:val="21"/>
                <w:lang w:eastAsia="zh-CN"/>
              </w:rPr>
              <w:t>铅</w:t>
            </w:r>
          </w:p>
        </w:tc>
        <w:tc>
          <w:tcPr>
            <w:tcW w:w="1106" w:type="dxa"/>
            <w:vAlign w:val="center"/>
          </w:tcPr>
          <w:p w14:paraId="7EE9A61B">
            <w:pPr>
              <w:pStyle w:val="518"/>
              <w:rPr>
                <w:szCs w:val="21"/>
              </w:rPr>
            </w:pPr>
            <w:r>
              <w:rPr>
                <w:rFonts w:hint="eastAsia"/>
                <w:szCs w:val="21"/>
              </w:rPr>
              <w:t>≤</w:t>
            </w:r>
            <w:r>
              <w:rPr>
                <w:rFonts w:hint="eastAsia"/>
                <w:szCs w:val="21"/>
                <w:lang w:eastAsia="zh-CN"/>
              </w:rPr>
              <w:t>0.05</w:t>
            </w:r>
          </w:p>
        </w:tc>
        <w:tc>
          <w:tcPr>
            <w:tcW w:w="951" w:type="dxa"/>
            <w:vAlign w:val="center"/>
          </w:tcPr>
          <w:p w14:paraId="671CA096">
            <w:pPr>
              <w:pStyle w:val="518"/>
              <w:rPr>
                <w:szCs w:val="21"/>
                <w:lang w:eastAsia="zh-CN"/>
              </w:rPr>
            </w:pPr>
            <w:r>
              <w:rPr>
                <w:szCs w:val="21"/>
              </w:rPr>
              <w:t>细菌总数(个/ml)</w:t>
            </w:r>
          </w:p>
        </w:tc>
        <w:tc>
          <w:tcPr>
            <w:tcW w:w="1092" w:type="dxa"/>
            <w:vAlign w:val="center"/>
          </w:tcPr>
          <w:p w14:paraId="7DE2A3E8">
            <w:pPr>
              <w:pStyle w:val="518"/>
              <w:rPr>
                <w:szCs w:val="21"/>
              </w:rPr>
            </w:pPr>
            <w:r>
              <w:rPr>
                <w:rFonts w:hint="eastAsia"/>
                <w:szCs w:val="21"/>
              </w:rPr>
              <w:t>≤</w:t>
            </w:r>
            <w:r>
              <w:rPr>
                <w:rFonts w:hint="eastAsia"/>
                <w:szCs w:val="21"/>
                <w:lang w:eastAsia="zh-CN"/>
              </w:rPr>
              <w:t>1000</w:t>
            </w:r>
          </w:p>
        </w:tc>
      </w:tr>
      <w:tr w14:paraId="190604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28" w:type="dxa"/>
            <w:vAlign w:val="center"/>
          </w:tcPr>
          <w:p w14:paraId="266BE123">
            <w:pPr>
              <w:pStyle w:val="518"/>
              <w:rPr>
                <w:szCs w:val="21"/>
                <w:lang w:eastAsia="zh-CN"/>
              </w:rPr>
            </w:pPr>
            <w:r>
              <w:rPr>
                <w:szCs w:val="21"/>
                <w:lang w:eastAsia="zh-CN"/>
              </w:rPr>
              <w:t>亚硝酸盐氮</w:t>
            </w:r>
          </w:p>
        </w:tc>
        <w:tc>
          <w:tcPr>
            <w:tcW w:w="923" w:type="dxa"/>
            <w:vAlign w:val="center"/>
          </w:tcPr>
          <w:p w14:paraId="0C429314">
            <w:pPr>
              <w:pStyle w:val="518"/>
              <w:rPr>
                <w:szCs w:val="21"/>
                <w:lang w:eastAsia="zh-CN"/>
              </w:rPr>
            </w:pPr>
            <w:r>
              <w:rPr>
                <w:rFonts w:hint="eastAsia"/>
                <w:szCs w:val="21"/>
              </w:rPr>
              <w:t>≤</w:t>
            </w:r>
            <w:r>
              <w:rPr>
                <w:rFonts w:hint="eastAsia"/>
                <w:szCs w:val="21"/>
                <w:lang w:eastAsia="zh-CN"/>
              </w:rPr>
              <w:t>0.02</w:t>
            </w:r>
          </w:p>
        </w:tc>
        <w:tc>
          <w:tcPr>
            <w:tcW w:w="961" w:type="dxa"/>
            <w:vAlign w:val="center"/>
          </w:tcPr>
          <w:p w14:paraId="489AA140">
            <w:pPr>
              <w:pStyle w:val="518"/>
              <w:rPr>
                <w:szCs w:val="21"/>
              </w:rPr>
            </w:pPr>
            <w:r>
              <w:rPr>
                <w:szCs w:val="21"/>
                <w:lang w:eastAsia="zh-CN"/>
              </w:rPr>
              <w:t>挥发性酚类</w:t>
            </w:r>
          </w:p>
        </w:tc>
        <w:tc>
          <w:tcPr>
            <w:tcW w:w="898" w:type="dxa"/>
            <w:vAlign w:val="center"/>
          </w:tcPr>
          <w:p w14:paraId="27A02D88">
            <w:pPr>
              <w:pStyle w:val="518"/>
              <w:rPr>
                <w:szCs w:val="21"/>
              </w:rPr>
            </w:pPr>
            <w:r>
              <w:rPr>
                <w:rFonts w:hint="eastAsia"/>
                <w:szCs w:val="21"/>
              </w:rPr>
              <w:t>≤</w:t>
            </w:r>
            <w:r>
              <w:rPr>
                <w:rFonts w:hint="eastAsia"/>
                <w:szCs w:val="21"/>
                <w:lang w:eastAsia="zh-CN"/>
              </w:rPr>
              <w:t>0.002</w:t>
            </w:r>
          </w:p>
        </w:tc>
        <w:tc>
          <w:tcPr>
            <w:tcW w:w="873" w:type="dxa"/>
            <w:vAlign w:val="center"/>
          </w:tcPr>
          <w:p w14:paraId="769F390B">
            <w:pPr>
              <w:pStyle w:val="518"/>
              <w:rPr>
                <w:szCs w:val="21"/>
              </w:rPr>
            </w:pPr>
            <w:r>
              <w:rPr>
                <w:szCs w:val="21"/>
                <w:lang w:eastAsia="zh-CN"/>
              </w:rPr>
              <w:t>镉</w:t>
            </w:r>
          </w:p>
        </w:tc>
        <w:tc>
          <w:tcPr>
            <w:tcW w:w="1106" w:type="dxa"/>
            <w:vAlign w:val="center"/>
          </w:tcPr>
          <w:p w14:paraId="596CF8F9">
            <w:pPr>
              <w:pStyle w:val="518"/>
              <w:rPr>
                <w:szCs w:val="21"/>
              </w:rPr>
            </w:pPr>
            <w:r>
              <w:rPr>
                <w:rFonts w:hint="eastAsia"/>
                <w:szCs w:val="21"/>
              </w:rPr>
              <w:t>≤</w:t>
            </w:r>
            <w:r>
              <w:rPr>
                <w:rFonts w:hint="eastAsia"/>
                <w:szCs w:val="21"/>
                <w:lang w:eastAsia="zh-CN"/>
              </w:rPr>
              <w:t>0.01</w:t>
            </w:r>
          </w:p>
        </w:tc>
        <w:tc>
          <w:tcPr>
            <w:tcW w:w="951" w:type="dxa"/>
            <w:vAlign w:val="center"/>
          </w:tcPr>
          <w:p w14:paraId="28B5B394">
            <w:pPr>
              <w:pStyle w:val="518"/>
              <w:rPr>
                <w:szCs w:val="21"/>
                <w:lang w:eastAsia="zh-CN"/>
              </w:rPr>
            </w:pPr>
          </w:p>
        </w:tc>
        <w:tc>
          <w:tcPr>
            <w:tcW w:w="1092" w:type="dxa"/>
            <w:vAlign w:val="center"/>
          </w:tcPr>
          <w:p w14:paraId="1C2AEEF2">
            <w:pPr>
              <w:pStyle w:val="518"/>
              <w:rPr>
                <w:szCs w:val="21"/>
              </w:rPr>
            </w:pPr>
            <w:r>
              <w:rPr>
                <w:rFonts w:hint="eastAsia"/>
                <w:szCs w:val="21"/>
              </w:rPr>
              <w:t>≤</w:t>
            </w:r>
          </w:p>
        </w:tc>
      </w:tr>
    </w:tbl>
    <w:p w14:paraId="4B998335">
      <w:pPr>
        <w:ind w:firstLine="360"/>
        <w:rPr>
          <w:rFonts w:asciiTheme="minorEastAsia" w:hAnsiTheme="minorEastAsia" w:eastAsiaTheme="minorEastAsia"/>
          <w:sz w:val="18"/>
          <w:szCs w:val="18"/>
          <w:lang w:eastAsia="zh-CN"/>
        </w:rPr>
      </w:pPr>
      <w:r>
        <w:rPr>
          <w:rFonts w:asciiTheme="minorEastAsia" w:hAnsiTheme="minorEastAsia" w:eastAsiaTheme="minorEastAsia"/>
          <w:sz w:val="18"/>
          <w:szCs w:val="18"/>
          <w:lang w:eastAsia="zh-CN"/>
        </w:rPr>
        <w:t>注：石油类参照《地表水环境质量标准》（GB 3838-2002）I类标准执行。</w:t>
      </w:r>
    </w:p>
    <w:p w14:paraId="6FCE2E80">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（3）</w:t>
      </w:r>
      <w:r>
        <w:rPr>
          <w:rFonts w:asciiTheme="minorEastAsia" w:hAnsiTheme="minorEastAsia" w:eastAsiaTheme="minorEastAsia"/>
          <w:kern w:val="2"/>
          <w:szCs w:val="24"/>
          <w:lang w:eastAsia="zh-CN" w:bidi="ar-SA"/>
        </w:rPr>
        <w:t>声环境质量标准</w:t>
      </w:r>
    </w:p>
    <w:p w14:paraId="47A414A1">
      <w:pPr>
        <w:ind w:firstLine="480"/>
        <w:rPr>
          <w:rFonts w:asciiTheme="minorEastAsia" w:hAnsiTheme="minorEastAsia" w:eastAsiaTheme="minorEastAsia"/>
          <w:kern w:val="2"/>
          <w:szCs w:val="24"/>
          <w:lang w:eastAsia="zh-CN" w:bidi="ar-SA"/>
        </w:rPr>
      </w:pPr>
      <w:r>
        <w:rPr>
          <w:rFonts w:asciiTheme="minorEastAsia" w:hAnsiTheme="minorEastAsia" w:eastAsiaTheme="minorEastAsia"/>
          <w:kern w:val="2"/>
          <w:szCs w:val="24"/>
          <w:lang w:eastAsia="zh-CN" w:bidi="ar-SA"/>
        </w:rPr>
        <w:t>该区域环境噪声执行《声环境质量标准》(GB3096-2008)中2类标准，详见表1.</w:t>
      </w:r>
      <w:r>
        <w:rPr>
          <w:rFonts w:hint="eastAsia" w:asciiTheme="minorEastAsia" w:hAnsiTheme="minorEastAsia" w:eastAsiaTheme="minorEastAsia"/>
          <w:kern w:val="2"/>
          <w:szCs w:val="24"/>
          <w:lang w:eastAsia="zh-CN" w:bidi="ar-SA"/>
        </w:rPr>
        <w:t>5</w:t>
      </w:r>
      <w:r>
        <w:rPr>
          <w:rFonts w:asciiTheme="minorEastAsia" w:hAnsiTheme="minorEastAsia" w:eastAsiaTheme="minorEastAsia"/>
          <w:kern w:val="2"/>
          <w:szCs w:val="24"/>
          <w:lang w:eastAsia="zh-CN" w:bidi="ar-SA"/>
        </w:rPr>
        <w:t>-3。</w:t>
      </w:r>
    </w:p>
    <w:p w14:paraId="690BB4F6">
      <w:pPr>
        <w:pStyle w:val="127"/>
        <w:spacing w:line="240" w:lineRule="auto"/>
        <w:ind w:firstLine="241" w:firstLineChars="100"/>
        <w:rPr>
          <w:b/>
          <w:lang w:eastAsia="zh-CN"/>
        </w:rPr>
      </w:pPr>
      <w:r>
        <w:rPr>
          <w:b/>
          <w:lang w:eastAsia="zh-CN"/>
        </w:rPr>
        <w:t>表1.</w:t>
      </w:r>
      <w:r>
        <w:rPr>
          <w:rFonts w:hint="eastAsia"/>
          <w:b/>
          <w:lang w:eastAsia="zh-CN"/>
        </w:rPr>
        <w:t>5</w:t>
      </w:r>
      <w:r>
        <w:rPr>
          <w:b/>
          <w:lang w:eastAsia="zh-CN"/>
        </w:rPr>
        <w:t xml:space="preserve">-3  </w:t>
      </w:r>
      <w:r>
        <w:rPr>
          <w:rFonts w:hint="eastAsia"/>
          <w:b/>
          <w:lang w:eastAsia="zh-CN"/>
        </w:rPr>
        <w:t xml:space="preserve"> </w:t>
      </w:r>
      <w:r>
        <w:rPr>
          <w:b/>
          <w:lang w:eastAsia="zh-CN"/>
        </w:rPr>
        <w:t xml:space="preserve">声环境标准节选表 </w:t>
      </w:r>
      <w:r>
        <w:rPr>
          <w:rFonts w:hint="eastAsia"/>
          <w:b/>
          <w:lang w:eastAsia="zh-CN"/>
        </w:rPr>
        <w:t xml:space="preserve">  </w:t>
      </w:r>
      <w:r>
        <w:rPr>
          <w:b/>
          <w:lang w:eastAsia="zh-CN"/>
        </w:rPr>
        <w:t xml:space="preserve"> </w:t>
      </w:r>
      <w:r>
        <w:rPr>
          <w:b/>
          <w:szCs w:val="21"/>
          <w:lang w:eastAsia="zh-CN"/>
        </w:rPr>
        <w:t>单位： dB(A)</w:t>
      </w:r>
    </w:p>
    <w:tbl>
      <w:tblPr>
        <w:tblStyle w:val="7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21"/>
        <w:gridCol w:w="3205"/>
        <w:gridCol w:w="3203"/>
      </w:tblGrid>
      <w:tr w14:paraId="77F43F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21" w:type="dxa"/>
            <w:vMerge w:val="restart"/>
            <w:vAlign w:val="center"/>
          </w:tcPr>
          <w:p w14:paraId="751CAA41">
            <w:pPr>
              <w:pStyle w:val="518"/>
            </w:pPr>
            <w:r>
              <w:t>类别</w:t>
            </w:r>
          </w:p>
        </w:tc>
        <w:tc>
          <w:tcPr>
            <w:tcW w:w="6408" w:type="dxa"/>
            <w:gridSpan w:val="2"/>
            <w:vAlign w:val="center"/>
          </w:tcPr>
          <w:p w14:paraId="6118ACB6">
            <w:pPr>
              <w:pStyle w:val="518"/>
            </w:pPr>
            <w:r>
              <w:t>标准值(L</w:t>
            </w:r>
            <w:r>
              <w:rPr>
                <w:vertAlign w:val="subscript"/>
              </w:rPr>
              <w:t>Aeq</w:t>
            </w:r>
            <w:r>
              <w:t>)</w:t>
            </w:r>
          </w:p>
        </w:tc>
      </w:tr>
      <w:tr w14:paraId="79F8EF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121" w:type="dxa"/>
            <w:vMerge w:val="continue"/>
            <w:vAlign w:val="center"/>
          </w:tcPr>
          <w:p w14:paraId="0F080359">
            <w:pPr>
              <w:pStyle w:val="518"/>
            </w:pPr>
          </w:p>
        </w:tc>
        <w:tc>
          <w:tcPr>
            <w:tcW w:w="3205" w:type="dxa"/>
            <w:vAlign w:val="center"/>
          </w:tcPr>
          <w:p w14:paraId="58BF3436">
            <w:pPr>
              <w:pStyle w:val="518"/>
            </w:pPr>
            <w:r>
              <w:t>昼间</w:t>
            </w:r>
          </w:p>
        </w:tc>
        <w:tc>
          <w:tcPr>
            <w:tcW w:w="3203" w:type="dxa"/>
            <w:vAlign w:val="center"/>
          </w:tcPr>
          <w:p w14:paraId="582C9293">
            <w:pPr>
              <w:pStyle w:val="518"/>
            </w:pPr>
            <w:r>
              <w:t>夜间</w:t>
            </w:r>
          </w:p>
        </w:tc>
      </w:tr>
      <w:tr w14:paraId="1F2DCD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jc w:val="center"/>
        </w:trPr>
        <w:tc>
          <w:tcPr>
            <w:tcW w:w="2121" w:type="dxa"/>
            <w:vAlign w:val="center"/>
          </w:tcPr>
          <w:p w14:paraId="285EC043">
            <w:pPr>
              <w:pStyle w:val="518"/>
              <w:rPr>
                <w:lang w:eastAsia="zh-CN"/>
              </w:rPr>
            </w:pPr>
            <w:r>
              <w:t>2</w:t>
            </w:r>
          </w:p>
        </w:tc>
        <w:tc>
          <w:tcPr>
            <w:tcW w:w="3205" w:type="dxa"/>
            <w:vAlign w:val="center"/>
          </w:tcPr>
          <w:p w14:paraId="3377A856">
            <w:pPr>
              <w:pStyle w:val="518"/>
            </w:pPr>
            <w:r>
              <w:t>60</w:t>
            </w:r>
          </w:p>
        </w:tc>
        <w:tc>
          <w:tcPr>
            <w:tcW w:w="3203" w:type="dxa"/>
            <w:vAlign w:val="center"/>
          </w:tcPr>
          <w:p w14:paraId="08E2235A">
            <w:pPr>
              <w:pStyle w:val="518"/>
            </w:pPr>
            <w:r>
              <w:t>50</w:t>
            </w:r>
          </w:p>
        </w:tc>
      </w:tr>
    </w:tbl>
    <w:p w14:paraId="62EB8941">
      <w:pPr>
        <w:ind w:firstLine="480"/>
        <w:rPr>
          <w:rFonts w:asciiTheme="minorEastAsia" w:hAnsiTheme="minorEastAsia" w:eastAsiaTheme="minorEastAsia"/>
          <w:kern w:val="2"/>
          <w:szCs w:val="24"/>
          <w:lang w:eastAsia="zh-CN" w:bidi="ar-SA"/>
        </w:rPr>
      </w:pPr>
      <w:bookmarkStart w:id="81" w:name="_Toc173659622"/>
      <w:bookmarkStart w:id="82" w:name="_Toc202420677"/>
      <w:r>
        <w:rPr>
          <w:rFonts w:hint="eastAsia" w:asciiTheme="minorEastAsia" w:hAnsiTheme="minorEastAsia" w:eastAsiaTheme="minorEastAsia"/>
          <w:kern w:val="2"/>
          <w:szCs w:val="24"/>
          <w:lang w:eastAsia="zh-CN" w:bidi="ar-SA"/>
        </w:rPr>
        <w:t>（4）</w:t>
      </w:r>
      <w:r>
        <w:rPr>
          <w:rFonts w:asciiTheme="minorEastAsia" w:hAnsiTheme="minorEastAsia" w:eastAsiaTheme="minorEastAsia"/>
          <w:kern w:val="2"/>
          <w:szCs w:val="24"/>
          <w:lang w:eastAsia="zh-CN" w:bidi="ar-SA"/>
        </w:rPr>
        <w:t>土壤环境质量标准</w:t>
      </w:r>
    </w:p>
    <w:p w14:paraId="76A54CAF">
      <w:pPr>
        <w:ind w:firstLine="480"/>
        <w:rPr>
          <w:rFonts w:asciiTheme="minorEastAsia" w:hAnsiTheme="minorEastAsia" w:eastAsiaTheme="minorEastAsia"/>
          <w:kern w:val="2"/>
          <w:szCs w:val="24"/>
          <w:lang w:eastAsia="zh-CN" w:bidi="ar-SA"/>
        </w:rPr>
      </w:pPr>
      <w:r>
        <w:rPr>
          <w:rFonts w:asciiTheme="minorEastAsia" w:hAnsiTheme="minorEastAsia" w:eastAsiaTheme="minorEastAsia"/>
          <w:kern w:val="2"/>
          <w:szCs w:val="24"/>
          <w:lang w:eastAsia="zh-CN" w:bidi="ar-SA"/>
        </w:rPr>
        <w:t>土壤评价执行《土壤环境质量标准》(GB15618-1995)中的二级标准。</w:t>
      </w:r>
    </w:p>
    <w:p w14:paraId="08C7B8BB">
      <w:pPr>
        <w:ind w:firstLine="480"/>
        <w:rPr>
          <w:rFonts w:asciiTheme="minorEastAsia" w:hAnsiTheme="minorEastAsia" w:eastAsiaTheme="minorEastAsia"/>
          <w:kern w:val="2"/>
          <w:szCs w:val="24"/>
          <w:lang w:eastAsia="zh-CN" w:bidi="ar-SA"/>
        </w:rPr>
      </w:pPr>
    </w:p>
    <w:p w14:paraId="2156DDC6">
      <w:pPr>
        <w:ind w:firstLine="480"/>
        <w:rPr>
          <w:rFonts w:asciiTheme="minorEastAsia" w:hAnsiTheme="minorEastAsia" w:eastAsiaTheme="minorEastAsia"/>
          <w:kern w:val="2"/>
          <w:szCs w:val="24"/>
          <w:lang w:eastAsia="zh-CN" w:bidi="ar-SA"/>
        </w:rPr>
      </w:pPr>
    </w:p>
    <w:p w14:paraId="77C5479A">
      <w:pPr>
        <w:ind w:firstLine="480"/>
        <w:rPr>
          <w:rFonts w:asciiTheme="minorEastAsia" w:hAnsiTheme="minorEastAsia" w:eastAsiaTheme="minorEastAsia"/>
          <w:kern w:val="2"/>
          <w:szCs w:val="24"/>
          <w:lang w:eastAsia="zh-CN" w:bidi="ar-SA"/>
        </w:rPr>
      </w:pPr>
    </w:p>
    <w:p w14:paraId="4F064E8C">
      <w:pPr>
        <w:ind w:firstLine="480"/>
        <w:rPr>
          <w:rFonts w:asciiTheme="minorEastAsia" w:hAnsiTheme="minorEastAsia" w:eastAsiaTheme="minorEastAsia"/>
          <w:kern w:val="2"/>
          <w:szCs w:val="24"/>
          <w:lang w:eastAsia="zh-CN" w:bidi="ar-SA"/>
        </w:rPr>
      </w:pPr>
    </w:p>
    <w:p w14:paraId="3AC1E409">
      <w:pPr>
        <w:spacing w:line="240" w:lineRule="auto"/>
        <w:ind w:firstLine="482"/>
        <w:jc w:val="center"/>
        <w:rPr>
          <w:b/>
          <w:lang w:eastAsia="zh-CN"/>
        </w:rPr>
      </w:pPr>
      <w:r>
        <w:rPr>
          <w:b/>
          <w:lang w:eastAsia="zh-CN"/>
        </w:rPr>
        <w:t>表1.</w:t>
      </w:r>
      <w:r>
        <w:rPr>
          <w:rFonts w:hint="eastAsia"/>
          <w:b/>
          <w:lang w:eastAsia="zh-CN"/>
        </w:rPr>
        <w:t>5</w:t>
      </w:r>
      <w:r>
        <w:rPr>
          <w:b/>
          <w:lang w:eastAsia="zh-CN"/>
        </w:rPr>
        <w:t>-4  《土壤环境质量标准》二级标准</w:t>
      </w:r>
      <w:r>
        <w:rPr>
          <w:rFonts w:hint="eastAsia"/>
          <w:b/>
          <w:lang w:eastAsia="zh-CN"/>
        </w:rPr>
        <w:t>（节选）</w:t>
      </w:r>
      <w:r>
        <w:rPr>
          <w:b/>
          <w:lang w:eastAsia="zh-CN"/>
        </w:rPr>
        <w:t xml:space="preserve">  单位：mg/kg(pH除外)</w:t>
      </w:r>
    </w:p>
    <w:tbl>
      <w:tblPr>
        <w:tblStyle w:val="76"/>
        <w:tblW w:w="8506" w:type="dxa"/>
        <w:tblInd w:w="-34"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568"/>
        <w:gridCol w:w="1089"/>
        <w:gridCol w:w="846"/>
        <w:gridCol w:w="900"/>
        <w:gridCol w:w="850"/>
        <w:gridCol w:w="818"/>
        <w:gridCol w:w="741"/>
        <w:gridCol w:w="851"/>
        <w:gridCol w:w="850"/>
        <w:gridCol w:w="993"/>
      </w:tblGrid>
      <w:tr w14:paraId="6C923C0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78" w:hRule="exact"/>
          <w:tblHeader/>
        </w:trPr>
        <w:tc>
          <w:tcPr>
            <w:tcW w:w="568" w:type="dxa"/>
            <w:tcBorders>
              <w:top w:val="single" w:color="auto" w:sz="12" w:space="0"/>
              <w:left w:val="single" w:color="auto" w:sz="12" w:space="0"/>
              <w:bottom w:val="single" w:color="auto" w:sz="4" w:space="0"/>
              <w:right w:val="single" w:color="auto" w:sz="4" w:space="0"/>
            </w:tcBorders>
            <w:vAlign w:val="center"/>
          </w:tcPr>
          <w:p w14:paraId="790C8398">
            <w:pPr>
              <w:snapToGrid w:val="0"/>
              <w:spacing w:line="240" w:lineRule="atLeast"/>
              <w:ind w:firstLine="0" w:firstLineChars="0"/>
              <w:rPr>
                <w:rFonts w:ascii="宋体" w:hAnsi="宋体"/>
                <w:snapToGrid w:val="0"/>
                <w:sz w:val="21"/>
                <w:szCs w:val="21"/>
              </w:rPr>
            </w:pPr>
            <w:r>
              <w:rPr>
                <w:rFonts w:ascii="宋体" w:hAnsi="宋体"/>
                <w:snapToGrid w:val="0"/>
                <w:sz w:val="21"/>
                <w:szCs w:val="21"/>
              </w:rPr>
              <w:t>项目</w:t>
            </w:r>
          </w:p>
        </w:tc>
        <w:tc>
          <w:tcPr>
            <w:tcW w:w="1089" w:type="dxa"/>
            <w:tcBorders>
              <w:top w:val="single" w:color="auto" w:sz="12" w:space="0"/>
              <w:left w:val="single" w:color="auto" w:sz="4" w:space="0"/>
              <w:bottom w:val="single" w:color="auto" w:sz="4" w:space="0"/>
              <w:right w:val="single" w:color="auto" w:sz="4" w:space="0"/>
            </w:tcBorders>
            <w:vAlign w:val="center"/>
          </w:tcPr>
          <w:p w14:paraId="45E5E97A">
            <w:pPr>
              <w:snapToGrid w:val="0"/>
              <w:spacing w:line="240" w:lineRule="atLeast"/>
              <w:ind w:firstLine="0" w:firstLineChars="0"/>
              <w:rPr>
                <w:rFonts w:ascii="宋体" w:hAnsi="宋体"/>
                <w:snapToGrid w:val="0"/>
                <w:sz w:val="21"/>
                <w:szCs w:val="21"/>
              </w:rPr>
            </w:pPr>
            <w:r>
              <w:rPr>
                <w:rFonts w:ascii="宋体" w:hAnsi="宋体"/>
                <w:snapToGrid w:val="0"/>
                <w:sz w:val="21"/>
                <w:szCs w:val="21"/>
              </w:rPr>
              <w:t>pH</w:t>
            </w:r>
          </w:p>
        </w:tc>
        <w:tc>
          <w:tcPr>
            <w:tcW w:w="846" w:type="dxa"/>
            <w:tcBorders>
              <w:top w:val="single" w:color="auto" w:sz="12" w:space="0"/>
              <w:left w:val="single" w:color="auto" w:sz="4" w:space="0"/>
              <w:bottom w:val="single" w:color="auto" w:sz="4" w:space="0"/>
              <w:right w:val="single" w:color="auto" w:sz="4" w:space="0"/>
            </w:tcBorders>
            <w:vAlign w:val="center"/>
          </w:tcPr>
          <w:p w14:paraId="7A038092">
            <w:pPr>
              <w:snapToGrid w:val="0"/>
              <w:spacing w:line="240" w:lineRule="atLeast"/>
              <w:ind w:firstLine="199" w:firstLineChars="95"/>
              <w:rPr>
                <w:rFonts w:ascii="宋体" w:hAnsi="宋体"/>
                <w:snapToGrid w:val="0"/>
                <w:sz w:val="21"/>
                <w:szCs w:val="21"/>
              </w:rPr>
            </w:pPr>
            <w:r>
              <w:rPr>
                <w:rFonts w:hint="eastAsia" w:ascii="宋体" w:hAnsi="宋体"/>
                <w:snapToGrid w:val="0"/>
                <w:sz w:val="21"/>
                <w:szCs w:val="21"/>
              </w:rPr>
              <w:t>镉</w:t>
            </w:r>
          </w:p>
        </w:tc>
        <w:tc>
          <w:tcPr>
            <w:tcW w:w="900" w:type="dxa"/>
            <w:tcBorders>
              <w:top w:val="single" w:color="auto" w:sz="12" w:space="0"/>
              <w:left w:val="single" w:color="auto" w:sz="4" w:space="0"/>
              <w:bottom w:val="single" w:color="auto" w:sz="4" w:space="0"/>
              <w:right w:val="single" w:color="auto" w:sz="4" w:space="0"/>
            </w:tcBorders>
            <w:vAlign w:val="center"/>
          </w:tcPr>
          <w:p w14:paraId="18499882">
            <w:pPr>
              <w:snapToGrid w:val="0"/>
              <w:spacing w:line="240" w:lineRule="atLeast"/>
              <w:ind w:firstLine="199" w:firstLineChars="95"/>
              <w:rPr>
                <w:rFonts w:ascii="宋体" w:hAnsi="宋体"/>
                <w:snapToGrid w:val="0"/>
                <w:sz w:val="21"/>
                <w:szCs w:val="21"/>
              </w:rPr>
            </w:pPr>
            <w:r>
              <w:rPr>
                <w:rFonts w:hint="eastAsia" w:ascii="宋体" w:hAnsi="宋体"/>
                <w:snapToGrid w:val="0"/>
                <w:sz w:val="21"/>
                <w:szCs w:val="21"/>
              </w:rPr>
              <w:t>铅</w:t>
            </w:r>
          </w:p>
        </w:tc>
        <w:tc>
          <w:tcPr>
            <w:tcW w:w="850" w:type="dxa"/>
            <w:tcBorders>
              <w:top w:val="single" w:color="auto" w:sz="12" w:space="0"/>
              <w:left w:val="single" w:color="auto" w:sz="4" w:space="0"/>
              <w:bottom w:val="single" w:color="auto" w:sz="4" w:space="0"/>
              <w:right w:val="single" w:color="auto" w:sz="4" w:space="0"/>
            </w:tcBorders>
            <w:vAlign w:val="center"/>
          </w:tcPr>
          <w:p w14:paraId="2F18472B">
            <w:pPr>
              <w:snapToGrid w:val="0"/>
              <w:spacing w:line="240" w:lineRule="atLeast"/>
              <w:ind w:firstLine="0" w:firstLineChars="0"/>
              <w:rPr>
                <w:rFonts w:ascii="宋体" w:hAnsi="宋体"/>
                <w:snapToGrid w:val="0"/>
                <w:sz w:val="21"/>
                <w:szCs w:val="21"/>
              </w:rPr>
            </w:pPr>
            <w:r>
              <w:rPr>
                <w:rFonts w:hint="eastAsia" w:ascii="宋体" w:hAnsi="宋体"/>
                <w:snapToGrid w:val="0"/>
                <w:sz w:val="21"/>
                <w:szCs w:val="21"/>
              </w:rPr>
              <w:t>铬</w:t>
            </w:r>
          </w:p>
        </w:tc>
        <w:tc>
          <w:tcPr>
            <w:tcW w:w="818" w:type="dxa"/>
            <w:tcBorders>
              <w:top w:val="single" w:color="auto" w:sz="12" w:space="0"/>
              <w:left w:val="single" w:color="auto" w:sz="4" w:space="0"/>
              <w:bottom w:val="single" w:color="auto" w:sz="4" w:space="0"/>
              <w:right w:val="single" w:color="auto" w:sz="4" w:space="0"/>
            </w:tcBorders>
            <w:vAlign w:val="center"/>
          </w:tcPr>
          <w:p w14:paraId="655000B3">
            <w:pPr>
              <w:snapToGrid w:val="0"/>
              <w:spacing w:line="240" w:lineRule="atLeast"/>
              <w:ind w:firstLine="0" w:firstLineChars="0"/>
              <w:rPr>
                <w:rFonts w:ascii="宋体" w:hAnsi="宋体"/>
                <w:snapToGrid w:val="0"/>
                <w:sz w:val="21"/>
                <w:szCs w:val="21"/>
              </w:rPr>
            </w:pPr>
            <w:r>
              <w:rPr>
                <w:rFonts w:hint="eastAsia" w:ascii="宋体" w:hAnsi="宋体"/>
                <w:snapToGrid w:val="0"/>
                <w:sz w:val="21"/>
                <w:szCs w:val="21"/>
              </w:rPr>
              <w:t>砷</w:t>
            </w:r>
          </w:p>
        </w:tc>
        <w:tc>
          <w:tcPr>
            <w:tcW w:w="741" w:type="dxa"/>
            <w:tcBorders>
              <w:top w:val="single" w:color="auto" w:sz="12" w:space="0"/>
              <w:left w:val="single" w:color="auto" w:sz="4" w:space="0"/>
              <w:bottom w:val="single" w:color="auto" w:sz="4" w:space="0"/>
              <w:right w:val="single" w:color="auto" w:sz="4" w:space="0"/>
            </w:tcBorders>
            <w:vAlign w:val="center"/>
          </w:tcPr>
          <w:p w14:paraId="70FF4BC5">
            <w:pPr>
              <w:snapToGrid w:val="0"/>
              <w:spacing w:line="240" w:lineRule="atLeast"/>
              <w:ind w:firstLine="0" w:firstLineChars="0"/>
              <w:rPr>
                <w:rFonts w:ascii="宋体" w:hAnsi="宋体"/>
                <w:snapToGrid w:val="0"/>
                <w:sz w:val="21"/>
                <w:szCs w:val="21"/>
              </w:rPr>
            </w:pPr>
            <w:r>
              <w:rPr>
                <w:rFonts w:ascii="宋体" w:hAnsi="宋体"/>
                <w:snapToGrid w:val="0"/>
                <w:sz w:val="21"/>
                <w:szCs w:val="21"/>
              </w:rPr>
              <w:t>Hg</w:t>
            </w:r>
          </w:p>
        </w:tc>
        <w:tc>
          <w:tcPr>
            <w:tcW w:w="851" w:type="dxa"/>
            <w:tcBorders>
              <w:top w:val="single" w:color="auto" w:sz="12" w:space="0"/>
              <w:left w:val="single" w:color="auto" w:sz="4" w:space="0"/>
              <w:bottom w:val="single" w:color="auto" w:sz="4" w:space="0"/>
              <w:right w:val="single" w:color="auto" w:sz="4" w:space="0"/>
            </w:tcBorders>
            <w:vAlign w:val="center"/>
          </w:tcPr>
          <w:p w14:paraId="0F63874D">
            <w:pPr>
              <w:snapToGrid w:val="0"/>
              <w:spacing w:line="240" w:lineRule="atLeast"/>
              <w:ind w:firstLine="199" w:firstLineChars="95"/>
              <w:rPr>
                <w:rFonts w:ascii="宋体" w:hAnsi="宋体"/>
                <w:snapToGrid w:val="0"/>
                <w:sz w:val="21"/>
                <w:szCs w:val="21"/>
              </w:rPr>
            </w:pPr>
            <w:r>
              <w:rPr>
                <w:rFonts w:hint="eastAsia" w:ascii="宋体" w:hAnsi="宋体"/>
                <w:snapToGrid w:val="0"/>
                <w:sz w:val="21"/>
                <w:szCs w:val="21"/>
              </w:rPr>
              <w:t>锌</w:t>
            </w:r>
          </w:p>
        </w:tc>
        <w:tc>
          <w:tcPr>
            <w:tcW w:w="850" w:type="dxa"/>
            <w:tcBorders>
              <w:top w:val="single" w:color="auto" w:sz="12" w:space="0"/>
              <w:left w:val="single" w:color="auto" w:sz="4" w:space="0"/>
              <w:bottom w:val="single" w:color="auto" w:sz="4" w:space="0"/>
            </w:tcBorders>
            <w:vAlign w:val="center"/>
          </w:tcPr>
          <w:p w14:paraId="70C617DC">
            <w:pPr>
              <w:snapToGrid w:val="0"/>
              <w:spacing w:line="240" w:lineRule="atLeast"/>
              <w:ind w:firstLine="199" w:firstLineChars="95"/>
              <w:rPr>
                <w:rFonts w:ascii="宋体" w:hAnsi="宋体"/>
                <w:snapToGrid w:val="0"/>
                <w:sz w:val="21"/>
                <w:szCs w:val="21"/>
              </w:rPr>
            </w:pPr>
            <w:r>
              <w:rPr>
                <w:rFonts w:hint="eastAsia" w:ascii="宋体" w:hAnsi="宋体"/>
                <w:snapToGrid w:val="0"/>
                <w:sz w:val="21"/>
                <w:szCs w:val="21"/>
              </w:rPr>
              <w:t>铜</w:t>
            </w:r>
          </w:p>
        </w:tc>
        <w:tc>
          <w:tcPr>
            <w:tcW w:w="993" w:type="dxa"/>
            <w:tcBorders>
              <w:top w:val="single" w:color="auto" w:sz="12" w:space="0"/>
              <w:left w:val="single" w:color="auto" w:sz="4" w:space="0"/>
              <w:bottom w:val="single" w:color="auto" w:sz="4" w:space="0"/>
              <w:right w:val="single" w:color="auto" w:sz="12" w:space="0"/>
            </w:tcBorders>
            <w:vAlign w:val="center"/>
          </w:tcPr>
          <w:p w14:paraId="2B22AEC1">
            <w:pPr>
              <w:snapToGrid w:val="0"/>
              <w:spacing w:line="240" w:lineRule="atLeast"/>
              <w:ind w:firstLine="199" w:firstLineChars="95"/>
              <w:rPr>
                <w:rFonts w:ascii="宋体" w:hAnsi="宋体"/>
                <w:snapToGrid w:val="0"/>
                <w:sz w:val="21"/>
                <w:szCs w:val="21"/>
              </w:rPr>
            </w:pPr>
            <w:r>
              <w:rPr>
                <w:rFonts w:hint="eastAsia" w:ascii="宋体" w:hAnsi="宋体"/>
                <w:snapToGrid w:val="0"/>
                <w:sz w:val="21"/>
                <w:szCs w:val="21"/>
              </w:rPr>
              <w:t>镍</w:t>
            </w:r>
          </w:p>
        </w:tc>
      </w:tr>
      <w:tr w14:paraId="68AC9C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exact"/>
          <w:tblHeader/>
        </w:trPr>
        <w:tc>
          <w:tcPr>
            <w:tcW w:w="568" w:type="dxa"/>
            <w:vMerge w:val="restart"/>
            <w:tcBorders>
              <w:top w:val="single" w:color="auto" w:sz="4" w:space="0"/>
              <w:left w:val="single" w:color="auto" w:sz="12" w:space="0"/>
              <w:right w:val="single" w:color="auto" w:sz="4" w:space="0"/>
            </w:tcBorders>
            <w:vAlign w:val="center"/>
          </w:tcPr>
          <w:p w14:paraId="64D43A76">
            <w:pPr>
              <w:snapToGrid w:val="0"/>
              <w:spacing w:line="240" w:lineRule="atLeast"/>
              <w:ind w:firstLine="0" w:firstLineChars="0"/>
              <w:rPr>
                <w:rFonts w:ascii="宋体" w:hAnsi="宋体"/>
                <w:snapToGrid w:val="0"/>
                <w:sz w:val="21"/>
                <w:szCs w:val="21"/>
              </w:rPr>
            </w:pPr>
            <w:r>
              <w:rPr>
                <w:rFonts w:ascii="宋体" w:hAnsi="宋体"/>
                <w:snapToGrid w:val="0"/>
                <w:sz w:val="21"/>
                <w:szCs w:val="21"/>
              </w:rPr>
              <w:t>标</w:t>
            </w:r>
          </w:p>
          <w:p w14:paraId="025212FD">
            <w:pPr>
              <w:snapToGrid w:val="0"/>
              <w:spacing w:line="240" w:lineRule="atLeast"/>
              <w:ind w:firstLine="0" w:firstLineChars="0"/>
              <w:rPr>
                <w:rFonts w:ascii="宋体" w:hAnsi="宋体"/>
                <w:snapToGrid w:val="0"/>
                <w:sz w:val="21"/>
                <w:szCs w:val="21"/>
              </w:rPr>
            </w:pPr>
            <w:r>
              <w:rPr>
                <w:rFonts w:ascii="宋体" w:hAnsi="宋体"/>
                <w:snapToGrid w:val="0"/>
                <w:sz w:val="21"/>
                <w:szCs w:val="21"/>
              </w:rPr>
              <w:t>准</w:t>
            </w:r>
          </w:p>
          <w:p w14:paraId="65C70171">
            <w:pPr>
              <w:snapToGrid w:val="0"/>
              <w:spacing w:line="240" w:lineRule="atLeast"/>
              <w:ind w:firstLine="0" w:firstLineChars="0"/>
              <w:rPr>
                <w:rFonts w:ascii="宋体" w:hAnsi="宋体"/>
                <w:snapToGrid w:val="0"/>
                <w:sz w:val="21"/>
                <w:szCs w:val="21"/>
              </w:rPr>
            </w:pPr>
            <w:r>
              <w:rPr>
                <w:rFonts w:ascii="宋体" w:hAnsi="宋体"/>
                <w:snapToGrid w:val="0"/>
                <w:sz w:val="21"/>
                <w:szCs w:val="21"/>
              </w:rPr>
              <w:t>值</w:t>
            </w:r>
          </w:p>
        </w:tc>
        <w:tc>
          <w:tcPr>
            <w:tcW w:w="1089" w:type="dxa"/>
            <w:tcBorders>
              <w:top w:val="single" w:color="auto" w:sz="4" w:space="0"/>
              <w:left w:val="single" w:color="auto" w:sz="4" w:space="0"/>
              <w:bottom w:val="single" w:color="auto" w:sz="4" w:space="0"/>
              <w:right w:val="single" w:color="auto" w:sz="4" w:space="0"/>
            </w:tcBorders>
            <w:vAlign w:val="center"/>
          </w:tcPr>
          <w:p w14:paraId="1363EE46">
            <w:pPr>
              <w:snapToGrid w:val="0"/>
              <w:spacing w:line="240" w:lineRule="atLeast"/>
              <w:ind w:firstLine="0" w:firstLineChars="0"/>
              <w:rPr>
                <w:rFonts w:ascii="宋体" w:hAnsi="宋体"/>
                <w:snapToGrid w:val="0"/>
                <w:sz w:val="21"/>
                <w:szCs w:val="21"/>
              </w:rPr>
            </w:pPr>
            <w:r>
              <w:rPr>
                <w:rFonts w:ascii="宋体" w:hAnsi="宋体"/>
                <w:snapToGrid w:val="0"/>
                <w:sz w:val="21"/>
                <w:szCs w:val="21"/>
              </w:rPr>
              <w:t>＞7.5</w:t>
            </w:r>
          </w:p>
        </w:tc>
        <w:tc>
          <w:tcPr>
            <w:tcW w:w="846" w:type="dxa"/>
            <w:tcBorders>
              <w:top w:val="single" w:color="auto" w:sz="4" w:space="0"/>
              <w:left w:val="single" w:color="auto" w:sz="4" w:space="0"/>
              <w:bottom w:val="single" w:color="auto" w:sz="4" w:space="0"/>
              <w:right w:val="single" w:color="auto" w:sz="4" w:space="0"/>
            </w:tcBorders>
            <w:vAlign w:val="center"/>
          </w:tcPr>
          <w:p w14:paraId="2A19123A">
            <w:pPr>
              <w:snapToGrid w:val="0"/>
              <w:spacing w:line="240" w:lineRule="atLeast"/>
              <w:ind w:firstLine="0" w:firstLineChars="0"/>
              <w:rPr>
                <w:rFonts w:ascii="宋体" w:hAnsi="宋体"/>
                <w:snapToGrid w:val="0"/>
                <w:sz w:val="21"/>
                <w:szCs w:val="21"/>
              </w:rPr>
            </w:pPr>
            <w:r>
              <w:rPr>
                <w:rFonts w:ascii="宋体" w:hAnsi="宋体"/>
                <w:snapToGrid w:val="0"/>
                <w:sz w:val="21"/>
                <w:szCs w:val="21"/>
              </w:rPr>
              <w:t>≤</w:t>
            </w:r>
            <w:r>
              <w:rPr>
                <w:rFonts w:hint="eastAsia" w:ascii="宋体" w:hAnsi="宋体"/>
                <w:snapToGrid w:val="0"/>
                <w:sz w:val="21"/>
                <w:szCs w:val="21"/>
              </w:rPr>
              <w:t>0.60</w:t>
            </w:r>
          </w:p>
        </w:tc>
        <w:tc>
          <w:tcPr>
            <w:tcW w:w="900" w:type="dxa"/>
            <w:tcBorders>
              <w:top w:val="single" w:color="auto" w:sz="4" w:space="0"/>
              <w:left w:val="single" w:color="auto" w:sz="4" w:space="0"/>
              <w:bottom w:val="single" w:color="auto" w:sz="4" w:space="0"/>
              <w:right w:val="single" w:color="auto" w:sz="4" w:space="0"/>
            </w:tcBorders>
            <w:vAlign w:val="center"/>
          </w:tcPr>
          <w:p w14:paraId="3FE412D9">
            <w:pPr>
              <w:snapToGrid w:val="0"/>
              <w:spacing w:line="240" w:lineRule="atLeast"/>
              <w:ind w:firstLine="0" w:firstLineChars="0"/>
              <w:rPr>
                <w:rFonts w:ascii="宋体" w:hAnsi="宋体"/>
                <w:snapToGrid w:val="0"/>
                <w:sz w:val="21"/>
                <w:szCs w:val="21"/>
              </w:rPr>
            </w:pPr>
            <w:r>
              <w:rPr>
                <w:rFonts w:ascii="宋体" w:hAnsi="宋体"/>
                <w:snapToGrid w:val="0"/>
                <w:sz w:val="21"/>
                <w:szCs w:val="21"/>
              </w:rPr>
              <w:t>≤350</w:t>
            </w:r>
          </w:p>
        </w:tc>
        <w:tc>
          <w:tcPr>
            <w:tcW w:w="850" w:type="dxa"/>
            <w:tcBorders>
              <w:top w:val="single" w:color="auto" w:sz="4" w:space="0"/>
              <w:left w:val="single" w:color="auto" w:sz="4" w:space="0"/>
              <w:bottom w:val="single" w:color="auto" w:sz="4" w:space="0"/>
              <w:right w:val="single" w:color="auto" w:sz="4" w:space="0"/>
            </w:tcBorders>
            <w:vAlign w:val="center"/>
          </w:tcPr>
          <w:p w14:paraId="204ACDF2">
            <w:pPr>
              <w:snapToGrid w:val="0"/>
              <w:spacing w:line="240" w:lineRule="atLeast"/>
              <w:ind w:firstLine="0" w:firstLineChars="0"/>
              <w:rPr>
                <w:rFonts w:ascii="宋体" w:hAnsi="宋体"/>
                <w:snapToGrid w:val="0"/>
                <w:sz w:val="21"/>
                <w:szCs w:val="21"/>
              </w:rPr>
            </w:pPr>
            <w:r>
              <w:rPr>
                <w:rFonts w:ascii="宋体" w:hAnsi="宋体"/>
                <w:snapToGrid w:val="0"/>
                <w:sz w:val="21"/>
                <w:szCs w:val="21"/>
              </w:rPr>
              <w:t>≤250</w:t>
            </w:r>
          </w:p>
        </w:tc>
        <w:tc>
          <w:tcPr>
            <w:tcW w:w="818" w:type="dxa"/>
            <w:tcBorders>
              <w:top w:val="single" w:color="auto" w:sz="4" w:space="0"/>
              <w:left w:val="single" w:color="auto" w:sz="4" w:space="0"/>
              <w:bottom w:val="single" w:color="auto" w:sz="4" w:space="0"/>
              <w:right w:val="single" w:color="auto" w:sz="4" w:space="0"/>
            </w:tcBorders>
            <w:vAlign w:val="center"/>
          </w:tcPr>
          <w:p w14:paraId="63BBBAEC">
            <w:pPr>
              <w:snapToGrid w:val="0"/>
              <w:spacing w:line="240" w:lineRule="atLeast"/>
              <w:ind w:firstLine="0" w:firstLineChars="0"/>
              <w:rPr>
                <w:rFonts w:ascii="宋体" w:hAnsi="宋体"/>
                <w:snapToGrid w:val="0"/>
                <w:sz w:val="21"/>
                <w:szCs w:val="21"/>
              </w:rPr>
            </w:pPr>
            <w:r>
              <w:rPr>
                <w:rFonts w:ascii="宋体" w:hAnsi="宋体"/>
                <w:snapToGrid w:val="0"/>
                <w:sz w:val="21"/>
                <w:szCs w:val="21"/>
              </w:rPr>
              <w:t>≤25</w:t>
            </w:r>
          </w:p>
        </w:tc>
        <w:tc>
          <w:tcPr>
            <w:tcW w:w="741" w:type="dxa"/>
            <w:tcBorders>
              <w:top w:val="single" w:color="auto" w:sz="4" w:space="0"/>
              <w:left w:val="single" w:color="auto" w:sz="4" w:space="0"/>
              <w:bottom w:val="single" w:color="auto" w:sz="4" w:space="0"/>
              <w:right w:val="single" w:color="auto" w:sz="4" w:space="0"/>
            </w:tcBorders>
            <w:vAlign w:val="center"/>
          </w:tcPr>
          <w:p w14:paraId="1E6865CB">
            <w:pPr>
              <w:snapToGrid w:val="0"/>
              <w:spacing w:line="240" w:lineRule="atLeast"/>
              <w:ind w:firstLine="0" w:firstLineChars="0"/>
              <w:rPr>
                <w:rFonts w:ascii="宋体" w:hAnsi="宋体"/>
                <w:snapToGrid w:val="0"/>
                <w:sz w:val="21"/>
                <w:szCs w:val="21"/>
              </w:rPr>
            </w:pPr>
            <w:r>
              <w:rPr>
                <w:rFonts w:ascii="宋体" w:hAnsi="宋体"/>
                <w:snapToGrid w:val="0"/>
                <w:sz w:val="21"/>
                <w:szCs w:val="21"/>
              </w:rPr>
              <w:t>≤1.0</w:t>
            </w:r>
          </w:p>
        </w:tc>
        <w:tc>
          <w:tcPr>
            <w:tcW w:w="851" w:type="dxa"/>
            <w:tcBorders>
              <w:top w:val="single" w:color="auto" w:sz="4" w:space="0"/>
              <w:left w:val="single" w:color="auto" w:sz="4" w:space="0"/>
              <w:bottom w:val="single" w:color="auto" w:sz="4" w:space="0"/>
              <w:right w:val="single" w:color="auto" w:sz="4" w:space="0"/>
            </w:tcBorders>
            <w:vAlign w:val="center"/>
          </w:tcPr>
          <w:p w14:paraId="698B45C0">
            <w:pPr>
              <w:snapToGrid w:val="0"/>
              <w:spacing w:line="240" w:lineRule="atLeast"/>
              <w:ind w:firstLine="0" w:firstLineChars="0"/>
              <w:rPr>
                <w:rFonts w:ascii="宋体" w:hAnsi="宋体"/>
                <w:snapToGrid w:val="0"/>
                <w:sz w:val="21"/>
                <w:szCs w:val="21"/>
              </w:rPr>
            </w:pPr>
            <w:r>
              <w:rPr>
                <w:rFonts w:ascii="宋体" w:hAnsi="宋体"/>
                <w:snapToGrid w:val="0"/>
                <w:sz w:val="21"/>
                <w:szCs w:val="21"/>
              </w:rPr>
              <w:t>≤</w:t>
            </w:r>
            <w:r>
              <w:rPr>
                <w:rFonts w:hint="eastAsia" w:ascii="宋体" w:hAnsi="宋体"/>
                <w:snapToGrid w:val="0"/>
                <w:sz w:val="21"/>
                <w:szCs w:val="21"/>
              </w:rPr>
              <w:t>300</w:t>
            </w:r>
          </w:p>
        </w:tc>
        <w:tc>
          <w:tcPr>
            <w:tcW w:w="850" w:type="dxa"/>
            <w:tcBorders>
              <w:top w:val="single" w:color="auto" w:sz="4" w:space="0"/>
              <w:left w:val="single" w:color="auto" w:sz="4" w:space="0"/>
              <w:bottom w:val="single" w:color="auto" w:sz="4" w:space="0"/>
            </w:tcBorders>
            <w:vAlign w:val="center"/>
          </w:tcPr>
          <w:p w14:paraId="33114277">
            <w:pPr>
              <w:snapToGrid w:val="0"/>
              <w:spacing w:line="240" w:lineRule="atLeast"/>
              <w:ind w:firstLine="0" w:firstLineChars="0"/>
              <w:rPr>
                <w:rFonts w:ascii="宋体" w:hAnsi="宋体"/>
                <w:snapToGrid w:val="0"/>
                <w:sz w:val="21"/>
                <w:szCs w:val="21"/>
              </w:rPr>
            </w:pPr>
            <w:r>
              <w:rPr>
                <w:rFonts w:ascii="宋体" w:hAnsi="宋体"/>
                <w:snapToGrid w:val="0"/>
                <w:sz w:val="21"/>
                <w:szCs w:val="21"/>
              </w:rPr>
              <w:t>≤</w:t>
            </w:r>
            <w:r>
              <w:rPr>
                <w:rFonts w:hint="eastAsia" w:ascii="宋体" w:hAnsi="宋体"/>
                <w:snapToGrid w:val="0"/>
                <w:sz w:val="21"/>
                <w:szCs w:val="21"/>
              </w:rPr>
              <w:t>100</w:t>
            </w:r>
          </w:p>
        </w:tc>
        <w:tc>
          <w:tcPr>
            <w:tcW w:w="993" w:type="dxa"/>
            <w:tcBorders>
              <w:top w:val="single" w:color="auto" w:sz="4" w:space="0"/>
              <w:left w:val="single" w:color="auto" w:sz="4" w:space="0"/>
              <w:bottom w:val="single" w:color="auto" w:sz="4" w:space="0"/>
              <w:right w:val="single" w:color="auto" w:sz="12" w:space="0"/>
            </w:tcBorders>
            <w:vAlign w:val="center"/>
          </w:tcPr>
          <w:p w14:paraId="5F28AA5D">
            <w:pPr>
              <w:snapToGrid w:val="0"/>
              <w:spacing w:line="240" w:lineRule="atLeast"/>
              <w:ind w:firstLine="0" w:firstLineChars="0"/>
              <w:rPr>
                <w:rFonts w:ascii="宋体" w:hAnsi="宋体"/>
                <w:snapToGrid w:val="0"/>
                <w:sz w:val="21"/>
                <w:szCs w:val="21"/>
              </w:rPr>
            </w:pPr>
            <w:r>
              <w:rPr>
                <w:rFonts w:ascii="宋体" w:hAnsi="宋体"/>
                <w:snapToGrid w:val="0"/>
                <w:sz w:val="21"/>
                <w:szCs w:val="21"/>
              </w:rPr>
              <w:t>≤</w:t>
            </w:r>
            <w:r>
              <w:rPr>
                <w:rFonts w:hint="eastAsia" w:ascii="宋体" w:hAnsi="宋体"/>
                <w:snapToGrid w:val="0"/>
                <w:sz w:val="21"/>
                <w:szCs w:val="21"/>
              </w:rPr>
              <w:t>60</w:t>
            </w:r>
          </w:p>
        </w:tc>
      </w:tr>
      <w:tr w14:paraId="6657B9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exact"/>
          <w:tblHeader/>
        </w:trPr>
        <w:tc>
          <w:tcPr>
            <w:tcW w:w="568" w:type="dxa"/>
            <w:vMerge w:val="continue"/>
            <w:tcBorders>
              <w:left w:val="single" w:color="auto" w:sz="12" w:space="0"/>
              <w:right w:val="single" w:color="auto" w:sz="4" w:space="0"/>
            </w:tcBorders>
            <w:vAlign w:val="center"/>
          </w:tcPr>
          <w:p w14:paraId="09B57E45">
            <w:pPr>
              <w:snapToGrid w:val="0"/>
              <w:spacing w:line="240" w:lineRule="atLeast"/>
              <w:ind w:firstLine="420"/>
              <w:jc w:val="center"/>
              <w:rPr>
                <w:rFonts w:ascii="宋体" w:hAnsi="宋体"/>
                <w:snapToGrid w:val="0"/>
                <w:sz w:val="21"/>
                <w:szCs w:val="21"/>
              </w:rPr>
            </w:pPr>
          </w:p>
        </w:tc>
        <w:tc>
          <w:tcPr>
            <w:tcW w:w="1089" w:type="dxa"/>
            <w:tcBorders>
              <w:top w:val="single" w:color="auto" w:sz="4" w:space="0"/>
              <w:left w:val="single" w:color="auto" w:sz="4" w:space="0"/>
              <w:bottom w:val="single" w:color="auto" w:sz="4" w:space="0"/>
              <w:right w:val="single" w:color="auto" w:sz="4" w:space="0"/>
            </w:tcBorders>
            <w:vAlign w:val="center"/>
          </w:tcPr>
          <w:p w14:paraId="26FCC16E">
            <w:pPr>
              <w:snapToGrid w:val="0"/>
              <w:spacing w:line="240" w:lineRule="atLeast"/>
              <w:ind w:firstLine="0" w:firstLineChars="0"/>
              <w:rPr>
                <w:rFonts w:ascii="宋体" w:hAnsi="宋体"/>
                <w:snapToGrid w:val="0"/>
                <w:sz w:val="21"/>
                <w:szCs w:val="21"/>
              </w:rPr>
            </w:pPr>
            <w:r>
              <w:rPr>
                <w:rFonts w:ascii="宋体" w:hAnsi="宋体"/>
                <w:snapToGrid w:val="0"/>
                <w:sz w:val="21"/>
                <w:szCs w:val="21"/>
              </w:rPr>
              <w:t>6.5～7.5</w:t>
            </w:r>
          </w:p>
        </w:tc>
        <w:tc>
          <w:tcPr>
            <w:tcW w:w="846" w:type="dxa"/>
            <w:tcBorders>
              <w:top w:val="single" w:color="auto" w:sz="4" w:space="0"/>
              <w:left w:val="single" w:color="auto" w:sz="4" w:space="0"/>
              <w:bottom w:val="single" w:color="auto" w:sz="4" w:space="0"/>
              <w:right w:val="single" w:color="auto" w:sz="4" w:space="0"/>
            </w:tcBorders>
            <w:vAlign w:val="center"/>
          </w:tcPr>
          <w:p w14:paraId="4DD34C19">
            <w:pPr>
              <w:snapToGrid w:val="0"/>
              <w:spacing w:line="240" w:lineRule="atLeast"/>
              <w:ind w:firstLine="0" w:firstLineChars="0"/>
              <w:rPr>
                <w:rFonts w:ascii="宋体" w:hAnsi="宋体"/>
                <w:snapToGrid w:val="0"/>
                <w:sz w:val="21"/>
                <w:szCs w:val="21"/>
              </w:rPr>
            </w:pPr>
            <w:r>
              <w:rPr>
                <w:rFonts w:ascii="宋体" w:hAnsi="宋体"/>
                <w:snapToGrid w:val="0"/>
                <w:sz w:val="21"/>
                <w:szCs w:val="21"/>
              </w:rPr>
              <w:t>≤</w:t>
            </w:r>
            <w:r>
              <w:rPr>
                <w:rFonts w:hint="eastAsia" w:ascii="宋体" w:hAnsi="宋体"/>
                <w:snapToGrid w:val="0"/>
                <w:sz w:val="21"/>
                <w:szCs w:val="21"/>
              </w:rPr>
              <w:t>0.30</w:t>
            </w:r>
          </w:p>
        </w:tc>
        <w:tc>
          <w:tcPr>
            <w:tcW w:w="900" w:type="dxa"/>
            <w:tcBorders>
              <w:top w:val="single" w:color="auto" w:sz="4" w:space="0"/>
              <w:left w:val="single" w:color="auto" w:sz="4" w:space="0"/>
              <w:bottom w:val="single" w:color="auto" w:sz="4" w:space="0"/>
              <w:right w:val="single" w:color="auto" w:sz="4" w:space="0"/>
            </w:tcBorders>
            <w:vAlign w:val="center"/>
          </w:tcPr>
          <w:p w14:paraId="5989DC15">
            <w:pPr>
              <w:snapToGrid w:val="0"/>
              <w:spacing w:line="240" w:lineRule="atLeast"/>
              <w:ind w:firstLine="0" w:firstLineChars="0"/>
              <w:rPr>
                <w:rFonts w:ascii="宋体" w:hAnsi="宋体"/>
                <w:snapToGrid w:val="0"/>
                <w:sz w:val="21"/>
                <w:szCs w:val="21"/>
              </w:rPr>
            </w:pPr>
            <w:r>
              <w:rPr>
                <w:rFonts w:ascii="宋体" w:hAnsi="宋体"/>
                <w:snapToGrid w:val="0"/>
                <w:sz w:val="21"/>
                <w:szCs w:val="21"/>
              </w:rPr>
              <w:t>≤300</w:t>
            </w:r>
          </w:p>
        </w:tc>
        <w:tc>
          <w:tcPr>
            <w:tcW w:w="850" w:type="dxa"/>
            <w:tcBorders>
              <w:top w:val="single" w:color="auto" w:sz="4" w:space="0"/>
              <w:left w:val="single" w:color="auto" w:sz="4" w:space="0"/>
              <w:bottom w:val="single" w:color="auto" w:sz="4" w:space="0"/>
              <w:right w:val="single" w:color="auto" w:sz="4" w:space="0"/>
            </w:tcBorders>
            <w:vAlign w:val="center"/>
          </w:tcPr>
          <w:p w14:paraId="2A97EA9F">
            <w:pPr>
              <w:snapToGrid w:val="0"/>
              <w:spacing w:line="240" w:lineRule="atLeast"/>
              <w:ind w:firstLine="0" w:firstLineChars="0"/>
              <w:rPr>
                <w:rFonts w:ascii="宋体" w:hAnsi="宋体"/>
                <w:snapToGrid w:val="0"/>
                <w:sz w:val="21"/>
                <w:szCs w:val="21"/>
              </w:rPr>
            </w:pPr>
            <w:r>
              <w:rPr>
                <w:rFonts w:ascii="宋体" w:hAnsi="宋体"/>
                <w:snapToGrid w:val="0"/>
                <w:sz w:val="21"/>
                <w:szCs w:val="21"/>
              </w:rPr>
              <w:t>≤200</w:t>
            </w:r>
          </w:p>
        </w:tc>
        <w:tc>
          <w:tcPr>
            <w:tcW w:w="818" w:type="dxa"/>
            <w:tcBorders>
              <w:top w:val="single" w:color="auto" w:sz="4" w:space="0"/>
              <w:left w:val="single" w:color="auto" w:sz="4" w:space="0"/>
              <w:bottom w:val="single" w:color="auto" w:sz="4" w:space="0"/>
              <w:right w:val="single" w:color="auto" w:sz="4" w:space="0"/>
            </w:tcBorders>
            <w:vAlign w:val="center"/>
          </w:tcPr>
          <w:p w14:paraId="42E348DB">
            <w:pPr>
              <w:snapToGrid w:val="0"/>
              <w:spacing w:line="240" w:lineRule="atLeast"/>
              <w:ind w:firstLine="0" w:firstLineChars="0"/>
              <w:rPr>
                <w:rFonts w:ascii="宋体" w:hAnsi="宋体"/>
                <w:snapToGrid w:val="0"/>
                <w:sz w:val="21"/>
                <w:szCs w:val="21"/>
              </w:rPr>
            </w:pPr>
            <w:r>
              <w:rPr>
                <w:rFonts w:ascii="宋体" w:hAnsi="宋体"/>
                <w:snapToGrid w:val="0"/>
                <w:sz w:val="21"/>
                <w:szCs w:val="21"/>
              </w:rPr>
              <w:t>≤30</w:t>
            </w:r>
          </w:p>
        </w:tc>
        <w:tc>
          <w:tcPr>
            <w:tcW w:w="741" w:type="dxa"/>
            <w:tcBorders>
              <w:top w:val="single" w:color="auto" w:sz="4" w:space="0"/>
              <w:left w:val="single" w:color="auto" w:sz="4" w:space="0"/>
              <w:bottom w:val="single" w:color="auto" w:sz="4" w:space="0"/>
              <w:right w:val="single" w:color="auto" w:sz="4" w:space="0"/>
            </w:tcBorders>
            <w:vAlign w:val="center"/>
          </w:tcPr>
          <w:p w14:paraId="66EB539D">
            <w:pPr>
              <w:snapToGrid w:val="0"/>
              <w:spacing w:line="240" w:lineRule="atLeast"/>
              <w:ind w:firstLine="0" w:firstLineChars="0"/>
              <w:rPr>
                <w:rFonts w:ascii="宋体" w:hAnsi="宋体"/>
                <w:snapToGrid w:val="0"/>
                <w:sz w:val="21"/>
                <w:szCs w:val="21"/>
              </w:rPr>
            </w:pPr>
            <w:r>
              <w:rPr>
                <w:rFonts w:ascii="宋体" w:hAnsi="宋体"/>
                <w:snapToGrid w:val="0"/>
                <w:sz w:val="21"/>
                <w:szCs w:val="21"/>
              </w:rPr>
              <w:t>≤0.5</w:t>
            </w:r>
          </w:p>
        </w:tc>
        <w:tc>
          <w:tcPr>
            <w:tcW w:w="851" w:type="dxa"/>
            <w:tcBorders>
              <w:top w:val="single" w:color="auto" w:sz="4" w:space="0"/>
              <w:left w:val="single" w:color="auto" w:sz="4" w:space="0"/>
              <w:bottom w:val="single" w:color="auto" w:sz="4" w:space="0"/>
              <w:right w:val="single" w:color="auto" w:sz="4" w:space="0"/>
            </w:tcBorders>
            <w:vAlign w:val="center"/>
          </w:tcPr>
          <w:p w14:paraId="13DAFB43">
            <w:pPr>
              <w:snapToGrid w:val="0"/>
              <w:spacing w:line="240" w:lineRule="atLeast"/>
              <w:ind w:firstLine="0" w:firstLineChars="0"/>
              <w:rPr>
                <w:rFonts w:ascii="宋体" w:hAnsi="宋体"/>
                <w:snapToGrid w:val="0"/>
                <w:sz w:val="21"/>
                <w:szCs w:val="21"/>
              </w:rPr>
            </w:pPr>
            <w:r>
              <w:rPr>
                <w:rFonts w:ascii="宋体" w:hAnsi="宋体"/>
                <w:snapToGrid w:val="0"/>
                <w:sz w:val="21"/>
                <w:szCs w:val="21"/>
              </w:rPr>
              <w:t>≤</w:t>
            </w:r>
            <w:r>
              <w:rPr>
                <w:rFonts w:hint="eastAsia" w:ascii="宋体" w:hAnsi="宋体"/>
                <w:snapToGrid w:val="0"/>
                <w:sz w:val="21"/>
                <w:szCs w:val="21"/>
              </w:rPr>
              <w:t>250</w:t>
            </w:r>
          </w:p>
        </w:tc>
        <w:tc>
          <w:tcPr>
            <w:tcW w:w="850" w:type="dxa"/>
            <w:tcBorders>
              <w:top w:val="single" w:color="auto" w:sz="4" w:space="0"/>
              <w:left w:val="single" w:color="auto" w:sz="4" w:space="0"/>
              <w:bottom w:val="single" w:color="auto" w:sz="4" w:space="0"/>
            </w:tcBorders>
            <w:vAlign w:val="center"/>
          </w:tcPr>
          <w:p w14:paraId="5FB3B6AB">
            <w:pPr>
              <w:snapToGrid w:val="0"/>
              <w:spacing w:line="240" w:lineRule="atLeast"/>
              <w:ind w:firstLine="0" w:firstLineChars="0"/>
              <w:rPr>
                <w:rFonts w:ascii="宋体" w:hAnsi="宋体"/>
                <w:snapToGrid w:val="0"/>
                <w:sz w:val="21"/>
                <w:szCs w:val="21"/>
              </w:rPr>
            </w:pPr>
            <w:r>
              <w:rPr>
                <w:rFonts w:ascii="宋体" w:hAnsi="宋体"/>
                <w:snapToGrid w:val="0"/>
                <w:sz w:val="21"/>
                <w:szCs w:val="21"/>
              </w:rPr>
              <w:t>≤</w:t>
            </w:r>
            <w:r>
              <w:rPr>
                <w:rFonts w:hint="eastAsia" w:ascii="宋体" w:hAnsi="宋体"/>
                <w:snapToGrid w:val="0"/>
                <w:sz w:val="21"/>
                <w:szCs w:val="21"/>
              </w:rPr>
              <w:t>100</w:t>
            </w:r>
          </w:p>
        </w:tc>
        <w:tc>
          <w:tcPr>
            <w:tcW w:w="993" w:type="dxa"/>
            <w:tcBorders>
              <w:top w:val="single" w:color="auto" w:sz="4" w:space="0"/>
              <w:left w:val="single" w:color="auto" w:sz="4" w:space="0"/>
              <w:bottom w:val="single" w:color="auto" w:sz="4" w:space="0"/>
              <w:right w:val="single" w:color="auto" w:sz="12" w:space="0"/>
            </w:tcBorders>
            <w:vAlign w:val="center"/>
          </w:tcPr>
          <w:p w14:paraId="49B95C27">
            <w:pPr>
              <w:snapToGrid w:val="0"/>
              <w:spacing w:line="240" w:lineRule="atLeast"/>
              <w:ind w:firstLine="0" w:firstLineChars="0"/>
              <w:rPr>
                <w:rFonts w:ascii="宋体" w:hAnsi="宋体"/>
                <w:snapToGrid w:val="0"/>
                <w:sz w:val="21"/>
                <w:szCs w:val="21"/>
              </w:rPr>
            </w:pPr>
            <w:r>
              <w:rPr>
                <w:rFonts w:ascii="宋体" w:hAnsi="宋体"/>
                <w:snapToGrid w:val="0"/>
                <w:sz w:val="21"/>
                <w:szCs w:val="21"/>
              </w:rPr>
              <w:t>≤</w:t>
            </w:r>
            <w:r>
              <w:rPr>
                <w:rFonts w:hint="eastAsia" w:ascii="宋体" w:hAnsi="宋体"/>
                <w:snapToGrid w:val="0"/>
                <w:sz w:val="21"/>
                <w:szCs w:val="21"/>
              </w:rPr>
              <w:t>50</w:t>
            </w:r>
          </w:p>
        </w:tc>
      </w:tr>
      <w:tr w14:paraId="6B95BB5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7" w:hRule="exact"/>
          <w:tblHeader/>
        </w:trPr>
        <w:tc>
          <w:tcPr>
            <w:tcW w:w="568" w:type="dxa"/>
            <w:vMerge w:val="continue"/>
            <w:tcBorders>
              <w:left w:val="single" w:color="auto" w:sz="12" w:space="0"/>
              <w:bottom w:val="single" w:color="auto" w:sz="12" w:space="0"/>
              <w:right w:val="single" w:color="auto" w:sz="4" w:space="0"/>
            </w:tcBorders>
            <w:vAlign w:val="center"/>
          </w:tcPr>
          <w:p w14:paraId="6D7F08CF">
            <w:pPr>
              <w:snapToGrid w:val="0"/>
              <w:spacing w:line="240" w:lineRule="atLeast"/>
              <w:ind w:firstLine="420"/>
              <w:jc w:val="center"/>
              <w:rPr>
                <w:rFonts w:ascii="宋体" w:hAnsi="宋体"/>
                <w:snapToGrid w:val="0"/>
                <w:sz w:val="21"/>
                <w:szCs w:val="21"/>
              </w:rPr>
            </w:pPr>
          </w:p>
        </w:tc>
        <w:tc>
          <w:tcPr>
            <w:tcW w:w="1089" w:type="dxa"/>
            <w:tcBorders>
              <w:top w:val="single" w:color="auto" w:sz="4" w:space="0"/>
              <w:left w:val="single" w:color="auto" w:sz="4" w:space="0"/>
              <w:bottom w:val="single" w:color="auto" w:sz="12" w:space="0"/>
              <w:right w:val="single" w:color="auto" w:sz="4" w:space="0"/>
            </w:tcBorders>
            <w:vAlign w:val="center"/>
          </w:tcPr>
          <w:p w14:paraId="78EF616E">
            <w:pPr>
              <w:snapToGrid w:val="0"/>
              <w:spacing w:line="240" w:lineRule="atLeast"/>
              <w:ind w:firstLine="0" w:firstLineChars="0"/>
              <w:rPr>
                <w:rFonts w:ascii="宋体" w:hAnsi="宋体"/>
                <w:snapToGrid w:val="0"/>
                <w:sz w:val="21"/>
                <w:szCs w:val="21"/>
              </w:rPr>
            </w:pPr>
            <w:r>
              <w:rPr>
                <w:rFonts w:ascii="宋体" w:hAnsi="宋体"/>
                <w:snapToGrid w:val="0"/>
                <w:sz w:val="21"/>
                <w:szCs w:val="21"/>
              </w:rPr>
              <w:t>＜6.5</w:t>
            </w:r>
          </w:p>
        </w:tc>
        <w:tc>
          <w:tcPr>
            <w:tcW w:w="846" w:type="dxa"/>
            <w:tcBorders>
              <w:top w:val="single" w:color="auto" w:sz="4" w:space="0"/>
              <w:left w:val="single" w:color="auto" w:sz="4" w:space="0"/>
              <w:bottom w:val="single" w:color="auto" w:sz="12" w:space="0"/>
              <w:right w:val="single" w:color="auto" w:sz="4" w:space="0"/>
            </w:tcBorders>
            <w:vAlign w:val="center"/>
          </w:tcPr>
          <w:p w14:paraId="5747F321">
            <w:pPr>
              <w:snapToGrid w:val="0"/>
              <w:spacing w:line="240" w:lineRule="atLeast"/>
              <w:ind w:firstLine="0" w:firstLineChars="0"/>
              <w:rPr>
                <w:rFonts w:ascii="宋体" w:hAnsi="宋体"/>
                <w:snapToGrid w:val="0"/>
                <w:sz w:val="21"/>
                <w:szCs w:val="21"/>
              </w:rPr>
            </w:pPr>
            <w:r>
              <w:rPr>
                <w:rFonts w:ascii="宋体" w:hAnsi="宋体"/>
                <w:snapToGrid w:val="0"/>
                <w:sz w:val="21"/>
                <w:szCs w:val="21"/>
              </w:rPr>
              <w:t>≤</w:t>
            </w:r>
            <w:r>
              <w:rPr>
                <w:rFonts w:hint="eastAsia" w:ascii="宋体" w:hAnsi="宋体"/>
                <w:snapToGrid w:val="0"/>
                <w:sz w:val="21"/>
                <w:szCs w:val="21"/>
              </w:rPr>
              <w:t>0.30</w:t>
            </w:r>
          </w:p>
        </w:tc>
        <w:tc>
          <w:tcPr>
            <w:tcW w:w="900" w:type="dxa"/>
            <w:tcBorders>
              <w:top w:val="single" w:color="auto" w:sz="4" w:space="0"/>
              <w:left w:val="single" w:color="auto" w:sz="4" w:space="0"/>
              <w:bottom w:val="single" w:color="auto" w:sz="12" w:space="0"/>
              <w:right w:val="single" w:color="auto" w:sz="4" w:space="0"/>
            </w:tcBorders>
            <w:vAlign w:val="center"/>
          </w:tcPr>
          <w:p w14:paraId="7655A247">
            <w:pPr>
              <w:snapToGrid w:val="0"/>
              <w:spacing w:line="240" w:lineRule="atLeast"/>
              <w:ind w:firstLine="0" w:firstLineChars="0"/>
              <w:rPr>
                <w:rFonts w:ascii="宋体" w:hAnsi="宋体"/>
                <w:snapToGrid w:val="0"/>
                <w:sz w:val="21"/>
                <w:szCs w:val="21"/>
              </w:rPr>
            </w:pPr>
            <w:r>
              <w:rPr>
                <w:rFonts w:ascii="宋体" w:hAnsi="宋体"/>
                <w:snapToGrid w:val="0"/>
                <w:sz w:val="21"/>
                <w:szCs w:val="21"/>
              </w:rPr>
              <w:t>≤250</w:t>
            </w:r>
          </w:p>
        </w:tc>
        <w:tc>
          <w:tcPr>
            <w:tcW w:w="850" w:type="dxa"/>
            <w:tcBorders>
              <w:top w:val="single" w:color="auto" w:sz="4" w:space="0"/>
              <w:left w:val="single" w:color="auto" w:sz="4" w:space="0"/>
              <w:bottom w:val="single" w:color="auto" w:sz="12" w:space="0"/>
              <w:right w:val="single" w:color="auto" w:sz="4" w:space="0"/>
            </w:tcBorders>
            <w:vAlign w:val="center"/>
          </w:tcPr>
          <w:p w14:paraId="56ED75A8">
            <w:pPr>
              <w:snapToGrid w:val="0"/>
              <w:spacing w:line="240" w:lineRule="atLeast"/>
              <w:ind w:firstLine="0" w:firstLineChars="0"/>
              <w:rPr>
                <w:rFonts w:ascii="宋体" w:hAnsi="宋体"/>
                <w:snapToGrid w:val="0"/>
                <w:sz w:val="21"/>
                <w:szCs w:val="21"/>
              </w:rPr>
            </w:pPr>
            <w:r>
              <w:rPr>
                <w:rFonts w:ascii="宋体" w:hAnsi="宋体"/>
                <w:snapToGrid w:val="0"/>
                <w:sz w:val="21"/>
                <w:szCs w:val="21"/>
              </w:rPr>
              <w:t>≤150</w:t>
            </w:r>
          </w:p>
        </w:tc>
        <w:tc>
          <w:tcPr>
            <w:tcW w:w="818" w:type="dxa"/>
            <w:tcBorders>
              <w:top w:val="single" w:color="auto" w:sz="4" w:space="0"/>
              <w:left w:val="single" w:color="auto" w:sz="4" w:space="0"/>
              <w:bottom w:val="single" w:color="auto" w:sz="12" w:space="0"/>
              <w:right w:val="single" w:color="auto" w:sz="4" w:space="0"/>
            </w:tcBorders>
            <w:vAlign w:val="center"/>
          </w:tcPr>
          <w:p w14:paraId="07FCEB63">
            <w:pPr>
              <w:snapToGrid w:val="0"/>
              <w:spacing w:line="240" w:lineRule="atLeast"/>
              <w:ind w:firstLine="0" w:firstLineChars="0"/>
              <w:rPr>
                <w:rFonts w:ascii="宋体" w:hAnsi="宋体"/>
                <w:snapToGrid w:val="0"/>
                <w:sz w:val="21"/>
                <w:szCs w:val="21"/>
              </w:rPr>
            </w:pPr>
            <w:r>
              <w:rPr>
                <w:rFonts w:ascii="宋体" w:hAnsi="宋体"/>
                <w:snapToGrid w:val="0"/>
                <w:sz w:val="21"/>
                <w:szCs w:val="21"/>
              </w:rPr>
              <w:t>≤40</w:t>
            </w:r>
          </w:p>
        </w:tc>
        <w:tc>
          <w:tcPr>
            <w:tcW w:w="741" w:type="dxa"/>
            <w:tcBorders>
              <w:top w:val="single" w:color="auto" w:sz="4" w:space="0"/>
              <w:left w:val="single" w:color="auto" w:sz="4" w:space="0"/>
              <w:bottom w:val="single" w:color="auto" w:sz="12" w:space="0"/>
              <w:right w:val="single" w:color="auto" w:sz="4" w:space="0"/>
            </w:tcBorders>
            <w:vAlign w:val="center"/>
          </w:tcPr>
          <w:p w14:paraId="7585EB78">
            <w:pPr>
              <w:snapToGrid w:val="0"/>
              <w:spacing w:line="240" w:lineRule="atLeast"/>
              <w:ind w:firstLine="0" w:firstLineChars="0"/>
              <w:rPr>
                <w:rFonts w:ascii="宋体" w:hAnsi="宋体"/>
                <w:snapToGrid w:val="0"/>
                <w:sz w:val="21"/>
                <w:szCs w:val="21"/>
              </w:rPr>
            </w:pPr>
            <w:r>
              <w:rPr>
                <w:rFonts w:ascii="宋体" w:hAnsi="宋体"/>
                <w:snapToGrid w:val="0"/>
                <w:sz w:val="21"/>
                <w:szCs w:val="21"/>
              </w:rPr>
              <w:t>≤0.3</w:t>
            </w:r>
          </w:p>
        </w:tc>
        <w:tc>
          <w:tcPr>
            <w:tcW w:w="851" w:type="dxa"/>
            <w:tcBorders>
              <w:top w:val="single" w:color="auto" w:sz="4" w:space="0"/>
              <w:left w:val="single" w:color="auto" w:sz="4" w:space="0"/>
              <w:bottom w:val="single" w:color="auto" w:sz="12" w:space="0"/>
              <w:right w:val="single" w:color="auto" w:sz="4" w:space="0"/>
            </w:tcBorders>
            <w:vAlign w:val="center"/>
          </w:tcPr>
          <w:p w14:paraId="1D55C5ED">
            <w:pPr>
              <w:snapToGrid w:val="0"/>
              <w:spacing w:line="240" w:lineRule="atLeast"/>
              <w:ind w:firstLine="0" w:firstLineChars="0"/>
              <w:rPr>
                <w:rFonts w:ascii="宋体" w:hAnsi="宋体"/>
                <w:snapToGrid w:val="0"/>
                <w:sz w:val="21"/>
                <w:szCs w:val="21"/>
              </w:rPr>
            </w:pPr>
            <w:r>
              <w:rPr>
                <w:rFonts w:ascii="宋体" w:hAnsi="宋体"/>
                <w:snapToGrid w:val="0"/>
                <w:sz w:val="21"/>
                <w:szCs w:val="21"/>
              </w:rPr>
              <w:t>≤</w:t>
            </w:r>
            <w:r>
              <w:rPr>
                <w:rFonts w:hint="eastAsia" w:ascii="宋体" w:hAnsi="宋体"/>
                <w:snapToGrid w:val="0"/>
                <w:sz w:val="21"/>
                <w:szCs w:val="21"/>
              </w:rPr>
              <w:t>200</w:t>
            </w:r>
          </w:p>
        </w:tc>
        <w:tc>
          <w:tcPr>
            <w:tcW w:w="850" w:type="dxa"/>
            <w:tcBorders>
              <w:top w:val="single" w:color="auto" w:sz="4" w:space="0"/>
              <w:left w:val="single" w:color="auto" w:sz="4" w:space="0"/>
              <w:bottom w:val="single" w:color="auto" w:sz="12" w:space="0"/>
            </w:tcBorders>
            <w:vAlign w:val="center"/>
          </w:tcPr>
          <w:p w14:paraId="3C20D42A">
            <w:pPr>
              <w:snapToGrid w:val="0"/>
              <w:spacing w:line="240" w:lineRule="atLeast"/>
              <w:ind w:firstLine="0" w:firstLineChars="0"/>
              <w:rPr>
                <w:rFonts w:ascii="宋体" w:hAnsi="宋体"/>
                <w:snapToGrid w:val="0"/>
                <w:sz w:val="21"/>
                <w:szCs w:val="21"/>
              </w:rPr>
            </w:pPr>
            <w:r>
              <w:rPr>
                <w:rFonts w:ascii="宋体" w:hAnsi="宋体"/>
                <w:snapToGrid w:val="0"/>
                <w:sz w:val="21"/>
                <w:szCs w:val="21"/>
              </w:rPr>
              <w:t>≤</w:t>
            </w:r>
            <w:r>
              <w:rPr>
                <w:rFonts w:hint="eastAsia" w:ascii="宋体" w:hAnsi="宋体"/>
                <w:snapToGrid w:val="0"/>
                <w:sz w:val="21"/>
                <w:szCs w:val="21"/>
              </w:rPr>
              <w:t>50</w:t>
            </w:r>
          </w:p>
        </w:tc>
        <w:tc>
          <w:tcPr>
            <w:tcW w:w="993" w:type="dxa"/>
            <w:tcBorders>
              <w:top w:val="single" w:color="auto" w:sz="4" w:space="0"/>
              <w:left w:val="single" w:color="auto" w:sz="4" w:space="0"/>
              <w:bottom w:val="single" w:color="auto" w:sz="12" w:space="0"/>
              <w:right w:val="single" w:color="auto" w:sz="12" w:space="0"/>
            </w:tcBorders>
            <w:vAlign w:val="center"/>
          </w:tcPr>
          <w:p w14:paraId="7BE4FC77">
            <w:pPr>
              <w:snapToGrid w:val="0"/>
              <w:spacing w:line="240" w:lineRule="atLeast"/>
              <w:ind w:firstLine="0" w:firstLineChars="0"/>
              <w:rPr>
                <w:rFonts w:ascii="宋体" w:hAnsi="宋体"/>
                <w:snapToGrid w:val="0"/>
                <w:sz w:val="21"/>
                <w:szCs w:val="21"/>
              </w:rPr>
            </w:pPr>
            <w:r>
              <w:rPr>
                <w:rFonts w:ascii="宋体" w:hAnsi="宋体"/>
                <w:snapToGrid w:val="0"/>
                <w:sz w:val="21"/>
                <w:szCs w:val="21"/>
              </w:rPr>
              <w:t>≤</w:t>
            </w:r>
            <w:r>
              <w:rPr>
                <w:rFonts w:hint="eastAsia" w:ascii="宋体" w:hAnsi="宋体"/>
                <w:snapToGrid w:val="0"/>
                <w:sz w:val="21"/>
                <w:szCs w:val="21"/>
              </w:rPr>
              <w:t>40</w:t>
            </w:r>
          </w:p>
        </w:tc>
      </w:tr>
    </w:tbl>
    <w:p w14:paraId="7D8AB884">
      <w:pPr>
        <w:ind w:firstLine="360"/>
        <w:rPr>
          <w:rFonts w:asciiTheme="minorEastAsia" w:hAnsiTheme="minorEastAsia" w:eastAsiaTheme="minorEastAsia"/>
          <w:sz w:val="18"/>
          <w:szCs w:val="18"/>
          <w:lang w:eastAsia="zh-CN"/>
        </w:rPr>
      </w:pPr>
      <w:bookmarkStart w:id="83" w:name="_Toc279676567"/>
      <w:bookmarkStart w:id="84" w:name="_Toc287598104"/>
      <w:r>
        <w:rPr>
          <w:rFonts w:asciiTheme="minorEastAsia" w:hAnsiTheme="minorEastAsia" w:eastAsiaTheme="minorEastAsia"/>
          <w:sz w:val="18"/>
          <w:szCs w:val="18"/>
          <w:lang w:eastAsia="zh-CN"/>
        </w:rPr>
        <w:t>备注：本区域土壤的pH值</w:t>
      </w:r>
      <w:r>
        <w:rPr>
          <w:rFonts w:hint="eastAsia" w:asciiTheme="minorEastAsia" w:hAnsiTheme="minorEastAsia" w:eastAsiaTheme="minorEastAsia"/>
          <w:sz w:val="18"/>
          <w:szCs w:val="18"/>
          <w:lang w:eastAsia="zh-CN"/>
        </w:rPr>
        <w:t>大部分</w:t>
      </w:r>
      <w:r>
        <w:rPr>
          <w:rFonts w:asciiTheme="minorEastAsia" w:hAnsiTheme="minorEastAsia" w:eastAsiaTheme="minorEastAsia"/>
          <w:sz w:val="18"/>
          <w:szCs w:val="18"/>
          <w:lang w:eastAsia="zh-CN"/>
        </w:rPr>
        <w:t>＞7.5。</w:t>
      </w:r>
    </w:p>
    <w:p w14:paraId="4E5CA129">
      <w:pPr>
        <w:pStyle w:val="4"/>
        <w:rPr>
          <w:lang w:eastAsia="zh-CN"/>
        </w:rPr>
      </w:pPr>
      <w:bookmarkStart w:id="85" w:name="_Toc408413892"/>
      <w:r>
        <w:rPr>
          <w:lang w:eastAsia="zh-CN"/>
        </w:rPr>
        <w:t>1.</w:t>
      </w:r>
      <w:r>
        <w:rPr>
          <w:rFonts w:hint="eastAsia"/>
          <w:lang w:eastAsia="zh-CN"/>
        </w:rPr>
        <w:t>5</w:t>
      </w:r>
      <w:r>
        <w:rPr>
          <w:lang w:eastAsia="zh-CN"/>
        </w:rPr>
        <w:t>.</w:t>
      </w:r>
      <w:r>
        <w:rPr>
          <w:rFonts w:hint="eastAsia"/>
          <w:lang w:eastAsia="zh-CN"/>
        </w:rPr>
        <w:t>2</w:t>
      </w:r>
      <w:r>
        <w:rPr>
          <w:lang w:eastAsia="zh-CN"/>
        </w:rPr>
        <w:t>污染物排放标准</w:t>
      </w:r>
      <w:bookmarkEnd w:id="81"/>
      <w:bookmarkEnd w:id="82"/>
      <w:bookmarkEnd w:id="83"/>
      <w:bookmarkEnd w:id="84"/>
      <w:bookmarkEnd w:id="85"/>
    </w:p>
    <w:p w14:paraId="2F2370F6">
      <w:pPr>
        <w:ind w:firstLine="480"/>
        <w:rPr>
          <w:rFonts w:asciiTheme="minorEastAsia" w:hAnsiTheme="minorEastAsia" w:eastAsiaTheme="minorEastAsia"/>
          <w:lang w:eastAsia="zh-CN"/>
        </w:rPr>
      </w:pPr>
      <w:r>
        <w:rPr>
          <w:rFonts w:asciiTheme="minorEastAsia" w:hAnsiTheme="minorEastAsia" w:eastAsiaTheme="minorEastAsia"/>
          <w:lang w:eastAsia="zh-CN"/>
        </w:rPr>
        <w:t xml:space="preserve">1、废气排放标准   </w:t>
      </w:r>
    </w:p>
    <w:p w14:paraId="168DC681">
      <w:pPr>
        <w:ind w:firstLine="480"/>
        <w:rPr>
          <w:rFonts w:asciiTheme="minorEastAsia" w:hAnsiTheme="minorEastAsia" w:eastAsiaTheme="minorEastAsia"/>
          <w:lang w:eastAsia="zh-CN"/>
        </w:rPr>
      </w:pPr>
      <w:r>
        <w:rPr>
          <w:rFonts w:asciiTheme="minorEastAsia" w:hAnsiTheme="minorEastAsia" w:eastAsiaTheme="minorEastAsia"/>
          <w:lang w:eastAsia="zh-CN"/>
        </w:rPr>
        <w:t>锅炉大气污染物排放执行《锅炉大气污染物排放标准》(GB13271-2014)中</w:t>
      </w:r>
      <w:r>
        <w:rPr>
          <w:rFonts w:hint="eastAsia" w:asciiTheme="minorEastAsia" w:hAnsiTheme="minorEastAsia" w:eastAsiaTheme="minorEastAsia"/>
          <w:lang w:eastAsia="zh-CN"/>
        </w:rPr>
        <w:t>新建锅炉排放限值</w:t>
      </w:r>
      <w:r>
        <w:rPr>
          <w:rFonts w:asciiTheme="minorEastAsia" w:hAnsiTheme="minorEastAsia" w:eastAsiaTheme="minorEastAsia"/>
          <w:lang w:eastAsia="zh-CN"/>
        </w:rPr>
        <w:t>，无组织排放执行《大气污染物综合排放标准》(GB16297-1996) 中无组织排放</w:t>
      </w:r>
      <w:r>
        <w:rPr>
          <w:rFonts w:hint="eastAsia" w:asciiTheme="minorEastAsia" w:hAnsiTheme="minorEastAsia" w:eastAsiaTheme="minorEastAsia"/>
          <w:lang w:eastAsia="zh-CN"/>
        </w:rPr>
        <w:t>浓度</w:t>
      </w:r>
      <w:r>
        <w:rPr>
          <w:rFonts w:asciiTheme="minorEastAsia" w:hAnsiTheme="minorEastAsia" w:eastAsiaTheme="minorEastAsia"/>
          <w:lang w:eastAsia="zh-CN"/>
        </w:rPr>
        <w:t>限值。</w:t>
      </w:r>
    </w:p>
    <w:p w14:paraId="22179E88">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（1）</w:t>
      </w:r>
      <w:r>
        <w:rPr>
          <w:rFonts w:asciiTheme="minorEastAsia" w:hAnsiTheme="minorEastAsia" w:eastAsiaTheme="minorEastAsia"/>
          <w:lang w:eastAsia="zh-CN"/>
        </w:rPr>
        <w:t>本项目</w:t>
      </w:r>
      <w:r>
        <w:rPr>
          <w:rFonts w:hint="eastAsia" w:asciiTheme="minorEastAsia" w:hAnsiTheme="minorEastAsia" w:eastAsiaTheme="minorEastAsia"/>
          <w:lang w:eastAsia="zh-CN"/>
        </w:rPr>
        <w:t>加热</w:t>
      </w:r>
      <w:r>
        <w:rPr>
          <w:rFonts w:asciiTheme="minorEastAsia" w:hAnsiTheme="minorEastAsia" w:eastAsiaTheme="minorEastAsia"/>
          <w:lang w:eastAsia="zh-CN"/>
        </w:rPr>
        <w:t>锅炉燃料使用</w:t>
      </w:r>
      <w:r>
        <w:rPr>
          <w:rFonts w:hint="eastAsia" w:asciiTheme="minorEastAsia" w:hAnsiTheme="minorEastAsia" w:eastAsiaTheme="minorEastAsia"/>
          <w:lang w:eastAsia="zh-CN"/>
        </w:rPr>
        <w:t>分离后的</w:t>
      </w:r>
      <w:r>
        <w:rPr>
          <w:rFonts w:asciiTheme="minorEastAsia" w:hAnsiTheme="minorEastAsia" w:eastAsiaTheme="minorEastAsia"/>
          <w:lang w:eastAsia="zh-CN"/>
        </w:rPr>
        <w:t>伴生气，污染物排放执行《锅炉大气污染物排放标准》(GB13271-2014)中表2规定的标准</w:t>
      </w:r>
      <w:r>
        <w:rPr>
          <w:rFonts w:hint="eastAsia" w:asciiTheme="minorEastAsia" w:hAnsiTheme="minorEastAsia" w:eastAsiaTheme="minorEastAsia"/>
          <w:lang w:eastAsia="zh-CN"/>
        </w:rPr>
        <w:t>，</w:t>
      </w:r>
      <w:r>
        <w:rPr>
          <w:rFonts w:asciiTheme="minorEastAsia" w:hAnsiTheme="minorEastAsia" w:eastAsiaTheme="minorEastAsia"/>
          <w:lang w:eastAsia="zh-CN"/>
        </w:rPr>
        <w:t>标准值见表1.</w:t>
      </w:r>
      <w:r>
        <w:rPr>
          <w:rFonts w:hint="eastAsia" w:asciiTheme="minorEastAsia" w:hAnsiTheme="minorEastAsia" w:eastAsiaTheme="minorEastAsia"/>
          <w:lang w:eastAsia="zh-CN"/>
        </w:rPr>
        <w:t>5</w:t>
      </w:r>
      <w:r>
        <w:rPr>
          <w:rFonts w:asciiTheme="minorEastAsia" w:hAnsiTheme="minorEastAsia" w:eastAsiaTheme="minorEastAsia"/>
          <w:lang w:eastAsia="zh-CN"/>
        </w:rPr>
        <w:t>-</w:t>
      </w:r>
      <w:r>
        <w:rPr>
          <w:rFonts w:hint="eastAsia" w:asciiTheme="minorEastAsia" w:hAnsiTheme="minorEastAsia" w:eastAsiaTheme="minorEastAsia"/>
          <w:lang w:eastAsia="zh-CN"/>
        </w:rPr>
        <w:t>5</w:t>
      </w:r>
      <w:r>
        <w:rPr>
          <w:rFonts w:asciiTheme="minorEastAsia" w:hAnsiTheme="minorEastAsia" w:eastAsiaTheme="minorEastAsia"/>
          <w:lang w:eastAsia="zh-CN"/>
        </w:rPr>
        <w:t>。燃气机组执行</w:t>
      </w:r>
      <w:r>
        <w:rPr>
          <w:rFonts w:hint="eastAsia" w:asciiTheme="minorEastAsia" w:hAnsiTheme="minorEastAsia" w:eastAsiaTheme="minorEastAsia"/>
          <w:lang w:eastAsia="zh-CN"/>
        </w:rPr>
        <w:t>《火电厂大气污染物排放标准》</w:t>
      </w:r>
      <w:r>
        <w:rPr>
          <w:rFonts w:asciiTheme="minorEastAsia" w:hAnsiTheme="minorEastAsia" w:eastAsiaTheme="minorEastAsia"/>
          <w:lang w:eastAsia="zh-CN"/>
        </w:rPr>
        <w:t>(GB13</w:t>
      </w:r>
      <w:r>
        <w:rPr>
          <w:rFonts w:hint="eastAsia" w:asciiTheme="minorEastAsia" w:hAnsiTheme="minorEastAsia" w:eastAsiaTheme="minorEastAsia"/>
          <w:lang w:eastAsia="zh-CN"/>
        </w:rPr>
        <w:t>223</w:t>
      </w:r>
      <w:r>
        <w:rPr>
          <w:rFonts w:asciiTheme="minorEastAsia" w:hAnsiTheme="minorEastAsia" w:eastAsiaTheme="minorEastAsia"/>
          <w:lang w:eastAsia="zh-CN"/>
        </w:rPr>
        <w:t>-201</w:t>
      </w:r>
      <w:r>
        <w:rPr>
          <w:rFonts w:hint="eastAsia" w:asciiTheme="minorEastAsia" w:hAnsiTheme="minorEastAsia" w:eastAsiaTheme="minorEastAsia"/>
          <w:lang w:eastAsia="zh-CN"/>
        </w:rPr>
        <w:t>1</w:t>
      </w:r>
      <w:r>
        <w:rPr>
          <w:rFonts w:asciiTheme="minorEastAsia" w:hAnsiTheme="minorEastAsia" w:eastAsiaTheme="minorEastAsia"/>
          <w:lang w:eastAsia="zh-CN"/>
        </w:rPr>
        <w:t>) 中表</w:t>
      </w:r>
      <w:r>
        <w:rPr>
          <w:rFonts w:hint="eastAsia" w:asciiTheme="minorEastAsia" w:hAnsiTheme="minorEastAsia" w:eastAsiaTheme="minorEastAsia"/>
          <w:lang w:eastAsia="zh-CN"/>
        </w:rPr>
        <w:t>1</w:t>
      </w:r>
      <w:r>
        <w:rPr>
          <w:rFonts w:asciiTheme="minorEastAsia" w:hAnsiTheme="minorEastAsia" w:eastAsiaTheme="minorEastAsia"/>
          <w:lang w:eastAsia="zh-CN"/>
        </w:rPr>
        <w:t>规定的标准</w:t>
      </w:r>
      <w:r>
        <w:rPr>
          <w:rFonts w:hint="eastAsia" w:asciiTheme="minorEastAsia" w:hAnsiTheme="minorEastAsia" w:eastAsiaTheme="minorEastAsia"/>
          <w:lang w:eastAsia="zh-CN"/>
        </w:rPr>
        <w:t>，</w:t>
      </w:r>
      <w:r>
        <w:rPr>
          <w:rFonts w:asciiTheme="minorEastAsia" w:hAnsiTheme="minorEastAsia" w:eastAsiaTheme="minorEastAsia"/>
          <w:lang w:eastAsia="zh-CN"/>
        </w:rPr>
        <w:t>标准值见表1.</w:t>
      </w:r>
      <w:r>
        <w:rPr>
          <w:rFonts w:hint="eastAsia" w:asciiTheme="minorEastAsia" w:hAnsiTheme="minorEastAsia" w:eastAsiaTheme="minorEastAsia"/>
          <w:lang w:eastAsia="zh-CN"/>
        </w:rPr>
        <w:t>5-6。</w:t>
      </w:r>
    </w:p>
    <w:p w14:paraId="329BC205">
      <w:pPr>
        <w:spacing w:line="240" w:lineRule="auto"/>
        <w:ind w:firstLine="482"/>
        <w:rPr>
          <w:b/>
          <w:lang w:eastAsia="zh-CN"/>
        </w:rPr>
      </w:pPr>
      <w:r>
        <w:rPr>
          <w:b/>
          <w:lang w:eastAsia="zh-CN"/>
        </w:rPr>
        <w:t>表1.</w:t>
      </w:r>
      <w:r>
        <w:rPr>
          <w:rFonts w:hint="eastAsia"/>
          <w:b/>
          <w:lang w:eastAsia="zh-CN"/>
        </w:rPr>
        <w:t>5</w:t>
      </w:r>
      <w:r>
        <w:rPr>
          <w:b/>
          <w:lang w:eastAsia="zh-CN"/>
        </w:rPr>
        <w:t xml:space="preserve">-5  </w:t>
      </w:r>
      <w:r>
        <w:rPr>
          <w:rFonts w:hint="eastAsia"/>
          <w:b/>
          <w:lang w:eastAsia="zh-CN"/>
        </w:rPr>
        <w:t xml:space="preserve">  </w:t>
      </w:r>
      <w:r>
        <w:rPr>
          <w:b/>
          <w:lang w:eastAsia="zh-CN"/>
        </w:rPr>
        <w:t>锅炉大气污染物排放标准</w:t>
      </w:r>
    </w:p>
    <w:tbl>
      <w:tblPr>
        <w:tblStyle w:val="7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24"/>
        <w:gridCol w:w="1464"/>
        <w:gridCol w:w="1486"/>
        <w:gridCol w:w="1733"/>
        <w:gridCol w:w="2722"/>
      </w:tblGrid>
      <w:tr w14:paraId="7A90EA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24" w:type="dxa"/>
            <w:vAlign w:val="center"/>
          </w:tcPr>
          <w:p w14:paraId="6630D166">
            <w:pPr>
              <w:pStyle w:val="337"/>
              <w:adjustRightInd w:val="0"/>
              <w:snapToGrid w:val="0"/>
              <w:rPr>
                <w:snapToGrid w:val="0"/>
                <w:color w:val="auto"/>
                <w:kern w:val="0"/>
                <w:lang w:val="en-US" w:eastAsia="en-US" w:bidi="en-US"/>
              </w:rPr>
            </w:pPr>
            <w:r>
              <w:rPr>
                <w:snapToGrid w:val="0"/>
                <w:color w:val="auto"/>
                <w:kern w:val="0"/>
                <w:lang w:val="en-US" w:eastAsia="en-US" w:bidi="en-US"/>
              </w:rPr>
              <w:t>锅炉类别</w:t>
            </w:r>
          </w:p>
        </w:tc>
        <w:tc>
          <w:tcPr>
            <w:tcW w:w="1464" w:type="dxa"/>
            <w:vAlign w:val="center"/>
          </w:tcPr>
          <w:p w14:paraId="311316EA">
            <w:pPr>
              <w:pStyle w:val="337"/>
              <w:adjustRightInd w:val="0"/>
              <w:snapToGrid w:val="0"/>
              <w:rPr>
                <w:snapToGrid w:val="0"/>
                <w:color w:val="auto"/>
                <w:kern w:val="0"/>
                <w:lang w:val="en-US" w:eastAsia="zh-CN" w:bidi="en-US"/>
              </w:rPr>
            </w:pPr>
            <w:r>
              <w:rPr>
                <w:snapToGrid w:val="0"/>
                <w:color w:val="auto"/>
                <w:kern w:val="0"/>
                <w:lang w:val="en-US" w:eastAsia="zh-CN" w:bidi="en-US"/>
              </w:rPr>
              <w:t>SO</w:t>
            </w:r>
            <w:r>
              <w:rPr>
                <w:snapToGrid w:val="0"/>
                <w:color w:val="auto"/>
                <w:kern w:val="0"/>
                <w:vertAlign w:val="subscript"/>
                <w:lang w:val="en-US" w:eastAsia="zh-CN" w:bidi="en-US"/>
              </w:rPr>
              <w:t>2</w:t>
            </w:r>
            <w:r>
              <w:rPr>
                <w:snapToGrid w:val="0"/>
                <w:color w:val="auto"/>
                <w:kern w:val="0"/>
                <w:lang w:val="en-US" w:eastAsia="zh-CN" w:bidi="en-US"/>
              </w:rPr>
              <w:t>(mg/m</w:t>
            </w:r>
            <w:r>
              <w:rPr>
                <w:snapToGrid w:val="0"/>
                <w:color w:val="auto"/>
                <w:kern w:val="0"/>
                <w:vertAlign w:val="superscript"/>
                <w:lang w:val="en-US" w:eastAsia="zh-CN" w:bidi="en-US"/>
              </w:rPr>
              <w:t>3</w:t>
            </w:r>
            <w:r>
              <w:rPr>
                <w:snapToGrid w:val="0"/>
                <w:color w:val="auto"/>
                <w:kern w:val="0"/>
                <w:lang w:val="en-US" w:eastAsia="zh-CN" w:bidi="en-US"/>
              </w:rPr>
              <w:t>)</w:t>
            </w:r>
          </w:p>
        </w:tc>
        <w:tc>
          <w:tcPr>
            <w:tcW w:w="1486" w:type="dxa"/>
            <w:vAlign w:val="center"/>
          </w:tcPr>
          <w:p w14:paraId="1F4A8563">
            <w:pPr>
              <w:pStyle w:val="337"/>
              <w:adjustRightInd w:val="0"/>
              <w:snapToGrid w:val="0"/>
              <w:rPr>
                <w:snapToGrid w:val="0"/>
                <w:color w:val="auto"/>
                <w:kern w:val="0"/>
                <w:lang w:val="en-US" w:eastAsia="en-US" w:bidi="en-US"/>
              </w:rPr>
            </w:pPr>
            <w:r>
              <w:rPr>
                <w:snapToGrid w:val="0"/>
                <w:color w:val="auto"/>
                <w:kern w:val="0"/>
                <w:lang w:val="en-US" w:eastAsia="en-US" w:bidi="en-US"/>
              </w:rPr>
              <w:t>NO</w:t>
            </w:r>
            <w:r>
              <w:rPr>
                <w:snapToGrid w:val="0"/>
                <w:color w:val="auto"/>
                <w:kern w:val="0"/>
                <w:vertAlign w:val="subscript"/>
                <w:lang w:val="en-US" w:eastAsia="en-US" w:bidi="en-US"/>
              </w:rPr>
              <w:t>X</w:t>
            </w:r>
            <w:r>
              <w:rPr>
                <w:snapToGrid w:val="0"/>
                <w:color w:val="auto"/>
                <w:kern w:val="0"/>
                <w:lang w:val="en-US" w:eastAsia="en-US" w:bidi="en-US"/>
              </w:rPr>
              <w:t xml:space="preserve"> </w:t>
            </w:r>
            <w:r>
              <w:rPr>
                <w:snapToGrid w:val="0"/>
                <w:color w:val="auto"/>
                <w:kern w:val="0"/>
                <w:lang w:val="en-US" w:eastAsia="zh-CN" w:bidi="en-US"/>
              </w:rPr>
              <w:t>(</w:t>
            </w:r>
            <w:r>
              <w:rPr>
                <w:snapToGrid w:val="0"/>
                <w:color w:val="auto"/>
                <w:kern w:val="0"/>
                <w:lang w:val="en-US" w:eastAsia="en-US" w:bidi="en-US"/>
              </w:rPr>
              <w:t>mg/m</w:t>
            </w:r>
            <w:r>
              <w:rPr>
                <w:snapToGrid w:val="0"/>
                <w:color w:val="auto"/>
                <w:kern w:val="0"/>
                <w:vertAlign w:val="superscript"/>
                <w:lang w:val="en-US" w:eastAsia="en-US" w:bidi="en-US"/>
              </w:rPr>
              <w:t>3</w:t>
            </w:r>
            <w:r>
              <w:rPr>
                <w:snapToGrid w:val="0"/>
                <w:color w:val="auto"/>
                <w:kern w:val="0"/>
                <w:lang w:val="en-US" w:eastAsia="en-US" w:bidi="en-US"/>
              </w:rPr>
              <w:t>)</w:t>
            </w:r>
          </w:p>
        </w:tc>
        <w:tc>
          <w:tcPr>
            <w:tcW w:w="1733" w:type="dxa"/>
            <w:vAlign w:val="center"/>
          </w:tcPr>
          <w:p w14:paraId="69DCA1F6">
            <w:pPr>
              <w:pStyle w:val="337"/>
              <w:adjustRightInd w:val="0"/>
              <w:snapToGrid w:val="0"/>
              <w:rPr>
                <w:snapToGrid w:val="0"/>
                <w:color w:val="auto"/>
                <w:kern w:val="0"/>
                <w:lang w:val="en-US" w:eastAsia="en-US" w:bidi="en-US"/>
              </w:rPr>
            </w:pPr>
            <w:r>
              <w:rPr>
                <w:rFonts w:hint="eastAsia"/>
                <w:snapToGrid w:val="0"/>
                <w:color w:val="auto"/>
                <w:kern w:val="0"/>
                <w:lang w:val="en-US" w:eastAsia="zh-CN" w:bidi="en-US"/>
              </w:rPr>
              <w:t>颗粒物</w:t>
            </w:r>
            <w:r>
              <w:rPr>
                <w:snapToGrid w:val="0"/>
                <w:color w:val="auto"/>
                <w:kern w:val="0"/>
                <w:lang w:val="en-US" w:eastAsia="en-US" w:bidi="en-US"/>
              </w:rPr>
              <w:t>(mg/m</w:t>
            </w:r>
            <w:r>
              <w:rPr>
                <w:snapToGrid w:val="0"/>
                <w:color w:val="auto"/>
                <w:kern w:val="0"/>
                <w:vertAlign w:val="superscript"/>
                <w:lang w:val="en-US" w:eastAsia="en-US" w:bidi="en-US"/>
              </w:rPr>
              <w:t>3</w:t>
            </w:r>
            <w:r>
              <w:rPr>
                <w:snapToGrid w:val="0"/>
                <w:color w:val="auto"/>
                <w:kern w:val="0"/>
                <w:lang w:val="en-US" w:eastAsia="en-US" w:bidi="en-US"/>
              </w:rPr>
              <w:t>)</w:t>
            </w:r>
          </w:p>
        </w:tc>
        <w:tc>
          <w:tcPr>
            <w:tcW w:w="2722" w:type="dxa"/>
            <w:vAlign w:val="center"/>
          </w:tcPr>
          <w:p w14:paraId="400F927F">
            <w:pPr>
              <w:pStyle w:val="337"/>
              <w:adjustRightInd w:val="0"/>
              <w:snapToGrid w:val="0"/>
              <w:rPr>
                <w:snapToGrid w:val="0"/>
                <w:color w:val="auto"/>
                <w:kern w:val="0"/>
                <w:lang w:val="en-US" w:eastAsia="zh-CN" w:bidi="en-US"/>
              </w:rPr>
            </w:pPr>
            <w:r>
              <w:rPr>
                <w:snapToGrid w:val="0"/>
                <w:color w:val="auto"/>
                <w:kern w:val="0"/>
                <w:lang w:val="en-US" w:eastAsia="zh-CN" w:bidi="en-US"/>
              </w:rPr>
              <w:t>烟气黑度(林格曼黑度，级)</w:t>
            </w:r>
          </w:p>
        </w:tc>
      </w:tr>
      <w:tr w14:paraId="539144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24" w:type="dxa"/>
            <w:vAlign w:val="center"/>
          </w:tcPr>
          <w:p w14:paraId="1375176B">
            <w:pPr>
              <w:pStyle w:val="337"/>
              <w:adjustRightInd w:val="0"/>
              <w:snapToGrid w:val="0"/>
              <w:rPr>
                <w:snapToGrid w:val="0"/>
                <w:color w:val="auto"/>
                <w:kern w:val="0"/>
                <w:lang w:val="en-US" w:eastAsia="zh-CN" w:bidi="en-US"/>
              </w:rPr>
            </w:pPr>
            <w:r>
              <w:rPr>
                <w:rFonts w:hint="eastAsia"/>
                <w:snapToGrid w:val="0"/>
                <w:color w:val="auto"/>
                <w:kern w:val="0"/>
                <w:lang w:val="en-US" w:eastAsia="zh-CN" w:bidi="en-US"/>
              </w:rPr>
              <w:t>燃气锅炉</w:t>
            </w:r>
          </w:p>
        </w:tc>
        <w:tc>
          <w:tcPr>
            <w:tcW w:w="1464" w:type="dxa"/>
            <w:vAlign w:val="center"/>
          </w:tcPr>
          <w:p w14:paraId="3BA7212D">
            <w:pPr>
              <w:pStyle w:val="337"/>
              <w:adjustRightInd w:val="0"/>
              <w:snapToGrid w:val="0"/>
              <w:rPr>
                <w:snapToGrid w:val="0"/>
                <w:color w:val="auto"/>
                <w:kern w:val="0"/>
                <w:lang w:val="en-US" w:eastAsia="zh-CN" w:bidi="en-US"/>
              </w:rPr>
            </w:pPr>
            <w:r>
              <w:rPr>
                <w:rFonts w:hint="eastAsia"/>
                <w:snapToGrid w:val="0"/>
                <w:color w:val="auto"/>
                <w:kern w:val="0"/>
                <w:lang w:val="en-US" w:eastAsia="zh-CN" w:bidi="en-US"/>
              </w:rPr>
              <w:t>50</w:t>
            </w:r>
          </w:p>
        </w:tc>
        <w:tc>
          <w:tcPr>
            <w:tcW w:w="1486" w:type="dxa"/>
            <w:vAlign w:val="center"/>
          </w:tcPr>
          <w:p w14:paraId="46607BF3">
            <w:pPr>
              <w:pStyle w:val="337"/>
              <w:adjustRightInd w:val="0"/>
              <w:snapToGrid w:val="0"/>
              <w:rPr>
                <w:snapToGrid w:val="0"/>
                <w:color w:val="auto"/>
                <w:kern w:val="0"/>
                <w:lang w:val="en-US" w:eastAsia="zh-CN" w:bidi="en-US"/>
              </w:rPr>
            </w:pPr>
            <w:r>
              <w:rPr>
                <w:rFonts w:hint="eastAsia"/>
                <w:snapToGrid w:val="0"/>
                <w:color w:val="auto"/>
                <w:kern w:val="0"/>
                <w:lang w:val="en-US" w:eastAsia="zh-CN" w:bidi="en-US"/>
              </w:rPr>
              <w:t>200</w:t>
            </w:r>
          </w:p>
        </w:tc>
        <w:tc>
          <w:tcPr>
            <w:tcW w:w="1733" w:type="dxa"/>
            <w:vAlign w:val="center"/>
          </w:tcPr>
          <w:p w14:paraId="0011D2C8">
            <w:pPr>
              <w:pStyle w:val="337"/>
              <w:adjustRightInd w:val="0"/>
              <w:snapToGrid w:val="0"/>
              <w:rPr>
                <w:snapToGrid w:val="0"/>
                <w:color w:val="auto"/>
                <w:kern w:val="0"/>
                <w:lang w:val="en-US" w:eastAsia="zh-CN" w:bidi="en-US"/>
              </w:rPr>
            </w:pPr>
            <w:r>
              <w:rPr>
                <w:rFonts w:hint="eastAsia"/>
                <w:snapToGrid w:val="0"/>
                <w:color w:val="auto"/>
                <w:kern w:val="0"/>
                <w:lang w:val="en-US" w:eastAsia="zh-CN" w:bidi="en-US"/>
              </w:rPr>
              <w:t>20</w:t>
            </w:r>
          </w:p>
        </w:tc>
        <w:tc>
          <w:tcPr>
            <w:tcW w:w="2722" w:type="dxa"/>
            <w:vAlign w:val="center"/>
          </w:tcPr>
          <w:p w14:paraId="69B774B0">
            <w:pPr>
              <w:pStyle w:val="337"/>
              <w:adjustRightInd w:val="0"/>
              <w:snapToGrid w:val="0"/>
              <w:rPr>
                <w:snapToGrid w:val="0"/>
                <w:color w:val="auto"/>
                <w:kern w:val="0"/>
                <w:lang w:val="en-US" w:eastAsia="zh-CN" w:bidi="en-US"/>
              </w:rPr>
            </w:pPr>
            <w:r>
              <w:rPr>
                <w:snapToGrid w:val="0"/>
                <w:color w:val="auto"/>
                <w:kern w:val="0"/>
                <w:lang w:val="en-US" w:eastAsia="zh-CN" w:bidi="en-US"/>
              </w:rPr>
              <w:t>≤1</w:t>
            </w:r>
          </w:p>
        </w:tc>
      </w:tr>
    </w:tbl>
    <w:p w14:paraId="7393E937">
      <w:pPr>
        <w:spacing w:line="240" w:lineRule="auto"/>
        <w:ind w:firstLine="318" w:firstLineChars="132"/>
        <w:rPr>
          <w:b/>
          <w:lang w:eastAsia="zh-CN"/>
        </w:rPr>
      </w:pPr>
      <w:r>
        <w:rPr>
          <w:b/>
          <w:lang w:eastAsia="zh-CN"/>
        </w:rPr>
        <w:t>表1.</w:t>
      </w:r>
      <w:r>
        <w:rPr>
          <w:rFonts w:hint="eastAsia"/>
          <w:b/>
          <w:lang w:eastAsia="zh-CN"/>
        </w:rPr>
        <w:t>5</w:t>
      </w:r>
      <w:r>
        <w:rPr>
          <w:b/>
          <w:lang w:eastAsia="zh-CN"/>
        </w:rPr>
        <w:t>-</w:t>
      </w:r>
      <w:r>
        <w:rPr>
          <w:rFonts w:hint="eastAsia"/>
          <w:b/>
          <w:lang w:eastAsia="zh-CN"/>
        </w:rPr>
        <w:t>6</w:t>
      </w:r>
      <w:r>
        <w:rPr>
          <w:b/>
          <w:lang w:eastAsia="zh-CN"/>
        </w:rPr>
        <w:t xml:space="preserve"> </w:t>
      </w:r>
      <w:r>
        <w:rPr>
          <w:rFonts w:hint="eastAsia"/>
          <w:b/>
          <w:lang w:eastAsia="zh-CN"/>
        </w:rPr>
        <w:t xml:space="preserve">   火电厂</w:t>
      </w:r>
      <w:r>
        <w:rPr>
          <w:b/>
          <w:lang w:eastAsia="zh-CN"/>
        </w:rPr>
        <w:t>大气污染物排放标准</w:t>
      </w:r>
    </w:p>
    <w:tbl>
      <w:tblPr>
        <w:tblStyle w:val="7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24"/>
        <w:gridCol w:w="1464"/>
        <w:gridCol w:w="1486"/>
        <w:gridCol w:w="1733"/>
        <w:gridCol w:w="2722"/>
      </w:tblGrid>
      <w:tr w14:paraId="414DD8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24" w:type="dxa"/>
            <w:vAlign w:val="center"/>
          </w:tcPr>
          <w:p w14:paraId="5087BDFA">
            <w:pPr>
              <w:pStyle w:val="337"/>
              <w:adjustRightInd w:val="0"/>
              <w:snapToGrid w:val="0"/>
              <w:rPr>
                <w:snapToGrid w:val="0"/>
                <w:color w:val="auto"/>
                <w:kern w:val="0"/>
                <w:lang w:val="en-US" w:eastAsia="en-US" w:bidi="en-US"/>
              </w:rPr>
            </w:pPr>
            <w:r>
              <w:rPr>
                <w:snapToGrid w:val="0"/>
                <w:color w:val="auto"/>
                <w:kern w:val="0"/>
                <w:lang w:val="en-US" w:eastAsia="en-US" w:bidi="en-US"/>
              </w:rPr>
              <w:t>锅炉类别</w:t>
            </w:r>
          </w:p>
        </w:tc>
        <w:tc>
          <w:tcPr>
            <w:tcW w:w="1464" w:type="dxa"/>
            <w:vAlign w:val="center"/>
          </w:tcPr>
          <w:p w14:paraId="7C412B0A">
            <w:pPr>
              <w:pStyle w:val="337"/>
              <w:adjustRightInd w:val="0"/>
              <w:snapToGrid w:val="0"/>
              <w:rPr>
                <w:snapToGrid w:val="0"/>
                <w:color w:val="auto"/>
                <w:kern w:val="0"/>
                <w:lang w:val="en-US" w:eastAsia="zh-CN" w:bidi="en-US"/>
              </w:rPr>
            </w:pPr>
            <w:r>
              <w:rPr>
                <w:snapToGrid w:val="0"/>
                <w:color w:val="auto"/>
                <w:kern w:val="0"/>
                <w:lang w:val="en-US" w:eastAsia="zh-CN" w:bidi="en-US"/>
              </w:rPr>
              <w:t>SO</w:t>
            </w:r>
            <w:r>
              <w:rPr>
                <w:snapToGrid w:val="0"/>
                <w:color w:val="auto"/>
                <w:kern w:val="0"/>
                <w:vertAlign w:val="subscript"/>
                <w:lang w:val="en-US" w:eastAsia="zh-CN" w:bidi="en-US"/>
              </w:rPr>
              <w:t>2</w:t>
            </w:r>
            <w:r>
              <w:rPr>
                <w:snapToGrid w:val="0"/>
                <w:color w:val="auto"/>
                <w:kern w:val="0"/>
                <w:lang w:val="en-US" w:eastAsia="zh-CN" w:bidi="en-US"/>
              </w:rPr>
              <w:t>(mg/m</w:t>
            </w:r>
            <w:r>
              <w:rPr>
                <w:snapToGrid w:val="0"/>
                <w:color w:val="auto"/>
                <w:kern w:val="0"/>
                <w:vertAlign w:val="superscript"/>
                <w:lang w:val="en-US" w:eastAsia="zh-CN" w:bidi="en-US"/>
              </w:rPr>
              <w:t>3</w:t>
            </w:r>
            <w:r>
              <w:rPr>
                <w:snapToGrid w:val="0"/>
                <w:color w:val="auto"/>
                <w:kern w:val="0"/>
                <w:lang w:val="en-US" w:eastAsia="zh-CN" w:bidi="en-US"/>
              </w:rPr>
              <w:t>)</w:t>
            </w:r>
          </w:p>
        </w:tc>
        <w:tc>
          <w:tcPr>
            <w:tcW w:w="1486" w:type="dxa"/>
            <w:vAlign w:val="center"/>
          </w:tcPr>
          <w:p w14:paraId="63491D60">
            <w:pPr>
              <w:pStyle w:val="337"/>
              <w:adjustRightInd w:val="0"/>
              <w:snapToGrid w:val="0"/>
              <w:rPr>
                <w:snapToGrid w:val="0"/>
                <w:color w:val="auto"/>
                <w:kern w:val="0"/>
                <w:lang w:val="en-US" w:eastAsia="en-US" w:bidi="en-US"/>
              </w:rPr>
            </w:pPr>
            <w:r>
              <w:rPr>
                <w:snapToGrid w:val="0"/>
                <w:color w:val="auto"/>
                <w:kern w:val="0"/>
                <w:lang w:val="en-US" w:eastAsia="en-US" w:bidi="en-US"/>
              </w:rPr>
              <w:t>NO</w:t>
            </w:r>
            <w:r>
              <w:rPr>
                <w:snapToGrid w:val="0"/>
                <w:color w:val="auto"/>
                <w:kern w:val="0"/>
                <w:vertAlign w:val="subscript"/>
                <w:lang w:val="en-US" w:eastAsia="en-US" w:bidi="en-US"/>
              </w:rPr>
              <w:t>X</w:t>
            </w:r>
            <w:r>
              <w:rPr>
                <w:snapToGrid w:val="0"/>
                <w:color w:val="auto"/>
                <w:kern w:val="0"/>
                <w:lang w:val="en-US" w:eastAsia="en-US" w:bidi="en-US"/>
              </w:rPr>
              <w:t xml:space="preserve"> </w:t>
            </w:r>
            <w:r>
              <w:rPr>
                <w:snapToGrid w:val="0"/>
                <w:color w:val="auto"/>
                <w:kern w:val="0"/>
                <w:lang w:val="en-US" w:eastAsia="zh-CN" w:bidi="en-US"/>
              </w:rPr>
              <w:t>(</w:t>
            </w:r>
            <w:r>
              <w:rPr>
                <w:snapToGrid w:val="0"/>
                <w:color w:val="auto"/>
                <w:kern w:val="0"/>
                <w:lang w:val="en-US" w:eastAsia="en-US" w:bidi="en-US"/>
              </w:rPr>
              <w:t>mg/m</w:t>
            </w:r>
            <w:r>
              <w:rPr>
                <w:snapToGrid w:val="0"/>
                <w:color w:val="auto"/>
                <w:kern w:val="0"/>
                <w:vertAlign w:val="superscript"/>
                <w:lang w:val="en-US" w:eastAsia="en-US" w:bidi="en-US"/>
              </w:rPr>
              <w:t>3</w:t>
            </w:r>
            <w:r>
              <w:rPr>
                <w:snapToGrid w:val="0"/>
                <w:color w:val="auto"/>
                <w:kern w:val="0"/>
                <w:lang w:val="en-US" w:eastAsia="en-US" w:bidi="en-US"/>
              </w:rPr>
              <w:t>)</w:t>
            </w:r>
          </w:p>
        </w:tc>
        <w:tc>
          <w:tcPr>
            <w:tcW w:w="1733" w:type="dxa"/>
            <w:vAlign w:val="center"/>
          </w:tcPr>
          <w:p w14:paraId="1E75E16E">
            <w:pPr>
              <w:pStyle w:val="337"/>
              <w:adjustRightInd w:val="0"/>
              <w:snapToGrid w:val="0"/>
              <w:rPr>
                <w:snapToGrid w:val="0"/>
                <w:color w:val="auto"/>
                <w:kern w:val="0"/>
                <w:lang w:val="en-US" w:eastAsia="en-US" w:bidi="en-US"/>
              </w:rPr>
            </w:pPr>
            <w:r>
              <w:rPr>
                <w:rFonts w:hint="eastAsia"/>
                <w:snapToGrid w:val="0"/>
                <w:color w:val="auto"/>
                <w:kern w:val="0"/>
                <w:lang w:val="en-US" w:eastAsia="zh-CN" w:bidi="en-US"/>
              </w:rPr>
              <w:t>烟尘</w:t>
            </w:r>
            <w:r>
              <w:rPr>
                <w:snapToGrid w:val="0"/>
                <w:color w:val="auto"/>
                <w:kern w:val="0"/>
                <w:lang w:val="en-US" w:eastAsia="en-US" w:bidi="en-US"/>
              </w:rPr>
              <w:t>(mg/m</w:t>
            </w:r>
            <w:r>
              <w:rPr>
                <w:snapToGrid w:val="0"/>
                <w:color w:val="auto"/>
                <w:kern w:val="0"/>
                <w:vertAlign w:val="superscript"/>
                <w:lang w:val="en-US" w:eastAsia="en-US" w:bidi="en-US"/>
              </w:rPr>
              <w:t>3</w:t>
            </w:r>
            <w:r>
              <w:rPr>
                <w:snapToGrid w:val="0"/>
                <w:color w:val="auto"/>
                <w:kern w:val="0"/>
                <w:lang w:val="en-US" w:eastAsia="en-US" w:bidi="en-US"/>
              </w:rPr>
              <w:t>)</w:t>
            </w:r>
          </w:p>
        </w:tc>
        <w:tc>
          <w:tcPr>
            <w:tcW w:w="2722" w:type="dxa"/>
            <w:vAlign w:val="center"/>
          </w:tcPr>
          <w:p w14:paraId="26C4BCD5">
            <w:pPr>
              <w:pStyle w:val="337"/>
              <w:adjustRightInd w:val="0"/>
              <w:snapToGrid w:val="0"/>
              <w:rPr>
                <w:snapToGrid w:val="0"/>
                <w:color w:val="auto"/>
                <w:kern w:val="0"/>
                <w:lang w:val="en-US" w:eastAsia="zh-CN" w:bidi="en-US"/>
              </w:rPr>
            </w:pPr>
            <w:r>
              <w:rPr>
                <w:snapToGrid w:val="0"/>
                <w:color w:val="auto"/>
                <w:kern w:val="0"/>
                <w:lang w:val="en-US" w:eastAsia="zh-CN" w:bidi="en-US"/>
              </w:rPr>
              <w:t>烟气黑度(林格曼黑度，级)</w:t>
            </w:r>
          </w:p>
        </w:tc>
      </w:tr>
      <w:tr w14:paraId="2D319C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24" w:type="dxa"/>
            <w:vAlign w:val="center"/>
          </w:tcPr>
          <w:p w14:paraId="32389FAB">
            <w:pPr>
              <w:pStyle w:val="337"/>
              <w:adjustRightInd w:val="0"/>
              <w:snapToGrid w:val="0"/>
              <w:rPr>
                <w:snapToGrid w:val="0"/>
                <w:color w:val="auto"/>
                <w:kern w:val="0"/>
                <w:lang w:val="en-US" w:eastAsia="zh-CN" w:bidi="en-US"/>
              </w:rPr>
            </w:pPr>
            <w:r>
              <w:rPr>
                <w:rFonts w:hint="eastAsia"/>
                <w:snapToGrid w:val="0"/>
                <w:color w:val="auto"/>
                <w:kern w:val="0"/>
                <w:lang w:val="en-US" w:eastAsia="zh-CN" w:bidi="en-US"/>
              </w:rPr>
              <w:t>燃气锅炉</w:t>
            </w:r>
          </w:p>
        </w:tc>
        <w:tc>
          <w:tcPr>
            <w:tcW w:w="1464" w:type="dxa"/>
            <w:vAlign w:val="center"/>
          </w:tcPr>
          <w:p w14:paraId="6265ED63">
            <w:pPr>
              <w:pStyle w:val="337"/>
              <w:adjustRightInd w:val="0"/>
              <w:snapToGrid w:val="0"/>
              <w:rPr>
                <w:snapToGrid w:val="0"/>
                <w:color w:val="auto"/>
                <w:kern w:val="0"/>
                <w:lang w:val="en-US" w:eastAsia="zh-CN" w:bidi="en-US"/>
              </w:rPr>
            </w:pPr>
            <w:r>
              <w:rPr>
                <w:rFonts w:hint="eastAsia"/>
                <w:snapToGrid w:val="0"/>
                <w:color w:val="auto"/>
                <w:kern w:val="0"/>
                <w:lang w:val="en-US" w:eastAsia="zh-CN" w:bidi="en-US"/>
              </w:rPr>
              <w:t>35</w:t>
            </w:r>
          </w:p>
        </w:tc>
        <w:tc>
          <w:tcPr>
            <w:tcW w:w="1486" w:type="dxa"/>
            <w:vAlign w:val="center"/>
          </w:tcPr>
          <w:p w14:paraId="2EEE3C4C">
            <w:pPr>
              <w:pStyle w:val="337"/>
              <w:adjustRightInd w:val="0"/>
              <w:snapToGrid w:val="0"/>
              <w:rPr>
                <w:snapToGrid w:val="0"/>
                <w:color w:val="auto"/>
                <w:kern w:val="0"/>
                <w:lang w:val="en-US" w:eastAsia="zh-CN" w:bidi="en-US"/>
              </w:rPr>
            </w:pPr>
            <w:r>
              <w:rPr>
                <w:rFonts w:hint="eastAsia"/>
                <w:snapToGrid w:val="0"/>
                <w:color w:val="auto"/>
                <w:kern w:val="0"/>
                <w:lang w:val="en-US" w:eastAsia="zh-CN" w:bidi="en-US"/>
              </w:rPr>
              <w:t>100</w:t>
            </w:r>
          </w:p>
        </w:tc>
        <w:tc>
          <w:tcPr>
            <w:tcW w:w="1733" w:type="dxa"/>
            <w:vAlign w:val="center"/>
          </w:tcPr>
          <w:p w14:paraId="5A19A2FB">
            <w:pPr>
              <w:pStyle w:val="337"/>
              <w:adjustRightInd w:val="0"/>
              <w:snapToGrid w:val="0"/>
              <w:rPr>
                <w:snapToGrid w:val="0"/>
                <w:color w:val="auto"/>
                <w:kern w:val="0"/>
                <w:lang w:val="en-US" w:eastAsia="zh-CN" w:bidi="en-US"/>
              </w:rPr>
            </w:pPr>
            <w:r>
              <w:rPr>
                <w:rFonts w:hint="eastAsia"/>
                <w:snapToGrid w:val="0"/>
                <w:color w:val="auto"/>
                <w:kern w:val="0"/>
                <w:lang w:val="en-US" w:eastAsia="zh-CN" w:bidi="en-US"/>
              </w:rPr>
              <w:t>5</w:t>
            </w:r>
          </w:p>
        </w:tc>
        <w:tc>
          <w:tcPr>
            <w:tcW w:w="2722" w:type="dxa"/>
            <w:vAlign w:val="center"/>
          </w:tcPr>
          <w:p w14:paraId="5A635234">
            <w:pPr>
              <w:pStyle w:val="337"/>
              <w:adjustRightInd w:val="0"/>
              <w:snapToGrid w:val="0"/>
              <w:rPr>
                <w:snapToGrid w:val="0"/>
                <w:color w:val="auto"/>
                <w:kern w:val="0"/>
                <w:lang w:val="en-US" w:eastAsia="zh-CN" w:bidi="en-US"/>
              </w:rPr>
            </w:pPr>
            <w:r>
              <w:rPr>
                <w:snapToGrid w:val="0"/>
                <w:color w:val="auto"/>
                <w:kern w:val="0"/>
                <w:lang w:val="en-US" w:eastAsia="zh-CN" w:bidi="en-US"/>
              </w:rPr>
              <w:t>≤1</w:t>
            </w:r>
          </w:p>
        </w:tc>
      </w:tr>
    </w:tbl>
    <w:p w14:paraId="1CF4BDB6">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（2）</w:t>
      </w:r>
      <w:r>
        <w:rPr>
          <w:rFonts w:asciiTheme="minorEastAsia" w:hAnsiTheme="minorEastAsia" w:eastAsiaTheme="minorEastAsia"/>
          <w:lang w:eastAsia="zh-CN"/>
        </w:rPr>
        <w:t>烟尘、非甲烷总烃执行《大气污染物综合排放标准》（GB16297-1996）中的二级标准（新污染源大气污染物排放限值）</w:t>
      </w:r>
      <w:r>
        <w:rPr>
          <w:rFonts w:hint="eastAsia" w:asciiTheme="minorEastAsia" w:hAnsiTheme="minorEastAsia" w:eastAsiaTheme="minorEastAsia"/>
          <w:lang w:eastAsia="zh-CN"/>
        </w:rPr>
        <w:t>，</w:t>
      </w:r>
      <w:r>
        <w:rPr>
          <w:rFonts w:asciiTheme="minorEastAsia" w:hAnsiTheme="minorEastAsia" w:eastAsiaTheme="minorEastAsia"/>
          <w:lang w:eastAsia="zh-CN"/>
        </w:rPr>
        <w:t>标准值见表1.</w:t>
      </w:r>
      <w:r>
        <w:rPr>
          <w:rFonts w:hint="eastAsia" w:asciiTheme="minorEastAsia" w:hAnsiTheme="minorEastAsia" w:eastAsiaTheme="minorEastAsia"/>
          <w:lang w:eastAsia="zh-CN"/>
        </w:rPr>
        <w:t>5</w:t>
      </w:r>
      <w:r>
        <w:rPr>
          <w:rFonts w:asciiTheme="minorEastAsia" w:hAnsiTheme="minorEastAsia" w:eastAsiaTheme="minorEastAsia"/>
          <w:lang w:eastAsia="zh-CN"/>
        </w:rPr>
        <w:t>-</w:t>
      </w:r>
      <w:r>
        <w:rPr>
          <w:rFonts w:hint="eastAsia" w:asciiTheme="minorEastAsia" w:hAnsiTheme="minorEastAsia" w:eastAsiaTheme="minorEastAsia"/>
          <w:lang w:eastAsia="zh-CN"/>
        </w:rPr>
        <w:t>7</w:t>
      </w:r>
      <w:r>
        <w:rPr>
          <w:rFonts w:asciiTheme="minorEastAsia" w:hAnsiTheme="minorEastAsia" w:eastAsiaTheme="minorEastAsia"/>
          <w:lang w:eastAsia="zh-CN"/>
        </w:rPr>
        <w:t>。</w:t>
      </w:r>
    </w:p>
    <w:p w14:paraId="05241EFD">
      <w:pPr>
        <w:spacing w:line="240" w:lineRule="auto"/>
        <w:ind w:firstLine="318" w:firstLineChars="132"/>
        <w:rPr>
          <w:b/>
          <w:lang w:eastAsia="zh-CN"/>
        </w:rPr>
      </w:pPr>
      <w:r>
        <w:rPr>
          <w:b/>
          <w:lang w:eastAsia="zh-CN"/>
        </w:rPr>
        <w:t>表1.</w:t>
      </w:r>
      <w:r>
        <w:rPr>
          <w:rFonts w:hint="eastAsia"/>
          <w:b/>
          <w:lang w:eastAsia="zh-CN"/>
        </w:rPr>
        <w:t>5</w:t>
      </w:r>
      <w:r>
        <w:rPr>
          <w:b/>
          <w:lang w:eastAsia="zh-CN"/>
        </w:rPr>
        <w:t>-</w:t>
      </w:r>
      <w:r>
        <w:rPr>
          <w:rFonts w:hint="eastAsia"/>
          <w:b/>
          <w:lang w:eastAsia="zh-CN"/>
        </w:rPr>
        <w:t>7</w:t>
      </w:r>
      <w:r>
        <w:rPr>
          <w:b/>
          <w:lang w:eastAsia="zh-CN"/>
        </w:rPr>
        <w:t xml:space="preserve">  </w:t>
      </w:r>
      <w:r>
        <w:rPr>
          <w:rFonts w:hint="eastAsia"/>
          <w:b/>
          <w:lang w:eastAsia="zh-CN"/>
        </w:rPr>
        <w:t xml:space="preserve">  </w:t>
      </w:r>
      <w:r>
        <w:rPr>
          <w:b/>
          <w:lang w:eastAsia="zh-CN"/>
        </w:rPr>
        <w:t>大气污染物综合排放标准</w:t>
      </w:r>
      <w:r>
        <w:rPr>
          <w:rFonts w:hint="eastAsia"/>
          <w:b/>
          <w:lang w:eastAsia="zh-CN"/>
        </w:rPr>
        <w:t>（节选）</w:t>
      </w:r>
    </w:p>
    <w:tbl>
      <w:tblPr>
        <w:tblStyle w:val="7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91"/>
        <w:gridCol w:w="2023"/>
        <w:gridCol w:w="1470"/>
        <w:gridCol w:w="1472"/>
        <w:gridCol w:w="2073"/>
      </w:tblGrid>
      <w:tr w14:paraId="375556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91" w:type="dxa"/>
            <w:vMerge w:val="restart"/>
            <w:vAlign w:val="center"/>
          </w:tcPr>
          <w:p w14:paraId="3ED4C9BA">
            <w:pPr>
              <w:pStyle w:val="337"/>
              <w:adjustRightInd w:val="0"/>
              <w:snapToGrid w:val="0"/>
              <w:rPr>
                <w:color w:val="auto"/>
                <w:lang w:val="en-US" w:eastAsia="en-US" w:bidi="en-US"/>
              </w:rPr>
            </w:pPr>
            <w:r>
              <w:rPr>
                <w:color w:val="auto"/>
                <w:lang w:val="en-US" w:eastAsia="en-US" w:bidi="en-US"/>
              </w:rPr>
              <w:t>污染物</w:t>
            </w:r>
          </w:p>
        </w:tc>
        <w:tc>
          <w:tcPr>
            <w:tcW w:w="2023" w:type="dxa"/>
            <w:vMerge w:val="restart"/>
            <w:vAlign w:val="center"/>
          </w:tcPr>
          <w:p w14:paraId="526A491F">
            <w:pPr>
              <w:pStyle w:val="337"/>
              <w:adjustRightInd w:val="0"/>
              <w:snapToGrid w:val="0"/>
              <w:rPr>
                <w:color w:val="auto"/>
                <w:lang w:val="en-US" w:eastAsia="zh-CN" w:bidi="en-US"/>
              </w:rPr>
            </w:pPr>
            <w:r>
              <w:rPr>
                <w:color w:val="auto"/>
                <w:lang w:val="en-US" w:eastAsia="zh-CN" w:bidi="en-US"/>
              </w:rPr>
              <w:t>最高允许排放浓度（mg/m</w:t>
            </w:r>
            <w:r>
              <w:rPr>
                <w:color w:val="auto"/>
                <w:vertAlign w:val="superscript"/>
                <w:lang w:val="en-US" w:eastAsia="zh-CN" w:bidi="en-US"/>
              </w:rPr>
              <w:t>3</w:t>
            </w:r>
            <w:r>
              <w:rPr>
                <w:color w:val="auto"/>
                <w:lang w:val="en-US" w:eastAsia="zh-CN" w:bidi="en-US"/>
              </w:rPr>
              <w:t>）</w:t>
            </w:r>
          </w:p>
        </w:tc>
        <w:tc>
          <w:tcPr>
            <w:tcW w:w="2942" w:type="dxa"/>
            <w:gridSpan w:val="2"/>
            <w:vAlign w:val="center"/>
          </w:tcPr>
          <w:p w14:paraId="49A8ACBC">
            <w:pPr>
              <w:pStyle w:val="337"/>
              <w:adjustRightInd w:val="0"/>
              <w:snapToGrid w:val="0"/>
              <w:rPr>
                <w:color w:val="auto"/>
                <w:lang w:val="en-US" w:eastAsia="zh-CN" w:bidi="en-US"/>
              </w:rPr>
            </w:pPr>
            <w:r>
              <w:rPr>
                <w:color w:val="auto"/>
                <w:lang w:val="en-US" w:eastAsia="zh-CN" w:bidi="en-US"/>
              </w:rPr>
              <w:t>无组织排放监控浓度限值</w:t>
            </w:r>
          </w:p>
        </w:tc>
        <w:tc>
          <w:tcPr>
            <w:tcW w:w="2073" w:type="dxa"/>
            <w:vMerge w:val="restart"/>
            <w:vAlign w:val="center"/>
          </w:tcPr>
          <w:p w14:paraId="51CA95AC">
            <w:pPr>
              <w:pStyle w:val="337"/>
              <w:adjustRightInd w:val="0"/>
              <w:snapToGrid w:val="0"/>
              <w:rPr>
                <w:color w:val="auto"/>
                <w:lang w:val="en-US" w:eastAsia="en-US" w:bidi="en-US"/>
              </w:rPr>
            </w:pPr>
            <w:r>
              <w:rPr>
                <w:color w:val="auto"/>
                <w:lang w:val="en-US" w:eastAsia="en-US" w:bidi="en-US"/>
              </w:rPr>
              <w:t>标准来源</w:t>
            </w:r>
          </w:p>
        </w:tc>
      </w:tr>
      <w:tr w14:paraId="765597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91" w:type="dxa"/>
            <w:vMerge w:val="continue"/>
            <w:vAlign w:val="center"/>
          </w:tcPr>
          <w:p w14:paraId="38168CD6">
            <w:pPr>
              <w:pStyle w:val="337"/>
              <w:adjustRightInd w:val="0"/>
              <w:snapToGrid w:val="0"/>
              <w:rPr>
                <w:color w:val="auto"/>
                <w:lang w:val="en-US" w:eastAsia="en-US" w:bidi="en-US"/>
              </w:rPr>
            </w:pPr>
          </w:p>
        </w:tc>
        <w:tc>
          <w:tcPr>
            <w:tcW w:w="2023" w:type="dxa"/>
            <w:vMerge w:val="continue"/>
            <w:vAlign w:val="center"/>
          </w:tcPr>
          <w:p w14:paraId="4E099FC7">
            <w:pPr>
              <w:pStyle w:val="337"/>
              <w:adjustRightInd w:val="0"/>
              <w:snapToGrid w:val="0"/>
              <w:rPr>
                <w:color w:val="auto"/>
                <w:lang w:val="en-US" w:eastAsia="en-US" w:bidi="en-US"/>
              </w:rPr>
            </w:pPr>
          </w:p>
        </w:tc>
        <w:tc>
          <w:tcPr>
            <w:tcW w:w="1470" w:type="dxa"/>
            <w:vAlign w:val="center"/>
          </w:tcPr>
          <w:p w14:paraId="27A08BAF">
            <w:pPr>
              <w:pStyle w:val="337"/>
              <w:adjustRightInd w:val="0"/>
              <w:snapToGrid w:val="0"/>
              <w:rPr>
                <w:color w:val="auto"/>
                <w:lang w:val="en-US" w:eastAsia="en-US" w:bidi="en-US"/>
              </w:rPr>
            </w:pPr>
            <w:r>
              <w:rPr>
                <w:color w:val="auto"/>
                <w:lang w:val="en-US" w:eastAsia="en-US" w:bidi="en-US"/>
              </w:rPr>
              <w:t>监控点</w:t>
            </w:r>
          </w:p>
        </w:tc>
        <w:tc>
          <w:tcPr>
            <w:tcW w:w="1472" w:type="dxa"/>
            <w:vAlign w:val="center"/>
          </w:tcPr>
          <w:p w14:paraId="6CCB9139">
            <w:pPr>
              <w:pStyle w:val="337"/>
              <w:adjustRightInd w:val="0"/>
              <w:snapToGrid w:val="0"/>
              <w:rPr>
                <w:color w:val="auto"/>
                <w:lang w:val="en-US" w:eastAsia="en-US" w:bidi="en-US"/>
              </w:rPr>
            </w:pPr>
            <w:r>
              <w:rPr>
                <w:color w:val="auto"/>
                <w:lang w:val="en-US" w:eastAsia="en-US" w:bidi="en-US"/>
              </w:rPr>
              <w:t>浓度（mg/m</w:t>
            </w:r>
            <w:r>
              <w:rPr>
                <w:color w:val="auto"/>
                <w:vertAlign w:val="superscript"/>
                <w:lang w:val="en-US" w:eastAsia="en-US" w:bidi="en-US"/>
              </w:rPr>
              <w:t>3</w:t>
            </w:r>
            <w:r>
              <w:rPr>
                <w:color w:val="auto"/>
                <w:lang w:val="en-US" w:eastAsia="en-US" w:bidi="en-US"/>
              </w:rPr>
              <w:t>）</w:t>
            </w:r>
          </w:p>
        </w:tc>
        <w:tc>
          <w:tcPr>
            <w:tcW w:w="2073" w:type="dxa"/>
            <w:vMerge w:val="continue"/>
            <w:vAlign w:val="center"/>
          </w:tcPr>
          <w:p w14:paraId="27575A65">
            <w:pPr>
              <w:pStyle w:val="337"/>
              <w:adjustRightInd w:val="0"/>
              <w:snapToGrid w:val="0"/>
              <w:rPr>
                <w:color w:val="auto"/>
                <w:lang w:val="en-US" w:eastAsia="en-US" w:bidi="en-US"/>
              </w:rPr>
            </w:pPr>
          </w:p>
        </w:tc>
      </w:tr>
      <w:tr w14:paraId="0E7019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91" w:type="dxa"/>
            <w:vAlign w:val="center"/>
          </w:tcPr>
          <w:p w14:paraId="17CF6CC6">
            <w:pPr>
              <w:pStyle w:val="337"/>
              <w:adjustRightInd w:val="0"/>
              <w:snapToGrid w:val="0"/>
              <w:rPr>
                <w:color w:val="auto"/>
                <w:lang w:val="en-US" w:eastAsia="en-US" w:bidi="en-US"/>
              </w:rPr>
            </w:pPr>
            <w:r>
              <w:rPr>
                <w:color w:val="auto"/>
                <w:lang w:val="en-US" w:eastAsia="en-US" w:bidi="en-US"/>
              </w:rPr>
              <w:t>烟尘</w:t>
            </w:r>
          </w:p>
        </w:tc>
        <w:tc>
          <w:tcPr>
            <w:tcW w:w="2023" w:type="dxa"/>
            <w:vAlign w:val="center"/>
          </w:tcPr>
          <w:p w14:paraId="43E6F873">
            <w:pPr>
              <w:pStyle w:val="337"/>
              <w:adjustRightInd w:val="0"/>
              <w:snapToGrid w:val="0"/>
              <w:rPr>
                <w:color w:val="auto"/>
                <w:lang w:val="en-US" w:eastAsia="en-US" w:bidi="en-US"/>
              </w:rPr>
            </w:pPr>
            <w:r>
              <w:rPr>
                <w:color w:val="auto"/>
                <w:lang w:val="en-US" w:eastAsia="en-US" w:bidi="en-US"/>
              </w:rPr>
              <w:t>120</w:t>
            </w:r>
          </w:p>
        </w:tc>
        <w:tc>
          <w:tcPr>
            <w:tcW w:w="1470" w:type="dxa"/>
            <w:vMerge w:val="restart"/>
            <w:vAlign w:val="center"/>
          </w:tcPr>
          <w:p w14:paraId="4FBCBCE7">
            <w:pPr>
              <w:pStyle w:val="337"/>
              <w:adjustRightInd w:val="0"/>
              <w:snapToGrid w:val="0"/>
              <w:rPr>
                <w:color w:val="auto"/>
                <w:lang w:val="en-US" w:eastAsia="zh-CN" w:bidi="en-US"/>
              </w:rPr>
            </w:pPr>
            <w:r>
              <w:rPr>
                <w:color w:val="auto"/>
                <w:lang w:val="en-US" w:eastAsia="en-US" w:bidi="en-US"/>
              </w:rPr>
              <w:t>周界外浓度最高点</w:t>
            </w:r>
          </w:p>
        </w:tc>
        <w:tc>
          <w:tcPr>
            <w:tcW w:w="1472" w:type="dxa"/>
            <w:vAlign w:val="center"/>
          </w:tcPr>
          <w:p w14:paraId="707EC4A9">
            <w:pPr>
              <w:pStyle w:val="337"/>
              <w:adjustRightInd w:val="0"/>
              <w:snapToGrid w:val="0"/>
              <w:rPr>
                <w:color w:val="auto"/>
                <w:lang w:val="en-US" w:eastAsia="en-US" w:bidi="en-US"/>
              </w:rPr>
            </w:pPr>
            <w:r>
              <w:rPr>
                <w:color w:val="auto"/>
                <w:lang w:val="en-US" w:eastAsia="en-US" w:bidi="en-US"/>
              </w:rPr>
              <w:t>1.0</w:t>
            </w:r>
          </w:p>
        </w:tc>
        <w:tc>
          <w:tcPr>
            <w:tcW w:w="2073" w:type="dxa"/>
            <w:vMerge w:val="restart"/>
            <w:vAlign w:val="center"/>
          </w:tcPr>
          <w:p w14:paraId="39E50CF7">
            <w:pPr>
              <w:pStyle w:val="337"/>
              <w:adjustRightInd w:val="0"/>
              <w:snapToGrid w:val="0"/>
              <w:rPr>
                <w:color w:val="auto"/>
                <w:lang w:val="en-US" w:eastAsia="zh-CN" w:bidi="en-US"/>
              </w:rPr>
            </w:pPr>
            <w:r>
              <w:rPr>
                <w:color w:val="auto"/>
                <w:lang w:val="en-US" w:eastAsia="zh-CN" w:bidi="en-US"/>
              </w:rPr>
              <w:t>GB16297-1996中新污染源二级标准</w:t>
            </w:r>
          </w:p>
        </w:tc>
      </w:tr>
      <w:tr w14:paraId="55DF00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91" w:type="dxa"/>
            <w:vAlign w:val="center"/>
          </w:tcPr>
          <w:p w14:paraId="708FDC3D">
            <w:pPr>
              <w:pStyle w:val="337"/>
              <w:adjustRightInd w:val="0"/>
              <w:snapToGrid w:val="0"/>
              <w:rPr>
                <w:color w:val="auto"/>
                <w:lang w:val="en-US" w:eastAsia="zh-CN" w:bidi="en-US"/>
              </w:rPr>
            </w:pPr>
            <w:r>
              <w:rPr>
                <w:color w:val="auto"/>
                <w:lang w:val="en-US" w:eastAsia="zh-CN" w:bidi="en-US"/>
              </w:rPr>
              <w:t>非甲烷总烃</w:t>
            </w:r>
          </w:p>
        </w:tc>
        <w:tc>
          <w:tcPr>
            <w:tcW w:w="2023" w:type="dxa"/>
            <w:vAlign w:val="center"/>
          </w:tcPr>
          <w:p w14:paraId="47626282">
            <w:pPr>
              <w:pStyle w:val="337"/>
              <w:adjustRightInd w:val="0"/>
              <w:snapToGrid w:val="0"/>
              <w:rPr>
                <w:color w:val="auto"/>
                <w:lang w:val="en-US" w:eastAsia="zh-CN" w:bidi="en-US"/>
              </w:rPr>
            </w:pPr>
            <w:r>
              <w:rPr>
                <w:color w:val="auto"/>
                <w:lang w:val="en-US" w:eastAsia="zh-CN" w:bidi="en-US"/>
              </w:rPr>
              <w:t>120</w:t>
            </w:r>
          </w:p>
        </w:tc>
        <w:tc>
          <w:tcPr>
            <w:tcW w:w="1470" w:type="dxa"/>
            <w:vMerge w:val="continue"/>
            <w:vAlign w:val="center"/>
          </w:tcPr>
          <w:p w14:paraId="606A6572">
            <w:pPr>
              <w:pStyle w:val="337"/>
              <w:adjustRightInd w:val="0"/>
              <w:snapToGrid w:val="0"/>
              <w:rPr>
                <w:color w:val="auto"/>
                <w:lang w:val="en-US" w:eastAsia="en-US" w:bidi="en-US"/>
              </w:rPr>
            </w:pPr>
          </w:p>
        </w:tc>
        <w:tc>
          <w:tcPr>
            <w:tcW w:w="1472" w:type="dxa"/>
            <w:vAlign w:val="center"/>
          </w:tcPr>
          <w:p w14:paraId="5F6C48EB">
            <w:pPr>
              <w:pStyle w:val="337"/>
              <w:adjustRightInd w:val="0"/>
              <w:snapToGrid w:val="0"/>
              <w:rPr>
                <w:color w:val="auto"/>
                <w:lang w:val="en-US" w:eastAsia="zh-CN" w:bidi="en-US"/>
              </w:rPr>
            </w:pPr>
            <w:r>
              <w:rPr>
                <w:color w:val="auto"/>
                <w:lang w:val="en-US" w:eastAsia="zh-CN" w:bidi="en-US"/>
              </w:rPr>
              <w:t>4.0</w:t>
            </w:r>
          </w:p>
        </w:tc>
        <w:tc>
          <w:tcPr>
            <w:tcW w:w="2073" w:type="dxa"/>
            <w:vMerge w:val="continue"/>
            <w:vAlign w:val="center"/>
          </w:tcPr>
          <w:p w14:paraId="75EA0E48">
            <w:pPr>
              <w:pStyle w:val="337"/>
              <w:adjustRightInd w:val="0"/>
              <w:snapToGrid w:val="0"/>
              <w:rPr>
                <w:color w:val="auto"/>
                <w:lang w:val="en-US" w:eastAsia="zh-CN" w:bidi="en-US"/>
              </w:rPr>
            </w:pPr>
          </w:p>
        </w:tc>
      </w:tr>
    </w:tbl>
    <w:p w14:paraId="690900E7">
      <w:pPr>
        <w:ind w:firstLine="480"/>
        <w:rPr>
          <w:rFonts w:asciiTheme="minorEastAsia" w:hAnsiTheme="minorEastAsia" w:eastAsiaTheme="minorEastAsia"/>
          <w:lang w:eastAsia="zh-CN"/>
        </w:rPr>
      </w:pPr>
      <w:r>
        <w:rPr>
          <w:rFonts w:asciiTheme="minorEastAsia" w:hAnsiTheme="minorEastAsia" w:eastAsiaTheme="minorEastAsia"/>
          <w:lang w:eastAsia="zh-CN"/>
        </w:rPr>
        <w:t>2、污水排放标准</w:t>
      </w:r>
    </w:p>
    <w:p w14:paraId="15C8F1BD">
      <w:pPr>
        <w:ind w:firstLine="480"/>
        <w:rPr>
          <w:rFonts w:asciiTheme="minorEastAsia" w:hAnsiTheme="minorEastAsia" w:eastAsiaTheme="minorEastAsia"/>
          <w:lang w:eastAsia="zh-CN"/>
        </w:rPr>
      </w:pPr>
      <w:r>
        <w:rPr>
          <w:rFonts w:asciiTheme="minorEastAsia" w:hAnsiTheme="minorEastAsia" w:eastAsiaTheme="minorEastAsia"/>
          <w:lang w:eastAsia="zh-CN"/>
        </w:rPr>
        <w:t>生活污水排放执行《污水综合排放标准》(GB8978-1996)中一级标准，标准值见表1.</w:t>
      </w:r>
      <w:r>
        <w:rPr>
          <w:rFonts w:hint="eastAsia" w:asciiTheme="minorEastAsia" w:hAnsiTheme="minorEastAsia" w:eastAsiaTheme="minorEastAsia"/>
          <w:lang w:eastAsia="zh-CN"/>
        </w:rPr>
        <w:t>5</w:t>
      </w:r>
      <w:r>
        <w:rPr>
          <w:rFonts w:asciiTheme="minorEastAsia" w:hAnsiTheme="minorEastAsia" w:eastAsiaTheme="minorEastAsia"/>
          <w:lang w:eastAsia="zh-CN"/>
        </w:rPr>
        <w:t>-</w:t>
      </w:r>
      <w:r>
        <w:rPr>
          <w:rFonts w:hint="eastAsia" w:asciiTheme="minorEastAsia" w:hAnsiTheme="minorEastAsia" w:eastAsiaTheme="minorEastAsia"/>
          <w:lang w:eastAsia="zh-CN"/>
        </w:rPr>
        <w:t>8，生活污水</w:t>
      </w:r>
      <w:r>
        <w:rPr>
          <w:rFonts w:asciiTheme="minorEastAsia" w:hAnsiTheme="minorEastAsia" w:eastAsiaTheme="minorEastAsia"/>
          <w:lang w:eastAsia="zh-CN"/>
        </w:rPr>
        <w:t>回用采用《城市污水再生利用 城市杂用水水质》(GB/T18920-2002)标准中绿化标准，见表1.</w:t>
      </w:r>
      <w:r>
        <w:rPr>
          <w:rFonts w:hint="eastAsia" w:asciiTheme="minorEastAsia" w:hAnsiTheme="minorEastAsia" w:eastAsiaTheme="minorEastAsia"/>
          <w:lang w:eastAsia="zh-CN"/>
        </w:rPr>
        <w:t>5</w:t>
      </w:r>
      <w:r>
        <w:rPr>
          <w:rFonts w:asciiTheme="minorEastAsia" w:hAnsiTheme="minorEastAsia" w:eastAsiaTheme="minorEastAsia"/>
          <w:lang w:eastAsia="zh-CN"/>
        </w:rPr>
        <w:t>-</w:t>
      </w:r>
      <w:r>
        <w:rPr>
          <w:rFonts w:hint="eastAsia" w:asciiTheme="minorEastAsia" w:hAnsiTheme="minorEastAsia" w:eastAsiaTheme="minorEastAsia"/>
          <w:lang w:eastAsia="zh-CN"/>
        </w:rPr>
        <w:t>9，</w:t>
      </w:r>
      <w:r>
        <w:rPr>
          <w:rFonts w:asciiTheme="minorEastAsia" w:hAnsiTheme="minorEastAsia" w:eastAsiaTheme="minorEastAsia"/>
          <w:lang w:eastAsia="zh-CN"/>
        </w:rPr>
        <w:t>注水水质要达到《碎屑岩油藏注水水质推荐指标及分析方法》(SY/T5329-2012)的要求，见表1.</w:t>
      </w:r>
      <w:r>
        <w:rPr>
          <w:rFonts w:hint="eastAsia" w:asciiTheme="minorEastAsia" w:hAnsiTheme="minorEastAsia" w:eastAsiaTheme="minorEastAsia"/>
          <w:lang w:eastAsia="zh-CN"/>
        </w:rPr>
        <w:t>5</w:t>
      </w:r>
      <w:r>
        <w:rPr>
          <w:rFonts w:asciiTheme="minorEastAsia" w:hAnsiTheme="minorEastAsia" w:eastAsiaTheme="minorEastAsia"/>
          <w:lang w:eastAsia="zh-CN"/>
        </w:rPr>
        <w:t>-</w:t>
      </w:r>
      <w:r>
        <w:rPr>
          <w:rFonts w:hint="eastAsia" w:asciiTheme="minorEastAsia" w:hAnsiTheme="minorEastAsia" w:eastAsiaTheme="minorEastAsia"/>
          <w:lang w:eastAsia="zh-CN"/>
        </w:rPr>
        <w:t>10</w:t>
      </w:r>
      <w:r>
        <w:rPr>
          <w:rFonts w:asciiTheme="minorEastAsia" w:hAnsiTheme="minorEastAsia" w:eastAsiaTheme="minorEastAsia"/>
          <w:lang w:eastAsia="zh-CN"/>
        </w:rPr>
        <w:t>。</w:t>
      </w:r>
    </w:p>
    <w:p w14:paraId="7DB50944">
      <w:pPr>
        <w:spacing w:line="240" w:lineRule="auto"/>
        <w:ind w:firstLine="0" w:firstLineChars="0"/>
        <w:jc w:val="center"/>
        <w:rPr>
          <w:lang w:eastAsia="zh-CN"/>
        </w:rPr>
      </w:pPr>
      <w:r>
        <w:rPr>
          <w:b/>
          <w:lang w:eastAsia="zh-CN"/>
        </w:rPr>
        <w:t>表1.</w:t>
      </w:r>
      <w:r>
        <w:rPr>
          <w:rFonts w:hint="eastAsia"/>
          <w:b/>
          <w:lang w:eastAsia="zh-CN"/>
        </w:rPr>
        <w:t>5</w:t>
      </w:r>
      <w:r>
        <w:rPr>
          <w:b/>
          <w:lang w:eastAsia="zh-CN"/>
        </w:rPr>
        <w:t>-</w:t>
      </w:r>
      <w:r>
        <w:rPr>
          <w:rFonts w:hint="eastAsia"/>
          <w:b/>
          <w:lang w:eastAsia="zh-CN"/>
        </w:rPr>
        <w:t>8</w:t>
      </w:r>
      <w:r>
        <w:rPr>
          <w:b/>
          <w:lang w:eastAsia="zh-CN"/>
        </w:rPr>
        <w:t xml:space="preserve">  《污水综合排放标准》(GB8978-1996)一级标准</w:t>
      </w:r>
      <w:r>
        <w:rPr>
          <w:rFonts w:hint="eastAsia"/>
          <w:b/>
          <w:lang w:eastAsia="zh-CN"/>
        </w:rPr>
        <w:t>（节选）</w:t>
      </w:r>
      <w:r>
        <w:rPr>
          <w:b/>
          <w:lang w:eastAsia="zh-CN"/>
        </w:rPr>
        <w:t xml:space="preserve"> 单位：mg/L</w:t>
      </w:r>
    </w:p>
    <w:tbl>
      <w:tblPr>
        <w:tblStyle w:val="7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95"/>
        <w:gridCol w:w="628"/>
        <w:gridCol w:w="855"/>
        <w:gridCol w:w="989"/>
        <w:gridCol w:w="582"/>
        <w:gridCol w:w="824"/>
        <w:gridCol w:w="1095"/>
        <w:gridCol w:w="1095"/>
        <w:gridCol w:w="1366"/>
      </w:tblGrid>
      <w:tr w14:paraId="3D6CC8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5" w:type="dxa"/>
            <w:vAlign w:val="center"/>
          </w:tcPr>
          <w:p w14:paraId="534162A3">
            <w:pPr>
              <w:pStyle w:val="337"/>
              <w:rPr>
                <w:color w:val="auto"/>
                <w:lang w:val="en-US" w:eastAsia="zh-CN" w:bidi="en-US"/>
              </w:rPr>
            </w:pPr>
            <w:r>
              <w:rPr>
                <w:color w:val="auto"/>
                <w:lang w:val="en-US" w:eastAsia="zh-CN" w:bidi="en-US"/>
              </w:rPr>
              <w:t>项目</w:t>
            </w:r>
          </w:p>
        </w:tc>
        <w:tc>
          <w:tcPr>
            <w:tcW w:w="628" w:type="dxa"/>
            <w:vAlign w:val="center"/>
          </w:tcPr>
          <w:p w14:paraId="178E30AA">
            <w:pPr>
              <w:pStyle w:val="337"/>
              <w:rPr>
                <w:color w:val="auto"/>
                <w:lang w:val="en-US" w:eastAsia="zh-CN" w:bidi="en-US"/>
              </w:rPr>
            </w:pPr>
            <w:r>
              <w:rPr>
                <w:color w:val="auto"/>
                <w:lang w:val="en-US" w:eastAsia="zh-CN" w:bidi="en-US"/>
              </w:rPr>
              <w:t>pH</w:t>
            </w:r>
          </w:p>
        </w:tc>
        <w:tc>
          <w:tcPr>
            <w:tcW w:w="855" w:type="dxa"/>
            <w:vAlign w:val="center"/>
          </w:tcPr>
          <w:p w14:paraId="7CF97C0E">
            <w:pPr>
              <w:pStyle w:val="337"/>
              <w:rPr>
                <w:color w:val="auto"/>
                <w:lang w:val="en-US" w:eastAsia="zh-CN" w:bidi="en-US"/>
              </w:rPr>
            </w:pPr>
            <w:r>
              <w:rPr>
                <w:color w:val="auto"/>
                <w:lang w:val="en-US" w:eastAsia="zh-CN" w:bidi="en-US"/>
              </w:rPr>
              <w:t>COD</w:t>
            </w:r>
          </w:p>
        </w:tc>
        <w:tc>
          <w:tcPr>
            <w:tcW w:w="989" w:type="dxa"/>
            <w:vAlign w:val="center"/>
          </w:tcPr>
          <w:p w14:paraId="70157990">
            <w:pPr>
              <w:pStyle w:val="337"/>
              <w:rPr>
                <w:color w:val="auto"/>
                <w:lang w:val="en-US" w:eastAsia="zh-CN" w:bidi="en-US"/>
              </w:rPr>
            </w:pPr>
            <w:r>
              <w:rPr>
                <w:color w:val="auto"/>
                <w:lang w:val="en-US" w:eastAsia="zh-CN" w:bidi="en-US"/>
              </w:rPr>
              <w:t>BOD</w:t>
            </w:r>
            <w:r>
              <w:rPr>
                <w:color w:val="auto"/>
                <w:vertAlign w:val="subscript"/>
                <w:lang w:val="en-US" w:eastAsia="zh-CN" w:bidi="en-US"/>
              </w:rPr>
              <w:t>5</w:t>
            </w:r>
          </w:p>
        </w:tc>
        <w:tc>
          <w:tcPr>
            <w:tcW w:w="582" w:type="dxa"/>
            <w:vAlign w:val="center"/>
          </w:tcPr>
          <w:p w14:paraId="43A429F3">
            <w:pPr>
              <w:pStyle w:val="337"/>
              <w:rPr>
                <w:color w:val="auto"/>
                <w:lang w:val="en-US" w:eastAsia="zh-CN" w:bidi="en-US"/>
              </w:rPr>
            </w:pPr>
            <w:r>
              <w:rPr>
                <w:color w:val="auto"/>
                <w:lang w:val="en-US" w:eastAsia="zh-CN" w:bidi="en-US"/>
              </w:rPr>
              <w:t>SS</w:t>
            </w:r>
          </w:p>
        </w:tc>
        <w:tc>
          <w:tcPr>
            <w:tcW w:w="824" w:type="dxa"/>
            <w:vAlign w:val="center"/>
          </w:tcPr>
          <w:p w14:paraId="15E00081">
            <w:pPr>
              <w:pStyle w:val="337"/>
              <w:rPr>
                <w:color w:val="auto"/>
                <w:lang w:val="en-US" w:eastAsia="zh-CN" w:bidi="en-US"/>
              </w:rPr>
            </w:pPr>
            <w:r>
              <w:rPr>
                <w:color w:val="auto"/>
                <w:lang w:val="en-US" w:eastAsia="zh-CN" w:bidi="en-US"/>
              </w:rPr>
              <w:t>氨氮</w:t>
            </w:r>
          </w:p>
        </w:tc>
        <w:tc>
          <w:tcPr>
            <w:tcW w:w="1095" w:type="dxa"/>
            <w:vAlign w:val="center"/>
          </w:tcPr>
          <w:p w14:paraId="1DEE95FD">
            <w:pPr>
              <w:pStyle w:val="337"/>
              <w:rPr>
                <w:color w:val="auto"/>
                <w:lang w:val="en-US" w:eastAsia="zh-CN" w:bidi="en-US"/>
              </w:rPr>
            </w:pPr>
            <w:r>
              <w:rPr>
                <w:color w:val="auto"/>
                <w:lang w:val="en-US" w:eastAsia="zh-CN" w:bidi="en-US"/>
              </w:rPr>
              <w:t>硫化物</w:t>
            </w:r>
          </w:p>
        </w:tc>
        <w:tc>
          <w:tcPr>
            <w:tcW w:w="1095" w:type="dxa"/>
            <w:vAlign w:val="center"/>
          </w:tcPr>
          <w:p w14:paraId="372352F3">
            <w:pPr>
              <w:pStyle w:val="337"/>
              <w:rPr>
                <w:color w:val="auto"/>
                <w:lang w:val="en-US" w:eastAsia="zh-CN" w:bidi="en-US"/>
              </w:rPr>
            </w:pPr>
            <w:r>
              <w:rPr>
                <w:color w:val="auto"/>
                <w:lang w:val="en-US" w:eastAsia="zh-CN" w:bidi="en-US"/>
              </w:rPr>
              <w:t>挥发酚</w:t>
            </w:r>
          </w:p>
        </w:tc>
        <w:tc>
          <w:tcPr>
            <w:tcW w:w="1366" w:type="dxa"/>
            <w:vAlign w:val="center"/>
          </w:tcPr>
          <w:p w14:paraId="3FAEAFDC">
            <w:pPr>
              <w:pStyle w:val="337"/>
              <w:rPr>
                <w:color w:val="auto"/>
                <w:lang w:val="en-US" w:eastAsia="zh-CN" w:bidi="en-US"/>
              </w:rPr>
            </w:pPr>
            <w:r>
              <w:rPr>
                <w:rFonts w:hint="eastAsia"/>
                <w:color w:val="auto"/>
                <w:lang w:val="en-US" w:eastAsia="zh-CN" w:bidi="en-US"/>
              </w:rPr>
              <w:t>石油类</w:t>
            </w:r>
          </w:p>
        </w:tc>
      </w:tr>
      <w:tr w14:paraId="32745E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95" w:type="dxa"/>
            <w:vAlign w:val="center"/>
          </w:tcPr>
          <w:p w14:paraId="582CCA30">
            <w:pPr>
              <w:pStyle w:val="337"/>
              <w:rPr>
                <w:color w:val="auto"/>
                <w:lang w:val="en-US" w:eastAsia="zh-CN" w:bidi="en-US"/>
              </w:rPr>
            </w:pPr>
            <w:r>
              <w:rPr>
                <w:color w:val="auto"/>
                <w:lang w:val="en-US" w:eastAsia="zh-CN" w:bidi="en-US"/>
              </w:rPr>
              <w:t>标准值</w:t>
            </w:r>
          </w:p>
        </w:tc>
        <w:tc>
          <w:tcPr>
            <w:tcW w:w="628" w:type="dxa"/>
            <w:vAlign w:val="center"/>
          </w:tcPr>
          <w:p w14:paraId="712DABFA">
            <w:pPr>
              <w:pStyle w:val="337"/>
              <w:rPr>
                <w:color w:val="auto"/>
                <w:lang w:val="en-US" w:eastAsia="zh-CN" w:bidi="en-US"/>
              </w:rPr>
            </w:pPr>
            <w:r>
              <w:rPr>
                <w:color w:val="auto"/>
                <w:lang w:val="en-US" w:eastAsia="zh-CN" w:bidi="en-US"/>
              </w:rPr>
              <w:t>6~9</w:t>
            </w:r>
          </w:p>
        </w:tc>
        <w:tc>
          <w:tcPr>
            <w:tcW w:w="855" w:type="dxa"/>
            <w:vAlign w:val="center"/>
          </w:tcPr>
          <w:p w14:paraId="3B485DD3">
            <w:pPr>
              <w:pStyle w:val="337"/>
              <w:rPr>
                <w:color w:val="auto"/>
                <w:lang w:val="en-US" w:eastAsia="zh-CN" w:bidi="en-US"/>
              </w:rPr>
            </w:pPr>
            <w:r>
              <w:rPr>
                <w:color w:val="auto"/>
                <w:lang w:val="en-US" w:eastAsia="zh-CN" w:bidi="en-US"/>
              </w:rPr>
              <w:t>100</w:t>
            </w:r>
          </w:p>
        </w:tc>
        <w:tc>
          <w:tcPr>
            <w:tcW w:w="989" w:type="dxa"/>
            <w:vAlign w:val="center"/>
          </w:tcPr>
          <w:p w14:paraId="4264B409">
            <w:pPr>
              <w:pStyle w:val="337"/>
              <w:rPr>
                <w:color w:val="auto"/>
                <w:lang w:val="en-US" w:eastAsia="zh-CN" w:bidi="en-US"/>
              </w:rPr>
            </w:pPr>
            <w:r>
              <w:rPr>
                <w:color w:val="auto"/>
                <w:lang w:val="en-US" w:eastAsia="zh-CN" w:bidi="en-US"/>
              </w:rPr>
              <w:t>20</w:t>
            </w:r>
          </w:p>
        </w:tc>
        <w:tc>
          <w:tcPr>
            <w:tcW w:w="582" w:type="dxa"/>
            <w:vAlign w:val="center"/>
          </w:tcPr>
          <w:p w14:paraId="05364D89">
            <w:pPr>
              <w:pStyle w:val="337"/>
              <w:rPr>
                <w:color w:val="auto"/>
                <w:lang w:val="en-US" w:eastAsia="zh-CN" w:bidi="en-US"/>
              </w:rPr>
            </w:pPr>
            <w:r>
              <w:rPr>
                <w:color w:val="auto"/>
                <w:lang w:val="en-US" w:eastAsia="zh-CN" w:bidi="en-US"/>
              </w:rPr>
              <w:t>70</w:t>
            </w:r>
          </w:p>
        </w:tc>
        <w:tc>
          <w:tcPr>
            <w:tcW w:w="824" w:type="dxa"/>
            <w:vAlign w:val="center"/>
          </w:tcPr>
          <w:p w14:paraId="1FD6033F">
            <w:pPr>
              <w:pStyle w:val="337"/>
              <w:rPr>
                <w:color w:val="auto"/>
                <w:lang w:val="en-US" w:eastAsia="zh-CN" w:bidi="en-US"/>
              </w:rPr>
            </w:pPr>
            <w:r>
              <w:rPr>
                <w:color w:val="auto"/>
                <w:lang w:val="en-US" w:eastAsia="zh-CN" w:bidi="en-US"/>
              </w:rPr>
              <w:t>15</w:t>
            </w:r>
          </w:p>
        </w:tc>
        <w:tc>
          <w:tcPr>
            <w:tcW w:w="1095" w:type="dxa"/>
            <w:vAlign w:val="center"/>
          </w:tcPr>
          <w:p w14:paraId="4737E9F8">
            <w:pPr>
              <w:pStyle w:val="337"/>
              <w:rPr>
                <w:color w:val="auto"/>
                <w:lang w:val="en-US" w:eastAsia="zh-CN" w:bidi="en-US"/>
              </w:rPr>
            </w:pPr>
            <w:r>
              <w:rPr>
                <w:color w:val="auto"/>
                <w:lang w:val="en-US" w:eastAsia="zh-CN" w:bidi="en-US"/>
              </w:rPr>
              <w:t>1.0</w:t>
            </w:r>
          </w:p>
        </w:tc>
        <w:tc>
          <w:tcPr>
            <w:tcW w:w="1095" w:type="dxa"/>
            <w:vAlign w:val="center"/>
          </w:tcPr>
          <w:p w14:paraId="15A3B478">
            <w:pPr>
              <w:pStyle w:val="337"/>
              <w:rPr>
                <w:color w:val="auto"/>
                <w:lang w:val="en-US" w:eastAsia="zh-CN" w:bidi="en-US"/>
              </w:rPr>
            </w:pPr>
            <w:r>
              <w:rPr>
                <w:color w:val="auto"/>
                <w:lang w:val="en-US" w:eastAsia="zh-CN" w:bidi="en-US"/>
              </w:rPr>
              <w:t>0.5</w:t>
            </w:r>
          </w:p>
        </w:tc>
        <w:tc>
          <w:tcPr>
            <w:tcW w:w="1366" w:type="dxa"/>
            <w:vAlign w:val="center"/>
          </w:tcPr>
          <w:p w14:paraId="01FEEDA0">
            <w:pPr>
              <w:pStyle w:val="337"/>
              <w:rPr>
                <w:color w:val="auto"/>
                <w:lang w:val="en-US" w:eastAsia="zh-CN" w:bidi="en-US"/>
              </w:rPr>
            </w:pPr>
            <w:r>
              <w:rPr>
                <w:rFonts w:hint="eastAsia"/>
                <w:color w:val="auto"/>
                <w:lang w:val="en-US" w:eastAsia="zh-CN" w:bidi="en-US"/>
              </w:rPr>
              <w:t>5.0</w:t>
            </w:r>
          </w:p>
        </w:tc>
      </w:tr>
    </w:tbl>
    <w:p w14:paraId="4812A5C0">
      <w:pPr>
        <w:spacing w:line="240" w:lineRule="auto"/>
        <w:ind w:firstLine="0" w:firstLineChars="0"/>
        <w:rPr>
          <w:b/>
          <w:lang w:eastAsia="zh-CN"/>
        </w:rPr>
      </w:pPr>
      <w:r>
        <w:rPr>
          <w:b/>
          <w:lang w:eastAsia="zh-CN"/>
        </w:rPr>
        <w:t>表1.</w:t>
      </w:r>
      <w:r>
        <w:rPr>
          <w:rFonts w:hint="eastAsia"/>
          <w:b/>
          <w:lang w:eastAsia="zh-CN"/>
        </w:rPr>
        <w:t>5</w:t>
      </w:r>
      <w:r>
        <w:rPr>
          <w:b/>
          <w:lang w:eastAsia="zh-CN"/>
        </w:rPr>
        <w:t>-</w:t>
      </w:r>
      <w:r>
        <w:rPr>
          <w:rFonts w:hint="eastAsia"/>
          <w:b/>
          <w:lang w:eastAsia="zh-CN"/>
        </w:rPr>
        <w:t>9</w:t>
      </w:r>
      <w:r>
        <w:rPr>
          <w:b/>
          <w:lang w:eastAsia="zh-CN"/>
        </w:rPr>
        <w:t xml:space="preserve">  《城市污水再生利用 城市杂用水水质》(GB/T18920-2002) 单位：mg/L</w:t>
      </w:r>
    </w:p>
    <w:tbl>
      <w:tblPr>
        <w:tblStyle w:val="7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00"/>
        <w:gridCol w:w="710"/>
        <w:gridCol w:w="1559"/>
        <w:gridCol w:w="730"/>
        <w:gridCol w:w="2105"/>
        <w:gridCol w:w="849"/>
        <w:gridCol w:w="1476"/>
      </w:tblGrid>
      <w:tr w14:paraId="33FD35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0" w:type="dxa"/>
            <w:vAlign w:val="center"/>
          </w:tcPr>
          <w:p w14:paraId="4B02ADB8">
            <w:pPr>
              <w:pStyle w:val="337"/>
              <w:rPr>
                <w:color w:val="auto"/>
                <w:lang w:val="en-US" w:eastAsia="zh-CN" w:bidi="en-US"/>
              </w:rPr>
            </w:pPr>
            <w:r>
              <w:rPr>
                <w:color w:val="auto"/>
                <w:lang w:val="en-US" w:eastAsia="zh-CN" w:bidi="en-US"/>
              </w:rPr>
              <w:t>项目</w:t>
            </w:r>
          </w:p>
        </w:tc>
        <w:tc>
          <w:tcPr>
            <w:tcW w:w="710" w:type="dxa"/>
            <w:vAlign w:val="center"/>
          </w:tcPr>
          <w:p w14:paraId="34017A0A">
            <w:pPr>
              <w:pStyle w:val="337"/>
              <w:rPr>
                <w:color w:val="auto"/>
                <w:lang w:val="en-US" w:eastAsia="zh-CN" w:bidi="en-US"/>
              </w:rPr>
            </w:pPr>
            <w:r>
              <w:rPr>
                <w:color w:val="auto"/>
                <w:lang w:val="en-US" w:eastAsia="zh-CN" w:bidi="en-US"/>
              </w:rPr>
              <w:t>PH</w:t>
            </w:r>
          </w:p>
        </w:tc>
        <w:tc>
          <w:tcPr>
            <w:tcW w:w="1559" w:type="dxa"/>
            <w:vAlign w:val="center"/>
          </w:tcPr>
          <w:p w14:paraId="7FF4330D">
            <w:pPr>
              <w:pStyle w:val="337"/>
              <w:rPr>
                <w:color w:val="auto"/>
                <w:lang w:val="en-US" w:eastAsia="zh-CN" w:bidi="en-US"/>
              </w:rPr>
            </w:pPr>
            <w:r>
              <w:rPr>
                <w:color w:val="auto"/>
                <w:szCs w:val="21"/>
                <w:lang w:val="en-US" w:eastAsia="zh-CN" w:bidi="en-US"/>
              </w:rPr>
              <w:t>溶解性总固体</w:t>
            </w:r>
          </w:p>
        </w:tc>
        <w:tc>
          <w:tcPr>
            <w:tcW w:w="730" w:type="dxa"/>
            <w:vAlign w:val="center"/>
          </w:tcPr>
          <w:p w14:paraId="012B2AE7">
            <w:pPr>
              <w:pStyle w:val="337"/>
              <w:rPr>
                <w:color w:val="auto"/>
                <w:lang w:val="en-US" w:eastAsia="zh-CN" w:bidi="en-US"/>
              </w:rPr>
            </w:pPr>
            <w:r>
              <w:rPr>
                <w:color w:val="auto"/>
                <w:lang w:val="en-US" w:eastAsia="zh-CN" w:bidi="en-US"/>
              </w:rPr>
              <w:t>BOD</w:t>
            </w:r>
            <w:r>
              <w:rPr>
                <w:color w:val="auto"/>
                <w:vertAlign w:val="subscript"/>
                <w:lang w:val="en-US" w:eastAsia="zh-CN" w:bidi="en-US"/>
              </w:rPr>
              <w:t>5</w:t>
            </w:r>
          </w:p>
        </w:tc>
        <w:tc>
          <w:tcPr>
            <w:tcW w:w="2105" w:type="dxa"/>
            <w:vAlign w:val="center"/>
          </w:tcPr>
          <w:p w14:paraId="6CE8DDB1">
            <w:pPr>
              <w:pStyle w:val="337"/>
              <w:rPr>
                <w:color w:val="auto"/>
                <w:lang w:val="en-US" w:eastAsia="zh-CN" w:bidi="en-US"/>
              </w:rPr>
            </w:pPr>
            <w:r>
              <w:rPr>
                <w:color w:val="auto"/>
                <w:szCs w:val="21"/>
                <w:lang w:val="en-US" w:eastAsia="zh-CN" w:bidi="en-US"/>
              </w:rPr>
              <w:t>阴离子表面活性剂</w:t>
            </w:r>
          </w:p>
        </w:tc>
        <w:tc>
          <w:tcPr>
            <w:tcW w:w="849" w:type="dxa"/>
            <w:vAlign w:val="center"/>
          </w:tcPr>
          <w:p w14:paraId="7A36F5E1">
            <w:pPr>
              <w:pStyle w:val="337"/>
              <w:rPr>
                <w:color w:val="auto"/>
                <w:lang w:val="en-US" w:eastAsia="zh-CN" w:bidi="en-US"/>
              </w:rPr>
            </w:pPr>
            <w:r>
              <w:rPr>
                <w:color w:val="auto"/>
                <w:lang w:val="en-US" w:eastAsia="zh-CN" w:bidi="en-US"/>
              </w:rPr>
              <w:t>氨氮</w:t>
            </w:r>
          </w:p>
        </w:tc>
        <w:tc>
          <w:tcPr>
            <w:tcW w:w="1476" w:type="dxa"/>
            <w:vAlign w:val="center"/>
          </w:tcPr>
          <w:p w14:paraId="5A26AE02">
            <w:pPr>
              <w:pStyle w:val="337"/>
              <w:rPr>
                <w:color w:val="auto"/>
                <w:lang w:val="en-US" w:eastAsia="zh-CN" w:bidi="en-US"/>
              </w:rPr>
            </w:pPr>
            <w:r>
              <w:rPr>
                <w:color w:val="auto"/>
                <w:szCs w:val="21"/>
                <w:lang w:val="en-US" w:eastAsia="zh-CN" w:bidi="en-US"/>
              </w:rPr>
              <w:t>总大肠菌群（个/L）</w:t>
            </w:r>
          </w:p>
        </w:tc>
      </w:tr>
      <w:tr w14:paraId="4C5F59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100" w:type="dxa"/>
            <w:vAlign w:val="center"/>
          </w:tcPr>
          <w:p w14:paraId="42E3E2A6">
            <w:pPr>
              <w:pStyle w:val="337"/>
              <w:rPr>
                <w:color w:val="auto"/>
                <w:lang w:val="en-US" w:eastAsia="zh-CN" w:bidi="en-US"/>
              </w:rPr>
            </w:pPr>
            <w:r>
              <w:rPr>
                <w:color w:val="auto"/>
                <w:lang w:val="en-US" w:eastAsia="zh-CN" w:bidi="en-US"/>
              </w:rPr>
              <w:t>城市绿化</w:t>
            </w:r>
          </w:p>
        </w:tc>
        <w:tc>
          <w:tcPr>
            <w:tcW w:w="710" w:type="dxa"/>
            <w:vAlign w:val="center"/>
          </w:tcPr>
          <w:p w14:paraId="4E159E1C">
            <w:pPr>
              <w:pStyle w:val="337"/>
              <w:rPr>
                <w:color w:val="auto"/>
                <w:lang w:val="en-US" w:eastAsia="zh-CN" w:bidi="en-US"/>
              </w:rPr>
            </w:pPr>
            <w:r>
              <w:rPr>
                <w:color w:val="auto"/>
                <w:lang w:val="en-US" w:eastAsia="zh-CN" w:bidi="en-US"/>
              </w:rPr>
              <w:t>6-9</w:t>
            </w:r>
          </w:p>
        </w:tc>
        <w:tc>
          <w:tcPr>
            <w:tcW w:w="1559" w:type="dxa"/>
            <w:vAlign w:val="center"/>
          </w:tcPr>
          <w:p w14:paraId="7597ACB8">
            <w:pPr>
              <w:pStyle w:val="337"/>
              <w:rPr>
                <w:color w:val="auto"/>
                <w:lang w:val="en-US" w:eastAsia="zh-CN" w:bidi="en-US"/>
              </w:rPr>
            </w:pPr>
            <w:r>
              <w:rPr>
                <w:color w:val="auto"/>
                <w:szCs w:val="21"/>
                <w:lang w:val="en-US" w:eastAsia="zh-CN" w:bidi="en-US"/>
              </w:rPr>
              <w:t>1000</w:t>
            </w:r>
          </w:p>
        </w:tc>
        <w:tc>
          <w:tcPr>
            <w:tcW w:w="730" w:type="dxa"/>
            <w:vAlign w:val="center"/>
          </w:tcPr>
          <w:p w14:paraId="0FA9DEC0">
            <w:pPr>
              <w:pStyle w:val="337"/>
              <w:rPr>
                <w:color w:val="auto"/>
                <w:lang w:val="en-US" w:eastAsia="zh-CN" w:bidi="en-US"/>
              </w:rPr>
            </w:pPr>
            <w:r>
              <w:rPr>
                <w:color w:val="auto"/>
                <w:szCs w:val="21"/>
                <w:lang w:val="en-US" w:eastAsia="zh-CN" w:bidi="en-US"/>
              </w:rPr>
              <w:t>20</w:t>
            </w:r>
          </w:p>
        </w:tc>
        <w:tc>
          <w:tcPr>
            <w:tcW w:w="2105" w:type="dxa"/>
            <w:vAlign w:val="center"/>
          </w:tcPr>
          <w:p w14:paraId="78EC76A9">
            <w:pPr>
              <w:pStyle w:val="337"/>
              <w:rPr>
                <w:color w:val="auto"/>
                <w:lang w:val="en-US" w:eastAsia="zh-CN" w:bidi="en-US"/>
              </w:rPr>
            </w:pPr>
            <w:r>
              <w:rPr>
                <w:color w:val="auto"/>
                <w:szCs w:val="21"/>
                <w:lang w:val="en-US" w:eastAsia="zh-CN" w:bidi="en-US"/>
              </w:rPr>
              <w:t>1.0</w:t>
            </w:r>
          </w:p>
        </w:tc>
        <w:tc>
          <w:tcPr>
            <w:tcW w:w="849" w:type="dxa"/>
            <w:vAlign w:val="center"/>
          </w:tcPr>
          <w:p w14:paraId="5442B6DC">
            <w:pPr>
              <w:pStyle w:val="337"/>
              <w:rPr>
                <w:color w:val="auto"/>
                <w:lang w:val="en-US" w:eastAsia="zh-CN" w:bidi="en-US"/>
              </w:rPr>
            </w:pPr>
            <w:r>
              <w:rPr>
                <w:color w:val="auto"/>
                <w:szCs w:val="21"/>
                <w:lang w:val="en-US" w:eastAsia="zh-CN" w:bidi="en-US"/>
              </w:rPr>
              <w:t>20</w:t>
            </w:r>
          </w:p>
        </w:tc>
        <w:tc>
          <w:tcPr>
            <w:tcW w:w="1476" w:type="dxa"/>
            <w:vAlign w:val="center"/>
          </w:tcPr>
          <w:p w14:paraId="16D43220">
            <w:pPr>
              <w:pStyle w:val="337"/>
              <w:rPr>
                <w:color w:val="auto"/>
                <w:lang w:val="en-US" w:eastAsia="zh-CN" w:bidi="en-US"/>
              </w:rPr>
            </w:pPr>
            <w:r>
              <w:rPr>
                <w:color w:val="auto"/>
                <w:szCs w:val="21"/>
                <w:lang w:val="en-US" w:eastAsia="zh-CN" w:bidi="en-US"/>
              </w:rPr>
              <w:t>3</w:t>
            </w:r>
          </w:p>
        </w:tc>
      </w:tr>
    </w:tbl>
    <w:p w14:paraId="5ED58AC9">
      <w:pPr>
        <w:spacing w:line="240" w:lineRule="auto"/>
        <w:ind w:firstLine="0" w:firstLineChars="0"/>
        <w:rPr>
          <w:b/>
          <w:sz w:val="21"/>
          <w:szCs w:val="21"/>
          <w:lang w:eastAsia="zh-CN"/>
        </w:rPr>
      </w:pPr>
      <w:r>
        <w:rPr>
          <w:b/>
          <w:sz w:val="21"/>
          <w:szCs w:val="21"/>
          <w:lang w:eastAsia="zh-CN"/>
        </w:rPr>
        <w:t>表1.</w:t>
      </w:r>
      <w:r>
        <w:rPr>
          <w:rFonts w:hint="eastAsia"/>
          <w:b/>
          <w:sz w:val="21"/>
          <w:szCs w:val="21"/>
          <w:lang w:eastAsia="zh-CN"/>
        </w:rPr>
        <w:t>5</w:t>
      </w:r>
      <w:r>
        <w:rPr>
          <w:b/>
          <w:sz w:val="21"/>
          <w:szCs w:val="21"/>
          <w:lang w:eastAsia="zh-CN"/>
        </w:rPr>
        <w:t>-</w:t>
      </w:r>
      <w:r>
        <w:rPr>
          <w:rFonts w:hint="eastAsia"/>
          <w:b/>
          <w:sz w:val="21"/>
          <w:szCs w:val="21"/>
          <w:lang w:eastAsia="zh-CN"/>
        </w:rPr>
        <w:t xml:space="preserve">10 </w:t>
      </w:r>
      <w:r>
        <w:rPr>
          <w:b/>
          <w:sz w:val="21"/>
          <w:szCs w:val="21"/>
          <w:lang w:eastAsia="zh-CN"/>
        </w:rPr>
        <w:t xml:space="preserve"> 《碎屑岩油藏注水水质推荐指标及分析方法》(SY/T5329-2012)标准</w:t>
      </w:r>
      <w:r>
        <w:rPr>
          <w:rFonts w:hint="eastAsia"/>
          <w:b/>
          <w:sz w:val="21"/>
          <w:szCs w:val="21"/>
          <w:lang w:eastAsia="zh-CN"/>
        </w:rPr>
        <w:t xml:space="preserve"> </w:t>
      </w:r>
      <w:r>
        <w:rPr>
          <w:b/>
          <w:sz w:val="21"/>
          <w:szCs w:val="21"/>
          <w:lang w:eastAsia="zh-CN"/>
        </w:rPr>
        <w:t xml:space="preserve"> 单位：mg/L</w:t>
      </w:r>
    </w:p>
    <w:tbl>
      <w:tblPr>
        <w:tblStyle w:val="7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77"/>
        <w:gridCol w:w="1113"/>
        <w:gridCol w:w="1184"/>
        <w:gridCol w:w="1217"/>
        <w:gridCol w:w="944"/>
        <w:gridCol w:w="853"/>
        <w:gridCol w:w="916"/>
        <w:gridCol w:w="1225"/>
      </w:tblGrid>
      <w:tr w14:paraId="018045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7" w:type="dxa"/>
            <w:vAlign w:val="center"/>
          </w:tcPr>
          <w:p w14:paraId="55CC55C4">
            <w:pPr>
              <w:pStyle w:val="337"/>
              <w:rPr>
                <w:color w:val="auto"/>
                <w:lang w:val="en-US" w:eastAsia="en-US" w:bidi="en-US"/>
              </w:rPr>
            </w:pPr>
            <w:r>
              <w:rPr>
                <w:color w:val="auto"/>
                <w:lang w:val="en-US" w:eastAsia="en-US" w:bidi="en-US"/>
              </w:rPr>
              <w:t>项目</w:t>
            </w:r>
          </w:p>
        </w:tc>
        <w:tc>
          <w:tcPr>
            <w:tcW w:w="1113" w:type="dxa"/>
            <w:vAlign w:val="center"/>
          </w:tcPr>
          <w:p w14:paraId="505947DA">
            <w:pPr>
              <w:pStyle w:val="337"/>
              <w:rPr>
                <w:color w:val="auto"/>
                <w:lang w:val="en-US" w:eastAsia="zh-CN" w:bidi="en-US"/>
              </w:rPr>
            </w:pPr>
            <w:r>
              <w:rPr>
                <w:color w:val="auto"/>
                <w:lang w:val="en-US" w:eastAsia="en-US" w:bidi="en-US"/>
              </w:rPr>
              <w:t>含油</w:t>
            </w:r>
            <w:r>
              <w:rPr>
                <w:color w:val="auto"/>
                <w:lang w:val="en-US" w:eastAsia="zh-CN" w:bidi="en-US"/>
              </w:rPr>
              <w:t>(</w:t>
            </w:r>
            <w:r>
              <w:rPr>
                <w:color w:val="auto"/>
                <w:lang w:val="en-US" w:eastAsia="en-US" w:bidi="en-US"/>
              </w:rPr>
              <w:t>mg/L</w:t>
            </w:r>
            <w:r>
              <w:rPr>
                <w:color w:val="auto"/>
                <w:lang w:val="en-US" w:eastAsia="zh-CN" w:bidi="en-US"/>
              </w:rPr>
              <w:t>)</w:t>
            </w:r>
          </w:p>
        </w:tc>
        <w:tc>
          <w:tcPr>
            <w:tcW w:w="1184" w:type="dxa"/>
            <w:vAlign w:val="center"/>
          </w:tcPr>
          <w:p w14:paraId="38A54D93">
            <w:pPr>
              <w:pStyle w:val="337"/>
              <w:rPr>
                <w:color w:val="auto"/>
                <w:lang w:val="en-US" w:eastAsia="zh-CN" w:bidi="en-US"/>
              </w:rPr>
            </w:pPr>
            <w:r>
              <w:rPr>
                <w:color w:val="auto"/>
                <w:lang w:val="en-US" w:eastAsia="en-US" w:bidi="en-US"/>
              </w:rPr>
              <w:t>悬浮物</w:t>
            </w:r>
            <w:r>
              <w:rPr>
                <w:color w:val="auto"/>
                <w:lang w:val="en-US" w:eastAsia="zh-CN" w:bidi="en-US"/>
              </w:rPr>
              <w:t>(</w:t>
            </w:r>
            <w:r>
              <w:rPr>
                <w:color w:val="auto"/>
                <w:lang w:val="en-US" w:eastAsia="en-US" w:bidi="en-US"/>
              </w:rPr>
              <w:t>mg/L</w:t>
            </w:r>
            <w:r>
              <w:rPr>
                <w:color w:val="auto"/>
                <w:lang w:val="en-US" w:eastAsia="zh-CN" w:bidi="en-US"/>
              </w:rPr>
              <w:t>)</w:t>
            </w:r>
          </w:p>
        </w:tc>
        <w:tc>
          <w:tcPr>
            <w:tcW w:w="1217" w:type="dxa"/>
            <w:vAlign w:val="center"/>
          </w:tcPr>
          <w:p w14:paraId="1D49713D">
            <w:pPr>
              <w:pStyle w:val="337"/>
              <w:rPr>
                <w:color w:val="auto"/>
                <w:lang w:val="en-US" w:eastAsia="zh-CN" w:bidi="en-US"/>
              </w:rPr>
            </w:pPr>
            <w:r>
              <w:rPr>
                <w:color w:val="auto"/>
                <w:lang w:val="en-US" w:eastAsia="en-US" w:bidi="en-US"/>
              </w:rPr>
              <w:t>悬浮物颗粒中值</w:t>
            </w:r>
            <w:r>
              <w:rPr>
                <w:color w:val="auto"/>
                <w:lang w:val="en-US" w:eastAsia="zh-CN" w:bidi="en-US"/>
              </w:rPr>
              <w:t>(</w:t>
            </w:r>
            <w:r>
              <w:rPr>
                <w:color w:val="auto"/>
                <w:lang w:val="en-US" w:eastAsia="en-US" w:bidi="en-US"/>
              </w:rPr>
              <w:t>μm</w:t>
            </w:r>
            <w:r>
              <w:rPr>
                <w:color w:val="auto"/>
                <w:lang w:val="en-US" w:eastAsia="zh-CN" w:bidi="en-US"/>
              </w:rPr>
              <w:t>)</w:t>
            </w:r>
          </w:p>
        </w:tc>
        <w:tc>
          <w:tcPr>
            <w:tcW w:w="944" w:type="dxa"/>
            <w:vAlign w:val="center"/>
          </w:tcPr>
          <w:p w14:paraId="40B7EAC1">
            <w:pPr>
              <w:pStyle w:val="337"/>
              <w:rPr>
                <w:color w:val="auto"/>
                <w:lang w:val="en-US" w:eastAsia="zh-CN" w:bidi="en-US"/>
              </w:rPr>
            </w:pPr>
            <w:r>
              <w:rPr>
                <w:color w:val="auto"/>
                <w:lang w:val="en-US" w:eastAsia="zh-CN" w:bidi="en-US"/>
              </w:rPr>
              <w:t>SRB</w:t>
            </w:r>
          </w:p>
          <w:p w14:paraId="7D32F563">
            <w:pPr>
              <w:pStyle w:val="337"/>
              <w:rPr>
                <w:color w:val="auto"/>
                <w:lang w:val="en-US" w:eastAsia="zh-CN" w:bidi="en-US"/>
              </w:rPr>
            </w:pPr>
            <w:r>
              <w:rPr>
                <w:color w:val="auto"/>
                <w:lang w:val="en-US" w:eastAsia="zh-CN" w:bidi="en-US"/>
              </w:rPr>
              <w:t>(</w:t>
            </w:r>
            <w:r>
              <w:rPr>
                <w:color w:val="auto"/>
                <w:lang w:val="en-US" w:eastAsia="en-US" w:bidi="en-US"/>
              </w:rPr>
              <w:t>个/mL</w:t>
            </w:r>
            <w:r>
              <w:rPr>
                <w:color w:val="auto"/>
                <w:lang w:val="en-US" w:eastAsia="zh-CN" w:bidi="en-US"/>
              </w:rPr>
              <w:t>)</w:t>
            </w:r>
          </w:p>
        </w:tc>
        <w:tc>
          <w:tcPr>
            <w:tcW w:w="853" w:type="dxa"/>
            <w:vAlign w:val="center"/>
          </w:tcPr>
          <w:p w14:paraId="7080F2DC">
            <w:pPr>
              <w:pStyle w:val="337"/>
              <w:rPr>
                <w:color w:val="auto"/>
                <w:lang w:val="en-US" w:eastAsia="zh-CN" w:bidi="en-US"/>
              </w:rPr>
            </w:pPr>
            <w:r>
              <w:rPr>
                <w:color w:val="auto"/>
                <w:lang w:val="en-US" w:eastAsia="zh-CN" w:bidi="en-US"/>
              </w:rPr>
              <w:t>IB(</w:t>
            </w:r>
            <w:r>
              <w:rPr>
                <w:color w:val="auto"/>
                <w:lang w:val="en-US" w:eastAsia="en-US" w:bidi="en-US"/>
              </w:rPr>
              <w:t>个/mL</w:t>
            </w:r>
            <w:r>
              <w:rPr>
                <w:color w:val="auto"/>
                <w:lang w:val="en-US" w:eastAsia="zh-CN" w:bidi="en-US"/>
              </w:rPr>
              <w:t>)</w:t>
            </w:r>
          </w:p>
        </w:tc>
        <w:tc>
          <w:tcPr>
            <w:tcW w:w="916" w:type="dxa"/>
            <w:vAlign w:val="center"/>
          </w:tcPr>
          <w:p w14:paraId="7A82D692">
            <w:pPr>
              <w:pStyle w:val="337"/>
              <w:rPr>
                <w:color w:val="auto"/>
                <w:lang w:val="en-US" w:eastAsia="zh-CN" w:bidi="en-US"/>
              </w:rPr>
            </w:pPr>
            <w:r>
              <w:rPr>
                <w:color w:val="auto"/>
                <w:lang w:val="en-US" w:eastAsia="zh-CN" w:bidi="en-US"/>
              </w:rPr>
              <w:t>TGB(</w:t>
            </w:r>
            <w:r>
              <w:rPr>
                <w:color w:val="auto"/>
                <w:lang w:val="en-US" w:eastAsia="en-US" w:bidi="en-US"/>
              </w:rPr>
              <w:t>个/mL</w:t>
            </w:r>
            <w:r>
              <w:rPr>
                <w:color w:val="auto"/>
                <w:lang w:val="en-US" w:eastAsia="zh-CN" w:bidi="en-US"/>
              </w:rPr>
              <w:t>)</w:t>
            </w:r>
          </w:p>
        </w:tc>
        <w:tc>
          <w:tcPr>
            <w:tcW w:w="1225" w:type="dxa"/>
            <w:vAlign w:val="center"/>
          </w:tcPr>
          <w:p w14:paraId="68605091">
            <w:pPr>
              <w:pStyle w:val="337"/>
              <w:rPr>
                <w:color w:val="auto"/>
                <w:lang w:val="en-US" w:eastAsia="zh-CN" w:bidi="en-US"/>
              </w:rPr>
            </w:pPr>
            <w:r>
              <w:rPr>
                <w:color w:val="auto"/>
                <w:lang w:val="en-US" w:eastAsia="zh-CN" w:bidi="en-US"/>
              </w:rPr>
              <w:t>平均腐蚀率(min</w:t>
            </w:r>
            <w:r>
              <w:rPr>
                <w:color w:val="auto"/>
                <w:lang w:val="en-US" w:eastAsia="en-US" w:bidi="en-US"/>
              </w:rPr>
              <w:t>/</w:t>
            </w:r>
            <w:r>
              <w:rPr>
                <w:color w:val="auto"/>
                <w:lang w:val="en-US" w:eastAsia="zh-CN" w:bidi="en-US"/>
              </w:rPr>
              <w:t>年)</w:t>
            </w:r>
          </w:p>
        </w:tc>
      </w:tr>
      <w:tr w14:paraId="39ABB2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77" w:type="dxa"/>
            <w:vAlign w:val="center"/>
          </w:tcPr>
          <w:p w14:paraId="5AC31DEE">
            <w:pPr>
              <w:pStyle w:val="337"/>
              <w:rPr>
                <w:color w:val="auto"/>
                <w:lang w:val="en-US" w:eastAsia="en-US" w:bidi="en-US"/>
              </w:rPr>
            </w:pPr>
            <w:r>
              <w:rPr>
                <w:color w:val="auto"/>
                <w:lang w:val="en-US" w:eastAsia="en-US" w:bidi="en-US"/>
              </w:rPr>
              <w:t>注水水质标准</w:t>
            </w:r>
          </w:p>
        </w:tc>
        <w:tc>
          <w:tcPr>
            <w:tcW w:w="1113" w:type="dxa"/>
            <w:vAlign w:val="center"/>
          </w:tcPr>
          <w:p w14:paraId="3AA764B4">
            <w:pPr>
              <w:pStyle w:val="337"/>
              <w:rPr>
                <w:color w:val="auto"/>
                <w:lang w:val="en-US" w:eastAsia="en-US" w:bidi="en-US"/>
              </w:rPr>
            </w:pPr>
            <w:r>
              <w:rPr>
                <w:color w:val="auto"/>
                <w:lang w:val="en-US" w:eastAsia="en-US" w:bidi="en-US"/>
              </w:rPr>
              <w:t>5</w:t>
            </w:r>
            <w:r>
              <w:rPr>
                <w:color w:val="auto"/>
                <w:lang w:val="en-US" w:eastAsia="zh-CN" w:bidi="en-US"/>
              </w:rPr>
              <w:t>.0</w:t>
            </w:r>
            <w:r>
              <w:rPr>
                <w:color w:val="auto"/>
                <w:lang w:val="en-US" w:eastAsia="en-US" w:bidi="en-US"/>
              </w:rPr>
              <w:t xml:space="preserve"> </w:t>
            </w:r>
          </w:p>
        </w:tc>
        <w:tc>
          <w:tcPr>
            <w:tcW w:w="1184" w:type="dxa"/>
            <w:vAlign w:val="center"/>
          </w:tcPr>
          <w:p w14:paraId="2AEE69C6">
            <w:pPr>
              <w:pStyle w:val="337"/>
              <w:rPr>
                <w:color w:val="auto"/>
                <w:lang w:val="en-US" w:eastAsia="en-US" w:bidi="en-US"/>
              </w:rPr>
            </w:pPr>
            <w:r>
              <w:rPr>
                <w:color w:val="auto"/>
                <w:lang w:val="en-US" w:eastAsia="en-US" w:bidi="en-US"/>
              </w:rPr>
              <w:t>1.0</w:t>
            </w:r>
          </w:p>
        </w:tc>
        <w:tc>
          <w:tcPr>
            <w:tcW w:w="1217" w:type="dxa"/>
            <w:vAlign w:val="center"/>
          </w:tcPr>
          <w:p w14:paraId="14C69927">
            <w:pPr>
              <w:pStyle w:val="337"/>
              <w:rPr>
                <w:color w:val="auto"/>
                <w:lang w:val="en-US" w:eastAsia="zh-CN" w:bidi="en-US"/>
              </w:rPr>
            </w:pPr>
            <w:r>
              <w:rPr>
                <w:color w:val="auto"/>
                <w:lang w:val="en-US" w:eastAsia="zh-CN" w:bidi="en-US"/>
              </w:rPr>
              <w:t>1.0</w:t>
            </w:r>
          </w:p>
        </w:tc>
        <w:tc>
          <w:tcPr>
            <w:tcW w:w="944" w:type="dxa"/>
            <w:vAlign w:val="center"/>
          </w:tcPr>
          <w:p w14:paraId="7C9BA751">
            <w:pPr>
              <w:pStyle w:val="337"/>
              <w:rPr>
                <w:color w:val="auto"/>
                <w:lang w:val="en-US" w:eastAsia="en-US" w:bidi="en-US"/>
              </w:rPr>
            </w:pPr>
            <w:r>
              <w:rPr>
                <w:color w:val="auto"/>
                <w:lang w:val="en-US" w:eastAsia="zh-CN" w:bidi="en-US"/>
              </w:rPr>
              <w:t>10</w:t>
            </w:r>
          </w:p>
        </w:tc>
        <w:tc>
          <w:tcPr>
            <w:tcW w:w="853" w:type="dxa"/>
            <w:vAlign w:val="center"/>
          </w:tcPr>
          <w:p w14:paraId="6D621A3C">
            <w:pPr>
              <w:pStyle w:val="337"/>
              <w:rPr>
                <w:color w:val="auto"/>
                <w:lang w:val="en-US" w:eastAsia="en-US" w:bidi="en-US"/>
              </w:rPr>
            </w:pPr>
            <w:r>
              <w:rPr>
                <w:color w:val="auto"/>
                <w:lang w:val="en-US" w:eastAsia="zh-CN" w:bidi="en-US"/>
              </w:rPr>
              <w:t>n*10</w:t>
            </w:r>
            <w:r>
              <w:rPr>
                <w:color w:val="auto"/>
                <w:vertAlign w:val="superscript"/>
                <w:lang w:val="en-US" w:eastAsia="zh-CN" w:bidi="en-US"/>
              </w:rPr>
              <w:t>2</w:t>
            </w:r>
          </w:p>
        </w:tc>
        <w:tc>
          <w:tcPr>
            <w:tcW w:w="916" w:type="dxa"/>
            <w:vAlign w:val="center"/>
          </w:tcPr>
          <w:p w14:paraId="7C3F7909">
            <w:pPr>
              <w:pStyle w:val="337"/>
              <w:rPr>
                <w:color w:val="auto"/>
                <w:lang w:val="en-US" w:eastAsia="zh-CN" w:bidi="en-US"/>
              </w:rPr>
            </w:pPr>
            <w:r>
              <w:rPr>
                <w:color w:val="auto"/>
                <w:lang w:val="en-US" w:eastAsia="zh-CN" w:bidi="en-US"/>
              </w:rPr>
              <w:t>n*10</w:t>
            </w:r>
            <w:r>
              <w:rPr>
                <w:color w:val="auto"/>
                <w:vertAlign w:val="superscript"/>
                <w:lang w:val="en-US" w:eastAsia="zh-CN" w:bidi="en-US"/>
              </w:rPr>
              <w:t>2</w:t>
            </w:r>
          </w:p>
        </w:tc>
        <w:tc>
          <w:tcPr>
            <w:tcW w:w="1225" w:type="dxa"/>
            <w:vAlign w:val="center"/>
          </w:tcPr>
          <w:p w14:paraId="35A27B20">
            <w:pPr>
              <w:pStyle w:val="337"/>
              <w:rPr>
                <w:color w:val="auto"/>
                <w:szCs w:val="21"/>
                <w:lang w:val="en-US" w:eastAsia="zh-CN" w:bidi="en-US"/>
              </w:rPr>
            </w:pPr>
            <w:r>
              <w:rPr>
                <w:color w:val="auto"/>
                <w:lang w:val="en-US" w:eastAsia="zh-CN" w:bidi="en-US"/>
              </w:rPr>
              <w:t>0.076</w:t>
            </w:r>
          </w:p>
        </w:tc>
      </w:tr>
    </w:tbl>
    <w:p w14:paraId="69D73496">
      <w:pPr>
        <w:adjustRightInd w:val="0"/>
        <w:snapToGrid w:val="0"/>
        <w:spacing w:line="240" w:lineRule="auto"/>
        <w:ind w:firstLine="361"/>
        <w:rPr>
          <w:b/>
          <w:sz w:val="18"/>
          <w:szCs w:val="18"/>
          <w:lang w:eastAsia="zh-CN"/>
        </w:rPr>
      </w:pPr>
      <w:r>
        <w:rPr>
          <w:b/>
          <w:sz w:val="18"/>
          <w:szCs w:val="18"/>
          <w:lang w:eastAsia="zh-CN"/>
        </w:rPr>
        <w:t>注1&lt;n&lt;10</w:t>
      </w:r>
    </w:p>
    <w:p w14:paraId="5409E82D">
      <w:pPr>
        <w:ind w:firstLine="480"/>
        <w:rPr>
          <w:rFonts w:asciiTheme="minorEastAsia" w:hAnsiTheme="minorEastAsia" w:eastAsiaTheme="minorEastAsia"/>
          <w:lang w:eastAsia="zh-CN"/>
        </w:rPr>
      </w:pPr>
      <w:r>
        <w:rPr>
          <w:rFonts w:asciiTheme="minorEastAsia" w:hAnsiTheme="minorEastAsia" w:eastAsiaTheme="minorEastAsia"/>
          <w:lang w:eastAsia="zh-CN"/>
        </w:rPr>
        <w:t>3、噪声排放标准</w:t>
      </w:r>
    </w:p>
    <w:p w14:paraId="3D650148">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（1）</w:t>
      </w:r>
      <w:r>
        <w:rPr>
          <w:rFonts w:asciiTheme="minorEastAsia" w:hAnsiTheme="minorEastAsia" w:eastAsiaTheme="minorEastAsia"/>
          <w:lang w:eastAsia="zh-CN"/>
        </w:rPr>
        <w:t>《工业企业厂界环境噪声排放标准》(GB12348-2008)2类标准，具体标准值见表1.</w:t>
      </w:r>
      <w:r>
        <w:rPr>
          <w:rFonts w:hint="eastAsia" w:asciiTheme="minorEastAsia" w:hAnsiTheme="minorEastAsia" w:eastAsiaTheme="minorEastAsia"/>
          <w:lang w:eastAsia="zh-CN"/>
        </w:rPr>
        <w:t>5-11</w:t>
      </w:r>
      <w:r>
        <w:rPr>
          <w:rFonts w:asciiTheme="minorEastAsia" w:hAnsiTheme="minorEastAsia" w:eastAsiaTheme="minorEastAsia"/>
          <w:lang w:eastAsia="zh-CN"/>
        </w:rPr>
        <w:t>。</w:t>
      </w:r>
    </w:p>
    <w:p w14:paraId="339681A3">
      <w:pPr>
        <w:spacing w:line="240" w:lineRule="auto"/>
        <w:ind w:firstLine="198" w:firstLineChars="82"/>
        <w:rPr>
          <w:b/>
          <w:lang w:eastAsia="zh-CN"/>
        </w:rPr>
      </w:pPr>
      <w:r>
        <w:rPr>
          <w:b/>
          <w:lang w:eastAsia="zh-CN"/>
        </w:rPr>
        <w:t>表1.</w:t>
      </w:r>
      <w:r>
        <w:rPr>
          <w:rFonts w:hint="eastAsia"/>
          <w:b/>
          <w:lang w:eastAsia="zh-CN"/>
        </w:rPr>
        <w:t>5</w:t>
      </w:r>
      <w:r>
        <w:rPr>
          <w:b/>
          <w:lang w:eastAsia="zh-CN"/>
        </w:rPr>
        <w:t>-</w:t>
      </w:r>
      <w:r>
        <w:rPr>
          <w:rFonts w:hint="eastAsia"/>
          <w:b/>
          <w:lang w:eastAsia="zh-CN"/>
        </w:rPr>
        <w:t>11</w:t>
      </w:r>
      <w:r>
        <w:rPr>
          <w:b/>
          <w:lang w:eastAsia="zh-CN"/>
        </w:rPr>
        <w:t xml:space="preserve">  </w:t>
      </w:r>
      <w:r>
        <w:rPr>
          <w:rFonts w:hint="eastAsia"/>
          <w:b/>
          <w:lang w:eastAsia="zh-CN"/>
        </w:rPr>
        <w:t xml:space="preserve"> </w:t>
      </w:r>
      <w:r>
        <w:rPr>
          <w:b/>
          <w:lang w:eastAsia="zh-CN"/>
        </w:rPr>
        <w:t xml:space="preserve">工业企业厂界环境噪声排放标准  </w:t>
      </w:r>
      <w:r>
        <w:rPr>
          <w:b/>
          <w:szCs w:val="21"/>
          <w:lang w:eastAsia="zh-CN"/>
        </w:rPr>
        <w:t>单位：dB(A)</w:t>
      </w:r>
    </w:p>
    <w:tbl>
      <w:tblPr>
        <w:tblStyle w:val="7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35"/>
        <w:gridCol w:w="3446"/>
        <w:gridCol w:w="1774"/>
        <w:gridCol w:w="1774"/>
      </w:tblGrid>
      <w:tr w14:paraId="583CD2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35" w:type="dxa"/>
            <w:vAlign w:val="center"/>
          </w:tcPr>
          <w:p w14:paraId="217F71BB">
            <w:pPr>
              <w:pStyle w:val="518"/>
              <w:rPr>
                <w:snapToGrid w:val="0"/>
              </w:rPr>
            </w:pPr>
            <w:r>
              <w:rPr>
                <w:snapToGrid w:val="0"/>
              </w:rPr>
              <w:t>标准类别</w:t>
            </w:r>
          </w:p>
        </w:tc>
        <w:tc>
          <w:tcPr>
            <w:tcW w:w="3446" w:type="dxa"/>
            <w:vAlign w:val="center"/>
          </w:tcPr>
          <w:p w14:paraId="6A1A72FD">
            <w:pPr>
              <w:pStyle w:val="518"/>
              <w:rPr>
                <w:snapToGrid w:val="0"/>
              </w:rPr>
            </w:pPr>
            <w:r>
              <w:rPr>
                <w:snapToGrid w:val="0"/>
              </w:rPr>
              <w:t>适用范围</w:t>
            </w:r>
          </w:p>
        </w:tc>
        <w:tc>
          <w:tcPr>
            <w:tcW w:w="1774" w:type="dxa"/>
            <w:vAlign w:val="center"/>
          </w:tcPr>
          <w:p w14:paraId="2988B6C6">
            <w:pPr>
              <w:pStyle w:val="518"/>
              <w:rPr>
                <w:snapToGrid w:val="0"/>
              </w:rPr>
            </w:pPr>
            <w:r>
              <w:rPr>
                <w:snapToGrid w:val="0"/>
              </w:rPr>
              <w:t>昼 间</w:t>
            </w:r>
          </w:p>
        </w:tc>
        <w:tc>
          <w:tcPr>
            <w:tcW w:w="1774" w:type="dxa"/>
            <w:vAlign w:val="center"/>
          </w:tcPr>
          <w:p w14:paraId="75DD2348">
            <w:pPr>
              <w:pStyle w:val="518"/>
              <w:rPr>
                <w:snapToGrid w:val="0"/>
              </w:rPr>
            </w:pPr>
            <w:r>
              <w:rPr>
                <w:snapToGrid w:val="0"/>
              </w:rPr>
              <w:t>夜 间</w:t>
            </w:r>
          </w:p>
        </w:tc>
      </w:tr>
      <w:tr w14:paraId="27447C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35" w:type="dxa"/>
            <w:vAlign w:val="center"/>
          </w:tcPr>
          <w:p w14:paraId="7564F70F">
            <w:pPr>
              <w:pStyle w:val="518"/>
              <w:rPr>
                <w:snapToGrid w:val="0"/>
              </w:rPr>
            </w:pPr>
            <w:r>
              <w:rPr>
                <w:snapToGrid w:val="0"/>
              </w:rPr>
              <w:t>2</w:t>
            </w:r>
          </w:p>
        </w:tc>
        <w:tc>
          <w:tcPr>
            <w:tcW w:w="3446" w:type="dxa"/>
            <w:vAlign w:val="center"/>
          </w:tcPr>
          <w:p w14:paraId="75CF5089">
            <w:pPr>
              <w:pStyle w:val="518"/>
              <w:rPr>
                <w:snapToGrid w:val="0"/>
                <w:lang w:eastAsia="zh-CN"/>
              </w:rPr>
            </w:pPr>
            <w:r>
              <w:rPr>
                <w:snapToGrid w:val="0"/>
                <w:lang w:eastAsia="zh-CN"/>
              </w:rPr>
              <w:t>居住、商业、工业混杂区</w:t>
            </w:r>
          </w:p>
        </w:tc>
        <w:tc>
          <w:tcPr>
            <w:tcW w:w="1774" w:type="dxa"/>
            <w:vAlign w:val="center"/>
          </w:tcPr>
          <w:p w14:paraId="38F72076">
            <w:pPr>
              <w:pStyle w:val="518"/>
              <w:rPr>
                <w:snapToGrid w:val="0"/>
              </w:rPr>
            </w:pPr>
            <w:r>
              <w:rPr>
                <w:snapToGrid w:val="0"/>
              </w:rPr>
              <w:t>60</w:t>
            </w:r>
          </w:p>
        </w:tc>
        <w:tc>
          <w:tcPr>
            <w:tcW w:w="1774" w:type="dxa"/>
            <w:vAlign w:val="center"/>
          </w:tcPr>
          <w:p w14:paraId="6E1B1DF7">
            <w:pPr>
              <w:pStyle w:val="518"/>
              <w:rPr>
                <w:snapToGrid w:val="0"/>
              </w:rPr>
            </w:pPr>
            <w:r>
              <w:rPr>
                <w:snapToGrid w:val="0"/>
              </w:rPr>
              <w:t>50</w:t>
            </w:r>
          </w:p>
        </w:tc>
      </w:tr>
    </w:tbl>
    <w:p w14:paraId="0332424F">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（2）</w:t>
      </w:r>
      <w:r>
        <w:rPr>
          <w:rFonts w:asciiTheme="minorEastAsia" w:hAnsiTheme="minorEastAsia" w:eastAsiaTheme="minorEastAsia"/>
          <w:lang w:eastAsia="zh-CN"/>
        </w:rPr>
        <w:t>《建筑施工场界环境噪声排放标准》(GB12523-2011)，具体标准值见表1.</w:t>
      </w:r>
      <w:r>
        <w:rPr>
          <w:rFonts w:hint="eastAsia" w:asciiTheme="minorEastAsia" w:hAnsiTheme="minorEastAsia" w:eastAsiaTheme="minorEastAsia"/>
          <w:lang w:eastAsia="zh-CN"/>
        </w:rPr>
        <w:t>5</w:t>
      </w:r>
      <w:r>
        <w:rPr>
          <w:rFonts w:asciiTheme="minorEastAsia" w:hAnsiTheme="minorEastAsia" w:eastAsiaTheme="minorEastAsia"/>
          <w:lang w:eastAsia="zh-CN"/>
        </w:rPr>
        <w:t>-1</w:t>
      </w:r>
      <w:r>
        <w:rPr>
          <w:rFonts w:hint="eastAsia" w:asciiTheme="minorEastAsia" w:hAnsiTheme="minorEastAsia" w:eastAsiaTheme="minorEastAsia"/>
          <w:lang w:eastAsia="zh-CN"/>
        </w:rPr>
        <w:t>2</w:t>
      </w:r>
      <w:r>
        <w:rPr>
          <w:rFonts w:asciiTheme="minorEastAsia" w:hAnsiTheme="minorEastAsia" w:eastAsiaTheme="minorEastAsia"/>
          <w:lang w:eastAsia="zh-CN"/>
        </w:rPr>
        <w:t>。</w:t>
      </w:r>
    </w:p>
    <w:p w14:paraId="33EFC334">
      <w:pPr>
        <w:spacing w:line="240" w:lineRule="auto"/>
        <w:ind w:firstLine="198" w:firstLineChars="82"/>
        <w:rPr>
          <w:b/>
        </w:rPr>
      </w:pPr>
      <w:r>
        <w:rPr>
          <w:b/>
        </w:rPr>
        <w:t>表1.</w:t>
      </w:r>
      <w:r>
        <w:rPr>
          <w:rFonts w:hint="eastAsia"/>
          <w:b/>
          <w:lang w:eastAsia="zh-CN"/>
        </w:rPr>
        <w:t>5</w:t>
      </w:r>
      <w:r>
        <w:rPr>
          <w:b/>
        </w:rPr>
        <w:t>-</w:t>
      </w:r>
      <w:r>
        <w:rPr>
          <w:b/>
          <w:lang w:eastAsia="zh-CN"/>
        </w:rPr>
        <w:t>1</w:t>
      </w:r>
      <w:r>
        <w:rPr>
          <w:rFonts w:hint="eastAsia"/>
          <w:b/>
          <w:lang w:eastAsia="zh-CN"/>
        </w:rPr>
        <w:t>2</w:t>
      </w:r>
      <w:r>
        <w:rPr>
          <w:b/>
        </w:rPr>
        <w:t xml:space="preserve">  </w:t>
      </w:r>
      <w:r>
        <w:rPr>
          <w:rFonts w:hint="eastAsia"/>
          <w:b/>
          <w:lang w:eastAsia="zh-CN"/>
        </w:rPr>
        <w:t xml:space="preserve"> </w:t>
      </w:r>
      <w:r>
        <w:rPr>
          <w:b/>
        </w:rPr>
        <w:t xml:space="preserve">建筑施工场界噪声限值  </w:t>
      </w:r>
      <w:r>
        <w:rPr>
          <w:b/>
          <w:szCs w:val="21"/>
          <w:lang w:eastAsia="zh-CN"/>
        </w:rPr>
        <w:t xml:space="preserve">单位： </w:t>
      </w:r>
      <w:r>
        <w:rPr>
          <w:b/>
          <w:szCs w:val="21"/>
        </w:rPr>
        <w:t>dB(A)</w:t>
      </w:r>
    </w:p>
    <w:tbl>
      <w:tblPr>
        <w:tblStyle w:val="7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335"/>
        <w:gridCol w:w="4361"/>
      </w:tblGrid>
      <w:tr w14:paraId="5B78B8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35" w:type="dxa"/>
            <w:vAlign w:val="center"/>
          </w:tcPr>
          <w:p w14:paraId="5D0CD02D">
            <w:pPr>
              <w:pStyle w:val="337"/>
              <w:ind w:firstLine="480"/>
              <w:rPr>
                <w:color w:val="auto"/>
                <w:lang w:val="en-US" w:eastAsia="zh-CN" w:bidi="en-US"/>
              </w:rPr>
            </w:pPr>
            <w:r>
              <w:rPr>
                <w:color w:val="auto"/>
                <w:lang w:val="en-US" w:eastAsia="zh-CN" w:bidi="en-US"/>
              </w:rPr>
              <w:t>昼间</w:t>
            </w:r>
          </w:p>
        </w:tc>
        <w:tc>
          <w:tcPr>
            <w:tcW w:w="4361" w:type="dxa"/>
            <w:vAlign w:val="center"/>
          </w:tcPr>
          <w:p w14:paraId="5BB01321">
            <w:pPr>
              <w:pStyle w:val="337"/>
              <w:ind w:firstLine="480"/>
              <w:rPr>
                <w:color w:val="auto"/>
                <w:lang w:val="en-US" w:eastAsia="zh-CN" w:bidi="en-US"/>
              </w:rPr>
            </w:pPr>
            <w:r>
              <w:rPr>
                <w:color w:val="auto"/>
                <w:lang w:val="en-US" w:eastAsia="zh-CN" w:bidi="en-US"/>
              </w:rPr>
              <w:t>夜间</w:t>
            </w:r>
          </w:p>
        </w:tc>
      </w:tr>
      <w:tr w14:paraId="368A74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335" w:type="dxa"/>
            <w:vAlign w:val="center"/>
          </w:tcPr>
          <w:p w14:paraId="03C72393">
            <w:pPr>
              <w:pStyle w:val="337"/>
              <w:ind w:firstLine="480"/>
              <w:rPr>
                <w:color w:val="auto"/>
                <w:lang w:val="en-US" w:eastAsia="zh-CN" w:bidi="en-US"/>
              </w:rPr>
            </w:pPr>
            <w:r>
              <w:rPr>
                <w:color w:val="auto"/>
                <w:lang w:val="en-US" w:eastAsia="zh-CN" w:bidi="en-US"/>
              </w:rPr>
              <w:t>70</w:t>
            </w:r>
            <w:r>
              <w:rPr>
                <w:b/>
                <w:color w:val="auto"/>
                <w:szCs w:val="21"/>
                <w:lang w:val="en-US" w:eastAsia="zh-CN" w:bidi="en-US"/>
              </w:rPr>
              <w:t xml:space="preserve"> </w:t>
            </w:r>
            <w:r>
              <w:rPr>
                <w:color w:val="auto"/>
                <w:szCs w:val="21"/>
                <w:lang w:val="en-US" w:eastAsia="zh-CN" w:bidi="en-US"/>
              </w:rPr>
              <w:t>dB(A)</w:t>
            </w:r>
          </w:p>
        </w:tc>
        <w:tc>
          <w:tcPr>
            <w:tcW w:w="4361" w:type="dxa"/>
            <w:vAlign w:val="center"/>
          </w:tcPr>
          <w:p w14:paraId="2105AF03">
            <w:pPr>
              <w:pStyle w:val="337"/>
              <w:ind w:firstLine="480"/>
              <w:rPr>
                <w:color w:val="auto"/>
                <w:lang w:val="en-US" w:eastAsia="zh-CN" w:bidi="en-US"/>
              </w:rPr>
            </w:pPr>
            <w:r>
              <w:rPr>
                <w:color w:val="auto"/>
                <w:lang w:val="en-US" w:eastAsia="zh-CN" w:bidi="en-US"/>
              </w:rPr>
              <w:t>55</w:t>
            </w:r>
            <w:r>
              <w:rPr>
                <w:color w:val="auto"/>
                <w:szCs w:val="21"/>
                <w:lang w:val="en-US" w:eastAsia="zh-CN" w:bidi="en-US"/>
              </w:rPr>
              <w:t xml:space="preserve"> dB(A</w:t>
            </w:r>
            <w:r>
              <w:rPr>
                <w:b/>
                <w:color w:val="auto"/>
                <w:szCs w:val="21"/>
                <w:lang w:val="en-US" w:eastAsia="zh-CN" w:bidi="en-US"/>
              </w:rPr>
              <w:t>)</w:t>
            </w:r>
          </w:p>
        </w:tc>
      </w:tr>
    </w:tbl>
    <w:p w14:paraId="08C1D698">
      <w:pPr>
        <w:ind w:firstLine="480"/>
        <w:rPr>
          <w:rFonts w:asciiTheme="minorEastAsia" w:hAnsiTheme="minorEastAsia" w:eastAsiaTheme="minorEastAsia"/>
          <w:lang w:eastAsia="zh-CN"/>
        </w:rPr>
      </w:pPr>
      <w:r>
        <w:rPr>
          <w:rFonts w:asciiTheme="minorEastAsia" w:hAnsiTheme="minorEastAsia" w:eastAsiaTheme="minorEastAsia"/>
          <w:lang w:eastAsia="zh-CN"/>
        </w:rPr>
        <w:t>4、固废排放标准</w:t>
      </w:r>
    </w:p>
    <w:p w14:paraId="42D26E9D">
      <w:pPr>
        <w:ind w:firstLine="480"/>
        <w:rPr>
          <w:rFonts w:asciiTheme="minorEastAsia" w:hAnsiTheme="minorEastAsia" w:eastAsiaTheme="minorEastAsia"/>
          <w:lang w:eastAsia="zh-CN"/>
        </w:rPr>
      </w:pPr>
      <w:r>
        <w:rPr>
          <w:rFonts w:asciiTheme="minorEastAsia" w:hAnsiTheme="minorEastAsia" w:eastAsiaTheme="minorEastAsia"/>
          <w:lang w:eastAsia="zh-CN"/>
        </w:rPr>
        <w:t>固体废物排放执行《一般工业固体废物贮存、处置场污染控制标准》(GB18599-2001)及其修改单,危险废物执行《危险废物贮存污染控制标准》(GB18597-2001)及其修改单、《危险废物鉴别标准》(GB5085-1996)、《危险废物填埋污染控制标准》(GB18598-2001)</w:t>
      </w:r>
      <w:bookmarkStart w:id="86" w:name="_Toc279676561"/>
      <w:bookmarkStart w:id="87" w:name="_Toc287598098"/>
      <w:bookmarkStart w:id="88" w:name="_Toc202420672"/>
      <w:bookmarkStart w:id="89" w:name="_Toc280020050"/>
      <w:bookmarkStart w:id="90" w:name="_Toc287598111"/>
      <w:bookmarkStart w:id="91" w:name="_Toc279676574"/>
      <w:bookmarkStart w:id="92" w:name="_Toc280020054"/>
      <w:r>
        <w:rPr>
          <w:rFonts w:asciiTheme="minorEastAsia" w:hAnsiTheme="minorEastAsia" w:eastAsiaTheme="minorEastAsia"/>
          <w:lang w:eastAsia="zh-CN"/>
        </w:rPr>
        <w:t>及其修改单。</w:t>
      </w:r>
    </w:p>
    <w:p w14:paraId="28851D0E">
      <w:pPr>
        <w:pStyle w:val="3"/>
        <w:rPr>
          <w:lang w:eastAsia="zh-CN"/>
        </w:rPr>
      </w:pPr>
      <w:bookmarkStart w:id="93" w:name="_Toc408413893"/>
      <w:r>
        <w:rPr>
          <w:lang w:eastAsia="zh-CN"/>
        </w:rPr>
        <w:t>1.</w:t>
      </w:r>
      <w:r>
        <w:rPr>
          <w:rFonts w:hint="eastAsia"/>
          <w:lang w:eastAsia="zh-CN"/>
        </w:rPr>
        <w:t>6</w:t>
      </w:r>
      <w:r>
        <w:rPr>
          <w:lang w:eastAsia="zh-CN"/>
        </w:rPr>
        <w:t>评价等级</w:t>
      </w:r>
      <w:bookmarkEnd w:id="86"/>
      <w:bookmarkEnd w:id="87"/>
      <w:bookmarkEnd w:id="88"/>
      <w:bookmarkEnd w:id="89"/>
      <w:bookmarkEnd w:id="93"/>
    </w:p>
    <w:p w14:paraId="0A605571">
      <w:pPr>
        <w:pStyle w:val="4"/>
        <w:rPr>
          <w:lang w:eastAsia="zh-CN"/>
        </w:rPr>
      </w:pPr>
      <w:bookmarkStart w:id="94" w:name="_Toc173659618"/>
      <w:bookmarkStart w:id="95" w:name="_Toc287598099"/>
      <w:bookmarkStart w:id="96" w:name="_Toc202420673"/>
      <w:bookmarkStart w:id="97" w:name="_Toc279676562"/>
      <w:bookmarkStart w:id="98" w:name="_Toc408413894"/>
      <w:r>
        <w:rPr>
          <w:lang w:eastAsia="zh-CN"/>
        </w:rPr>
        <w:t>1.</w:t>
      </w:r>
      <w:r>
        <w:rPr>
          <w:rFonts w:hint="eastAsia"/>
          <w:lang w:eastAsia="zh-CN"/>
        </w:rPr>
        <w:t>6</w:t>
      </w:r>
      <w:r>
        <w:rPr>
          <w:lang w:eastAsia="zh-CN"/>
        </w:rPr>
        <w:t>.1大气环境影响评价等级</w:t>
      </w:r>
      <w:bookmarkEnd w:id="94"/>
      <w:bookmarkEnd w:id="95"/>
      <w:bookmarkEnd w:id="96"/>
      <w:bookmarkEnd w:id="97"/>
      <w:bookmarkEnd w:id="98"/>
    </w:p>
    <w:p w14:paraId="5572E3F7">
      <w:pPr>
        <w:ind w:firstLine="480"/>
        <w:rPr>
          <w:rFonts w:asciiTheme="minorEastAsia" w:hAnsiTheme="minorEastAsia" w:eastAsiaTheme="minorEastAsia"/>
          <w:lang w:eastAsia="zh-CN"/>
        </w:rPr>
      </w:pPr>
      <w:r>
        <w:rPr>
          <w:rFonts w:asciiTheme="minorEastAsia" w:hAnsiTheme="minorEastAsia" w:eastAsiaTheme="minorEastAsia"/>
          <w:lang w:eastAsia="zh-CN"/>
        </w:rPr>
        <w:t>《环境影响评价技术导则》(HJ2.2-2008)中关于大气污染物评价等级采取污染物最大地面浓度占标率 P</w:t>
      </w:r>
      <w:r>
        <w:rPr>
          <w:rFonts w:asciiTheme="minorEastAsia" w:hAnsiTheme="minorEastAsia" w:eastAsiaTheme="minorEastAsia"/>
          <w:vertAlign w:val="subscript"/>
          <w:lang w:eastAsia="zh-CN"/>
        </w:rPr>
        <w:t>i</w:t>
      </w:r>
      <w:r>
        <w:rPr>
          <w:rFonts w:asciiTheme="minorEastAsia" w:hAnsiTheme="minorEastAsia" w:eastAsiaTheme="minorEastAsia"/>
          <w:lang w:eastAsia="zh-CN"/>
        </w:rPr>
        <w:t>及污染物的地面浓度达标准限值10%时所对应的最</w:t>
      </w:r>
    </w:p>
    <w:p w14:paraId="42422B28">
      <w:pPr>
        <w:ind w:firstLine="480"/>
        <w:rPr>
          <w:rFonts w:asciiTheme="minorEastAsia" w:hAnsiTheme="minorEastAsia" w:eastAsiaTheme="minorEastAsia"/>
          <w:lang w:eastAsia="zh-CN"/>
        </w:rPr>
      </w:pPr>
      <w:r>
        <w:rPr>
          <w:rFonts w:asciiTheme="minorEastAsia" w:hAnsiTheme="minorEastAsia" w:eastAsiaTheme="minorEastAsia"/>
          <w:lang w:eastAsia="zh-CN"/>
        </w:rPr>
        <w:t>远距离D</w:t>
      </w:r>
      <w:r>
        <w:rPr>
          <w:rFonts w:asciiTheme="minorEastAsia" w:hAnsiTheme="minorEastAsia" w:eastAsiaTheme="minorEastAsia"/>
          <w:vertAlign w:val="subscript"/>
          <w:lang w:eastAsia="zh-CN"/>
        </w:rPr>
        <w:t>10%</w:t>
      </w:r>
      <w:r>
        <w:rPr>
          <w:rFonts w:asciiTheme="minorEastAsia" w:hAnsiTheme="minorEastAsia" w:eastAsiaTheme="minorEastAsia"/>
          <w:lang w:eastAsia="zh-CN"/>
        </w:rPr>
        <w:t>来定量划分，P</w:t>
      </w:r>
      <w:r>
        <w:rPr>
          <w:rFonts w:asciiTheme="minorEastAsia" w:hAnsiTheme="minorEastAsia" w:eastAsiaTheme="minorEastAsia"/>
          <w:vertAlign w:val="subscript"/>
          <w:lang w:eastAsia="zh-CN"/>
        </w:rPr>
        <w:t>i</w:t>
      </w:r>
      <w:r>
        <w:rPr>
          <w:rFonts w:asciiTheme="minorEastAsia" w:hAnsiTheme="minorEastAsia" w:eastAsiaTheme="minorEastAsia"/>
          <w:lang w:eastAsia="zh-CN"/>
        </w:rPr>
        <w:t>定义为：</w:t>
      </w:r>
    </w:p>
    <w:p w14:paraId="09EFEE4F">
      <w:pPr>
        <w:ind w:firstLine="480"/>
        <w:outlineLvl w:val="0"/>
        <w:rPr>
          <w:rFonts w:asciiTheme="minorEastAsia" w:hAnsiTheme="minorEastAsia" w:eastAsiaTheme="minorEastAsia"/>
          <w:lang w:eastAsia="zh-CN"/>
        </w:rPr>
      </w:pPr>
      <w:r>
        <w:rPr>
          <w:rFonts w:hint="eastAsia" w:asciiTheme="minorEastAsia" w:hAnsiTheme="minorEastAsia" w:eastAsiaTheme="minorEastAsia"/>
          <w:lang w:eastAsia="zh-CN"/>
        </w:rPr>
        <w:t xml:space="preserve">        </w:t>
      </w:r>
      <w:r>
        <w:rPr>
          <w:rFonts w:asciiTheme="minorEastAsia" w:hAnsiTheme="minorEastAsia" w:eastAsiaTheme="minorEastAsia"/>
          <w:lang w:eastAsia="zh-CN"/>
        </w:rPr>
        <w:t>P</w:t>
      </w:r>
      <w:r>
        <w:rPr>
          <w:rFonts w:asciiTheme="minorEastAsia" w:hAnsiTheme="minorEastAsia" w:eastAsiaTheme="minorEastAsia"/>
          <w:vertAlign w:val="subscript"/>
          <w:lang w:eastAsia="zh-CN"/>
        </w:rPr>
        <w:t>i</w:t>
      </w:r>
      <w:r>
        <w:rPr>
          <w:rFonts w:asciiTheme="minorEastAsia" w:hAnsiTheme="minorEastAsia" w:eastAsiaTheme="minorEastAsia"/>
          <w:lang w:eastAsia="zh-CN"/>
        </w:rPr>
        <w:t>=C</w:t>
      </w:r>
      <w:r>
        <w:rPr>
          <w:rFonts w:asciiTheme="minorEastAsia" w:hAnsiTheme="minorEastAsia" w:eastAsiaTheme="minorEastAsia"/>
          <w:vertAlign w:val="subscript"/>
          <w:lang w:eastAsia="zh-CN"/>
        </w:rPr>
        <w:t>i</w:t>
      </w:r>
      <w:r>
        <w:rPr>
          <w:rFonts w:asciiTheme="minorEastAsia" w:hAnsiTheme="minorEastAsia" w:eastAsiaTheme="minorEastAsia"/>
          <w:lang w:eastAsia="zh-CN"/>
        </w:rPr>
        <w:t>/C</w:t>
      </w:r>
      <w:r>
        <w:rPr>
          <w:rFonts w:asciiTheme="minorEastAsia" w:hAnsiTheme="minorEastAsia" w:eastAsiaTheme="minorEastAsia"/>
          <w:vertAlign w:val="subscript"/>
          <w:lang w:eastAsia="zh-CN"/>
        </w:rPr>
        <w:t>oi</w:t>
      </w:r>
      <w:r>
        <w:rPr>
          <w:rFonts w:asciiTheme="minorEastAsia" w:hAnsiTheme="minorEastAsia" w:eastAsiaTheme="minorEastAsia"/>
          <w:lang w:eastAsia="zh-CN"/>
        </w:rPr>
        <w:t>×100%</w:t>
      </w:r>
    </w:p>
    <w:p w14:paraId="1E7922C8">
      <w:pPr>
        <w:ind w:firstLine="480"/>
        <w:rPr>
          <w:rFonts w:asciiTheme="minorEastAsia" w:hAnsiTheme="minorEastAsia" w:eastAsiaTheme="minorEastAsia"/>
          <w:lang w:eastAsia="zh-CN"/>
        </w:rPr>
      </w:pPr>
      <w:r>
        <w:rPr>
          <w:rFonts w:asciiTheme="minorEastAsia" w:hAnsiTheme="minorEastAsia" w:eastAsiaTheme="minorEastAsia"/>
          <w:lang w:eastAsia="zh-CN"/>
        </w:rPr>
        <w:t>式中：P</w:t>
      </w:r>
      <w:r>
        <w:rPr>
          <w:rFonts w:asciiTheme="minorEastAsia" w:hAnsiTheme="minorEastAsia" w:eastAsiaTheme="minorEastAsia"/>
          <w:vertAlign w:val="subscript"/>
          <w:lang w:eastAsia="zh-CN"/>
        </w:rPr>
        <w:t>i</w:t>
      </w:r>
      <w:r>
        <w:rPr>
          <w:rFonts w:asciiTheme="minorEastAsia" w:hAnsiTheme="minorEastAsia" w:eastAsiaTheme="minorEastAsia"/>
          <w:lang w:eastAsia="zh-CN"/>
        </w:rPr>
        <w:t>——第i个污染物的最大地面浓度占标率，%；</w:t>
      </w:r>
    </w:p>
    <w:p w14:paraId="7CF07C5E">
      <w:pPr>
        <w:ind w:firstLine="1200" w:firstLineChars="500"/>
        <w:outlineLvl w:val="0"/>
        <w:rPr>
          <w:rFonts w:asciiTheme="minorEastAsia" w:hAnsiTheme="minorEastAsia" w:eastAsiaTheme="minorEastAsia"/>
          <w:lang w:eastAsia="zh-CN"/>
        </w:rPr>
      </w:pPr>
      <w:r>
        <w:rPr>
          <w:rFonts w:asciiTheme="minorEastAsia" w:hAnsiTheme="minorEastAsia" w:eastAsiaTheme="minorEastAsia"/>
          <w:lang w:eastAsia="zh-CN"/>
        </w:rPr>
        <w:t>C</w:t>
      </w:r>
      <w:r>
        <w:rPr>
          <w:rFonts w:asciiTheme="minorEastAsia" w:hAnsiTheme="minorEastAsia" w:eastAsiaTheme="minorEastAsia"/>
          <w:vertAlign w:val="subscript"/>
          <w:lang w:eastAsia="zh-CN"/>
        </w:rPr>
        <w:t>i</w:t>
      </w:r>
      <w:r>
        <w:rPr>
          <w:rFonts w:asciiTheme="minorEastAsia" w:hAnsiTheme="minorEastAsia" w:eastAsiaTheme="minorEastAsia"/>
          <w:lang w:eastAsia="zh-CN"/>
        </w:rPr>
        <w:t>——采用估算模式计算出的第i个污染物的最大地面浓度，mg/m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w:t>
      </w:r>
    </w:p>
    <w:p w14:paraId="2CF27C7A">
      <w:pPr>
        <w:ind w:firstLine="1200" w:firstLineChars="500"/>
        <w:rPr>
          <w:rFonts w:asciiTheme="minorEastAsia" w:hAnsiTheme="minorEastAsia" w:eastAsiaTheme="minorEastAsia"/>
          <w:lang w:eastAsia="zh-CN"/>
        </w:rPr>
      </w:pPr>
      <w:r>
        <w:rPr>
          <w:rFonts w:asciiTheme="minorEastAsia" w:hAnsiTheme="minorEastAsia" w:eastAsiaTheme="minorEastAsia"/>
          <w:lang w:eastAsia="zh-CN"/>
        </w:rPr>
        <w:t>C</w:t>
      </w:r>
      <w:r>
        <w:rPr>
          <w:rFonts w:asciiTheme="minorEastAsia" w:hAnsiTheme="minorEastAsia" w:eastAsiaTheme="minorEastAsia"/>
          <w:vertAlign w:val="subscript"/>
          <w:lang w:eastAsia="zh-CN"/>
        </w:rPr>
        <w:t>oi</w:t>
      </w:r>
      <w:r>
        <w:rPr>
          <w:rFonts w:asciiTheme="minorEastAsia" w:hAnsiTheme="minorEastAsia" w:eastAsiaTheme="minorEastAsia"/>
          <w:lang w:eastAsia="zh-CN"/>
        </w:rPr>
        <w:t>——第i个污染物环境空气质量标准，mg/m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w:t>
      </w:r>
    </w:p>
    <w:p w14:paraId="3FD39689">
      <w:pPr>
        <w:ind w:firstLine="480"/>
        <w:rPr>
          <w:rFonts w:asciiTheme="minorEastAsia" w:hAnsiTheme="minorEastAsia" w:eastAsiaTheme="minorEastAsia"/>
          <w:lang w:eastAsia="zh-CN"/>
        </w:rPr>
      </w:pPr>
      <w:r>
        <w:rPr>
          <w:rFonts w:asciiTheme="minorEastAsia" w:hAnsiTheme="minorEastAsia" w:eastAsiaTheme="minorEastAsia"/>
          <w:lang w:eastAsia="zh-CN"/>
        </w:rPr>
        <w:t>本项目采用燃气锅炉及燃气发电机组余热供热，根据工程污染分析结果，利用上述计算公式对本项目主要污染物的P</w:t>
      </w:r>
      <w:r>
        <w:rPr>
          <w:rFonts w:asciiTheme="minorEastAsia" w:hAnsiTheme="minorEastAsia" w:eastAsiaTheme="minorEastAsia"/>
          <w:vertAlign w:val="subscript"/>
          <w:lang w:eastAsia="zh-CN"/>
        </w:rPr>
        <w:t>i</w:t>
      </w:r>
      <w:r>
        <w:rPr>
          <w:rFonts w:asciiTheme="minorEastAsia" w:hAnsiTheme="minorEastAsia" w:eastAsiaTheme="minorEastAsia"/>
          <w:lang w:eastAsia="zh-CN"/>
        </w:rPr>
        <w:t>及D</w:t>
      </w:r>
      <w:r>
        <w:rPr>
          <w:rFonts w:asciiTheme="minorEastAsia" w:hAnsiTheme="minorEastAsia" w:eastAsiaTheme="minorEastAsia"/>
          <w:vertAlign w:val="subscript"/>
          <w:lang w:eastAsia="zh-CN"/>
        </w:rPr>
        <w:t>10%</w:t>
      </w:r>
      <w:r>
        <w:rPr>
          <w:rFonts w:asciiTheme="minorEastAsia" w:hAnsiTheme="minorEastAsia" w:eastAsiaTheme="minorEastAsia"/>
          <w:lang w:eastAsia="zh-CN"/>
        </w:rPr>
        <w:t>进行估算。污染物源强见表1.</w:t>
      </w:r>
      <w:r>
        <w:rPr>
          <w:rFonts w:hint="eastAsia" w:asciiTheme="minorEastAsia" w:hAnsiTheme="minorEastAsia" w:eastAsiaTheme="minorEastAsia"/>
          <w:lang w:eastAsia="zh-CN"/>
        </w:rPr>
        <w:t>6</w:t>
      </w:r>
      <w:r>
        <w:rPr>
          <w:rFonts w:asciiTheme="minorEastAsia" w:hAnsiTheme="minorEastAsia" w:eastAsiaTheme="minorEastAsia"/>
          <w:lang w:eastAsia="zh-CN"/>
        </w:rPr>
        <w:t>-1，评价工作等级划分见表1.</w:t>
      </w:r>
      <w:r>
        <w:rPr>
          <w:rFonts w:hint="eastAsia" w:asciiTheme="minorEastAsia" w:hAnsiTheme="minorEastAsia" w:eastAsiaTheme="minorEastAsia"/>
          <w:lang w:eastAsia="zh-CN"/>
        </w:rPr>
        <w:t>6</w:t>
      </w:r>
      <w:r>
        <w:rPr>
          <w:rFonts w:asciiTheme="minorEastAsia" w:hAnsiTheme="minorEastAsia" w:eastAsiaTheme="minorEastAsia"/>
          <w:lang w:eastAsia="zh-CN"/>
        </w:rPr>
        <w:t>-2，估算结果见表1.</w:t>
      </w:r>
      <w:r>
        <w:rPr>
          <w:rFonts w:hint="eastAsia" w:asciiTheme="minorEastAsia" w:hAnsiTheme="minorEastAsia" w:eastAsiaTheme="minorEastAsia"/>
          <w:lang w:eastAsia="zh-CN"/>
        </w:rPr>
        <w:t>6</w:t>
      </w:r>
      <w:r>
        <w:rPr>
          <w:rFonts w:asciiTheme="minorEastAsia" w:hAnsiTheme="minorEastAsia" w:eastAsiaTheme="minorEastAsia"/>
          <w:lang w:eastAsia="zh-CN"/>
        </w:rPr>
        <w:t>-3。</w:t>
      </w:r>
    </w:p>
    <w:p w14:paraId="2E7FEF30">
      <w:pPr>
        <w:spacing w:line="240" w:lineRule="auto"/>
        <w:ind w:firstLine="482"/>
        <w:rPr>
          <w:b/>
          <w:lang w:eastAsia="zh-CN"/>
        </w:rPr>
      </w:pPr>
      <w:r>
        <w:rPr>
          <w:b/>
        </w:rPr>
        <w:t>表1.</w:t>
      </w:r>
      <w:r>
        <w:rPr>
          <w:rFonts w:hint="eastAsia"/>
          <w:b/>
          <w:lang w:eastAsia="zh-CN"/>
        </w:rPr>
        <w:t>6</w:t>
      </w:r>
      <w:r>
        <w:rPr>
          <w:b/>
        </w:rPr>
        <w:t xml:space="preserve">-1  </w:t>
      </w:r>
      <w:r>
        <w:rPr>
          <w:rFonts w:hint="eastAsia"/>
          <w:b/>
          <w:lang w:eastAsia="zh-CN"/>
        </w:rPr>
        <w:t xml:space="preserve">    </w:t>
      </w:r>
      <w:r>
        <w:rPr>
          <w:b/>
        </w:rPr>
        <w:t>运行参数</w:t>
      </w:r>
    </w:p>
    <w:tbl>
      <w:tblPr>
        <w:tblStyle w:val="76"/>
        <w:tblW w:w="861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51"/>
        <w:gridCol w:w="752"/>
        <w:gridCol w:w="560"/>
        <w:gridCol w:w="673"/>
        <w:gridCol w:w="850"/>
        <w:gridCol w:w="1134"/>
        <w:gridCol w:w="851"/>
        <w:gridCol w:w="992"/>
        <w:gridCol w:w="850"/>
      </w:tblGrid>
      <w:tr w14:paraId="7FD2AF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vMerge w:val="restart"/>
            <w:vAlign w:val="center"/>
          </w:tcPr>
          <w:p w14:paraId="2DF2F189">
            <w:pPr>
              <w:pStyle w:val="337"/>
              <w:ind w:firstLine="480"/>
              <w:rPr>
                <w:rFonts w:asciiTheme="minorEastAsia" w:hAnsiTheme="minorEastAsia" w:eastAsiaTheme="minorEastAsia"/>
                <w:color w:val="auto"/>
                <w:szCs w:val="21"/>
                <w:lang w:val="en-US" w:eastAsia="en-US" w:bidi="en-US"/>
              </w:rPr>
            </w:pPr>
            <w:r>
              <w:rPr>
                <w:rFonts w:asciiTheme="minorEastAsia" w:hAnsiTheme="minorEastAsia" w:eastAsiaTheme="minorEastAsia"/>
                <w:color w:val="auto"/>
                <w:szCs w:val="21"/>
                <w:lang w:val="en-US" w:eastAsia="en-US" w:bidi="en-US"/>
              </w:rPr>
              <w:t>项目</w:t>
            </w:r>
          </w:p>
        </w:tc>
        <w:tc>
          <w:tcPr>
            <w:tcW w:w="752" w:type="dxa"/>
            <w:vMerge w:val="restart"/>
            <w:vAlign w:val="center"/>
          </w:tcPr>
          <w:p w14:paraId="2A244201">
            <w:pPr>
              <w:pStyle w:val="337"/>
              <w:rPr>
                <w:rFonts w:asciiTheme="minorEastAsia" w:hAnsiTheme="minorEastAsia" w:eastAsiaTheme="minorEastAsia"/>
                <w:color w:val="auto"/>
                <w:szCs w:val="21"/>
                <w:lang w:val="en-US" w:eastAsia="en-US" w:bidi="en-US"/>
              </w:rPr>
            </w:pPr>
            <w:r>
              <w:rPr>
                <w:rFonts w:asciiTheme="minorEastAsia" w:hAnsiTheme="minorEastAsia" w:eastAsiaTheme="minorEastAsia"/>
                <w:color w:val="auto"/>
                <w:szCs w:val="21"/>
                <w:lang w:val="en-US" w:eastAsia="en-US" w:bidi="en-US"/>
              </w:rPr>
              <w:t>高度</w:t>
            </w:r>
          </w:p>
        </w:tc>
        <w:tc>
          <w:tcPr>
            <w:tcW w:w="560" w:type="dxa"/>
            <w:vMerge w:val="restart"/>
            <w:vAlign w:val="center"/>
          </w:tcPr>
          <w:p w14:paraId="60A5F23B">
            <w:pPr>
              <w:pStyle w:val="337"/>
              <w:rPr>
                <w:rFonts w:asciiTheme="minorEastAsia" w:hAnsiTheme="minorEastAsia" w:eastAsiaTheme="minorEastAsia"/>
                <w:color w:val="auto"/>
                <w:szCs w:val="21"/>
                <w:lang w:val="en-US" w:eastAsia="en-US" w:bidi="en-US"/>
              </w:rPr>
            </w:pPr>
            <w:r>
              <w:rPr>
                <w:rFonts w:asciiTheme="minorEastAsia" w:hAnsiTheme="minorEastAsia" w:eastAsiaTheme="minorEastAsia"/>
                <w:color w:val="auto"/>
                <w:szCs w:val="21"/>
                <w:lang w:val="en-US" w:eastAsia="en-US" w:bidi="en-US"/>
              </w:rPr>
              <w:t>内径</w:t>
            </w:r>
          </w:p>
        </w:tc>
        <w:tc>
          <w:tcPr>
            <w:tcW w:w="673" w:type="dxa"/>
            <w:vMerge w:val="restart"/>
            <w:vAlign w:val="center"/>
          </w:tcPr>
          <w:p w14:paraId="769542A9">
            <w:pPr>
              <w:pStyle w:val="337"/>
              <w:rPr>
                <w:rFonts w:asciiTheme="minorEastAsia" w:hAnsiTheme="minorEastAsia" w:eastAsiaTheme="minorEastAsia"/>
                <w:color w:val="auto"/>
                <w:szCs w:val="21"/>
                <w:lang w:val="en-US" w:eastAsia="en-US" w:bidi="en-US"/>
              </w:rPr>
            </w:pPr>
            <w:r>
              <w:rPr>
                <w:rFonts w:asciiTheme="minorEastAsia" w:hAnsiTheme="minorEastAsia" w:eastAsiaTheme="minorEastAsia"/>
                <w:color w:val="auto"/>
                <w:szCs w:val="21"/>
                <w:lang w:val="en-US" w:eastAsia="en-US" w:bidi="en-US"/>
              </w:rPr>
              <w:t>出口温度</w:t>
            </w:r>
          </w:p>
        </w:tc>
        <w:tc>
          <w:tcPr>
            <w:tcW w:w="850" w:type="dxa"/>
            <w:vMerge w:val="restart"/>
            <w:vAlign w:val="center"/>
          </w:tcPr>
          <w:p w14:paraId="0E4325F8">
            <w:pPr>
              <w:pStyle w:val="337"/>
              <w:rPr>
                <w:rFonts w:asciiTheme="minorEastAsia" w:hAnsiTheme="minorEastAsia" w:eastAsiaTheme="minorEastAsia"/>
                <w:color w:val="auto"/>
                <w:szCs w:val="21"/>
                <w:lang w:val="en-US" w:eastAsia="en-US" w:bidi="en-US"/>
              </w:rPr>
            </w:pPr>
            <w:r>
              <w:rPr>
                <w:rFonts w:asciiTheme="minorEastAsia" w:hAnsiTheme="minorEastAsia" w:eastAsiaTheme="minorEastAsia"/>
                <w:color w:val="auto"/>
                <w:szCs w:val="21"/>
                <w:lang w:val="en-US" w:eastAsia="en-US" w:bidi="en-US"/>
              </w:rPr>
              <w:t>年排放</w:t>
            </w:r>
          </w:p>
          <w:p w14:paraId="7077ABF3">
            <w:pPr>
              <w:pStyle w:val="337"/>
              <w:rPr>
                <w:rFonts w:asciiTheme="minorEastAsia" w:hAnsiTheme="minorEastAsia" w:eastAsiaTheme="minorEastAsia"/>
                <w:color w:val="auto"/>
                <w:szCs w:val="21"/>
                <w:lang w:val="en-US" w:eastAsia="en-US" w:bidi="en-US"/>
              </w:rPr>
            </w:pPr>
            <w:r>
              <w:rPr>
                <w:rFonts w:asciiTheme="minorEastAsia" w:hAnsiTheme="minorEastAsia" w:eastAsiaTheme="minorEastAsia"/>
                <w:color w:val="auto"/>
                <w:szCs w:val="21"/>
                <w:lang w:val="en-US" w:eastAsia="en-US" w:bidi="en-US"/>
              </w:rPr>
              <w:t>小时</w:t>
            </w:r>
          </w:p>
        </w:tc>
        <w:tc>
          <w:tcPr>
            <w:tcW w:w="1134" w:type="dxa"/>
            <w:vMerge w:val="restart"/>
            <w:vAlign w:val="center"/>
          </w:tcPr>
          <w:p w14:paraId="4364F2E9">
            <w:pPr>
              <w:pStyle w:val="337"/>
              <w:rPr>
                <w:rFonts w:asciiTheme="minorEastAsia" w:hAnsiTheme="minorEastAsia" w:eastAsiaTheme="minorEastAsia"/>
                <w:color w:val="auto"/>
                <w:szCs w:val="21"/>
                <w:lang w:val="en-US" w:eastAsia="en-US" w:bidi="en-US"/>
              </w:rPr>
            </w:pPr>
            <w:r>
              <w:rPr>
                <w:rFonts w:asciiTheme="minorEastAsia" w:hAnsiTheme="minorEastAsia" w:eastAsiaTheme="minorEastAsia"/>
                <w:color w:val="auto"/>
                <w:szCs w:val="21"/>
                <w:lang w:val="en-US" w:eastAsia="en-US" w:bidi="en-US"/>
              </w:rPr>
              <w:t>废气量</w:t>
            </w:r>
          </w:p>
        </w:tc>
        <w:tc>
          <w:tcPr>
            <w:tcW w:w="2693" w:type="dxa"/>
            <w:gridSpan w:val="3"/>
            <w:vAlign w:val="center"/>
          </w:tcPr>
          <w:p w14:paraId="7E107FF9">
            <w:pPr>
              <w:pStyle w:val="337"/>
              <w:rPr>
                <w:rFonts w:asciiTheme="minorEastAsia" w:hAnsiTheme="minorEastAsia" w:eastAsiaTheme="minorEastAsia"/>
                <w:color w:val="auto"/>
                <w:szCs w:val="21"/>
                <w:lang w:val="en-US" w:eastAsia="en-US" w:bidi="en-US"/>
              </w:rPr>
            </w:pPr>
            <w:r>
              <w:rPr>
                <w:rFonts w:asciiTheme="minorEastAsia" w:hAnsiTheme="minorEastAsia" w:eastAsiaTheme="minorEastAsia"/>
                <w:color w:val="auto"/>
                <w:szCs w:val="21"/>
                <w:lang w:val="en-US" w:eastAsia="en-US" w:bidi="en-US"/>
              </w:rPr>
              <w:t>评价因子源强</w:t>
            </w:r>
          </w:p>
        </w:tc>
      </w:tr>
      <w:tr w14:paraId="6A7AD6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vMerge w:val="continue"/>
            <w:vAlign w:val="center"/>
          </w:tcPr>
          <w:p w14:paraId="0856239E">
            <w:pPr>
              <w:pStyle w:val="337"/>
              <w:rPr>
                <w:rFonts w:asciiTheme="minorEastAsia" w:hAnsiTheme="minorEastAsia" w:eastAsiaTheme="minorEastAsia"/>
                <w:color w:val="auto"/>
                <w:szCs w:val="21"/>
                <w:lang w:val="en-US" w:eastAsia="en-US" w:bidi="en-US"/>
              </w:rPr>
            </w:pPr>
          </w:p>
        </w:tc>
        <w:tc>
          <w:tcPr>
            <w:tcW w:w="752" w:type="dxa"/>
            <w:vMerge w:val="continue"/>
            <w:vAlign w:val="center"/>
          </w:tcPr>
          <w:p w14:paraId="6EC00E81">
            <w:pPr>
              <w:pStyle w:val="337"/>
              <w:rPr>
                <w:rFonts w:asciiTheme="minorEastAsia" w:hAnsiTheme="minorEastAsia" w:eastAsiaTheme="minorEastAsia"/>
                <w:color w:val="auto"/>
                <w:szCs w:val="21"/>
                <w:lang w:val="en-US" w:eastAsia="en-US" w:bidi="en-US"/>
              </w:rPr>
            </w:pPr>
          </w:p>
        </w:tc>
        <w:tc>
          <w:tcPr>
            <w:tcW w:w="560" w:type="dxa"/>
            <w:vMerge w:val="continue"/>
            <w:vAlign w:val="center"/>
          </w:tcPr>
          <w:p w14:paraId="3D8EB34A">
            <w:pPr>
              <w:pStyle w:val="337"/>
              <w:rPr>
                <w:rFonts w:asciiTheme="minorEastAsia" w:hAnsiTheme="minorEastAsia" w:eastAsiaTheme="minorEastAsia"/>
                <w:color w:val="auto"/>
                <w:szCs w:val="21"/>
                <w:lang w:val="en-US" w:eastAsia="en-US" w:bidi="en-US"/>
              </w:rPr>
            </w:pPr>
          </w:p>
        </w:tc>
        <w:tc>
          <w:tcPr>
            <w:tcW w:w="673" w:type="dxa"/>
            <w:vMerge w:val="continue"/>
            <w:vAlign w:val="center"/>
          </w:tcPr>
          <w:p w14:paraId="34E090C6">
            <w:pPr>
              <w:pStyle w:val="337"/>
              <w:rPr>
                <w:rFonts w:asciiTheme="minorEastAsia" w:hAnsiTheme="minorEastAsia" w:eastAsiaTheme="minorEastAsia"/>
                <w:color w:val="auto"/>
                <w:szCs w:val="21"/>
                <w:lang w:val="en-US" w:eastAsia="en-US" w:bidi="en-US"/>
              </w:rPr>
            </w:pPr>
          </w:p>
        </w:tc>
        <w:tc>
          <w:tcPr>
            <w:tcW w:w="850" w:type="dxa"/>
            <w:vMerge w:val="continue"/>
            <w:vAlign w:val="center"/>
          </w:tcPr>
          <w:p w14:paraId="70830F6E">
            <w:pPr>
              <w:pStyle w:val="337"/>
              <w:rPr>
                <w:rFonts w:asciiTheme="minorEastAsia" w:hAnsiTheme="minorEastAsia" w:eastAsiaTheme="minorEastAsia"/>
                <w:color w:val="auto"/>
                <w:szCs w:val="21"/>
                <w:lang w:val="en-US" w:eastAsia="en-US" w:bidi="en-US"/>
              </w:rPr>
            </w:pPr>
          </w:p>
        </w:tc>
        <w:tc>
          <w:tcPr>
            <w:tcW w:w="1134" w:type="dxa"/>
            <w:vMerge w:val="continue"/>
            <w:vAlign w:val="center"/>
          </w:tcPr>
          <w:p w14:paraId="7267736E">
            <w:pPr>
              <w:pStyle w:val="337"/>
              <w:rPr>
                <w:rFonts w:asciiTheme="minorEastAsia" w:hAnsiTheme="minorEastAsia" w:eastAsiaTheme="minorEastAsia"/>
                <w:color w:val="auto"/>
                <w:szCs w:val="21"/>
                <w:lang w:val="en-US" w:eastAsia="en-US" w:bidi="en-US"/>
              </w:rPr>
            </w:pPr>
          </w:p>
        </w:tc>
        <w:tc>
          <w:tcPr>
            <w:tcW w:w="851" w:type="dxa"/>
            <w:vAlign w:val="center"/>
          </w:tcPr>
          <w:p w14:paraId="3CCBEFC1">
            <w:pPr>
              <w:pStyle w:val="337"/>
              <w:rPr>
                <w:rFonts w:asciiTheme="minorEastAsia" w:hAnsiTheme="minorEastAsia" w:eastAsiaTheme="minorEastAsia"/>
                <w:color w:val="auto"/>
                <w:szCs w:val="21"/>
                <w:lang w:val="en-US" w:eastAsia="en-US" w:bidi="en-US"/>
              </w:rPr>
            </w:pPr>
            <w:r>
              <w:rPr>
                <w:rFonts w:asciiTheme="minorEastAsia" w:hAnsiTheme="minorEastAsia" w:eastAsiaTheme="minorEastAsia"/>
                <w:color w:val="auto"/>
                <w:szCs w:val="21"/>
                <w:lang w:val="en-US" w:eastAsia="en-US" w:bidi="en-US"/>
              </w:rPr>
              <w:t>SO</w:t>
            </w:r>
            <w:r>
              <w:rPr>
                <w:rFonts w:asciiTheme="minorEastAsia" w:hAnsiTheme="minorEastAsia" w:eastAsiaTheme="minorEastAsia"/>
                <w:color w:val="auto"/>
                <w:szCs w:val="21"/>
                <w:vertAlign w:val="subscript"/>
                <w:lang w:val="en-US" w:eastAsia="en-US" w:bidi="en-US"/>
              </w:rPr>
              <w:t>2</w:t>
            </w:r>
          </w:p>
        </w:tc>
        <w:tc>
          <w:tcPr>
            <w:tcW w:w="992" w:type="dxa"/>
            <w:vAlign w:val="center"/>
          </w:tcPr>
          <w:p w14:paraId="31B19A32">
            <w:pPr>
              <w:pStyle w:val="337"/>
              <w:rPr>
                <w:rFonts w:asciiTheme="minorEastAsia" w:hAnsiTheme="minorEastAsia" w:eastAsiaTheme="minorEastAsia"/>
                <w:color w:val="auto"/>
                <w:szCs w:val="21"/>
                <w:lang w:val="en-US" w:eastAsia="zh-CN" w:bidi="en-US"/>
              </w:rPr>
            </w:pPr>
            <w:r>
              <w:rPr>
                <w:rFonts w:asciiTheme="minorEastAsia" w:hAnsiTheme="minorEastAsia" w:eastAsiaTheme="minorEastAsia"/>
                <w:color w:val="auto"/>
                <w:szCs w:val="21"/>
                <w:lang w:val="en-US" w:eastAsia="zh-CN" w:bidi="en-US"/>
              </w:rPr>
              <w:t>NO</w:t>
            </w:r>
            <w:r>
              <w:rPr>
                <w:rFonts w:asciiTheme="minorEastAsia" w:hAnsiTheme="minorEastAsia" w:eastAsiaTheme="minorEastAsia"/>
                <w:color w:val="auto"/>
                <w:szCs w:val="21"/>
                <w:vertAlign w:val="subscript"/>
                <w:lang w:val="en-US" w:eastAsia="zh-CN" w:bidi="en-US"/>
              </w:rPr>
              <w:t>2</w:t>
            </w:r>
          </w:p>
        </w:tc>
        <w:tc>
          <w:tcPr>
            <w:tcW w:w="850" w:type="dxa"/>
            <w:vAlign w:val="center"/>
          </w:tcPr>
          <w:p w14:paraId="6DD2EF3F">
            <w:pPr>
              <w:pStyle w:val="337"/>
              <w:rPr>
                <w:rFonts w:asciiTheme="minorEastAsia" w:hAnsiTheme="minorEastAsia" w:eastAsiaTheme="minorEastAsia"/>
                <w:color w:val="auto"/>
                <w:szCs w:val="21"/>
                <w:lang w:val="en-US" w:eastAsia="zh-CN" w:bidi="en-US"/>
              </w:rPr>
            </w:pPr>
            <w:r>
              <w:rPr>
                <w:rFonts w:hint="eastAsia" w:asciiTheme="minorEastAsia" w:hAnsiTheme="minorEastAsia" w:eastAsiaTheme="minorEastAsia"/>
                <w:color w:val="auto"/>
                <w:szCs w:val="21"/>
                <w:lang w:val="en-US" w:eastAsia="zh-CN" w:bidi="en-US"/>
              </w:rPr>
              <w:t>烟尘</w:t>
            </w:r>
          </w:p>
        </w:tc>
      </w:tr>
      <w:tr w14:paraId="13FCC6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vMerge w:val="continue"/>
            <w:vAlign w:val="center"/>
          </w:tcPr>
          <w:p w14:paraId="0AB5F8E9">
            <w:pPr>
              <w:pStyle w:val="337"/>
              <w:rPr>
                <w:rFonts w:asciiTheme="minorEastAsia" w:hAnsiTheme="minorEastAsia" w:eastAsiaTheme="minorEastAsia"/>
                <w:color w:val="auto"/>
                <w:szCs w:val="21"/>
                <w:lang w:val="en-US" w:eastAsia="en-US" w:bidi="en-US"/>
              </w:rPr>
            </w:pPr>
          </w:p>
        </w:tc>
        <w:tc>
          <w:tcPr>
            <w:tcW w:w="752" w:type="dxa"/>
            <w:vAlign w:val="center"/>
          </w:tcPr>
          <w:p w14:paraId="443C26EE">
            <w:pPr>
              <w:pStyle w:val="337"/>
              <w:rPr>
                <w:rFonts w:asciiTheme="minorEastAsia" w:hAnsiTheme="minorEastAsia" w:eastAsiaTheme="minorEastAsia"/>
                <w:color w:val="auto"/>
                <w:szCs w:val="21"/>
                <w:lang w:val="en-US" w:eastAsia="en-US" w:bidi="en-US"/>
              </w:rPr>
            </w:pPr>
            <w:r>
              <w:rPr>
                <w:rFonts w:asciiTheme="minorEastAsia" w:hAnsiTheme="minorEastAsia" w:eastAsiaTheme="minorEastAsia"/>
                <w:color w:val="auto"/>
                <w:szCs w:val="21"/>
                <w:lang w:val="en-US" w:eastAsia="en-US" w:bidi="en-US"/>
              </w:rPr>
              <w:t>m</w:t>
            </w:r>
          </w:p>
        </w:tc>
        <w:tc>
          <w:tcPr>
            <w:tcW w:w="560" w:type="dxa"/>
            <w:vAlign w:val="center"/>
          </w:tcPr>
          <w:p w14:paraId="48E37647">
            <w:pPr>
              <w:pStyle w:val="337"/>
              <w:rPr>
                <w:rFonts w:asciiTheme="minorEastAsia" w:hAnsiTheme="minorEastAsia" w:eastAsiaTheme="minorEastAsia"/>
                <w:color w:val="auto"/>
                <w:szCs w:val="21"/>
                <w:lang w:val="en-US" w:eastAsia="en-US" w:bidi="en-US"/>
              </w:rPr>
            </w:pPr>
            <w:r>
              <w:rPr>
                <w:rFonts w:asciiTheme="minorEastAsia" w:hAnsiTheme="minorEastAsia" w:eastAsiaTheme="minorEastAsia"/>
                <w:color w:val="auto"/>
                <w:szCs w:val="21"/>
                <w:lang w:val="en-US" w:eastAsia="en-US" w:bidi="en-US"/>
              </w:rPr>
              <w:t>m</w:t>
            </w:r>
          </w:p>
        </w:tc>
        <w:tc>
          <w:tcPr>
            <w:tcW w:w="673" w:type="dxa"/>
            <w:vAlign w:val="center"/>
          </w:tcPr>
          <w:p w14:paraId="622CC2F8">
            <w:pPr>
              <w:pStyle w:val="337"/>
              <w:rPr>
                <w:rFonts w:asciiTheme="minorEastAsia" w:hAnsiTheme="minorEastAsia" w:eastAsiaTheme="minorEastAsia"/>
                <w:color w:val="auto"/>
                <w:szCs w:val="21"/>
                <w:lang w:val="en-US" w:eastAsia="en-US" w:bidi="en-US"/>
              </w:rPr>
            </w:pPr>
            <w:r>
              <w:rPr>
                <w:rFonts w:asciiTheme="minorEastAsia" w:hAnsiTheme="minorEastAsia" w:eastAsiaTheme="minorEastAsia"/>
                <w:color w:val="auto"/>
                <w:szCs w:val="21"/>
                <w:lang w:val="en-US" w:eastAsia="en-US" w:bidi="en-US"/>
              </w:rPr>
              <w:t>K</w:t>
            </w:r>
          </w:p>
        </w:tc>
        <w:tc>
          <w:tcPr>
            <w:tcW w:w="850" w:type="dxa"/>
            <w:vAlign w:val="center"/>
          </w:tcPr>
          <w:p w14:paraId="6E786C7B">
            <w:pPr>
              <w:pStyle w:val="337"/>
              <w:rPr>
                <w:rFonts w:asciiTheme="minorEastAsia" w:hAnsiTheme="minorEastAsia" w:eastAsiaTheme="minorEastAsia"/>
                <w:color w:val="auto"/>
                <w:szCs w:val="21"/>
                <w:lang w:val="en-US" w:eastAsia="en-US" w:bidi="en-US"/>
              </w:rPr>
            </w:pPr>
            <w:r>
              <w:rPr>
                <w:rFonts w:asciiTheme="minorEastAsia" w:hAnsiTheme="minorEastAsia" w:eastAsiaTheme="minorEastAsia"/>
                <w:color w:val="auto"/>
                <w:szCs w:val="21"/>
                <w:lang w:val="en-US" w:eastAsia="en-US" w:bidi="en-US"/>
              </w:rPr>
              <w:t>h</w:t>
            </w:r>
          </w:p>
        </w:tc>
        <w:tc>
          <w:tcPr>
            <w:tcW w:w="1134" w:type="dxa"/>
            <w:vAlign w:val="center"/>
          </w:tcPr>
          <w:p w14:paraId="12E8F6C9">
            <w:pPr>
              <w:pStyle w:val="337"/>
              <w:rPr>
                <w:rFonts w:asciiTheme="minorEastAsia" w:hAnsiTheme="minorEastAsia" w:eastAsiaTheme="minorEastAsia"/>
                <w:color w:val="auto"/>
                <w:szCs w:val="21"/>
                <w:lang w:val="en-US" w:eastAsia="en-US" w:bidi="en-US"/>
              </w:rPr>
            </w:pPr>
            <w:r>
              <w:rPr>
                <w:rFonts w:asciiTheme="minorEastAsia" w:hAnsiTheme="minorEastAsia" w:eastAsiaTheme="minorEastAsia"/>
                <w:color w:val="auto"/>
                <w:szCs w:val="21"/>
                <w:lang w:val="en-US" w:eastAsia="en-US"/>
              </w:rPr>
              <w:t>×</w:t>
            </w:r>
            <w:r>
              <w:rPr>
                <w:rFonts w:hint="eastAsia" w:asciiTheme="minorEastAsia" w:hAnsiTheme="minorEastAsia" w:eastAsiaTheme="minorEastAsia"/>
                <w:color w:val="auto"/>
                <w:szCs w:val="21"/>
                <w:lang w:val="en-US" w:eastAsia="zh-CN" w:bidi="en-US"/>
              </w:rPr>
              <w:t>10</w:t>
            </w:r>
            <w:r>
              <w:rPr>
                <w:rFonts w:hint="eastAsia" w:asciiTheme="minorEastAsia" w:hAnsiTheme="minorEastAsia" w:eastAsiaTheme="minorEastAsia"/>
                <w:color w:val="auto"/>
                <w:szCs w:val="21"/>
                <w:vertAlign w:val="superscript"/>
                <w:lang w:val="en-US" w:eastAsia="zh-CN" w:bidi="en-US"/>
              </w:rPr>
              <w:t>4</w:t>
            </w:r>
            <w:r>
              <w:rPr>
                <w:rFonts w:asciiTheme="minorEastAsia" w:hAnsiTheme="minorEastAsia" w:eastAsiaTheme="minorEastAsia"/>
                <w:color w:val="auto"/>
                <w:szCs w:val="21"/>
                <w:lang w:val="en-US" w:eastAsia="en-US" w:bidi="en-US"/>
              </w:rPr>
              <w:t>m</w:t>
            </w:r>
            <w:r>
              <w:rPr>
                <w:rFonts w:asciiTheme="minorEastAsia" w:hAnsiTheme="minorEastAsia" w:eastAsiaTheme="minorEastAsia"/>
                <w:color w:val="auto"/>
                <w:szCs w:val="21"/>
                <w:vertAlign w:val="superscript"/>
                <w:lang w:val="en-US" w:eastAsia="en-US" w:bidi="en-US"/>
              </w:rPr>
              <w:t>3</w:t>
            </w:r>
            <w:r>
              <w:rPr>
                <w:rFonts w:asciiTheme="minorEastAsia" w:hAnsiTheme="minorEastAsia" w:eastAsiaTheme="minorEastAsia"/>
                <w:color w:val="auto"/>
                <w:szCs w:val="21"/>
                <w:lang w:val="en-US" w:eastAsia="en-US" w:bidi="en-US"/>
              </w:rPr>
              <w:t>/a</w:t>
            </w:r>
          </w:p>
        </w:tc>
        <w:tc>
          <w:tcPr>
            <w:tcW w:w="851" w:type="dxa"/>
            <w:vAlign w:val="center"/>
          </w:tcPr>
          <w:p w14:paraId="11688E60">
            <w:pPr>
              <w:pStyle w:val="337"/>
              <w:rPr>
                <w:rFonts w:asciiTheme="minorEastAsia" w:hAnsiTheme="minorEastAsia" w:eastAsiaTheme="minorEastAsia"/>
                <w:color w:val="auto"/>
                <w:szCs w:val="21"/>
                <w:lang w:val="en-US" w:eastAsia="zh-CN" w:bidi="en-US"/>
              </w:rPr>
            </w:pPr>
            <w:r>
              <w:rPr>
                <w:rFonts w:hint="eastAsia" w:asciiTheme="minorEastAsia" w:hAnsiTheme="minorEastAsia" w:eastAsiaTheme="minorEastAsia"/>
                <w:color w:val="auto"/>
                <w:szCs w:val="21"/>
                <w:lang w:val="en-US" w:eastAsia="zh-CN" w:bidi="en-US"/>
              </w:rPr>
              <w:t>g/s</w:t>
            </w:r>
          </w:p>
        </w:tc>
        <w:tc>
          <w:tcPr>
            <w:tcW w:w="992" w:type="dxa"/>
            <w:vAlign w:val="center"/>
          </w:tcPr>
          <w:p w14:paraId="7E2ECF29">
            <w:pPr>
              <w:pStyle w:val="337"/>
              <w:rPr>
                <w:rFonts w:asciiTheme="minorEastAsia" w:hAnsiTheme="minorEastAsia" w:eastAsiaTheme="minorEastAsia"/>
                <w:color w:val="auto"/>
                <w:szCs w:val="21"/>
                <w:lang w:val="en-US" w:eastAsia="en-US" w:bidi="en-US"/>
              </w:rPr>
            </w:pPr>
            <w:r>
              <w:rPr>
                <w:rFonts w:hint="eastAsia" w:asciiTheme="minorEastAsia" w:hAnsiTheme="minorEastAsia" w:eastAsiaTheme="minorEastAsia"/>
                <w:color w:val="auto"/>
                <w:szCs w:val="21"/>
                <w:lang w:val="en-US" w:eastAsia="zh-CN" w:bidi="en-US"/>
              </w:rPr>
              <w:t>g/s</w:t>
            </w:r>
          </w:p>
        </w:tc>
        <w:tc>
          <w:tcPr>
            <w:tcW w:w="850" w:type="dxa"/>
            <w:vAlign w:val="center"/>
          </w:tcPr>
          <w:p w14:paraId="65B87867">
            <w:pPr>
              <w:pStyle w:val="337"/>
              <w:rPr>
                <w:rFonts w:asciiTheme="minorEastAsia" w:hAnsiTheme="minorEastAsia" w:eastAsiaTheme="minorEastAsia"/>
                <w:color w:val="auto"/>
                <w:szCs w:val="21"/>
                <w:lang w:val="en-US" w:eastAsia="en-US" w:bidi="en-US"/>
              </w:rPr>
            </w:pPr>
            <w:r>
              <w:rPr>
                <w:rFonts w:hint="eastAsia" w:asciiTheme="minorEastAsia" w:hAnsiTheme="minorEastAsia" w:eastAsiaTheme="minorEastAsia"/>
                <w:color w:val="auto"/>
                <w:szCs w:val="21"/>
                <w:lang w:val="en-US" w:eastAsia="zh-CN" w:bidi="en-US"/>
              </w:rPr>
              <w:t>g/s</w:t>
            </w:r>
          </w:p>
        </w:tc>
      </w:tr>
      <w:tr w14:paraId="5107F5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tcBorders>
              <w:bottom w:val="single" w:color="auto" w:sz="4" w:space="0"/>
            </w:tcBorders>
            <w:vAlign w:val="center"/>
          </w:tcPr>
          <w:p w14:paraId="47DD77B4">
            <w:pPr>
              <w:pStyle w:val="337"/>
              <w:rPr>
                <w:rFonts w:asciiTheme="minorEastAsia" w:hAnsiTheme="minorEastAsia" w:eastAsiaTheme="minorEastAsia"/>
                <w:color w:val="auto"/>
                <w:szCs w:val="21"/>
                <w:lang w:val="en-US" w:eastAsia="zh-CN" w:bidi="en-US"/>
              </w:rPr>
            </w:pPr>
            <w:r>
              <w:rPr>
                <w:rFonts w:hint="eastAsia" w:asciiTheme="minorEastAsia" w:hAnsiTheme="minorEastAsia" w:eastAsiaTheme="minorEastAsia"/>
                <w:color w:val="auto"/>
                <w:szCs w:val="21"/>
                <w:lang w:val="en-US" w:eastAsia="zh-CN" w:bidi="en-US"/>
              </w:rPr>
              <w:t>雅斯联合站加热炉</w:t>
            </w:r>
          </w:p>
        </w:tc>
        <w:tc>
          <w:tcPr>
            <w:tcW w:w="752" w:type="dxa"/>
            <w:vAlign w:val="center"/>
          </w:tcPr>
          <w:p w14:paraId="1EF000C5">
            <w:pPr>
              <w:pStyle w:val="337"/>
              <w:rPr>
                <w:rFonts w:asciiTheme="minorEastAsia" w:hAnsiTheme="minorEastAsia" w:eastAsiaTheme="minorEastAsia"/>
                <w:color w:val="auto"/>
                <w:szCs w:val="21"/>
                <w:lang w:val="en-US" w:eastAsia="en-US" w:bidi="en-US"/>
              </w:rPr>
            </w:pPr>
            <w:r>
              <w:rPr>
                <w:rFonts w:asciiTheme="minorEastAsia" w:hAnsiTheme="minorEastAsia" w:eastAsiaTheme="minorEastAsia"/>
                <w:color w:val="auto"/>
                <w:szCs w:val="21"/>
                <w:lang w:val="en-US" w:eastAsia="en-US" w:bidi="en-US"/>
              </w:rPr>
              <w:t>1</w:t>
            </w:r>
            <w:r>
              <w:rPr>
                <w:rFonts w:hint="eastAsia" w:asciiTheme="minorEastAsia" w:hAnsiTheme="minorEastAsia" w:eastAsiaTheme="minorEastAsia"/>
                <w:color w:val="auto"/>
                <w:szCs w:val="21"/>
                <w:lang w:val="en-US" w:eastAsia="zh-CN" w:bidi="en-US"/>
              </w:rPr>
              <w:t>0</w:t>
            </w:r>
          </w:p>
        </w:tc>
        <w:tc>
          <w:tcPr>
            <w:tcW w:w="560" w:type="dxa"/>
            <w:vAlign w:val="center"/>
          </w:tcPr>
          <w:p w14:paraId="0783F415">
            <w:pPr>
              <w:pStyle w:val="337"/>
              <w:rPr>
                <w:rFonts w:asciiTheme="minorEastAsia" w:hAnsiTheme="minorEastAsia" w:eastAsiaTheme="minorEastAsia"/>
                <w:color w:val="auto"/>
                <w:szCs w:val="21"/>
                <w:lang w:val="en-US" w:eastAsia="en-US" w:bidi="en-US"/>
              </w:rPr>
            </w:pPr>
            <w:r>
              <w:rPr>
                <w:rFonts w:asciiTheme="minorEastAsia" w:hAnsiTheme="minorEastAsia" w:eastAsiaTheme="minorEastAsia"/>
                <w:color w:val="auto"/>
                <w:szCs w:val="21"/>
                <w:lang w:val="en-US" w:eastAsia="en-US" w:bidi="en-US"/>
              </w:rPr>
              <w:t>0.4</w:t>
            </w:r>
          </w:p>
        </w:tc>
        <w:tc>
          <w:tcPr>
            <w:tcW w:w="673" w:type="dxa"/>
            <w:vAlign w:val="center"/>
          </w:tcPr>
          <w:p w14:paraId="342846C3">
            <w:pPr>
              <w:pStyle w:val="337"/>
              <w:rPr>
                <w:rFonts w:asciiTheme="minorEastAsia" w:hAnsiTheme="minorEastAsia" w:eastAsiaTheme="minorEastAsia"/>
                <w:color w:val="auto"/>
                <w:szCs w:val="21"/>
                <w:lang w:val="en-US" w:eastAsia="en-US" w:bidi="en-US"/>
              </w:rPr>
            </w:pPr>
            <w:r>
              <w:rPr>
                <w:rFonts w:hint="eastAsia" w:asciiTheme="minorEastAsia" w:hAnsiTheme="minorEastAsia" w:eastAsiaTheme="minorEastAsia"/>
                <w:color w:val="auto"/>
                <w:szCs w:val="21"/>
                <w:lang w:val="en-US" w:eastAsia="zh-CN" w:bidi="en-US"/>
              </w:rPr>
              <w:t>37</w:t>
            </w:r>
            <w:r>
              <w:rPr>
                <w:rFonts w:asciiTheme="minorEastAsia" w:hAnsiTheme="minorEastAsia" w:eastAsiaTheme="minorEastAsia"/>
                <w:color w:val="auto"/>
                <w:szCs w:val="21"/>
                <w:lang w:val="en-US" w:eastAsia="en-US" w:bidi="en-US"/>
              </w:rPr>
              <w:t>3</w:t>
            </w:r>
          </w:p>
        </w:tc>
        <w:tc>
          <w:tcPr>
            <w:tcW w:w="850" w:type="dxa"/>
            <w:vAlign w:val="center"/>
          </w:tcPr>
          <w:p w14:paraId="2C501B18">
            <w:pPr>
              <w:pStyle w:val="337"/>
              <w:rPr>
                <w:rFonts w:asciiTheme="minorEastAsia" w:hAnsiTheme="minorEastAsia" w:eastAsiaTheme="minorEastAsia"/>
                <w:color w:val="auto"/>
                <w:szCs w:val="21"/>
                <w:lang w:val="en-US" w:eastAsia="en-US" w:bidi="en-US"/>
              </w:rPr>
            </w:pPr>
            <w:r>
              <w:rPr>
                <w:rFonts w:asciiTheme="minorEastAsia" w:hAnsiTheme="minorEastAsia" w:eastAsiaTheme="minorEastAsia"/>
                <w:color w:val="auto"/>
                <w:szCs w:val="21"/>
                <w:lang w:val="en-US" w:eastAsia="en-US" w:bidi="en-US"/>
              </w:rPr>
              <w:t>8760</w:t>
            </w:r>
          </w:p>
        </w:tc>
        <w:tc>
          <w:tcPr>
            <w:tcW w:w="1134" w:type="dxa"/>
            <w:vAlign w:val="center"/>
          </w:tcPr>
          <w:p w14:paraId="7F70A8A8">
            <w:pPr>
              <w:pStyle w:val="337"/>
              <w:rPr>
                <w:rFonts w:asciiTheme="minorEastAsia" w:hAnsiTheme="minorEastAsia" w:eastAsiaTheme="minorEastAsia"/>
                <w:color w:val="auto"/>
                <w:szCs w:val="21"/>
                <w:lang w:val="en-US" w:eastAsia="zh-CN" w:bidi="en-US"/>
              </w:rPr>
            </w:pPr>
            <w:r>
              <w:rPr>
                <w:rFonts w:hint="eastAsia" w:asciiTheme="minorEastAsia" w:hAnsiTheme="minorEastAsia" w:eastAsiaTheme="minorEastAsia"/>
                <w:color w:val="auto"/>
                <w:szCs w:val="21"/>
                <w:lang w:val="en-US" w:eastAsia="zh-CN" w:bidi="en-US"/>
              </w:rPr>
              <w:t>4873.99</w:t>
            </w:r>
          </w:p>
        </w:tc>
        <w:tc>
          <w:tcPr>
            <w:tcW w:w="851" w:type="dxa"/>
            <w:vAlign w:val="center"/>
          </w:tcPr>
          <w:p w14:paraId="3021C32A">
            <w:pPr>
              <w:pStyle w:val="337"/>
              <w:rPr>
                <w:rFonts w:asciiTheme="minorEastAsia" w:hAnsiTheme="minorEastAsia" w:eastAsiaTheme="minorEastAsia"/>
                <w:color w:val="auto"/>
                <w:szCs w:val="21"/>
                <w:lang w:val="en-US" w:eastAsia="zh-CN" w:bidi="en-US"/>
              </w:rPr>
            </w:pPr>
            <w:r>
              <w:rPr>
                <w:rFonts w:hint="eastAsia" w:asciiTheme="minorEastAsia" w:hAnsiTheme="minorEastAsia" w:eastAsiaTheme="minorEastAsia"/>
                <w:color w:val="auto"/>
                <w:szCs w:val="21"/>
                <w:lang w:val="en-US" w:eastAsia="zh-CN" w:bidi="en-US"/>
              </w:rPr>
              <w:t>——</w:t>
            </w:r>
          </w:p>
        </w:tc>
        <w:tc>
          <w:tcPr>
            <w:tcW w:w="992" w:type="dxa"/>
            <w:vAlign w:val="center"/>
          </w:tcPr>
          <w:p w14:paraId="27BDF2DC">
            <w:pPr>
              <w:pStyle w:val="337"/>
              <w:rPr>
                <w:rFonts w:asciiTheme="minorEastAsia" w:hAnsiTheme="minorEastAsia" w:eastAsiaTheme="minorEastAsia"/>
                <w:color w:val="auto"/>
                <w:szCs w:val="21"/>
                <w:lang w:val="en-US" w:eastAsia="zh-CN" w:bidi="en-US"/>
              </w:rPr>
            </w:pPr>
            <w:r>
              <w:rPr>
                <w:rFonts w:hint="eastAsia" w:asciiTheme="minorEastAsia" w:hAnsiTheme="minorEastAsia" w:eastAsiaTheme="minorEastAsia"/>
                <w:color w:val="auto"/>
                <w:szCs w:val="21"/>
                <w:lang w:val="en-US" w:eastAsia="zh-CN" w:bidi="en-US"/>
              </w:rPr>
              <w:t>0.00434</w:t>
            </w:r>
          </w:p>
        </w:tc>
        <w:tc>
          <w:tcPr>
            <w:tcW w:w="850" w:type="dxa"/>
            <w:vAlign w:val="center"/>
          </w:tcPr>
          <w:p w14:paraId="259DF4F2">
            <w:pPr>
              <w:pStyle w:val="337"/>
              <w:rPr>
                <w:rFonts w:asciiTheme="minorEastAsia" w:hAnsiTheme="minorEastAsia" w:eastAsiaTheme="minorEastAsia"/>
                <w:color w:val="auto"/>
                <w:szCs w:val="21"/>
                <w:lang w:val="en-US" w:eastAsia="zh-CN" w:bidi="en-US"/>
              </w:rPr>
            </w:pPr>
            <w:r>
              <w:rPr>
                <w:rFonts w:hint="eastAsia" w:asciiTheme="minorEastAsia" w:hAnsiTheme="minorEastAsia" w:eastAsiaTheme="minorEastAsia"/>
                <w:color w:val="auto"/>
                <w:szCs w:val="21"/>
                <w:lang w:val="en-US" w:eastAsia="zh-CN" w:bidi="en-US"/>
              </w:rPr>
              <w:t>——</w:t>
            </w:r>
          </w:p>
        </w:tc>
      </w:tr>
      <w:tr w14:paraId="48E723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tcBorders>
              <w:top w:val="single" w:color="auto" w:sz="4" w:space="0"/>
            </w:tcBorders>
            <w:vAlign w:val="center"/>
          </w:tcPr>
          <w:p w14:paraId="42635121">
            <w:pPr>
              <w:pStyle w:val="337"/>
              <w:rPr>
                <w:rFonts w:asciiTheme="minorEastAsia" w:hAnsiTheme="minorEastAsia" w:eastAsiaTheme="minorEastAsia"/>
                <w:color w:val="auto"/>
                <w:szCs w:val="21"/>
                <w:lang w:val="en-US" w:eastAsia="zh-CN" w:bidi="en-US"/>
              </w:rPr>
            </w:pPr>
            <w:r>
              <w:rPr>
                <w:rFonts w:asciiTheme="minorEastAsia" w:hAnsiTheme="minorEastAsia" w:eastAsiaTheme="minorEastAsia"/>
                <w:color w:val="auto"/>
                <w:szCs w:val="21"/>
                <w:lang w:val="en-US" w:eastAsia="zh-CN" w:bidi="en-US"/>
              </w:rPr>
              <w:t>雅</w:t>
            </w:r>
            <w:r>
              <w:rPr>
                <w:rFonts w:hint="eastAsia" w:asciiTheme="minorEastAsia" w:hAnsiTheme="minorEastAsia" w:eastAsiaTheme="minorEastAsia"/>
                <w:color w:val="auto"/>
                <w:szCs w:val="21"/>
                <w:lang w:val="en-US" w:eastAsia="zh-CN" w:bidi="en-US"/>
              </w:rPr>
              <w:t>斯</w:t>
            </w:r>
            <w:r>
              <w:rPr>
                <w:rFonts w:asciiTheme="minorEastAsia" w:hAnsiTheme="minorEastAsia" w:eastAsiaTheme="minorEastAsia"/>
                <w:color w:val="auto"/>
                <w:szCs w:val="21"/>
                <w:lang w:val="en-US" w:eastAsia="zh-CN" w:bidi="en-US"/>
              </w:rPr>
              <w:t>联合站</w:t>
            </w:r>
          </w:p>
          <w:p w14:paraId="19C7FBBA">
            <w:pPr>
              <w:pStyle w:val="337"/>
              <w:rPr>
                <w:rFonts w:asciiTheme="minorEastAsia" w:hAnsiTheme="minorEastAsia" w:eastAsiaTheme="minorEastAsia"/>
                <w:color w:val="auto"/>
                <w:szCs w:val="21"/>
                <w:lang w:val="en-US" w:eastAsia="zh-CN" w:bidi="en-US"/>
              </w:rPr>
            </w:pPr>
            <w:r>
              <w:rPr>
                <w:rFonts w:hint="eastAsia" w:asciiTheme="minorEastAsia" w:hAnsiTheme="minorEastAsia" w:eastAsiaTheme="minorEastAsia"/>
                <w:color w:val="auto"/>
                <w:szCs w:val="21"/>
                <w:lang w:val="en-US" w:eastAsia="zh-CN" w:bidi="en-US"/>
              </w:rPr>
              <w:t>燃气机组</w:t>
            </w:r>
          </w:p>
        </w:tc>
        <w:tc>
          <w:tcPr>
            <w:tcW w:w="752" w:type="dxa"/>
            <w:vAlign w:val="center"/>
          </w:tcPr>
          <w:p w14:paraId="128BE47C">
            <w:pPr>
              <w:pStyle w:val="337"/>
              <w:rPr>
                <w:rFonts w:asciiTheme="minorEastAsia" w:hAnsiTheme="minorEastAsia" w:eastAsiaTheme="minorEastAsia"/>
                <w:color w:val="auto"/>
                <w:szCs w:val="21"/>
                <w:lang w:val="en-US" w:eastAsia="en-US" w:bidi="en-US"/>
              </w:rPr>
            </w:pPr>
            <w:r>
              <w:rPr>
                <w:rFonts w:asciiTheme="minorEastAsia" w:hAnsiTheme="minorEastAsia" w:eastAsiaTheme="minorEastAsia"/>
                <w:color w:val="auto"/>
                <w:szCs w:val="21"/>
                <w:lang w:val="en-US" w:eastAsia="en-US" w:bidi="en-US"/>
              </w:rPr>
              <w:t>10</w:t>
            </w:r>
          </w:p>
        </w:tc>
        <w:tc>
          <w:tcPr>
            <w:tcW w:w="560" w:type="dxa"/>
            <w:vAlign w:val="center"/>
          </w:tcPr>
          <w:p w14:paraId="43E9F8A4">
            <w:pPr>
              <w:pStyle w:val="337"/>
              <w:rPr>
                <w:rFonts w:asciiTheme="minorEastAsia" w:hAnsiTheme="minorEastAsia" w:eastAsiaTheme="minorEastAsia"/>
                <w:color w:val="auto"/>
                <w:szCs w:val="21"/>
                <w:lang w:val="en-US" w:eastAsia="en-US" w:bidi="en-US"/>
              </w:rPr>
            </w:pPr>
            <w:r>
              <w:rPr>
                <w:rFonts w:asciiTheme="minorEastAsia" w:hAnsiTheme="minorEastAsia" w:eastAsiaTheme="minorEastAsia"/>
                <w:color w:val="auto"/>
                <w:szCs w:val="21"/>
                <w:lang w:val="en-US" w:eastAsia="en-US" w:bidi="en-US"/>
              </w:rPr>
              <w:t>0.4</w:t>
            </w:r>
          </w:p>
        </w:tc>
        <w:tc>
          <w:tcPr>
            <w:tcW w:w="673" w:type="dxa"/>
            <w:vAlign w:val="center"/>
          </w:tcPr>
          <w:p w14:paraId="279AD194">
            <w:pPr>
              <w:pStyle w:val="337"/>
              <w:rPr>
                <w:rFonts w:asciiTheme="minorEastAsia" w:hAnsiTheme="minorEastAsia" w:eastAsiaTheme="minorEastAsia"/>
                <w:color w:val="auto"/>
                <w:szCs w:val="21"/>
                <w:lang w:val="en-US" w:eastAsia="en-US" w:bidi="en-US"/>
              </w:rPr>
            </w:pPr>
            <w:r>
              <w:rPr>
                <w:rFonts w:hint="eastAsia" w:asciiTheme="minorEastAsia" w:hAnsiTheme="minorEastAsia" w:eastAsiaTheme="minorEastAsia"/>
                <w:color w:val="auto"/>
                <w:szCs w:val="21"/>
                <w:lang w:val="en-US" w:eastAsia="zh-CN" w:bidi="en-US"/>
              </w:rPr>
              <w:t>37</w:t>
            </w:r>
            <w:r>
              <w:rPr>
                <w:rFonts w:asciiTheme="minorEastAsia" w:hAnsiTheme="minorEastAsia" w:eastAsiaTheme="minorEastAsia"/>
                <w:color w:val="auto"/>
                <w:szCs w:val="21"/>
                <w:lang w:val="en-US" w:eastAsia="en-US" w:bidi="en-US"/>
              </w:rPr>
              <w:t>3</w:t>
            </w:r>
          </w:p>
        </w:tc>
        <w:tc>
          <w:tcPr>
            <w:tcW w:w="850" w:type="dxa"/>
            <w:vAlign w:val="center"/>
          </w:tcPr>
          <w:p w14:paraId="6D64F22E">
            <w:pPr>
              <w:pStyle w:val="337"/>
              <w:rPr>
                <w:rFonts w:asciiTheme="minorEastAsia" w:hAnsiTheme="minorEastAsia" w:eastAsiaTheme="minorEastAsia"/>
                <w:color w:val="auto"/>
                <w:szCs w:val="21"/>
                <w:lang w:val="en-US" w:eastAsia="en-US" w:bidi="en-US"/>
              </w:rPr>
            </w:pPr>
            <w:r>
              <w:rPr>
                <w:rFonts w:asciiTheme="minorEastAsia" w:hAnsiTheme="minorEastAsia" w:eastAsiaTheme="minorEastAsia"/>
                <w:color w:val="auto"/>
                <w:szCs w:val="21"/>
                <w:lang w:val="en-US" w:eastAsia="en-US" w:bidi="en-US"/>
              </w:rPr>
              <w:t>8760</w:t>
            </w:r>
          </w:p>
        </w:tc>
        <w:tc>
          <w:tcPr>
            <w:tcW w:w="1134" w:type="dxa"/>
            <w:vAlign w:val="center"/>
          </w:tcPr>
          <w:p w14:paraId="70E99384">
            <w:pPr>
              <w:pStyle w:val="337"/>
              <w:rPr>
                <w:rFonts w:asciiTheme="minorEastAsia" w:hAnsiTheme="minorEastAsia" w:eastAsiaTheme="minorEastAsia"/>
                <w:color w:val="auto"/>
                <w:szCs w:val="21"/>
                <w:lang w:val="en-US" w:eastAsia="zh-CN" w:bidi="en-US"/>
              </w:rPr>
            </w:pPr>
            <w:r>
              <w:rPr>
                <w:rFonts w:hint="eastAsia" w:asciiTheme="minorEastAsia" w:hAnsiTheme="minorEastAsia" w:eastAsiaTheme="minorEastAsia"/>
                <w:color w:val="auto"/>
                <w:szCs w:val="21"/>
                <w:lang w:val="en-US" w:eastAsia="zh-CN" w:bidi="en-US"/>
              </w:rPr>
              <w:t>18100.72</w:t>
            </w:r>
          </w:p>
        </w:tc>
        <w:tc>
          <w:tcPr>
            <w:tcW w:w="851" w:type="dxa"/>
            <w:vAlign w:val="center"/>
          </w:tcPr>
          <w:p w14:paraId="363BBA23">
            <w:pPr>
              <w:pStyle w:val="337"/>
              <w:rPr>
                <w:rFonts w:asciiTheme="minorEastAsia" w:hAnsiTheme="minorEastAsia" w:eastAsiaTheme="minorEastAsia"/>
                <w:color w:val="auto"/>
                <w:szCs w:val="21"/>
                <w:lang w:val="en-US" w:eastAsia="zh-CN" w:bidi="en-US"/>
              </w:rPr>
            </w:pPr>
            <w:r>
              <w:rPr>
                <w:rFonts w:hint="eastAsia" w:asciiTheme="minorEastAsia" w:hAnsiTheme="minorEastAsia" w:eastAsiaTheme="minorEastAsia"/>
                <w:color w:val="auto"/>
                <w:szCs w:val="21"/>
                <w:lang w:val="en-US" w:eastAsia="zh-CN" w:bidi="en-US"/>
              </w:rPr>
              <w:t>0.0165</w:t>
            </w:r>
          </w:p>
        </w:tc>
        <w:tc>
          <w:tcPr>
            <w:tcW w:w="992" w:type="dxa"/>
            <w:vAlign w:val="center"/>
          </w:tcPr>
          <w:p w14:paraId="74229EBA">
            <w:pPr>
              <w:pStyle w:val="337"/>
              <w:rPr>
                <w:rFonts w:asciiTheme="minorEastAsia" w:hAnsiTheme="minorEastAsia" w:eastAsiaTheme="minorEastAsia"/>
                <w:color w:val="auto"/>
                <w:szCs w:val="21"/>
                <w:lang w:val="en-US" w:eastAsia="zh-CN" w:bidi="en-US"/>
              </w:rPr>
            </w:pPr>
            <w:r>
              <w:rPr>
                <w:rFonts w:hint="eastAsia" w:asciiTheme="minorEastAsia" w:hAnsiTheme="minorEastAsia" w:eastAsiaTheme="minorEastAsia"/>
                <w:color w:val="auto"/>
                <w:szCs w:val="21"/>
                <w:lang w:val="en-US" w:eastAsia="zh-CN" w:bidi="en-US"/>
              </w:rPr>
              <w:t>0.0470</w:t>
            </w:r>
          </w:p>
        </w:tc>
        <w:tc>
          <w:tcPr>
            <w:tcW w:w="850" w:type="dxa"/>
            <w:vAlign w:val="center"/>
          </w:tcPr>
          <w:p w14:paraId="6B348CF7">
            <w:pPr>
              <w:pStyle w:val="337"/>
              <w:rPr>
                <w:rFonts w:asciiTheme="minorEastAsia" w:hAnsiTheme="minorEastAsia" w:eastAsiaTheme="minorEastAsia"/>
                <w:color w:val="auto"/>
                <w:szCs w:val="21"/>
                <w:lang w:val="en-US" w:eastAsia="zh-CN" w:bidi="en-US"/>
              </w:rPr>
            </w:pPr>
            <w:r>
              <w:rPr>
                <w:rFonts w:hint="eastAsia" w:asciiTheme="minorEastAsia" w:hAnsiTheme="minorEastAsia" w:eastAsiaTheme="minorEastAsia"/>
                <w:color w:val="auto"/>
                <w:szCs w:val="21"/>
                <w:lang w:val="en-US" w:eastAsia="zh-CN" w:bidi="en-US"/>
              </w:rPr>
              <w:t>0.0242</w:t>
            </w:r>
          </w:p>
        </w:tc>
      </w:tr>
      <w:tr w14:paraId="05A016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vAlign w:val="center"/>
          </w:tcPr>
          <w:p w14:paraId="71A63272">
            <w:pPr>
              <w:pStyle w:val="337"/>
              <w:rPr>
                <w:rFonts w:asciiTheme="minorEastAsia" w:hAnsiTheme="minorEastAsia" w:eastAsiaTheme="minorEastAsia"/>
                <w:color w:val="auto"/>
                <w:szCs w:val="21"/>
                <w:lang w:val="en-US" w:eastAsia="zh-CN" w:bidi="en-US"/>
              </w:rPr>
            </w:pPr>
            <w:r>
              <w:rPr>
                <w:rFonts w:hint="eastAsia" w:asciiTheme="minorEastAsia" w:hAnsiTheme="minorEastAsia" w:eastAsiaTheme="minorEastAsia"/>
                <w:color w:val="auto"/>
                <w:szCs w:val="21"/>
                <w:lang w:val="en-US" w:eastAsia="zh-CN" w:bidi="en-US"/>
              </w:rPr>
              <w:t>合计</w:t>
            </w:r>
          </w:p>
        </w:tc>
        <w:tc>
          <w:tcPr>
            <w:tcW w:w="752" w:type="dxa"/>
            <w:vAlign w:val="center"/>
          </w:tcPr>
          <w:p w14:paraId="57BA2EA4">
            <w:pPr>
              <w:pStyle w:val="337"/>
              <w:rPr>
                <w:rFonts w:asciiTheme="minorEastAsia" w:hAnsiTheme="minorEastAsia" w:eastAsiaTheme="minorEastAsia"/>
                <w:color w:val="auto"/>
                <w:szCs w:val="21"/>
                <w:lang w:val="en-US" w:eastAsia="zh-CN" w:bidi="en-US"/>
              </w:rPr>
            </w:pPr>
          </w:p>
        </w:tc>
        <w:tc>
          <w:tcPr>
            <w:tcW w:w="560" w:type="dxa"/>
            <w:vAlign w:val="center"/>
          </w:tcPr>
          <w:p w14:paraId="5FDD4644">
            <w:pPr>
              <w:pStyle w:val="337"/>
              <w:rPr>
                <w:rFonts w:asciiTheme="minorEastAsia" w:hAnsiTheme="minorEastAsia" w:eastAsiaTheme="minorEastAsia"/>
                <w:color w:val="auto"/>
                <w:szCs w:val="21"/>
                <w:lang w:val="en-US" w:eastAsia="zh-CN" w:bidi="en-US"/>
              </w:rPr>
            </w:pPr>
          </w:p>
        </w:tc>
        <w:tc>
          <w:tcPr>
            <w:tcW w:w="673" w:type="dxa"/>
            <w:vAlign w:val="center"/>
          </w:tcPr>
          <w:p w14:paraId="2FCFA23C">
            <w:pPr>
              <w:pStyle w:val="337"/>
              <w:rPr>
                <w:rFonts w:asciiTheme="minorEastAsia" w:hAnsiTheme="minorEastAsia" w:eastAsiaTheme="minorEastAsia"/>
                <w:color w:val="auto"/>
                <w:szCs w:val="21"/>
                <w:lang w:val="en-US" w:eastAsia="zh-CN" w:bidi="en-US"/>
              </w:rPr>
            </w:pPr>
          </w:p>
        </w:tc>
        <w:tc>
          <w:tcPr>
            <w:tcW w:w="850" w:type="dxa"/>
            <w:vAlign w:val="center"/>
          </w:tcPr>
          <w:p w14:paraId="59D93099">
            <w:pPr>
              <w:pStyle w:val="337"/>
              <w:rPr>
                <w:rFonts w:asciiTheme="minorEastAsia" w:hAnsiTheme="minorEastAsia" w:eastAsiaTheme="minorEastAsia"/>
                <w:color w:val="auto"/>
                <w:szCs w:val="21"/>
                <w:lang w:val="en-US" w:eastAsia="zh-CN" w:bidi="en-US"/>
              </w:rPr>
            </w:pPr>
          </w:p>
        </w:tc>
        <w:tc>
          <w:tcPr>
            <w:tcW w:w="1134" w:type="dxa"/>
            <w:vAlign w:val="center"/>
          </w:tcPr>
          <w:p w14:paraId="5372174A">
            <w:pPr>
              <w:pStyle w:val="337"/>
              <w:rPr>
                <w:rFonts w:asciiTheme="minorEastAsia" w:hAnsiTheme="minorEastAsia" w:eastAsiaTheme="minorEastAsia"/>
                <w:color w:val="auto"/>
                <w:szCs w:val="21"/>
                <w:lang w:val="en-US" w:eastAsia="zh-CN" w:bidi="en-US"/>
              </w:rPr>
            </w:pPr>
          </w:p>
        </w:tc>
        <w:tc>
          <w:tcPr>
            <w:tcW w:w="851" w:type="dxa"/>
            <w:vAlign w:val="center"/>
          </w:tcPr>
          <w:p w14:paraId="69ACBB1F">
            <w:pPr>
              <w:pStyle w:val="337"/>
              <w:rPr>
                <w:rFonts w:asciiTheme="minorEastAsia" w:hAnsiTheme="minorEastAsia" w:eastAsiaTheme="minorEastAsia"/>
                <w:color w:val="auto"/>
                <w:szCs w:val="21"/>
                <w:lang w:val="en-US" w:eastAsia="zh-CN" w:bidi="en-US"/>
              </w:rPr>
            </w:pPr>
            <w:r>
              <w:rPr>
                <w:rFonts w:hint="eastAsia" w:asciiTheme="minorEastAsia" w:hAnsiTheme="minorEastAsia" w:eastAsiaTheme="minorEastAsia"/>
                <w:color w:val="auto"/>
                <w:szCs w:val="21"/>
                <w:lang w:val="en-US" w:eastAsia="zh-CN" w:bidi="en-US"/>
              </w:rPr>
              <w:t>0.0165</w:t>
            </w:r>
          </w:p>
        </w:tc>
        <w:tc>
          <w:tcPr>
            <w:tcW w:w="992" w:type="dxa"/>
            <w:vAlign w:val="center"/>
          </w:tcPr>
          <w:p w14:paraId="004D6BFF">
            <w:pPr>
              <w:pStyle w:val="337"/>
              <w:rPr>
                <w:rFonts w:asciiTheme="minorEastAsia" w:hAnsiTheme="minorEastAsia" w:eastAsiaTheme="minorEastAsia"/>
                <w:color w:val="auto"/>
                <w:szCs w:val="21"/>
                <w:lang w:val="en-US" w:eastAsia="zh-CN" w:bidi="en-US"/>
              </w:rPr>
            </w:pPr>
            <w:r>
              <w:rPr>
                <w:rFonts w:hint="eastAsia" w:asciiTheme="minorEastAsia" w:hAnsiTheme="minorEastAsia" w:eastAsiaTheme="minorEastAsia"/>
                <w:color w:val="auto"/>
                <w:szCs w:val="21"/>
                <w:lang w:val="en-US" w:eastAsia="zh-CN" w:bidi="en-US"/>
              </w:rPr>
              <w:t>0.0513</w:t>
            </w:r>
          </w:p>
        </w:tc>
        <w:tc>
          <w:tcPr>
            <w:tcW w:w="850" w:type="dxa"/>
            <w:vAlign w:val="center"/>
          </w:tcPr>
          <w:p w14:paraId="69576C2D">
            <w:pPr>
              <w:pStyle w:val="337"/>
              <w:rPr>
                <w:rFonts w:asciiTheme="minorEastAsia" w:hAnsiTheme="minorEastAsia" w:eastAsiaTheme="minorEastAsia"/>
                <w:color w:val="auto"/>
                <w:szCs w:val="21"/>
                <w:lang w:val="en-US" w:eastAsia="zh-CN" w:bidi="en-US"/>
              </w:rPr>
            </w:pPr>
            <w:r>
              <w:rPr>
                <w:rFonts w:hint="eastAsia" w:asciiTheme="minorEastAsia" w:hAnsiTheme="minorEastAsia" w:eastAsiaTheme="minorEastAsia"/>
                <w:color w:val="auto"/>
                <w:szCs w:val="21"/>
                <w:lang w:val="en-US" w:eastAsia="zh-CN" w:bidi="en-US"/>
              </w:rPr>
              <w:t>0.0242</w:t>
            </w:r>
          </w:p>
        </w:tc>
      </w:tr>
    </w:tbl>
    <w:p w14:paraId="31CA12F2">
      <w:pPr>
        <w:spacing w:line="240" w:lineRule="auto"/>
        <w:ind w:firstLine="482"/>
        <w:rPr>
          <w:b/>
        </w:rPr>
      </w:pPr>
      <w:r>
        <w:rPr>
          <w:b/>
        </w:rPr>
        <w:t>表1.</w:t>
      </w:r>
      <w:r>
        <w:rPr>
          <w:rFonts w:hint="eastAsia"/>
          <w:b/>
          <w:lang w:eastAsia="zh-CN"/>
        </w:rPr>
        <w:t>6</w:t>
      </w:r>
      <w:r>
        <w:rPr>
          <w:b/>
        </w:rPr>
        <w:t>-</w:t>
      </w:r>
      <w:r>
        <w:rPr>
          <w:b/>
          <w:lang w:eastAsia="zh-CN"/>
        </w:rPr>
        <w:t>2</w:t>
      </w:r>
      <w:r>
        <w:rPr>
          <w:b/>
        </w:rPr>
        <w:t xml:space="preserve">  </w:t>
      </w:r>
      <w:r>
        <w:rPr>
          <w:rFonts w:hint="eastAsia"/>
          <w:b/>
          <w:lang w:eastAsia="zh-CN"/>
        </w:rPr>
        <w:t xml:space="preserve">   </w:t>
      </w:r>
      <w:r>
        <w:rPr>
          <w:b/>
        </w:rPr>
        <w:t>评价工作等级表</w:t>
      </w:r>
    </w:p>
    <w:tbl>
      <w:tblPr>
        <w:tblStyle w:val="7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41"/>
        <w:gridCol w:w="6388"/>
      </w:tblGrid>
      <w:tr w14:paraId="0747CB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2141" w:type="dxa"/>
            <w:vAlign w:val="center"/>
          </w:tcPr>
          <w:p w14:paraId="6178D5DA">
            <w:pPr>
              <w:pStyle w:val="518"/>
            </w:pPr>
            <w:r>
              <w:t>评价工作等级</w:t>
            </w:r>
          </w:p>
        </w:tc>
        <w:tc>
          <w:tcPr>
            <w:tcW w:w="6388" w:type="dxa"/>
            <w:vAlign w:val="center"/>
          </w:tcPr>
          <w:p w14:paraId="0DFF644F">
            <w:pPr>
              <w:pStyle w:val="518"/>
              <w:rPr>
                <w:vertAlign w:val="subscript"/>
              </w:rPr>
            </w:pPr>
            <w:r>
              <w:t>评价工作分级判据</w:t>
            </w:r>
          </w:p>
        </w:tc>
      </w:tr>
      <w:tr w14:paraId="715C2D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2141" w:type="dxa"/>
            <w:vAlign w:val="center"/>
          </w:tcPr>
          <w:p w14:paraId="20D34C6C">
            <w:pPr>
              <w:pStyle w:val="518"/>
            </w:pPr>
            <w:r>
              <w:t>一级</w:t>
            </w:r>
          </w:p>
        </w:tc>
        <w:tc>
          <w:tcPr>
            <w:tcW w:w="6388" w:type="dxa"/>
            <w:vAlign w:val="center"/>
          </w:tcPr>
          <w:p w14:paraId="096722B2">
            <w:pPr>
              <w:pStyle w:val="518"/>
            </w:pPr>
            <w:r>
              <w:t>P</w:t>
            </w:r>
            <w:r>
              <w:rPr>
                <w:sz w:val="18"/>
                <w:szCs w:val="18"/>
              </w:rPr>
              <w:t>max</w:t>
            </w:r>
            <w:r>
              <w:t>≥80%，且D</w:t>
            </w:r>
            <w:r>
              <w:rPr>
                <w:vertAlign w:val="subscript"/>
              </w:rPr>
              <w:t>10%</w:t>
            </w:r>
            <w:r>
              <w:t>≥5km</w:t>
            </w:r>
          </w:p>
        </w:tc>
      </w:tr>
      <w:tr w14:paraId="33B2D7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2141" w:type="dxa"/>
            <w:vAlign w:val="center"/>
          </w:tcPr>
          <w:p w14:paraId="7B46A89C">
            <w:pPr>
              <w:pStyle w:val="518"/>
            </w:pPr>
            <w:r>
              <w:t>二级</w:t>
            </w:r>
          </w:p>
        </w:tc>
        <w:tc>
          <w:tcPr>
            <w:tcW w:w="6388" w:type="dxa"/>
            <w:vAlign w:val="center"/>
          </w:tcPr>
          <w:p w14:paraId="6F108C1F">
            <w:pPr>
              <w:pStyle w:val="518"/>
            </w:pPr>
            <w:r>
              <w:t>其他</w:t>
            </w:r>
          </w:p>
        </w:tc>
      </w:tr>
      <w:tr w14:paraId="6CEAE5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2141" w:type="dxa"/>
            <w:vAlign w:val="center"/>
          </w:tcPr>
          <w:p w14:paraId="5DA806C1">
            <w:pPr>
              <w:pStyle w:val="518"/>
            </w:pPr>
            <w:r>
              <w:t>三级</w:t>
            </w:r>
          </w:p>
        </w:tc>
        <w:tc>
          <w:tcPr>
            <w:tcW w:w="6388" w:type="dxa"/>
            <w:vAlign w:val="center"/>
          </w:tcPr>
          <w:p w14:paraId="5FEFCD77">
            <w:pPr>
              <w:pStyle w:val="518"/>
            </w:pPr>
            <w:r>
              <w:t>P</w:t>
            </w:r>
            <w:r>
              <w:rPr>
                <w:sz w:val="18"/>
                <w:szCs w:val="18"/>
              </w:rPr>
              <w:t>max</w:t>
            </w:r>
            <w:r>
              <w:t>≤10%，或D</w:t>
            </w:r>
            <w:r>
              <w:rPr>
                <w:vertAlign w:val="subscript"/>
              </w:rPr>
              <w:t>10%</w:t>
            </w:r>
            <w:r>
              <w:t>＜污染源距厂界最近距离</w:t>
            </w:r>
          </w:p>
        </w:tc>
      </w:tr>
    </w:tbl>
    <w:p w14:paraId="23517759">
      <w:pPr>
        <w:spacing w:beforeLines="50" w:line="240" w:lineRule="auto"/>
        <w:ind w:firstLine="318" w:firstLineChars="132"/>
        <w:rPr>
          <w:b/>
          <w:kern w:val="2"/>
          <w:szCs w:val="24"/>
          <w:lang w:eastAsia="zh-CN" w:bidi="ar-SA"/>
        </w:rPr>
      </w:pPr>
      <w:r>
        <w:rPr>
          <w:b/>
          <w:lang w:eastAsia="zh-CN"/>
        </w:rPr>
        <w:t>表1.</w:t>
      </w:r>
      <w:r>
        <w:rPr>
          <w:rFonts w:hint="eastAsia"/>
          <w:b/>
          <w:lang w:eastAsia="zh-CN"/>
        </w:rPr>
        <w:t>6</w:t>
      </w:r>
      <w:r>
        <w:rPr>
          <w:b/>
          <w:lang w:eastAsia="zh-CN"/>
        </w:rPr>
        <w:t xml:space="preserve">-3  </w:t>
      </w:r>
      <w:r>
        <w:rPr>
          <w:rFonts w:hint="eastAsia"/>
          <w:b/>
          <w:lang w:eastAsia="zh-CN"/>
        </w:rPr>
        <w:t xml:space="preserve">  </w:t>
      </w:r>
      <w:r>
        <w:rPr>
          <w:b/>
          <w:kern w:val="2"/>
          <w:szCs w:val="24"/>
          <w:lang w:eastAsia="zh-CN" w:bidi="ar-SA"/>
        </w:rPr>
        <w:t>大气环境影响评价等级统计表</w:t>
      </w:r>
    </w:p>
    <w:tbl>
      <w:tblPr>
        <w:tblStyle w:val="7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38"/>
        <w:gridCol w:w="1134"/>
        <w:gridCol w:w="1134"/>
        <w:gridCol w:w="1701"/>
        <w:gridCol w:w="1701"/>
        <w:gridCol w:w="1060"/>
      </w:tblGrid>
      <w:tr w14:paraId="5B82A4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38" w:type="dxa"/>
            <w:vAlign w:val="center"/>
          </w:tcPr>
          <w:p w14:paraId="3F1B91EB">
            <w:pPr>
              <w:spacing w:line="240" w:lineRule="auto"/>
              <w:ind w:firstLine="0" w:firstLineChars="0"/>
              <w:jc w:val="center"/>
              <w:textAlignment w:val="baseline"/>
              <w:rPr>
                <w:sz w:val="21"/>
                <w:szCs w:val="21"/>
                <w:lang w:eastAsia="zh-CN" w:bidi="ar-SA"/>
              </w:rPr>
            </w:pPr>
            <w:r>
              <w:rPr>
                <w:sz w:val="21"/>
                <w:szCs w:val="21"/>
                <w:lang w:eastAsia="zh-CN" w:bidi="ar-SA"/>
              </w:rPr>
              <w:t>序号</w:t>
            </w:r>
          </w:p>
        </w:tc>
        <w:tc>
          <w:tcPr>
            <w:tcW w:w="1134" w:type="dxa"/>
            <w:vAlign w:val="center"/>
          </w:tcPr>
          <w:p w14:paraId="4028DDA7">
            <w:pPr>
              <w:spacing w:line="240" w:lineRule="auto"/>
              <w:ind w:firstLine="0" w:firstLineChars="0"/>
              <w:jc w:val="center"/>
              <w:textAlignment w:val="baseline"/>
              <w:rPr>
                <w:sz w:val="21"/>
                <w:szCs w:val="21"/>
                <w:lang w:eastAsia="zh-CN" w:bidi="ar-SA"/>
              </w:rPr>
            </w:pPr>
            <w:r>
              <w:rPr>
                <w:sz w:val="21"/>
                <w:szCs w:val="21"/>
                <w:lang w:eastAsia="zh-CN" w:bidi="ar-SA"/>
              </w:rPr>
              <w:t>污染</w:t>
            </w:r>
          </w:p>
          <w:p w14:paraId="1CC8E484">
            <w:pPr>
              <w:spacing w:line="240" w:lineRule="auto"/>
              <w:ind w:firstLine="0" w:firstLineChars="0"/>
              <w:jc w:val="center"/>
              <w:textAlignment w:val="baseline"/>
              <w:rPr>
                <w:sz w:val="21"/>
                <w:szCs w:val="21"/>
                <w:lang w:eastAsia="zh-CN" w:bidi="ar-SA"/>
              </w:rPr>
            </w:pPr>
            <w:r>
              <w:rPr>
                <w:sz w:val="21"/>
                <w:szCs w:val="21"/>
                <w:lang w:eastAsia="zh-CN" w:bidi="ar-SA"/>
              </w:rPr>
              <w:t>因子</w:t>
            </w:r>
          </w:p>
        </w:tc>
        <w:tc>
          <w:tcPr>
            <w:tcW w:w="1134" w:type="dxa"/>
            <w:vAlign w:val="center"/>
          </w:tcPr>
          <w:p w14:paraId="6C89CA4E">
            <w:pPr>
              <w:spacing w:line="240" w:lineRule="auto"/>
              <w:ind w:firstLine="0" w:firstLineChars="0"/>
              <w:jc w:val="center"/>
              <w:textAlignment w:val="baseline"/>
              <w:rPr>
                <w:sz w:val="21"/>
                <w:szCs w:val="21"/>
                <w:lang w:eastAsia="zh-CN" w:bidi="ar-SA"/>
              </w:rPr>
            </w:pPr>
            <w:r>
              <w:rPr>
                <w:sz w:val="21"/>
                <w:szCs w:val="21"/>
                <w:lang w:eastAsia="zh-CN" w:bidi="ar-SA"/>
              </w:rPr>
              <w:t>标准值</w:t>
            </w:r>
          </w:p>
          <w:p w14:paraId="0AAF7807">
            <w:pPr>
              <w:spacing w:line="240" w:lineRule="auto"/>
              <w:ind w:firstLine="0" w:firstLineChars="0"/>
              <w:jc w:val="center"/>
              <w:textAlignment w:val="baseline"/>
              <w:rPr>
                <w:sz w:val="21"/>
                <w:szCs w:val="21"/>
                <w:lang w:eastAsia="zh-CN" w:bidi="ar-SA"/>
              </w:rPr>
            </w:pPr>
            <w:r>
              <w:rPr>
                <w:sz w:val="21"/>
                <w:szCs w:val="21"/>
                <w:lang w:eastAsia="zh-CN" w:bidi="ar-SA"/>
              </w:rPr>
              <w:t>(mg/m</w:t>
            </w:r>
            <w:r>
              <w:rPr>
                <w:sz w:val="21"/>
                <w:szCs w:val="21"/>
                <w:vertAlign w:val="superscript"/>
                <w:lang w:eastAsia="zh-CN" w:bidi="ar-SA"/>
              </w:rPr>
              <w:t>3</w:t>
            </w:r>
            <w:r>
              <w:rPr>
                <w:sz w:val="21"/>
                <w:szCs w:val="21"/>
                <w:lang w:eastAsia="zh-CN" w:bidi="ar-SA"/>
              </w:rPr>
              <w:t>)</w:t>
            </w:r>
          </w:p>
        </w:tc>
        <w:tc>
          <w:tcPr>
            <w:tcW w:w="1701" w:type="dxa"/>
            <w:vAlign w:val="center"/>
          </w:tcPr>
          <w:p w14:paraId="621B1A79">
            <w:pPr>
              <w:spacing w:line="240" w:lineRule="auto"/>
              <w:ind w:firstLine="0" w:firstLineChars="0"/>
              <w:jc w:val="center"/>
              <w:textAlignment w:val="baseline"/>
              <w:rPr>
                <w:sz w:val="21"/>
                <w:szCs w:val="21"/>
                <w:lang w:eastAsia="zh-CN" w:bidi="ar-SA"/>
              </w:rPr>
            </w:pPr>
            <w:r>
              <w:rPr>
                <w:sz w:val="21"/>
                <w:szCs w:val="21"/>
                <w:lang w:eastAsia="zh-CN" w:bidi="ar-SA"/>
              </w:rPr>
              <w:t>最大落地浓度(mg/m</w:t>
            </w:r>
            <w:r>
              <w:rPr>
                <w:sz w:val="21"/>
                <w:szCs w:val="21"/>
                <w:vertAlign w:val="superscript"/>
                <w:lang w:eastAsia="zh-CN" w:bidi="ar-SA"/>
              </w:rPr>
              <w:t>3</w:t>
            </w:r>
            <w:r>
              <w:rPr>
                <w:sz w:val="21"/>
                <w:szCs w:val="21"/>
                <w:lang w:eastAsia="zh-CN" w:bidi="ar-SA"/>
              </w:rPr>
              <w:t>)</w:t>
            </w:r>
          </w:p>
        </w:tc>
        <w:tc>
          <w:tcPr>
            <w:tcW w:w="1701" w:type="dxa"/>
            <w:vAlign w:val="center"/>
          </w:tcPr>
          <w:p w14:paraId="3E88B0CA">
            <w:pPr>
              <w:spacing w:line="240" w:lineRule="auto"/>
              <w:ind w:firstLine="0" w:firstLineChars="0"/>
              <w:jc w:val="center"/>
              <w:textAlignment w:val="baseline"/>
              <w:rPr>
                <w:sz w:val="21"/>
                <w:szCs w:val="21"/>
                <w:lang w:eastAsia="zh-CN" w:bidi="ar-SA"/>
              </w:rPr>
            </w:pPr>
            <w:r>
              <w:rPr>
                <w:sz w:val="21"/>
                <w:szCs w:val="21"/>
                <w:lang w:eastAsia="zh-CN" w:bidi="ar-SA"/>
              </w:rPr>
              <w:t>距源中心距离</w:t>
            </w:r>
          </w:p>
          <w:p w14:paraId="059363CE">
            <w:pPr>
              <w:spacing w:line="240" w:lineRule="auto"/>
              <w:ind w:firstLine="0" w:firstLineChars="0"/>
              <w:jc w:val="center"/>
              <w:textAlignment w:val="baseline"/>
              <w:rPr>
                <w:sz w:val="21"/>
                <w:szCs w:val="21"/>
                <w:lang w:eastAsia="zh-CN" w:bidi="ar-SA"/>
              </w:rPr>
            </w:pPr>
            <w:r>
              <w:rPr>
                <w:sz w:val="21"/>
                <w:szCs w:val="21"/>
                <w:lang w:eastAsia="zh-CN" w:bidi="ar-SA"/>
              </w:rPr>
              <w:t>(m)</w:t>
            </w:r>
          </w:p>
        </w:tc>
        <w:tc>
          <w:tcPr>
            <w:tcW w:w="1060" w:type="dxa"/>
            <w:vAlign w:val="center"/>
          </w:tcPr>
          <w:p w14:paraId="18C2FAEF">
            <w:pPr>
              <w:spacing w:line="240" w:lineRule="auto"/>
              <w:ind w:firstLine="0" w:firstLineChars="0"/>
              <w:jc w:val="center"/>
              <w:textAlignment w:val="baseline"/>
              <w:rPr>
                <w:sz w:val="21"/>
                <w:szCs w:val="21"/>
                <w:lang w:eastAsia="zh-CN" w:bidi="ar-SA"/>
              </w:rPr>
            </w:pPr>
            <w:r>
              <w:rPr>
                <w:sz w:val="21"/>
                <w:szCs w:val="21"/>
                <w:lang w:eastAsia="zh-CN" w:bidi="ar-SA"/>
              </w:rPr>
              <w:t>Pi(%)</w:t>
            </w:r>
          </w:p>
        </w:tc>
      </w:tr>
      <w:tr w14:paraId="115FDF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38" w:type="dxa"/>
            <w:vAlign w:val="center"/>
          </w:tcPr>
          <w:p w14:paraId="410E7B4B">
            <w:pPr>
              <w:pStyle w:val="337"/>
              <w:rPr>
                <w:rFonts w:asciiTheme="minorEastAsia" w:hAnsiTheme="minorEastAsia" w:eastAsiaTheme="minorEastAsia"/>
                <w:color w:val="auto"/>
                <w:szCs w:val="21"/>
                <w:lang w:val="en-US" w:eastAsia="zh-CN" w:bidi="en-US"/>
              </w:rPr>
            </w:pPr>
            <w:r>
              <w:rPr>
                <w:rFonts w:asciiTheme="minorEastAsia" w:hAnsiTheme="minorEastAsia" w:eastAsiaTheme="minorEastAsia"/>
                <w:color w:val="auto"/>
                <w:szCs w:val="21"/>
                <w:lang w:val="en-US" w:eastAsia="zh-CN" w:bidi="en-US"/>
              </w:rPr>
              <w:t>雅</w:t>
            </w:r>
            <w:r>
              <w:rPr>
                <w:rFonts w:hint="eastAsia" w:asciiTheme="minorEastAsia" w:hAnsiTheme="minorEastAsia" w:eastAsiaTheme="minorEastAsia"/>
                <w:color w:val="auto"/>
                <w:szCs w:val="21"/>
                <w:lang w:val="en-US" w:eastAsia="zh-CN" w:bidi="en-US"/>
              </w:rPr>
              <w:t>斯</w:t>
            </w:r>
            <w:r>
              <w:rPr>
                <w:rFonts w:asciiTheme="minorEastAsia" w:hAnsiTheme="minorEastAsia" w:eastAsiaTheme="minorEastAsia"/>
                <w:color w:val="auto"/>
                <w:szCs w:val="21"/>
                <w:lang w:val="en-US" w:eastAsia="zh-CN" w:bidi="en-US"/>
              </w:rPr>
              <w:t>联合站</w:t>
            </w:r>
            <w:r>
              <w:rPr>
                <w:rFonts w:hint="eastAsia" w:asciiTheme="minorEastAsia" w:hAnsiTheme="minorEastAsia" w:eastAsiaTheme="minorEastAsia"/>
                <w:color w:val="auto"/>
                <w:szCs w:val="21"/>
                <w:lang w:val="en-US" w:eastAsia="zh-CN" w:bidi="en-US"/>
              </w:rPr>
              <w:t>加热锅炉</w:t>
            </w:r>
          </w:p>
        </w:tc>
        <w:tc>
          <w:tcPr>
            <w:tcW w:w="1134" w:type="dxa"/>
            <w:vAlign w:val="center"/>
          </w:tcPr>
          <w:p w14:paraId="5942CB5B">
            <w:pPr>
              <w:spacing w:line="240" w:lineRule="auto"/>
              <w:ind w:firstLine="0" w:firstLineChars="0"/>
              <w:jc w:val="center"/>
              <w:textAlignment w:val="baseline"/>
              <w:rPr>
                <w:sz w:val="21"/>
                <w:szCs w:val="21"/>
                <w:lang w:eastAsia="zh-CN" w:bidi="ar-SA"/>
              </w:rPr>
            </w:pPr>
            <w:r>
              <w:rPr>
                <w:sz w:val="21"/>
                <w:szCs w:val="21"/>
                <w:lang w:eastAsia="zh-CN"/>
              </w:rPr>
              <w:t>NO</w:t>
            </w:r>
            <w:r>
              <w:rPr>
                <w:sz w:val="21"/>
                <w:szCs w:val="21"/>
                <w:vertAlign w:val="subscript"/>
                <w:lang w:eastAsia="zh-CN"/>
              </w:rPr>
              <w:t>2</w:t>
            </w:r>
          </w:p>
        </w:tc>
        <w:tc>
          <w:tcPr>
            <w:tcW w:w="1134" w:type="dxa"/>
            <w:vAlign w:val="center"/>
          </w:tcPr>
          <w:p w14:paraId="0DBAA2D6">
            <w:pPr>
              <w:spacing w:line="240" w:lineRule="auto"/>
              <w:ind w:firstLine="0" w:firstLineChars="0"/>
              <w:jc w:val="center"/>
              <w:textAlignment w:val="baseline"/>
              <w:rPr>
                <w:sz w:val="21"/>
                <w:szCs w:val="21"/>
                <w:lang w:eastAsia="zh-CN" w:bidi="ar-SA"/>
              </w:rPr>
            </w:pPr>
            <w:r>
              <w:rPr>
                <w:rFonts w:hint="eastAsia"/>
                <w:sz w:val="21"/>
                <w:szCs w:val="21"/>
                <w:lang w:eastAsia="zh-CN" w:bidi="ar-SA"/>
              </w:rPr>
              <w:t>0.24</w:t>
            </w:r>
          </w:p>
        </w:tc>
        <w:tc>
          <w:tcPr>
            <w:tcW w:w="1701" w:type="dxa"/>
            <w:vAlign w:val="center"/>
          </w:tcPr>
          <w:p w14:paraId="5D181846">
            <w:pPr>
              <w:spacing w:line="240" w:lineRule="auto"/>
              <w:ind w:firstLine="0" w:firstLineChars="0"/>
              <w:jc w:val="center"/>
              <w:textAlignment w:val="baseline"/>
              <w:rPr>
                <w:sz w:val="21"/>
                <w:szCs w:val="21"/>
                <w:lang w:eastAsia="zh-CN" w:bidi="ar-SA"/>
              </w:rPr>
            </w:pPr>
            <w:r>
              <w:rPr>
                <w:rFonts w:hint="eastAsia"/>
                <w:sz w:val="21"/>
                <w:szCs w:val="21"/>
                <w:lang w:eastAsia="zh-CN" w:bidi="ar-SA"/>
              </w:rPr>
              <w:t>0.00055</w:t>
            </w:r>
          </w:p>
        </w:tc>
        <w:tc>
          <w:tcPr>
            <w:tcW w:w="1701" w:type="dxa"/>
            <w:vAlign w:val="center"/>
          </w:tcPr>
          <w:p w14:paraId="74141DF8">
            <w:pPr>
              <w:spacing w:line="240" w:lineRule="auto"/>
              <w:ind w:firstLine="0" w:firstLineChars="0"/>
              <w:jc w:val="center"/>
              <w:textAlignment w:val="baseline"/>
              <w:rPr>
                <w:sz w:val="21"/>
                <w:szCs w:val="21"/>
                <w:lang w:eastAsia="zh-CN" w:bidi="ar-SA"/>
              </w:rPr>
            </w:pPr>
            <w:r>
              <w:rPr>
                <w:rFonts w:hint="eastAsia"/>
                <w:sz w:val="21"/>
                <w:szCs w:val="21"/>
                <w:lang w:eastAsia="zh-CN" w:bidi="ar-SA"/>
              </w:rPr>
              <w:t>206</w:t>
            </w:r>
          </w:p>
        </w:tc>
        <w:tc>
          <w:tcPr>
            <w:tcW w:w="1060" w:type="dxa"/>
            <w:vAlign w:val="center"/>
          </w:tcPr>
          <w:p w14:paraId="0FA56346">
            <w:pPr>
              <w:spacing w:line="240" w:lineRule="auto"/>
              <w:ind w:firstLine="0" w:firstLineChars="0"/>
              <w:jc w:val="center"/>
              <w:textAlignment w:val="baseline"/>
              <w:rPr>
                <w:sz w:val="21"/>
                <w:szCs w:val="21"/>
                <w:lang w:eastAsia="zh-CN" w:bidi="ar-SA"/>
              </w:rPr>
            </w:pPr>
            <w:r>
              <w:rPr>
                <w:rFonts w:hint="eastAsia"/>
                <w:sz w:val="21"/>
                <w:szCs w:val="21"/>
                <w:lang w:eastAsia="zh-CN" w:bidi="ar-SA"/>
              </w:rPr>
              <w:t>0.23</w:t>
            </w:r>
          </w:p>
        </w:tc>
      </w:tr>
      <w:tr w14:paraId="111945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38" w:type="dxa"/>
            <w:vMerge w:val="restart"/>
            <w:vAlign w:val="center"/>
          </w:tcPr>
          <w:p w14:paraId="0884219E">
            <w:pPr>
              <w:pStyle w:val="337"/>
              <w:rPr>
                <w:rFonts w:asciiTheme="minorEastAsia" w:hAnsiTheme="minorEastAsia" w:eastAsiaTheme="minorEastAsia"/>
                <w:color w:val="auto"/>
                <w:szCs w:val="21"/>
                <w:lang w:val="en-US" w:eastAsia="zh-CN" w:bidi="en-US"/>
              </w:rPr>
            </w:pPr>
            <w:r>
              <w:rPr>
                <w:rFonts w:asciiTheme="minorEastAsia" w:hAnsiTheme="minorEastAsia" w:eastAsiaTheme="minorEastAsia"/>
                <w:color w:val="auto"/>
                <w:szCs w:val="21"/>
                <w:lang w:val="en-US" w:eastAsia="zh-CN" w:bidi="en-US"/>
              </w:rPr>
              <w:t>雅</w:t>
            </w:r>
            <w:r>
              <w:rPr>
                <w:rFonts w:hint="eastAsia" w:asciiTheme="minorEastAsia" w:hAnsiTheme="minorEastAsia" w:eastAsiaTheme="minorEastAsia"/>
                <w:color w:val="auto"/>
                <w:szCs w:val="21"/>
                <w:lang w:val="en-US" w:eastAsia="zh-CN" w:bidi="en-US"/>
              </w:rPr>
              <w:t>斯</w:t>
            </w:r>
            <w:r>
              <w:rPr>
                <w:rFonts w:asciiTheme="minorEastAsia" w:hAnsiTheme="minorEastAsia" w:eastAsiaTheme="minorEastAsia"/>
                <w:color w:val="auto"/>
                <w:szCs w:val="21"/>
                <w:lang w:val="en-US" w:eastAsia="zh-CN" w:bidi="en-US"/>
              </w:rPr>
              <w:t>联合站</w:t>
            </w:r>
          </w:p>
          <w:p w14:paraId="3D570DCF">
            <w:pPr>
              <w:spacing w:line="240" w:lineRule="auto"/>
              <w:ind w:firstLine="0" w:firstLineChars="0"/>
              <w:jc w:val="center"/>
              <w:textAlignment w:val="baseline"/>
              <w:rPr>
                <w:sz w:val="21"/>
                <w:szCs w:val="21"/>
                <w:lang w:eastAsia="zh-CN" w:bidi="ar-SA"/>
              </w:rPr>
            </w:pPr>
            <w:r>
              <w:rPr>
                <w:rFonts w:hint="eastAsia" w:asciiTheme="minorEastAsia" w:hAnsiTheme="minorEastAsia" w:eastAsiaTheme="minorEastAsia"/>
                <w:sz w:val="21"/>
                <w:szCs w:val="21"/>
                <w:lang w:eastAsia="zh-CN"/>
              </w:rPr>
              <w:t>燃气机组</w:t>
            </w:r>
          </w:p>
        </w:tc>
        <w:tc>
          <w:tcPr>
            <w:tcW w:w="1134" w:type="dxa"/>
            <w:vAlign w:val="center"/>
          </w:tcPr>
          <w:p w14:paraId="62F96B3D">
            <w:pPr>
              <w:spacing w:line="240" w:lineRule="auto"/>
              <w:ind w:firstLine="0" w:firstLineChars="0"/>
              <w:jc w:val="center"/>
              <w:textAlignment w:val="baseline"/>
              <w:rPr>
                <w:sz w:val="21"/>
                <w:szCs w:val="21"/>
                <w:lang w:eastAsia="zh-CN" w:bidi="ar-SA"/>
              </w:rPr>
            </w:pPr>
            <w:r>
              <w:rPr>
                <w:sz w:val="21"/>
                <w:szCs w:val="21"/>
                <w:lang w:eastAsia="zh-CN" w:bidi="ar-SA"/>
              </w:rPr>
              <w:t>SO</w:t>
            </w:r>
            <w:r>
              <w:rPr>
                <w:sz w:val="21"/>
                <w:szCs w:val="21"/>
                <w:vertAlign w:val="subscript"/>
                <w:lang w:eastAsia="zh-CN" w:bidi="ar-SA"/>
              </w:rPr>
              <w:t>2</w:t>
            </w:r>
          </w:p>
        </w:tc>
        <w:tc>
          <w:tcPr>
            <w:tcW w:w="1134" w:type="dxa"/>
            <w:vAlign w:val="center"/>
          </w:tcPr>
          <w:p w14:paraId="5CEBE02D">
            <w:pPr>
              <w:spacing w:line="240" w:lineRule="auto"/>
              <w:ind w:firstLine="0" w:firstLineChars="0"/>
              <w:jc w:val="center"/>
              <w:textAlignment w:val="baseline"/>
              <w:rPr>
                <w:sz w:val="21"/>
                <w:szCs w:val="21"/>
                <w:lang w:eastAsia="zh-CN" w:bidi="ar-SA"/>
              </w:rPr>
            </w:pPr>
            <w:r>
              <w:rPr>
                <w:rFonts w:hint="eastAsia"/>
                <w:sz w:val="21"/>
                <w:szCs w:val="21"/>
                <w:lang w:eastAsia="zh-CN" w:bidi="ar-SA"/>
              </w:rPr>
              <w:t>0.50</w:t>
            </w:r>
          </w:p>
        </w:tc>
        <w:tc>
          <w:tcPr>
            <w:tcW w:w="1701" w:type="dxa"/>
            <w:vAlign w:val="center"/>
          </w:tcPr>
          <w:p w14:paraId="3EF3C133">
            <w:pPr>
              <w:spacing w:line="240" w:lineRule="auto"/>
              <w:ind w:firstLine="0" w:firstLineChars="0"/>
              <w:jc w:val="center"/>
              <w:textAlignment w:val="baseline"/>
              <w:rPr>
                <w:sz w:val="21"/>
                <w:szCs w:val="21"/>
                <w:lang w:eastAsia="zh-CN" w:bidi="ar-SA"/>
              </w:rPr>
            </w:pPr>
            <w:r>
              <w:rPr>
                <w:rFonts w:hint="eastAsia"/>
                <w:sz w:val="21"/>
                <w:szCs w:val="21"/>
                <w:lang w:eastAsia="zh-CN" w:bidi="ar-SA"/>
              </w:rPr>
              <w:t>0.000755</w:t>
            </w:r>
          </w:p>
        </w:tc>
        <w:tc>
          <w:tcPr>
            <w:tcW w:w="1701" w:type="dxa"/>
            <w:vAlign w:val="center"/>
          </w:tcPr>
          <w:p w14:paraId="24FD3F00">
            <w:pPr>
              <w:spacing w:line="240" w:lineRule="auto"/>
              <w:ind w:firstLine="0" w:firstLineChars="0"/>
              <w:jc w:val="center"/>
              <w:textAlignment w:val="baseline"/>
              <w:rPr>
                <w:sz w:val="21"/>
                <w:szCs w:val="21"/>
                <w:lang w:eastAsia="zh-CN" w:bidi="ar-SA"/>
              </w:rPr>
            </w:pPr>
            <w:r>
              <w:rPr>
                <w:rFonts w:hint="eastAsia"/>
                <w:sz w:val="21"/>
                <w:szCs w:val="21"/>
                <w:lang w:eastAsia="zh-CN" w:bidi="ar-SA"/>
              </w:rPr>
              <w:t>189</w:t>
            </w:r>
          </w:p>
        </w:tc>
        <w:tc>
          <w:tcPr>
            <w:tcW w:w="1060" w:type="dxa"/>
            <w:vAlign w:val="center"/>
          </w:tcPr>
          <w:p w14:paraId="663E1E8E">
            <w:pPr>
              <w:spacing w:line="240" w:lineRule="auto"/>
              <w:ind w:firstLine="0" w:firstLineChars="0"/>
              <w:jc w:val="center"/>
              <w:textAlignment w:val="baseline"/>
              <w:rPr>
                <w:sz w:val="21"/>
                <w:szCs w:val="21"/>
                <w:lang w:eastAsia="zh-CN" w:bidi="ar-SA"/>
              </w:rPr>
            </w:pPr>
            <w:r>
              <w:rPr>
                <w:rFonts w:hint="eastAsia"/>
                <w:sz w:val="21"/>
                <w:szCs w:val="21"/>
                <w:lang w:eastAsia="zh-CN" w:bidi="ar-SA"/>
              </w:rPr>
              <w:t>0.16</w:t>
            </w:r>
          </w:p>
        </w:tc>
      </w:tr>
      <w:tr w14:paraId="60344C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38" w:type="dxa"/>
            <w:vMerge w:val="continue"/>
            <w:vAlign w:val="center"/>
          </w:tcPr>
          <w:p w14:paraId="1041D0D9">
            <w:pPr>
              <w:spacing w:line="240" w:lineRule="auto"/>
              <w:ind w:firstLine="0" w:firstLineChars="0"/>
              <w:jc w:val="center"/>
              <w:textAlignment w:val="baseline"/>
              <w:rPr>
                <w:sz w:val="21"/>
                <w:szCs w:val="21"/>
                <w:lang w:eastAsia="zh-CN" w:bidi="ar-SA"/>
              </w:rPr>
            </w:pPr>
          </w:p>
        </w:tc>
        <w:tc>
          <w:tcPr>
            <w:tcW w:w="1134" w:type="dxa"/>
            <w:vAlign w:val="center"/>
          </w:tcPr>
          <w:p w14:paraId="793B4F65">
            <w:pPr>
              <w:spacing w:line="240" w:lineRule="auto"/>
              <w:ind w:firstLine="0" w:firstLineChars="0"/>
              <w:jc w:val="center"/>
              <w:textAlignment w:val="baseline"/>
              <w:rPr>
                <w:sz w:val="21"/>
                <w:szCs w:val="21"/>
                <w:lang w:eastAsia="zh-CN" w:bidi="ar-SA"/>
              </w:rPr>
            </w:pPr>
            <w:r>
              <w:rPr>
                <w:sz w:val="21"/>
                <w:szCs w:val="21"/>
                <w:lang w:eastAsia="zh-CN"/>
              </w:rPr>
              <w:t>NO</w:t>
            </w:r>
            <w:r>
              <w:rPr>
                <w:sz w:val="21"/>
                <w:szCs w:val="21"/>
                <w:vertAlign w:val="subscript"/>
                <w:lang w:eastAsia="zh-CN"/>
              </w:rPr>
              <w:t>2</w:t>
            </w:r>
          </w:p>
        </w:tc>
        <w:tc>
          <w:tcPr>
            <w:tcW w:w="1134" w:type="dxa"/>
            <w:vAlign w:val="center"/>
          </w:tcPr>
          <w:p w14:paraId="597E67CB">
            <w:pPr>
              <w:spacing w:line="240" w:lineRule="auto"/>
              <w:ind w:firstLine="0" w:firstLineChars="0"/>
              <w:jc w:val="center"/>
              <w:textAlignment w:val="baseline"/>
              <w:rPr>
                <w:sz w:val="21"/>
                <w:szCs w:val="21"/>
                <w:lang w:eastAsia="zh-CN" w:bidi="ar-SA"/>
              </w:rPr>
            </w:pPr>
            <w:r>
              <w:rPr>
                <w:rFonts w:hint="eastAsia"/>
                <w:sz w:val="21"/>
                <w:szCs w:val="21"/>
                <w:lang w:eastAsia="zh-CN" w:bidi="ar-SA"/>
              </w:rPr>
              <w:t>0.24</w:t>
            </w:r>
          </w:p>
        </w:tc>
        <w:tc>
          <w:tcPr>
            <w:tcW w:w="1701" w:type="dxa"/>
            <w:vAlign w:val="center"/>
          </w:tcPr>
          <w:p w14:paraId="1EAB39CD">
            <w:pPr>
              <w:spacing w:line="240" w:lineRule="auto"/>
              <w:ind w:firstLine="0" w:firstLineChars="0"/>
              <w:jc w:val="center"/>
              <w:textAlignment w:val="baseline"/>
              <w:rPr>
                <w:sz w:val="21"/>
                <w:szCs w:val="21"/>
                <w:lang w:eastAsia="zh-CN" w:bidi="ar-SA"/>
              </w:rPr>
            </w:pPr>
            <w:r>
              <w:rPr>
                <w:rFonts w:hint="eastAsia"/>
                <w:sz w:val="21"/>
                <w:szCs w:val="21"/>
                <w:lang w:eastAsia="zh-CN" w:bidi="ar-SA"/>
              </w:rPr>
              <w:t>0.00241</w:t>
            </w:r>
          </w:p>
        </w:tc>
        <w:tc>
          <w:tcPr>
            <w:tcW w:w="1701" w:type="dxa"/>
            <w:vAlign w:val="center"/>
          </w:tcPr>
          <w:p w14:paraId="48B2E040">
            <w:pPr>
              <w:spacing w:line="240" w:lineRule="auto"/>
              <w:ind w:firstLine="0" w:firstLineChars="0"/>
              <w:jc w:val="center"/>
              <w:textAlignment w:val="baseline"/>
              <w:rPr>
                <w:sz w:val="21"/>
                <w:szCs w:val="21"/>
                <w:lang w:eastAsia="zh-CN" w:bidi="ar-SA"/>
              </w:rPr>
            </w:pPr>
            <w:r>
              <w:rPr>
                <w:rFonts w:hint="eastAsia"/>
                <w:sz w:val="21"/>
                <w:szCs w:val="21"/>
                <w:lang w:eastAsia="zh-CN" w:bidi="ar-SA"/>
              </w:rPr>
              <w:t>189</w:t>
            </w:r>
          </w:p>
        </w:tc>
        <w:tc>
          <w:tcPr>
            <w:tcW w:w="1060" w:type="dxa"/>
            <w:vAlign w:val="center"/>
          </w:tcPr>
          <w:p w14:paraId="6530569F">
            <w:pPr>
              <w:spacing w:line="240" w:lineRule="auto"/>
              <w:ind w:firstLine="0" w:firstLineChars="0"/>
              <w:jc w:val="center"/>
              <w:textAlignment w:val="baseline"/>
              <w:rPr>
                <w:sz w:val="21"/>
                <w:szCs w:val="21"/>
                <w:lang w:eastAsia="zh-CN" w:bidi="ar-SA"/>
              </w:rPr>
            </w:pPr>
            <w:r>
              <w:rPr>
                <w:rFonts w:hint="eastAsia"/>
                <w:sz w:val="21"/>
                <w:szCs w:val="21"/>
                <w:lang w:eastAsia="zh-CN" w:bidi="ar-SA"/>
              </w:rPr>
              <w:t>1.0</w:t>
            </w:r>
          </w:p>
        </w:tc>
      </w:tr>
      <w:tr w14:paraId="0891A7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38" w:type="dxa"/>
            <w:vMerge w:val="continue"/>
            <w:vAlign w:val="center"/>
          </w:tcPr>
          <w:p w14:paraId="22F46F6A">
            <w:pPr>
              <w:spacing w:line="240" w:lineRule="auto"/>
              <w:ind w:firstLine="0" w:firstLineChars="0"/>
              <w:jc w:val="center"/>
              <w:textAlignment w:val="baseline"/>
              <w:rPr>
                <w:sz w:val="21"/>
                <w:szCs w:val="21"/>
                <w:lang w:eastAsia="zh-CN" w:bidi="ar-SA"/>
              </w:rPr>
            </w:pPr>
          </w:p>
        </w:tc>
        <w:tc>
          <w:tcPr>
            <w:tcW w:w="1134" w:type="dxa"/>
            <w:vAlign w:val="center"/>
          </w:tcPr>
          <w:p w14:paraId="17158708">
            <w:pPr>
              <w:spacing w:line="240" w:lineRule="auto"/>
              <w:ind w:firstLine="0" w:firstLineChars="0"/>
              <w:jc w:val="center"/>
              <w:textAlignment w:val="baseline"/>
              <w:rPr>
                <w:sz w:val="21"/>
                <w:szCs w:val="21"/>
                <w:lang w:eastAsia="zh-CN" w:bidi="ar-SA"/>
              </w:rPr>
            </w:pPr>
            <w:r>
              <w:rPr>
                <w:rFonts w:hint="eastAsia"/>
                <w:sz w:val="21"/>
                <w:szCs w:val="21"/>
                <w:lang w:eastAsia="zh-CN"/>
              </w:rPr>
              <w:t>烟尘</w:t>
            </w:r>
          </w:p>
        </w:tc>
        <w:tc>
          <w:tcPr>
            <w:tcW w:w="1134" w:type="dxa"/>
            <w:vAlign w:val="center"/>
          </w:tcPr>
          <w:p w14:paraId="1AD1773F">
            <w:pPr>
              <w:spacing w:line="240" w:lineRule="auto"/>
              <w:ind w:firstLine="0" w:firstLineChars="0"/>
              <w:jc w:val="center"/>
              <w:textAlignment w:val="baseline"/>
              <w:rPr>
                <w:sz w:val="21"/>
                <w:szCs w:val="21"/>
                <w:lang w:eastAsia="zh-CN" w:bidi="ar-SA"/>
              </w:rPr>
            </w:pPr>
            <w:r>
              <w:rPr>
                <w:sz w:val="21"/>
                <w:szCs w:val="21"/>
                <w:lang w:eastAsia="zh-CN" w:bidi="ar-SA"/>
              </w:rPr>
              <w:t>0.</w:t>
            </w:r>
            <w:r>
              <w:rPr>
                <w:rFonts w:hint="eastAsia"/>
                <w:sz w:val="21"/>
                <w:szCs w:val="21"/>
                <w:lang w:eastAsia="zh-CN" w:bidi="ar-SA"/>
              </w:rPr>
              <w:t>90</w:t>
            </w:r>
          </w:p>
        </w:tc>
        <w:tc>
          <w:tcPr>
            <w:tcW w:w="1701" w:type="dxa"/>
            <w:vAlign w:val="center"/>
          </w:tcPr>
          <w:p w14:paraId="79500D75">
            <w:pPr>
              <w:spacing w:line="240" w:lineRule="auto"/>
              <w:ind w:firstLine="0" w:firstLineChars="0"/>
              <w:jc w:val="center"/>
              <w:textAlignment w:val="baseline"/>
              <w:rPr>
                <w:sz w:val="21"/>
                <w:szCs w:val="21"/>
                <w:lang w:eastAsia="zh-CN" w:bidi="ar-SA"/>
              </w:rPr>
            </w:pPr>
            <w:r>
              <w:rPr>
                <w:rFonts w:hint="eastAsia"/>
                <w:sz w:val="21"/>
                <w:szCs w:val="21"/>
                <w:lang w:eastAsia="zh-CN" w:bidi="ar-SA"/>
              </w:rPr>
              <w:t>0.00114</w:t>
            </w:r>
          </w:p>
        </w:tc>
        <w:tc>
          <w:tcPr>
            <w:tcW w:w="1701" w:type="dxa"/>
            <w:vAlign w:val="center"/>
          </w:tcPr>
          <w:p w14:paraId="4D618F1C">
            <w:pPr>
              <w:spacing w:line="240" w:lineRule="auto"/>
              <w:ind w:firstLine="0" w:firstLineChars="0"/>
              <w:jc w:val="center"/>
              <w:textAlignment w:val="baseline"/>
              <w:rPr>
                <w:sz w:val="21"/>
                <w:szCs w:val="21"/>
                <w:lang w:eastAsia="zh-CN" w:bidi="ar-SA"/>
              </w:rPr>
            </w:pPr>
            <w:r>
              <w:rPr>
                <w:rFonts w:hint="eastAsia"/>
                <w:sz w:val="21"/>
                <w:szCs w:val="21"/>
                <w:lang w:eastAsia="zh-CN" w:bidi="ar-SA"/>
              </w:rPr>
              <w:t>189</w:t>
            </w:r>
          </w:p>
        </w:tc>
        <w:tc>
          <w:tcPr>
            <w:tcW w:w="1060" w:type="dxa"/>
            <w:vAlign w:val="center"/>
          </w:tcPr>
          <w:p w14:paraId="348877F7">
            <w:pPr>
              <w:spacing w:line="240" w:lineRule="auto"/>
              <w:ind w:firstLine="0" w:firstLineChars="0"/>
              <w:jc w:val="center"/>
              <w:textAlignment w:val="baseline"/>
              <w:rPr>
                <w:sz w:val="21"/>
                <w:szCs w:val="21"/>
                <w:lang w:eastAsia="zh-CN" w:bidi="ar-SA"/>
              </w:rPr>
            </w:pPr>
            <w:r>
              <w:rPr>
                <w:rFonts w:hint="eastAsia"/>
                <w:sz w:val="21"/>
                <w:szCs w:val="21"/>
                <w:lang w:eastAsia="zh-CN" w:bidi="ar-SA"/>
              </w:rPr>
              <w:t>0.13</w:t>
            </w:r>
          </w:p>
        </w:tc>
      </w:tr>
    </w:tbl>
    <w:p w14:paraId="729CFBF3">
      <w:pPr>
        <w:ind w:firstLine="480"/>
        <w:rPr>
          <w:rFonts w:asciiTheme="minorEastAsia" w:hAnsiTheme="minorEastAsia" w:eastAsiaTheme="minorEastAsia"/>
          <w:lang w:eastAsia="zh-CN"/>
        </w:rPr>
      </w:pPr>
      <w:r>
        <w:rPr>
          <w:rFonts w:asciiTheme="minorEastAsia" w:hAnsiTheme="minorEastAsia" w:eastAsiaTheme="minorEastAsia"/>
          <w:lang w:eastAsia="zh-CN"/>
        </w:rPr>
        <w:t>由表1.</w:t>
      </w:r>
      <w:r>
        <w:rPr>
          <w:rFonts w:hint="eastAsia" w:asciiTheme="minorEastAsia" w:hAnsiTheme="minorEastAsia" w:eastAsiaTheme="minorEastAsia"/>
          <w:lang w:eastAsia="zh-CN"/>
        </w:rPr>
        <w:t>6</w:t>
      </w:r>
      <w:r>
        <w:rPr>
          <w:rFonts w:asciiTheme="minorEastAsia" w:hAnsiTheme="minorEastAsia" w:eastAsiaTheme="minorEastAsia"/>
          <w:lang w:eastAsia="zh-CN"/>
        </w:rPr>
        <w:t>-</w:t>
      </w:r>
      <w:r>
        <w:rPr>
          <w:rFonts w:hint="eastAsia" w:asciiTheme="minorEastAsia" w:hAnsiTheme="minorEastAsia" w:eastAsiaTheme="minorEastAsia"/>
          <w:lang w:eastAsia="zh-CN"/>
        </w:rPr>
        <w:t>3</w:t>
      </w:r>
      <w:r>
        <w:rPr>
          <w:rFonts w:asciiTheme="minorEastAsia" w:hAnsiTheme="minorEastAsia" w:eastAsiaTheme="minorEastAsia"/>
          <w:lang w:eastAsia="zh-CN"/>
        </w:rPr>
        <w:t>可以看出，根据导则HJ2.2-2008中对大气评价工作等级的相关规定：</w:t>
      </w:r>
      <w:r>
        <w:rPr>
          <w:rFonts w:hint="eastAsia" w:asciiTheme="minorEastAsia" w:hAnsiTheme="minorEastAsia" w:eastAsiaTheme="minorEastAsia"/>
          <w:lang w:eastAsia="zh-CN"/>
        </w:rPr>
        <w:t>雅斯联合站加热</w:t>
      </w:r>
      <w:r>
        <w:rPr>
          <w:rFonts w:asciiTheme="minorEastAsia" w:hAnsiTheme="minorEastAsia" w:eastAsiaTheme="minorEastAsia"/>
          <w:lang w:eastAsia="zh-CN"/>
        </w:rPr>
        <w:t>炉排放NO</w:t>
      </w:r>
      <w:r>
        <w:rPr>
          <w:rFonts w:asciiTheme="minorEastAsia" w:hAnsiTheme="minorEastAsia" w:eastAsiaTheme="minorEastAsia"/>
          <w:vertAlign w:val="subscript"/>
          <w:lang w:eastAsia="zh-CN"/>
        </w:rPr>
        <w:t>2</w:t>
      </w:r>
      <w:r>
        <w:rPr>
          <w:rFonts w:asciiTheme="minorEastAsia" w:hAnsiTheme="minorEastAsia" w:eastAsiaTheme="minorEastAsia"/>
          <w:lang w:eastAsia="zh-CN"/>
        </w:rPr>
        <w:t>的Pmax为</w:t>
      </w:r>
      <w:r>
        <w:rPr>
          <w:rFonts w:hint="eastAsia" w:asciiTheme="minorEastAsia" w:hAnsiTheme="minorEastAsia" w:eastAsiaTheme="minorEastAsia"/>
          <w:lang w:eastAsia="zh-CN"/>
        </w:rPr>
        <w:t>0.23</w:t>
      </w:r>
      <w:r>
        <w:rPr>
          <w:rFonts w:asciiTheme="minorEastAsia" w:hAnsiTheme="minorEastAsia" w:eastAsiaTheme="minorEastAsia"/>
          <w:lang w:eastAsia="zh-CN"/>
        </w:rPr>
        <w:t>%＜10%，雅</w:t>
      </w:r>
      <w:r>
        <w:rPr>
          <w:rFonts w:hint="eastAsia" w:asciiTheme="minorEastAsia" w:hAnsiTheme="minorEastAsia" w:eastAsiaTheme="minorEastAsia"/>
          <w:lang w:eastAsia="zh-CN"/>
        </w:rPr>
        <w:t>斯</w:t>
      </w:r>
      <w:r>
        <w:rPr>
          <w:rFonts w:asciiTheme="minorEastAsia" w:hAnsiTheme="minorEastAsia" w:eastAsiaTheme="minorEastAsia"/>
          <w:lang w:eastAsia="zh-CN"/>
        </w:rPr>
        <w:t>联合站</w:t>
      </w:r>
      <w:r>
        <w:rPr>
          <w:rFonts w:hint="eastAsia" w:asciiTheme="minorEastAsia" w:hAnsiTheme="minorEastAsia" w:eastAsiaTheme="minorEastAsia"/>
          <w:lang w:eastAsia="zh-CN"/>
        </w:rPr>
        <w:t>燃气机组</w:t>
      </w:r>
      <w:r>
        <w:rPr>
          <w:rFonts w:asciiTheme="minorEastAsia" w:hAnsiTheme="minorEastAsia" w:eastAsiaTheme="minorEastAsia"/>
          <w:lang w:eastAsia="zh-CN"/>
        </w:rPr>
        <w:t>排放NO</w:t>
      </w:r>
      <w:r>
        <w:rPr>
          <w:rFonts w:asciiTheme="minorEastAsia" w:hAnsiTheme="minorEastAsia" w:eastAsiaTheme="minorEastAsia"/>
          <w:vertAlign w:val="subscript"/>
          <w:lang w:eastAsia="zh-CN"/>
        </w:rPr>
        <w:t>2</w:t>
      </w:r>
      <w:r>
        <w:rPr>
          <w:rFonts w:asciiTheme="minorEastAsia" w:hAnsiTheme="minorEastAsia" w:eastAsiaTheme="minorEastAsia"/>
          <w:lang w:eastAsia="zh-CN"/>
        </w:rPr>
        <w:t>的Pmax为</w:t>
      </w:r>
      <w:r>
        <w:rPr>
          <w:rFonts w:hint="eastAsia" w:asciiTheme="minorEastAsia" w:hAnsiTheme="minorEastAsia" w:eastAsiaTheme="minorEastAsia"/>
          <w:lang w:eastAsia="zh-CN"/>
        </w:rPr>
        <w:t>0.898</w:t>
      </w:r>
      <w:r>
        <w:rPr>
          <w:rFonts w:asciiTheme="minorEastAsia" w:hAnsiTheme="minorEastAsia" w:eastAsiaTheme="minorEastAsia"/>
          <w:lang w:eastAsia="zh-CN"/>
        </w:rPr>
        <w:t>%＜10%，因此，本项目的大气环评工作等级定为三级。</w:t>
      </w:r>
    </w:p>
    <w:p w14:paraId="05CA3A91">
      <w:pPr>
        <w:pStyle w:val="4"/>
        <w:rPr>
          <w:lang w:eastAsia="zh-CN"/>
        </w:rPr>
      </w:pPr>
      <w:bookmarkStart w:id="99" w:name="_Toc408413895"/>
      <w:r>
        <w:rPr>
          <w:lang w:eastAsia="zh-CN"/>
        </w:rPr>
        <w:t>1.</w:t>
      </w:r>
      <w:r>
        <w:rPr>
          <w:rFonts w:hint="eastAsia"/>
          <w:lang w:eastAsia="zh-CN"/>
        </w:rPr>
        <w:t>6</w:t>
      </w:r>
      <w:r>
        <w:rPr>
          <w:lang w:eastAsia="zh-CN"/>
        </w:rPr>
        <w:t>.2地下水环境影响评价等级</w:t>
      </w:r>
      <w:bookmarkEnd w:id="99"/>
    </w:p>
    <w:p w14:paraId="79900C35">
      <w:pPr>
        <w:ind w:firstLine="480"/>
        <w:rPr>
          <w:rFonts w:asciiTheme="minorEastAsia" w:hAnsiTheme="minorEastAsia" w:eastAsiaTheme="minorEastAsia"/>
          <w:lang w:eastAsia="zh-CN"/>
        </w:rPr>
      </w:pPr>
      <w:r>
        <w:rPr>
          <w:rFonts w:asciiTheme="minorEastAsia" w:hAnsiTheme="minorEastAsia" w:eastAsiaTheme="minorEastAsia"/>
          <w:snapToGrid w:val="0"/>
          <w:szCs w:val="20"/>
          <w:lang w:eastAsia="zh-CN"/>
        </w:rPr>
        <w:t>本</w:t>
      </w:r>
      <w:r>
        <w:rPr>
          <w:rFonts w:asciiTheme="minorEastAsia" w:hAnsiTheme="minorEastAsia" w:eastAsiaTheme="minorEastAsia"/>
          <w:lang w:eastAsia="zh-CN"/>
        </w:rPr>
        <w:t>项目为油田开发建设项目，在项目建设、生产运行过程中，可能造成地下水水质污染</w:t>
      </w:r>
      <w:r>
        <w:rPr>
          <w:rFonts w:hint="eastAsia" w:asciiTheme="minorEastAsia" w:hAnsiTheme="minorEastAsia" w:eastAsiaTheme="minorEastAsia"/>
          <w:lang w:eastAsia="zh-CN"/>
        </w:rPr>
        <w:t>，</w:t>
      </w:r>
      <w:r>
        <w:rPr>
          <w:rFonts w:asciiTheme="minorEastAsia" w:hAnsiTheme="minorEastAsia" w:eastAsiaTheme="minorEastAsia"/>
          <w:lang w:eastAsia="zh-CN"/>
        </w:rPr>
        <w:t>可能引起地下水流场或地下水水位变化。按照《环境影响评价技术导则——地下水环境》（HJ 610-2011）中建设项目分类原则，本项目开发过程中同时具备Ⅰ类、Ⅱ类建设项目环境影响特征，属Ⅲ类建设项目。</w:t>
      </w:r>
    </w:p>
    <w:p w14:paraId="10A29E3F">
      <w:pPr>
        <w:ind w:firstLine="480"/>
        <w:rPr>
          <w:rFonts w:asciiTheme="minorEastAsia" w:hAnsiTheme="minorEastAsia" w:eastAsiaTheme="minorEastAsia"/>
          <w:snapToGrid w:val="0"/>
          <w:szCs w:val="20"/>
          <w:lang w:eastAsia="zh-CN"/>
        </w:rPr>
      </w:pPr>
      <w:r>
        <w:rPr>
          <w:rFonts w:hint="eastAsia" w:asciiTheme="minorEastAsia" w:hAnsiTheme="minorEastAsia" w:eastAsiaTheme="minorEastAsia"/>
          <w:snapToGrid w:val="0"/>
          <w:szCs w:val="20"/>
          <w:lang w:eastAsia="zh-CN"/>
        </w:rPr>
        <w:t>1、</w:t>
      </w:r>
      <w:r>
        <w:rPr>
          <w:rFonts w:asciiTheme="minorEastAsia" w:hAnsiTheme="minorEastAsia" w:eastAsiaTheme="minorEastAsia"/>
          <w:snapToGrid w:val="0"/>
          <w:szCs w:val="20"/>
          <w:lang w:eastAsia="zh-CN"/>
        </w:rPr>
        <w:t>根据Ⅰ类建设项目工作等级划分</w:t>
      </w:r>
    </w:p>
    <w:p w14:paraId="060DEA74">
      <w:pPr>
        <w:ind w:firstLine="480"/>
        <w:rPr>
          <w:rFonts w:asciiTheme="minorEastAsia" w:hAnsiTheme="minorEastAsia" w:eastAsiaTheme="minorEastAsia"/>
          <w:snapToGrid w:val="0"/>
          <w:szCs w:val="20"/>
          <w:lang w:eastAsia="zh-CN"/>
        </w:rPr>
      </w:pPr>
      <w:r>
        <w:rPr>
          <w:rFonts w:hint="eastAsia" w:asciiTheme="minorEastAsia" w:hAnsiTheme="minorEastAsia" w:eastAsiaTheme="minorEastAsia"/>
          <w:snapToGrid w:val="0"/>
          <w:szCs w:val="20"/>
          <w:lang w:eastAsia="zh-CN"/>
        </w:rPr>
        <w:t>（1）</w:t>
      </w:r>
      <w:r>
        <w:rPr>
          <w:rFonts w:asciiTheme="minorEastAsia" w:hAnsiTheme="minorEastAsia" w:eastAsiaTheme="minorEastAsia"/>
          <w:snapToGrid w:val="0"/>
          <w:szCs w:val="20"/>
          <w:lang w:eastAsia="zh-CN"/>
        </w:rPr>
        <w:t>分级依据</w:t>
      </w:r>
    </w:p>
    <w:p w14:paraId="38FA82AD">
      <w:pPr>
        <w:ind w:firstLine="480"/>
        <w:rPr>
          <w:rFonts w:ascii="宋体" w:hAnsi="宋体"/>
          <w:snapToGrid w:val="0"/>
          <w:szCs w:val="20"/>
          <w:lang w:eastAsia="zh-CN"/>
        </w:rPr>
      </w:pPr>
      <w:r>
        <w:rPr>
          <w:rFonts w:ascii="宋体" w:hAnsi="宋体"/>
          <w:snapToGrid w:val="0"/>
          <w:szCs w:val="20"/>
          <w:lang w:eastAsia="zh-CN"/>
        </w:rPr>
        <w:t>建</w:t>
      </w:r>
      <w:r>
        <w:rPr>
          <w:rFonts w:hint="eastAsia" w:asciiTheme="minorEastAsia" w:hAnsiTheme="minorEastAsia" w:eastAsiaTheme="minorEastAsia"/>
          <w:snapToGrid w:val="0"/>
          <w:szCs w:val="20"/>
          <w:lang w:eastAsia="zh-CN"/>
        </w:rPr>
        <w:t>设</w:t>
      </w:r>
      <w:r>
        <w:rPr>
          <w:rFonts w:ascii="宋体" w:hAnsi="宋体"/>
          <w:snapToGrid w:val="0"/>
          <w:szCs w:val="20"/>
          <w:lang w:eastAsia="zh-CN"/>
        </w:rPr>
        <w:t>项目（Ⅰ类）工作等级划分依据见表</w:t>
      </w:r>
      <w:r>
        <w:rPr>
          <w:rFonts w:hint="eastAsia" w:ascii="宋体" w:hAnsi="宋体"/>
          <w:snapToGrid w:val="0"/>
          <w:szCs w:val="20"/>
          <w:lang w:eastAsia="zh-CN"/>
        </w:rPr>
        <w:t>1</w:t>
      </w:r>
      <w:r>
        <w:rPr>
          <w:rFonts w:ascii="宋体" w:hAnsi="宋体"/>
          <w:snapToGrid w:val="0"/>
          <w:szCs w:val="20"/>
          <w:lang w:eastAsia="zh-CN"/>
        </w:rPr>
        <w:t>.</w:t>
      </w:r>
      <w:r>
        <w:rPr>
          <w:rFonts w:hint="eastAsia" w:asciiTheme="minorEastAsia" w:hAnsiTheme="minorEastAsia" w:eastAsiaTheme="minorEastAsia"/>
          <w:snapToGrid w:val="0"/>
          <w:szCs w:val="20"/>
          <w:lang w:eastAsia="zh-CN"/>
        </w:rPr>
        <w:t>6</w:t>
      </w:r>
      <w:r>
        <w:rPr>
          <w:rFonts w:ascii="宋体" w:hAnsi="宋体"/>
          <w:snapToGrid w:val="0"/>
          <w:szCs w:val="20"/>
          <w:lang w:eastAsia="zh-CN"/>
        </w:rPr>
        <w:t>-</w:t>
      </w:r>
      <w:r>
        <w:rPr>
          <w:rFonts w:hint="eastAsia" w:asciiTheme="minorEastAsia" w:hAnsiTheme="minorEastAsia" w:eastAsiaTheme="minorEastAsia"/>
          <w:snapToGrid w:val="0"/>
          <w:szCs w:val="20"/>
          <w:lang w:eastAsia="zh-CN"/>
        </w:rPr>
        <w:t>4</w:t>
      </w:r>
      <w:r>
        <w:rPr>
          <w:rFonts w:ascii="宋体" w:hAnsi="宋体"/>
          <w:snapToGrid w:val="0"/>
          <w:szCs w:val="20"/>
          <w:lang w:eastAsia="zh-CN"/>
        </w:rPr>
        <w:t>。</w:t>
      </w:r>
    </w:p>
    <w:p w14:paraId="516EBC7D">
      <w:pPr>
        <w:spacing w:line="240" w:lineRule="auto"/>
        <w:ind w:firstLine="361" w:firstLineChars="150"/>
        <w:rPr>
          <w:b/>
          <w:lang w:eastAsia="zh-CN"/>
        </w:rPr>
      </w:pPr>
      <w:r>
        <w:rPr>
          <w:b/>
          <w:lang w:eastAsia="zh-CN"/>
        </w:rPr>
        <w:t>表1.</w:t>
      </w:r>
      <w:r>
        <w:rPr>
          <w:rFonts w:hint="eastAsia"/>
          <w:b/>
          <w:lang w:eastAsia="zh-CN"/>
        </w:rPr>
        <w:t>6</w:t>
      </w:r>
      <w:r>
        <w:rPr>
          <w:b/>
          <w:lang w:eastAsia="zh-CN"/>
        </w:rPr>
        <w:t xml:space="preserve">-4 </w:t>
      </w:r>
      <w:r>
        <w:rPr>
          <w:rFonts w:hint="eastAsia"/>
          <w:b/>
          <w:lang w:eastAsia="zh-CN"/>
        </w:rPr>
        <w:t xml:space="preserve">  </w:t>
      </w:r>
      <w:r>
        <w:rPr>
          <w:b/>
          <w:lang w:eastAsia="zh-CN"/>
        </w:rPr>
        <w:t xml:space="preserve"> 建设项目（Ⅰ类）评价工作等级分级表</w:t>
      </w:r>
    </w:p>
    <w:tbl>
      <w:tblPr>
        <w:tblStyle w:val="76"/>
        <w:tblW w:w="5000" w:type="pct"/>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134"/>
        <w:gridCol w:w="3362"/>
        <w:gridCol w:w="2456"/>
        <w:gridCol w:w="902"/>
      </w:tblGrid>
      <w:tr w14:paraId="139A43FB">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tcBorders>
              <w:left w:val="single" w:color="auto" w:sz="12" w:space="0"/>
            </w:tcBorders>
            <w:vAlign w:val="center"/>
          </w:tcPr>
          <w:p w14:paraId="6A1EAD1E">
            <w:pPr>
              <w:pStyle w:val="580"/>
              <w:widowControl w:val="0"/>
              <w:spacing w:line="240" w:lineRule="auto"/>
              <w:jc w:val="both"/>
              <w:rPr>
                <w:rFonts w:ascii="宋体" w:hAnsi="宋体" w:eastAsia="宋体" w:cs="Times New Roman"/>
                <w:szCs w:val="21"/>
              </w:rPr>
            </w:pPr>
            <w:r>
              <w:rPr>
                <w:rFonts w:ascii="宋体" w:hAnsi="宋体" w:eastAsia="宋体" w:cs="Times New Roman"/>
                <w:szCs w:val="21"/>
              </w:rPr>
              <w:t>序号</w:t>
            </w:r>
          </w:p>
        </w:tc>
        <w:tc>
          <w:tcPr>
            <w:tcW w:w="665" w:type="pct"/>
            <w:vAlign w:val="center"/>
          </w:tcPr>
          <w:p w14:paraId="5A05F78D">
            <w:pPr>
              <w:pStyle w:val="580"/>
              <w:widowControl w:val="0"/>
              <w:spacing w:line="240" w:lineRule="auto"/>
              <w:jc w:val="both"/>
              <w:rPr>
                <w:rFonts w:cs="Times New Roman" w:asciiTheme="minorEastAsia" w:hAnsiTheme="minorEastAsia" w:eastAsiaTheme="minorEastAsia"/>
                <w:szCs w:val="21"/>
              </w:rPr>
            </w:pPr>
            <w:r>
              <w:rPr>
                <w:rFonts w:ascii="宋体" w:hAnsi="宋体" w:eastAsia="宋体" w:cs="Times New Roman"/>
                <w:szCs w:val="21"/>
              </w:rPr>
              <w:t>判别</w:t>
            </w:r>
          </w:p>
          <w:p w14:paraId="7308861D">
            <w:pPr>
              <w:pStyle w:val="580"/>
              <w:widowControl w:val="0"/>
              <w:spacing w:line="240" w:lineRule="auto"/>
              <w:jc w:val="both"/>
              <w:rPr>
                <w:rFonts w:ascii="宋体" w:hAnsi="宋体" w:eastAsia="宋体" w:cs="Times New Roman"/>
                <w:szCs w:val="21"/>
              </w:rPr>
            </w:pPr>
            <w:r>
              <w:rPr>
                <w:rFonts w:ascii="宋体" w:hAnsi="宋体" w:eastAsia="宋体" w:cs="Times New Roman"/>
                <w:szCs w:val="21"/>
              </w:rPr>
              <w:t>项目</w:t>
            </w:r>
          </w:p>
        </w:tc>
        <w:tc>
          <w:tcPr>
            <w:tcW w:w="1971" w:type="pct"/>
            <w:vAlign w:val="center"/>
          </w:tcPr>
          <w:p w14:paraId="389A45C3">
            <w:pPr>
              <w:pStyle w:val="580"/>
              <w:widowControl w:val="0"/>
              <w:spacing w:line="240" w:lineRule="auto"/>
              <w:ind w:firstLine="480"/>
              <w:rPr>
                <w:rFonts w:ascii="宋体" w:hAnsi="宋体" w:eastAsia="宋体" w:cs="Times New Roman"/>
                <w:szCs w:val="21"/>
              </w:rPr>
            </w:pPr>
            <w:r>
              <w:rPr>
                <w:rFonts w:ascii="宋体" w:hAnsi="宋体" w:eastAsia="宋体" w:cs="Times New Roman"/>
                <w:szCs w:val="21"/>
              </w:rPr>
              <w:t>项目情况</w:t>
            </w:r>
          </w:p>
        </w:tc>
        <w:tc>
          <w:tcPr>
            <w:tcW w:w="1440" w:type="pct"/>
            <w:vAlign w:val="center"/>
          </w:tcPr>
          <w:p w14:paraId="1F397395">
            <w:pPr>
              <w:pStyle w:val="580"/>
              <w:widowControl w:val="0"/>
              <w:spacing w:line="240" w:lineRule="auto"/>
              <w:ind w:firstLine="480"/>
              <w:rPr>
                <w:rFonts w:ascii="宋体" w:hAnsi="宋体" w:eastAsia="宋体" w:cs="Times New Roman"/>
                <w:szCs w:val="21"/>
              </w:rPr>
            </w:pPr>
            <w:r>
              <w:rPr>
                <w:rFonts w:ascii="宋体" w:hAnsi="宋体" w:eastAsia="宋体" w:cs="Times New Roman"/>
                <w:szCs w:val="21"/>
              </w:rPr>
              <w:t>判别依据</w:t>
            </w:r>
          </w:p>
        </w:tc>
        <w:tc>
          <w:tcPr>
            <w:tcW w:w="528" w:type="pct"/>
            <w:tcBorders>
              <w:right w:val="single" w:color="auto" w:sz="12" w:space="0"/>
            </w:tcBorders>
            <w:vAlign w:val="center"/>
          </w:tcPr>
          <w:p w14:paraId="213D6906">
            <w:pPr>
              <w:pStyle w:val="580"/>
              <w:widowControl w:val="0"/>
              <w:spacing w:line="240" w:lineRule="auto"/>
              <w:rPr>
                <w:rFonts w:ascii="宋体" w:hAnsi="宋体" w:eastAsia="宋体" w:cs="Times New Roman"/>
                <w:szCs w:val="21"/>
              </w:rPr>
            </w:pPr>
            <w:r>
              <w:rPr>
                <w:rFonts w:ascii="宋体" w:hAnsi="宋体" w:eastAsia="宋体" w:cs="Times New Roman"/>
                <w:szCs w:val="21"/>
              </w:rPr>
              <w:t>分级</w:t>
            </w:r>
          </w:p>
        </w:tc>
      </w:tr>
      <w:tr w14:paraId="235FD425">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tcBorders>
              <w:left w:val="single" w:color="auto" w:sz="12" w:space="0"/>
            </w:tcBorders>
            <w:vAlign w:val="center"/>
          </w:tcPr>
          <w:p w14:paraId="38AFF426">
            <w:pPr>
              <w:pStyle w:val="580"/>
              <w:widowControl w:val="0"/>
              <w:spacing w:line="240" w:lineRule="auto"/>
              <w:rPr>
                <w:rFonts w:ascii="宋体" w:hAnsi="宋体" w:eastAsia="宋体" w:cs="Times New Roman"/>
                <w:szCs w:val="21"/>
              </w:rPr>
            </w:pPr>
            <w:r>
              <w:rPr>
                <w:rFonts w:ascii="宋体" w:hAnsi="宋体" w:eastAsia="宋体" w:cs="Times New Roman"/>
                <w:szCs w:val="21"/>
              </w:rPr>
              <w:t>1</w:t>
            </w:r>
          </w:p>
        </w:tc>
        <w:tc>
          <w:tcPr>
            <w:tcW w:w="665" w:type="pct"/>
            <w:vAlign w:val="center"/>
          </w:tcPr>
          <w:p w14:paraId="34FD2A30">
            <w:pPr>
              <w:pStyle w:val="580"/>
              <w:widowControl w:val="0"/>
              <w:spacing w:line="240" w:lineRule="auto"/>
              <w:rPr>
                <w:rFonts w:ascii="宋体" w:hAnsi="宋体" w:eastAsia="宋体" w:cs="Times New Roman"/>
                <w:szCs w:val="21"/>
              </w:rPr>
            </w:pPr>
            <w:r>
              <w:rPr>
                <w:rFonts w:ascii="宋体" w:hAnsi="宋体" w:eastAsia="宋体" w:cs="Times New Roman"/>
                <w:szCs w:val="21"/>
              </w:rPr>
              <w:t>包气带防污性能分级</w:t>
            </w:r>
          </w:p>
        </w:tc>
        <w:tc>
          <w:tcPr>
            <w:tcW w:w="1971" w:type="pct"/>
            <w:vAlign w:val="center"/>
          </w:tcPr>
          <w:p w14:paraId="794FE6D4">
            <w:pPr>
              <w:pStyle w:val="580"/>
              <w:widowControl w:val="0"/>
              <w:spacing w:line="240" w:lineRule="auto"/>
              <w:rPr>
                <w:rFonts w:ascii="宋体" w:hAnsi="宋体" w:eastAsia="宋体" w:cs="Times New Roman"/>
                <w:szCs w:val="21"/>
              </w:rPr>
            </w:pPr>
            <w:r>
              <w:rPr>
                <w:rFonts w:ascii="宋体" w:hAnsi="宋体" w:eastAsia="宋体" w:cs="Times New Roman"/>
                <w:szCs w:val="21"/>
              </w:rPr>
              <w:t>建设项目场地地下基础之下第一层由松散的粘砂组成，厚可达</w:t>
            </w:r>
            <w:r>
              <w:rPr>
                <w:rFonts w:hint="eastAsia" w:ascii="宋体" w:hAnsi="宋体" w:eastAsia="宋体" w:cs="Times New Roman"/>
                <w:szCs w:val="21"/>
              </w:rPr>
              <w:t>2</w:t>
            </w:r>
            <w:r>
              <w:rPr>
                <w:rFonts w:ascii="宋体" w:hAnsi="宋体" w:eastAsia="宋体" w:cs="Times New Roman"/>
                <w:szCs w:val="21"/>
              </w:rPr>
              <w:t>.5m左右，渗透系数K≤10</w:t>
            </w:r>
            <w:r>
              <w:rPr>
                <w:rFonts w:ascii="宋体" w:hAnsi="宋体" w:eastAsia="宋体" w:cs="Times New Roman"/>
                <w:szCs w:val="21"/>
                <w:vertAlign w:val="superscript"/>
              </w:rPr>
              <w:t>-7</w:t>
            </w:r>
            <w:r>
              <w:rPr>
                <w:rFonts w:ascii="宋体" w:hAnsi="宋体" w:eastAsia="宋体" w:cs="Times New Roman"/>
                <w:szCs w:val="21"/>
              </w:rPr>
              <w:t>cm/s＜10</w:t>
            </w:r>
            <w:r>
              <w:rPr>
                <w:rFonts w:ascii="宋体" w:hAnsi="宋体" w:eastAsia="宋体" w:cs="Times New Roman"/>
                <w:szCs w:val="21"/>
                <w:vertAlign w:val="superscript"/>
              </w:rPr>
              <w:t>-4</w:t>
            </w:r>
            <w:r>
              <w:rPr>
                <w:rFonts w:ascii="宋体" w:hAnsi="宋体" w:eastAsia="宋体" w:cs="Times New Roman"/>
                <w:szCs w:val="21"/>
              </w:rPr>
              <w:t xml:space="preserve"> cm/s</w:t>
            </w:r>
          </w:p>
        </w:tc>
        <w:tc>
          <w:tcPr>
            <w:tcW w:w="1440" w:type="pct"/>
            <w:vAlign w:val="center"/>
          </w:tcPr>
          <w:p w14:paraId="5F49BDCB">
            <w:pPr>
              <w:pStyle w:val="580"/>
              <w:widowControl w:val="0"/>
              <w:spacing w:line="240" w:lineRule="auto"/>
              <w:rPr>
                <w:rFonts w:ascii="宋体" w:hAnsi="宋体" w:eastAsia="宋体" w:cs="Times New Roman"/>
                <w:szCs w:val="21"/>
              </w:rPr>
            </w:pPr>
            <w:r>
              <w:rPr>
                <w:rFonts w:ascii="宋体" w:hAnsi="宋体" w:eastAsia="宋体" w:cs="Times New Roman"/>
                <w:szCs w:val="21"/>
              </w:rPr>
              <w:t>岩（土）层单层厚度Mb≥1.0m，渗透系数10</w:t>
            </w:r>
            <w:r>
              <w:rPr>
                <w:rFonts w:ascii="宋体" w:hAnsi="宋体" w:eastAsia="宋体" w:cs="Times New Roman"/>
                <w:szCs w:val="21"/>
                <w:vertAlign w:val="superscript"/>
              </w:rPr>
              <w:t>-7</w:t>
            </w:r>
            <w:r>
              <w:rPr>
                <w:rFonts w:ascii="宋体" w:hAnsi="宋体" w:eastAsia="宋体" w:cs="Times New Roman"/>
                <w:szCs w:val="21"/>
              </w:rPr>
              <w:t>cm/s＜K≤10</w:t>
            </w:r>
            <w:r>
              <w:rPr>
                <w:rFonts w:ascii="宋体" w:hAnsi="宋体" w:eastAsia="宋体" w:cs="Times New Roman"/>
                <w:szCs w:val="21"/>
                <w:vertAlign w:val="superscript"/>
              </w:rPr>
              <w:t>-4</w:t>
            </w:r>
            <w:r>
              <w:rPr>
                <w:rFonts w:ascii="宋体" w:hAnsi="宋体" w:eastAsia="宋体" w:cs="Times New Roman"/>
                <w:szCs w:val="21"/>
              </w:rPr>
              <w:t xml:space="preserve"> cm/s，且分布连续、稳定</w:t>
            </w:r>
          </w:p>
        </w:tc>
        <w:tc>
          <w:tcPr>
            <w:tcW w:w="528" w:type="pct"/>
            <w:tcBorders>
              <w:right w:val="single" w:color="auto" w:sz="12" w:space="0"/>
            </w:tcBorders>
            <w:vAlign w:val="center"/>
          </w:tcPr>
          <w:p w14:paraId="6E2E4CF5">
            <w:pPr>
              <w:pStyle w:val="580"/>
              <w:widowControl w:val="0"/>
              <w:spacing w:line="240" w:lineRule="auto"/>
              <w:rPr>
                <w:rFonts w:ascii="宋体" w:hAnsi="宋体" w:eastAsia="宋体" w:cs="Times New Roman"/>
                <w:szCs w:val="21"/>
              </w:rPr>
            </w:pPr>
            <w:r>
              <w:rPr>
                <w:rFonts w:ascii="宋体" w:hAnsi="宋体" w:eastAsia="宋体" w:cs="Times New Roman"/>
                <w:szCs w:val="21"/>
              </w:rPr>
              <w:t>中</w:t>
            </w:r>
          </w:p>
        </w:tc>
      </w:tr>
      <w:tr w14:paraId="609BDA4C">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tcBorders>
              <w:left w:val="single" w:color="auto" w:sz="12" w:space="0"/>
            </w:tcBorders>
            <w:vAlign w:val="center"/>
          </w:tcPr>
          <w:p w14:paraId="3614927D">
            <w:pPr>
              <w:pStyle w:val="580"/>
              <w:widowControl w:val="0"/>
              <w:spacing w:line="240" w:lineRule="auto"/>
              <w:rPr>
                <w:rFonts w:ascii="宋体" w:hAnsi="宋体" w:eastAsia="宋体" w:cs="Times New Roman"/>
                <w:szCs w:val="21"/>
              </w:rPr>
            </w:pPr>
            <w:r>
              <w:rPr>
                <w:rFonts w:ascii="宋体" w:hAnsi="宋体" w:eastAsia="宋体" w:cs="Times New Roman"/>
                <w:szCs w:val="21"/>
              </w:rPr>
              <w:t>2</w:t>
            </w:r>
          </w:p>
        </w:tc>
        <w:tc>
          <w:tcPr>
            <w:tcW w:w="665" w:type="pct"/>
            <w:vAlign w:val="center"/>
          </w:tcPr>
          <w:p w14:paraId="31E5AF6F">
            <w:pPr>
              <w:pStyle w:val="580"/>
              <w:widowControl w:val="0"/>
              <w:spacing w:line="240" w:lineRule="auto"/>
              <w:rPr>
                <w:rFonts w:ascii="宋体" w:hAnsi="宋体" w:eastAsia="宋体" w:cs="Times New Roman"/>
                <w:szCs w:val="21"/>
              </w:rPr>
            </w:pPr>
            <w:r>
              <w:rPr>
                <w:rFonts w:ascii="宋体" w:hAnsi="宋体" w:eastAsia="宋体" w:cs="Times New Roman"/>
                <w:szCs w:val="21"/>
              </w:rPr>
              <w:t>场地的含水层易污染特征分级</w:t>
            </w:r>
          </w:p>
        </w:tc>
        <w:tc>
          <w:tcPr>
            <w:tcW w:w="1971" w:type="pct"/>
            <w:vAlign w:val="center"/>
          </w:tcPr>
          <w:p w14:paraId="656298A0">
            <w:pPr>
              <w:pStyle w:val="580"/>
              <w:widowControl w:val="0"/>
              <w:spacing w:line="240" w:lineRule="auto"/>
              <w:rPr>
                <w:rFonts w:ascii="宋体" w:hAnsi="宋体" w:eastAsia="宋体" w:cs="Times New Roman"/>
                <w:szCs w:val="21"/>
              </w:rPr>
            </w:pPr>
            <w:r>
              <w:rPr>
                <w:rFonts w:ascii="宋体" w:hAnsi="宋体" w:eastAsia="宋体" w:cs="Times New Roman"/>
                <w:szCs w:val="21"/>
              </w:rPr>
              <w:t>主要含水层为（11）层中细砂，（13）层中砂及（16）层中砂，地下水水位年际变幅3~5m，略具承压性</w:t>
            </w:r>
          </w:p>
        </w:tc>
        <w:tc>
          <w:tcPr>
            <w:tcW w:w="1440" w:type="pct"/>
            <w:vAlign w:val="center"/>
          </w:tcPr>
          <w:p w14:paraId="017C046B">
            <w:pPr>
              <w:pStyle w:val="580"/>
              <w:widowControl w:val="0"/>
              <w:spacing w:line="240" w:lineRule="auto"/>
              <w:rPr>
                <w:rFonts w:ascii="宋体" w:hAnsi="宋体" w:eastAsia="宋体" w:cs="Times New Roman"/>
                <w:szCs w:val="21"/>
              </w:rPr>
            </w:pPr>
            <w:r>
              <w:rPr>
                <w:rFonts w:ascii="宋体" w:hAnsi="宋体" w:eastAsia="宋体" w:cs="Times New Roman"/>
                <w:szCs w:val="21"/>
              </w:rPr>
              <w:t>多含水层系统且层间水力联系密切的地区；存在地下水污染问题的区域</w:t>
            </w:r>
          </w:p>
        </w:tc>
        <w:tc>
          <w:tcPr>
            <w:tcW w:w="528" w:type="pct"/>
            <w:tcBorders>
              <w:right w:val="single" w:color="auto" w:sz="12" w:space="0"/>
            </w:tcBorders>
            <w:vAlign w:val="center"/>
          </w:tcPr>
          <w:p w14:paraId="24A228DD">
            <w:pPr>
              <w:pStyle w:val="580"/>
              <w:widowControl w:val="0"/>
              <w:spacing w:line="240" w:lineRule="auto"/>
              <w:rPr>
                <w:rFonts w:ascii="宋体" w:hAnsi="宋体" w:eastAsia="宋体" w:cs="Times New Roman"/>
                <w:szCs w:val="21"/>
              </w:rPr>
            </w:pPr>
            <w:r>
              <w:rPr>
                <w:rFonts w:ascii="宋体" w:hAnsi="宋体" w:eastAsia="宋体" w:cs="Times New Roman"/>
                <w:szCs w:val="21"/>
              </w:rPr>
              <w:t>中</w:t>
            </w:r>
          </w:p>
        </w:tc>
      </w:tr>
      <w:tr w14:paraId="10BE09D0">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tcBorders>
              <w:left w:val="single" w:color="auto" w:sz="12" w:space="0"/>
            </w:tcBorders>
            <w:vAlign w:val="center"/>
          </w:tcPr>
          <w:p w14:paraId="0DDDE3D7">
            <w:pPr>
              <w:pStyle w:val="580"/>
              <w:widowControl w:val="0"/>
              <w:spacing w:line="240" w:lineRule="auto"/>
              <w:rPr>
                <w:rFonts w:ascii="宋体" w:hAnsi="宋体" w:eastAsia="宋体" w:cs="Times New Roman"/>
                <w:szCs w:val="21"/>
              </w:rPr>
            </w:pPr>
            <w:r>
              <w:rPr>
                <w:rFonts w:ascii="宋体" w:hAnsi="宋体" w:eastAsia="宋体" w:cs="Times New Roman"/>
                <w:szCs w:val="21"/>
              </w:rPr>
              <w:t>3</w:t>
            </w:r>
          </w:p>
        </w:tc>
        <w:tc>
          <w:tcPr>
            <w:tcW w:w="665" w:type="pct"/>
            <w:vAlign w:val="center"/>
          </w:tcPr>
          <w:p w14:paraId="397EAE3D">
            <w:pPr>
              <w:pStyle w:val="580"/>
              <w:widowControl w:val="0"/>
              <w:spacing w:line="240" w:lineRule="auto"/>
              <w:rPr>
                <w:rFonts w:ascii="宋体" w:hAnsi="宋体" w:eastAsia="宋体" w:cs="Times New Roman"/>
                <w:szCs w:val="21"/>
              </w:rPr>
            </w:pPr>
            <w:r>
              <w:rPr>
                <w:rFonts w:ascii="宋体" w:hAnsi="宋体" w:eastAsia="宋体" w:cs="Times New Roman"/>
                <w:szCs w:val="21"/>
              </w:rPr>
              <w:t>地下水环境敏感程度分级</w:t>
            </w:r>
          </w:p>
        </w:tc>
        <w:tc>
          <w:tcPr>
            <w:tcW w:w="1971" w:type="pct"/>
            <w:vAlign w:val="center"/>
          </w:tcPr>
          <w:p w14:paraId="28CB134F">
            <w:pPr>
              <w:pStyle w:val="580"/>
              <w:widowControl w:val="0"/>
              <w:spacing w:line="240" w:lineRule="auto"/>
              <w:rPr>
                <w:rFonts w:ascii="宋体" w:hAnsi="宋体" w:eastAsia="宋体" w:cs="Times New Roman"/>
                <w:szCs w:val="21"/>
              </w:rPr>
            </w:pPr>
            <w:r>
              <w:rPr>
                <w:rFonts w:ascii="宋体" w:hAnsi="宋体" w:eastAsia="宋体" w:cs="Times New Roman"/>
                <w:szCs w:val="21"/>
              </w:rPr>
              <w:t>项目处于</w:t>
            </w:r>
            <w:r>
              <w:rPr>
                <w:rFonts w:hint="eastAsia" w:asciiTheme="minorEastAsia" w:hAnsiTheme="minorEastAsia" w:eastAsiaTheme="minorEastAsia"/>
                <w:szCs w:val="21"/>
              </w:rPr>
              <w:t>集中式</w:t>
            </w:r>
            <w:r>
              <w:rPr>
                <w:rFonts w:asciiTheme="minorEastAsia" w:hAnsiTheme="minorEastAsia" w:eastAsiaTheme="minorEastAsia"/>
                <w:szCs w:val="21"/>
              </w:rPr>
              <w:t>式饮用水</w:t>
            </w:r>
            <w:r>
              <w:rPr>
                <w:rFonts w:ascii="宋体" w:hAnsi="宋体" w:eastAsia="宋体" w:cs="Times New Roman"/>
                <w:szCs w:val="21"/>
              </w:rPr>
              <w:t>水源地</w:t>
            </w:r>
            <w:r>
              <w:rPr>
                <w:rFonts w:hint="eastAsia" w:cs="Times New Roman" w:asciiTheme="minorEastAsia" w:hAnsiTheme="minorEastAsia" w:eastAsiaTheme="minorEastAsia"/>
                <w:szCs w:val="21"/>
              </w:rPr>
              <w:t>及</w:t>
            </w:r>
            <w:r>
              <w:rPr>
                <w:rFonts w:asciiTheme="minorEastAsia" w:hAnsiTheme="minorEastAsia" w:eastAsiaTheme="minorEastAsia"/>
                <w:szCs w:val="21"/>
              </w:rPr>
              <w:t>特殊地下水资源保护区</w:t>
            </w:r>
            <w:r>
              <w:rPr>
                <w:rFonts w:ascii="宋体" w:hAnsi="宋体" w:eastAsia="宋体" w:cs="Times New Roman"/>
                <w:szCs w:val="21"/>
              </w:rPr>
              <w:t>之外</w:t>
            </w:r>
            <w:r>
              <w:rPr>
                <w:rFonts w:hint="eastAsia" w:cs="Times New Roman" w:asciiTheme="minorEastAsia" w:hAnsiTheme="minorEastAsia" w:eastAsiaTheme="minorEastAsia"/>
                <w:szCs w:val="21"/>
              </w:rPr>
              <w:t>，由零散居民水井</w:t>
            </w:r>
          </w:p>
        </w:tc>
        <w:tc>
          <w:tcPr>
            <w:tcW w:w="1440" w:type="pct"/>
            <w:vAlign w:val="center"/>
          </w:tcPr>
          <w:p w14:paraId="7E80706E">
            <w:pPr>
              <w:pStyle w:val="580"/>
              <w:widowControl w:val="0"/>
              <w:spacing w:line="240" w:lineRule="auto"/>
              <w:rPr>
                <w:rFonts w:ascii="宋体" w:hAnsi="宋体" w:eastAsia="宋体" w:cs="Times New Roman"/>
                <w:szCs w:val="21"/>
              </w:rPr>
            </w:pPr>
            <w:r>
              <w:rPr>
                <w:rFonts w:hint="eastAsia" w:asciiTheme="minorEastAsia" w:hAnsiTheme="minorEastAsia" w:eastAsiaTheme="minorEastAsia"/>
                <w:szCs w:val="21"/>
              </w:rPr>
              <w:t>集中式</w:t>
            </w:r>
            <w:r>
              <w:rPr>
                <w:rFonts w:asciiTheme="minorEastAsia" w:hAnsiTheme="minorEastAsia" w:eastAsiaTheme="minorEastAsia"/>
                <w:szCs w:val="21"/>
              </w:rPr>
              <w:t>式饮用水水源地准保护区以外的补给径流区；特殊地下水资源保护区以外的分布区以及分散式居民饮用水水源等其它未列入上述敏感分级的</w:t>
            </w:r>
            <w:r>
              <w:rPr>
                <w:rFonts w:ascii="宋体" w:hAnsi="宋体" w:eastAsia="宋体" w:cs="Times New Roman"/>
                <w:szCs w:val="21"/>
              </w:rPr>
              <w:t>敏感及较敏感区外</w:t>
            </w:r>
            <w:r>
              <w:rPr>
                <w:rFonts w:hint="eastAsia" w:cs="Times New Roman" w:asciiTheme="minorEastAsia" w:hAnsiTheme="minorEastAsia" w:eastAsiaTheme="minorEastAsia"/>
                <w:szCs w:val="21"/>
              </w:rPr>
              <w:t>环境敏感区</w:t>
            </w:r>
          </w:p>
        </w:tc>
        <w:tc>
          <w:tcPr>
            <w:tcW w:w="528" w:type="pct"/>
            <w:tcBorders>
              <w:right w:val="single" w:color="auto" w:sz="12" w:space="0"/>
            </w:tcBorders>
            <w:vAlign w:val="center"/>
          </w:tcPr>
          <w:p w14:paraId="45D5083E">
            <w:pPr>
              <w:pStyle w:val="580"/>
              <w:widowControl w:val="0"/>
              <w:spacing w:line="240" w:lineRule="auto"/>
              <w:rPr>
                <w:rFonts w:ascii="宋体" w:hAnsi="宋体" w:eastAsia="宋体" w:cs="Times New Roman"/>
                <w:szCs w:val="21"/>
              </w:rPr>
            </w:pPr>
            <w:r>
              <w:rPr>
                <w:rFonts w:hint="eastAsia" w:cs="Times New Roman" w:asciiTheme="minorEastAsia" w:hAnsiTheme="minorEastAsia" w:eastAsiaTheme="minorEastAsia"/>
                <w:szCs w:val="21"/>
              </w:rPr>
              <w:t>较</w:t>
            </w:r>
            <w:r>
              <w:rPr>
                <w:rFonts w:ascii="宋体" w:hAnsi="宋体" w:eastAsia="宋体" w:cs="Times New Roman"/>
                <w:szCs w:val="21"/>
              </w:rPr>
              <w:t>敏感</w:t>
            </w:r>
          </w:p>
        </w:tc>
      </w:tr>
      <w:tr w14:paraId="132A8746">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tcBorders>
              <w:left w:val="single" w:color="auto" w:sz="12" w:space="0"/>
            </w:tcBorders>
            <w:vAlign w:val="center"/>
          </w:tcPr>
          <w:p w14:paraId="30016F95">
            <w:pPr>
              <w:pStyle w:val="580"/>
              <w:widowControl w:val="0"/>
              <w:spacing w:line="240" w:lineRule="auto"/>
              <w:rPr>
                <w:rFonts w:ascii="宋体" w:hAnsi="宋体" w:eastAsia="宋体" w:cs="Times New Roman"/>
                <w:szCs w:val="21"/>
              </w:rPr>
            </w:pPr>
            <w:r>
              <w:rPr>
                <w:rFonts w:ascii="宋体" w:hAnsi="宋体" w:eastAsia="宋体" w:cs="Times New Roman"/>
                <w:szCs w:val="21"/>
              </w:rPr>
              <w:t>4</w:t>
            </w:r>
          </w:p>
        </w:tc>
        <w:tc>
          <w:tcPr>
            <w:tcW w:w="665" w:type="pct"/>
            <w:vAlign w:val="center"/>
          </w:tcPr>
          <w:p w14:paraId="0E89D6E3">
            <w:pPr>
              <w:pStyle w:val="580"/>
              <w:widowControl w:val="0"/>
              <w:spacing w:line="240" w:lineRule="auto"/>
              <w:rPr>
                <w:rFonts w:ascii="宋体" w:hAnsi="宋体" w:eastAsia="宋体" w:cs="Times New Roman"/>
                <w:szCs w:val="21"/>
              </w:rPr>
            </w:pPr>
            <w:r>
              <w:rPr>
                <w:rFonts w:ascii="宋体" w:hAnsi="宋体" w:eastAsia="宋体" w:cs="Times New Roman"/>
                <w:szCs w:val="21"/>
              </w:rPr>
              <w:t>污水排放量分级</w:t>
            </w:r>
          </w:p>
        </w:tc>
        <w:tc>
          <w:tcPr>
            <w:tcW w:w="1971" w:type="pct"/>
            <w:vAlign w:val="center"/>
          </w:tcPr>
          <w:p w14:paraId="13CDD9C7">
            <w:pPr>
              <w:pStyle w:val="580"/>
              <w:widowControl w:val="0"/>
              <w:spacing w:line="240" w:lineRule="auto"/>
              <w:rPr>
                <w:rFonts w:ascii="宋体" w:hAnsi="宋体" w:eastAsia="宋体"/>
              </w:rPr>
            </w:pPr>
            <w:r>
              <w:rPr>
                <w:rFonts w:asciiTheme="minorEastAsia" w:hAnsiTheme="minorEastAsia" w:eastAsiaTheme="minorEastAsia"/>
              </w:rPr>
              <w:t>项目开发过程中</w:t>
            </w:r>
            <w:r>
              <w:rPr>
                <w:rFonts w:hint="eastAsia" w:asciiTheme="minorEastAsia" w:hAnsiTheme="minorEastAsia" w:eastAsiaTheme="minorEastAsia"/>
              </w:rPr>
              <w:t>，根据预测2022年含油污水产生量最大，为209.32</w:t>
            </w:r>
            <w:r>
              <w:rPr>
                <w:rFonts w:asciiTheme="minorEastAsia" w:hAnsiTheme="minorEastAsia" w:eastAsiaTheme="minorEastAsia"/>
              </w:rPr>
              <w:t>m</w:t>
            </w:r>
            <w:r>
              <w:rPr>
                <w:rFonts w:asciiTheme="minorEastAsia" w:hAnsiTheme="minorEastAsia" w:eastAsiaTheme="minorEastAsia"/>
                <w:vertAlign w:val="superscript"/>
              </w:rPr>
              <w:t>3</w:t>
            </w:r>
            <w:r>
              <w:rPr>
                <w:rFonts w:asciiTheme="minorEastAsia" w:hAnsiTheme="minorEastAsia" w:eastAsiaTheme="minorEastAsia"/>
              </w:rPr>
              <w:t>/d</w:t>
            </w:r>
            <w:r>
              <w:rPr>
                <w:rFonts w:hint="eastAsia" w:asciiTheme="minorEastAsia" w:hAnsiTheme="minorEastAsia" w:eastAsiaTheme="minorEastAsia"/>
              </w:rPr>
              <w:t>，经污水处理系统处理后全部回注地下</w:t>
            </w:r>
            <w:r>
              <w:rPr>
                <w:rFonts w:asciiTheme="minorEastAsia" w:hAnsiTheme="minorEastAsia" w:eastAsiaTheme="minorEastAsia"/>
              </w:rPr>
              <w:t>。生活污水的</w:t>
            </w:r>
            <w:r>
              <w:rPr>
                <w:rFonts w:hint="eastAsia" w:asciiTheme="minorEastAsia" w:hAnsiTheme="minorEastAsia" w:eastAsiaTheme="minorEastAsia"/>
              </w:rPr>
              <w:t>产生</w:t>
            </w:r>
            <w:r>
              <w:rPr>
                <w:rFonts w:asciiTheme="minorEastAsia" w:hAnsiTheme="minorEastAsia" w:eastAsiaTheme="minorEastAsia"/>
              </w:rPr>
              <w:t>量为</w:t>
            </w:r>
            <w:r>
              <w:rPr>
                <w:rFonts w:hint="eastAsia" w:asciiTheme="minorEastAsia" w:hAnsiTheme="minorEastAsia" w:eastAsiaTheme="minorEastAsia"/>
              </w:rPr>
              <w:t>5.25</w:t>
            </w:r>
            <w:r>
              <w:rPr>
                <w:rFonts w:asciiTheme="minorEastAsia" w:hAnsiTheme="minorEastAsia" w:eastAsiaTheme="minorEastAsia"/>
              </w:rPr>
              <w:t>m</w:t>
            </w:r>
            <w:r>
              <w:rPr>
                <w:rFonts w:asciiTheme="minorEastAsia" w:hAnsiTheme="minorEastAsia" w:eastAsiaTheme="minorEastAsia"/>
                <w:vertAlign w:val="superscript"/>
              </w:rPr>
              <w:t>3</w:t>
            </w:r>
            <w:r>
              <w:rPr>
                <w:rFonts w:asciiTheme="minorEastAsia" w:hAnsiTheme="minorEastAsia" w:eastAsiaTheme="minorEastAsia"/>
              </w:rPr>
              <w:t>/d</w:t>
            </w:r>
            <w:r>
              <w:rPr>
                <w:rFonts w:hint="eastAsia" w:asciiTheme="minorEastAsia" w:hAnsiTheme="minorEastAsia" w:eastAsiaTheme="minorEastAsia"/>
              </w:rPr>
              <w:t>，经地埋式污水处理系统处理后排入蒸发池，绿化或洒水抑尘。项目废水不外排。</w:t>
            </w:r>
          </w:p>
        </w:tc>
        <w:tc>
          <w:tcPr>
            <w:tcW w:w="1440" w:type="pct"/>
            <w:vAlign w:val="center"/>
          </w:tcPr>
          <w:p w14:paraId="46681FB5">
            <w:pPr>
              <w:pStyle w:val="580"/>
              <w:widowControl w:val="0"/>
              <w:spacing w:line="240" w:lineRule="auto"/>
              <w:rPr>
                <w:rFonts w:ascii="宋体" w:hAnsi="宋体" w:eastAsia="宋体" w:cs="Times New Roman"/>
                <w:szCs w:val="21"/>
              </w:rPr>
            </w:pPr>
            <w:r>
              <w:rPr>
                <w:rFonts w:ascii="宋体" w:hAnsi="宋体" w:eastAsia="宋体" w:cs="Times New Roman"/>
                <w:szCs w:val="21"/>
              </w:rPr>
              <w:t>污水排放总量≤1000m</w:t>
            </w:r>
            <w:r>
              <w:rPr>
                <w:rFonts w:ascii="宋体" w:hAnsi="宋体" w:eastAsia="宋体" w:cs="Times New Roman"/>
                <w:szCs w:val="21"/>
                <w:vertAlign w:val="superscript"/>
              </w:rPr>
              <w:t>3</w:t>
            </w:r>
            <w:r>
              <w:rPr>
                <w:rFonts w:ascii="宋体" w:hAnsi="宋体" w:eastAsia="宋体" w:cs="Times New Roman"/>
                <w:szCs w:val="21"/>
              </w:rPr>
              <w:t>/d</w:t>
            </w:r>
          </w:p>
        </w:tc>
        <w:tc>
          <w:tcPr>
            <w:tcW w:w="528" w:type="pct"/>
            <w:tcBorders>
              <w:right w:val="single" w:color="auto" w:sz="12" w:space="0"/>
            </w:tcBorders>
            <w:vAlign w:val="center"/>
          </w:tcPr>
          <w:p w14:paraId="3715C93C">
            <w:pPr>
              <w:pStyle w:val="580"/>
              <w:widowControl w:val="0"/>
              <w:spacing w:line="240" w:lineRule="auto"/>
              <w:rPr>
                <w:rFonts w:ascii="宋体" w:hAnsi="宋体" w:eastAsia="宋体" w:cs="Times New Roman"/>
                <w:szCs w:val="21"/>
              </w:rPr>
            </w:pPr>
            <w:r>
              <w:rPr>
                <w:rFonts w:ascii="宋体" w:hAnsi="宋体" w:eastAsia="宋体" w:cs="Times New Roman"/>
                <w:szCs w:val="21"/>
              </w:rPr>
              <w:t>小</w:t>
            </w:r>
          </w:p>
        </w:tc>
      </w:tr>
      <w:tr w14:paraId="3E7A83DB">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pct"/>
            <w:tcBorders>
              <w:left w:val="single" w:color="auto" w:sz="12" w:space="0"/>
            </w:tcBorders>
            <w:vAlign w:val="center"/>
          </w:tcPr>
          <w:p w14:paraId="3C059DD1">
            <w:pPr>
              <w:pStyle w:val="580"/>
              <w:widowControl w:val="0"/>
              <w:spacing w:line="240" w:lineRule="auto"/>
              <w:rPr>
                <w:rFonts w:ascii="宋体" w:hAnsi="宋体" w:eastAsia="宋体" w:cs="Times New Roman"/>
                <w:szCs w:val="21"/>
              </w:rPr>
            </w:pPr>
            <w:r>
              <w:rPr>
                <w:rFonts w:ascii="宋体" w:hAnsi="宋体" w:eastAsia="宋体" w:cs="Times New Roman"/>
                <w:szCs w:val="21"/>
              </w:rPr>
              <w:t>5</w:t>
            </w:r>
          </w:p>
        </w:tc>
        <w:tc>
          <w:tcPr>
            <w:tcW w:w="665" w:type="pct"/>
            <w:vAlign w:val="center"/>
          </w:tcPr>
          <w:p w14:paraId="587C1859">
            <w:pPr>
              <w:pStyle w:val="580"/>
              <w:widowControl w:val="0"/>
              <w:spacing w:line="240" w:lineRule="auto"/>
              <w:rPr>
                <w:rFonts w:ascii="宋体" w:hAnsi="宋体" w:eastAsia="宋体" w:cs="Times New Roman"/>
                <w:szCs w:val="21"/>
              </w:rPr>
            </w:pPr>
            <w:r>
              <w:rPr>
                <w:rFonts w:ascii="宋体" w:hAnsi="宋体" w:eastAsia="宋体" w:cs="Times New Roman"/>
                <w:szCs w:val="21"/>
              </w:rPr>
              <w:t>污水水质复杂程度级别</w:t>
            </w:r>
          </w:p>
        </w:tc>
        <w:tc>
          <w:tcPr>
            <w:tcW w:w="1971" w:type="pct"/>
            <w:vAlign w:val="center"/>
          </w:tcPr>
          <w:p w14:paraId="7A81646B">
            <w:pPr>
              <w:pStyle w:val="580"/>
              <w:widowControl w:val="0"/>
              <w:spacing w:line="240" w:lineRule="auto"/>
              <w:rPr>
                <w:rFonts w:ascii="宋体" w:hAnsi="宋体" w:eastAsia="宋体" w:cs="Times New Roman"/>
                <w:szCs w:val="21"/>
              </w:rPr>
            </w:pPr>
            <w:r>
              <w:rPr>
                <w:rFonts w:ascii="宋体" w:hAnsi="宋体" w:eastAsia="宋体" w:cs="Times New Roman"/>
                <w:szCs w:val="21"/>
              </w:rPr>
              <w:t>污染物类型数</w:t>
            </w:r>
            <w:r>
              <w:rPr>
                <w:rFonts w:hint="eastAsia" w:cs="Times New Roman" w:asciiTheme="minorEastAsia" w:hAnsiTheme="minorEastAsia" w:eastAsiaTheme="minorEastAsia"/>
                <w:szCs w:val="21"/>
              </w:rPr>
              <w:t>=1</w:t>
            </w:r>
          </w:p>
          <w:p w14:paraId="1C2F5B21">
            <w:pPr>
              <w:pStyle w:val="580"/>
              <w:widowControl w:val="0"/>
              <w:spacing w:line="240" w:lineRule="auto"/>
              <w:rPr>
                <w:rFonts w:cs="Times New Roman" w:asciiTheme="minorEastAsia" w:hAnsiTheme="minorEastAsia" w:eastAsiaTheme="minorEastAsia"/>
                <w:szCs w:val="21"/>
              </w:rPr>
            </w:pPr>
            <w:r>
              <w:rPr>
                <w:rFonts w:ascii="宋体" w:hAnsi="宋体" w:eastAsia="宋体" w:cs="Times New Roman"/>
                <w:szCs w:val="21"/>
              </w:rPr>
              <w:t>需预测的水质指标＜6</w:t>
            </w:r>
          </w:p>
          <w:p w14:paraId="20D05F89">
            <w:pPr>
              <w:pStyle w:val="580"/>
              <w:widowControl w:val="0"/>
              <w:spacing w:line="240" w:lineRule="auto"/>
              <w:rPr>
                <w:rFonts w:ascii="宋体" w:hAnsi="宋体" w:eastAsia="宋体" w:cs="Times New Roman"/>
                <w:szCs w:val="21"/>
              </w:rPr>
            </w:pPr>
            <w:r>
              <w:rPr>
                <w:rFonts w:hint="eastAsia" w:asciiTheme="minorEastAsia" w:hAnsiTheme="minorEastAsia" w:eastAsiaTheme="minorEastAsia"/>
              </w:rPr>
              <w:t>项目废水不外排</w:t>
            </w:r>
          </w:p>
        </w:tc>
        <w:tc>
          <w:tcPr>
            <w:tcW w:w="1440" w:type="pct"/>
            <w:vAlign w:val="center"/>
          </w:tcPr>
          <w:p w14:paraId="4A56E72D">
            <w:pPr>
              <w:pStyle w:val="580"/>
              <w:widowControl w:val="0"/>
              <w:spacing w:line="240" w:lineRule="auto"/>
              <w:rPr>
                <w:rFonts w:ascii="宋体" w:hAnsi="宋体" w:eastAsia="宋体" w:cs="Times New Roman"/>
                <w:szCs w:val="21"/>
              </w:rPr>
            </w:pPr>
            <w:r>
              <w:rPr>
                <w:rFonts w:ascii="宋体" w:hAnsi="宋体" w:eastAsia="宋体" w:cs="Times New Roman"/>
                <w:szCs w:val="21"/>
              </w:rPr>
              <w:t>污染物类型数</w:t>
            </w:r>
            <w:r>
              <w:rPr>
                <w:rFonts w:hint="eastAsia" w:cs="Times New Roman" w:asciiTheme="minorEastAsia" w:hAnsiTheme="minorEastAsia" w:eastAsiaTheme="minorEastAsia"/>
                <w:szCs w:val="21"/>
              </w:rPr>
              <w:t>=1</w:t>
            </w:r>
          </w:p>
          <w:p w14:paraId="76F1D99E">
            <w:pPr>
              <w:pStyle w:val="580"/>
              <w:widowControl w:val="0"/>
              <w:spacing w:line="240" w:lineRule="auto"/>
              <w:rPr>
                <w:rFonts w:ascii="宋体" w:hAnsi="宋体" w:eastAsia="宋体" w:cs="Times New Roman"/>
                <w:szCs w:val="21"/>
              </w:rPr>
            </w:pPr>
            <w:r>
              <w:rPr>
                <w:rFonts w:ascii="宋体" w:hAnsi="宋体" w:eastAsia="宋体" w:cs="Times New Roman"/>
                <w:szCs w:val="21"/>
              </w:rPr>
              <w:t>需预测的水质指标＜6</w:t>
            </w:r>
          </w:p>
        </w:tc>
        <w:tc>
          <w:tcPr>
            <w:tcW w:w="528" w:type="pct"/>
            <w:tcBorders>
              <w:right w:val="single" w:color="auto" w:sz="12" w:space="0"/>
            </w:tcBorders>
            <w:vAlign w:val="center"/>
          </w:tcPr>
          <w:p w14:paraId="4D5F0477">
            <w:pPr>
              <w:pStyle w:val="580"/>
              <w:widowControl w:val="0"/>
              <w:spacing w:line="240" w:lineRule="auto"/>
              <w:rPr>
                <w:rFonts w:ascii="宋体" w:hAnsi="宋体" w:eastAsia="宋体" w:cs="Times New Roman"/>
                <w:szCs w:val="21"/>
              </w:rPr>
            </w:pPr>
            <w:r>
              <w:rPr>
                <w:rFonts w:hint="eastAsia" w:cs="Times New Roman" w:asciiTheme="minorEastAsia" w:hAnsiTheme="minorEastAsia" w:eastAsiaTheme="minorEastAsia"/>
                <w:szCs w:val="21"/>
              </w:rPr>
              <w:t>简单</w:t>
            </w:r>
          </w:p>
        </w:tc>
      </w:tr>
    </w:tbl>
    <w:p w14:paraId="59F32BDE">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（2）</w:t>
      </w:r>
      <w:r>
        <w:rPr>
          <w:rFonts w:asciiTheme="minorEastAsia" w:hAnsiTheme="minorEastAsia" w:eastAsiaTheme="minorEastAsia"/>
          <w:lang w:eastAsia="zh-CN"/>
        </w:rPr>
        <w:t>建设项目评价工作等级</w:t>
      </w:r>
    </w:p>
    <w:p w14:paraId="411FA7AB">
      <w:pPr>
        <w:ind w:firstLine="480"/>
        <w:rPr>
          <w:rFonts w:asciiTheme="minorEastAsia" w:hAnsiTheme="minorEastAsia" w:eastAsiaTheme="minorEastAsia"/>
          <w:lang w:eastAsia="zh-CN"/>
        </w:rPr>
      </w:pPr>
      <w:r>
        <w:rPr>
          <w:rFonts w:asciiTheme="minorEastAsia" w:hAnsiTheme="minorEastAsia" w:eastAsiaTheme="minorEastAsia"/>
          <w:lang w:eastAsia="zh-CN"/>
        </w:rPr>
        <w:t>根据《环境影响评价技术导则 地下水环境》(HJ 610－2011)，本项目</w:t>
      </w:r>
      <w:r>
        <w:rPr>
          <w:rFonts w:ascii="宋体" w:hAnsi="宋体"/>
          <w:snapToGrid w:val="0"/>
          <w:szCs w:val="20"/>
          <w:lang w:eastAsia="zh-CN"/>
        </w:rPr>
        <w:t>（Ⅰ类）</w:t>
      </w:r>
      <w:r>
        <w:rPr>
          <w:rFonts w:asciiTheme="minorEastAsia" w:hAnsiTheme="minorEastAsia" w:eastAsiaTheme="minorEastAsia"/>
          <w:lang w:eastAsia="zh-CN"/>
        </w:rPr>
        <w:t>地下水评价等级为</w:t>
      </w:r>
      <w:r>
        <w:rPr>
          <w:rFonts w:hint="eastAsia" w:asciiTheme="minorEastAsia" w:hAnsiTheme="minorEastAsia" w:eastAsiaTheme="minorEastAsia"/>
          <w:lang w:eastAsia="zh-CN"/>
        </w:rPr>
        <w:t>三</w:t>
      </w:r>
      <w:r>
        <w:rPr>
          <w:rFonts w:asciiTheme="minorEastAsia" w:hAnsiTheme="minorEastAsia" w:eastAsiaTheme="minorEastAsia"/>
          <w:lang w:eastAsia="zh-CN"/>
        </w:rPr>
        <w:t>级，见表1.</w:t>
      </w:r>
      <w:r>
        <w:rPr>
          <w:rFonts w:hint="eastAsia" w:asciiTheme="minorEastAsia" w:hAnsiTheme="minorEastAsia" w:eastAsiaTheme="minorEastAsia"/>
          <w:lang w:eastAsia="zh-CN"/>
        </w:rPr>
        <w:t>6</w:t>
      </w:r>
      <w:r>
        <w:rPr>
          <w:rFonts w:asciiTheme="minorEastAsia" w:hAnsiTheme="minorEastAsia" w:eastAsiaTheme="minorEastAsia"/>
          <w:lang w:eastAsia="zh-CN"/>
        </w:rPr>
        <w:t>-</w:t>
      </w:r>
      <w:r>
        <w:rPr>
          <w:rFonts w:hint="eastAsia" w:asciiTheme="minorEastAsia" w:hAnsiTheme="minorEastAsia" w:eastAsiaTheme="minorEastAsia"/>
          <w:lang w:eastAsia="zh-CN"/>
        </w:rPr>
        <w:t>5</w:t>
      </w:r>
      <w:r>
        <w:rPr>
          <w:rFonts w:asciiTheme="minorEastAsia" w:hAnsiTheme="minorEastAsia" w:eastAsiaTheme="minorEastAsia"/>
          <w:lang w:eastAsia="zh-CN"/>
        </w:rPr>
        <w:t>。</w:t>
      </w:r>
    </w:p>
    <w:p w14:paraId="6D9666D0">
      <w:pPr>
        <w:spacing w:line="240" w:lineRule="auto"/>
        <w:ind w:firstLine="361" w:firstLineChars="150"/>
        <w:rPr>
          <w:b/>
          <w:lang w:eastAsia="zh-CN"/>
        </w:rPr>
      </w:pPr>
      <w:r>
        <w:rPr>
          <w:b/>
          <w:lang w:eastAsia="zh-CN"/>
        </w:rPr>
        <w:t>表</w:t>
      </w:r>
      <w:r>
        <w:rPr>
          <w:rFonts w:hint="eastAsia"/>
          <w:b/>
          <w:lang w:eastAsia="zh-CN"/>
        </w:rPr>
        <w:t>1.6</w:t>
      </w:r>
      <w:r>
        <w:rPr>
          <w:b/>
          <w:lang w:eastAsia="zh-CN"/>
        </w:rPr>
        <w:t>-</w:t>
      </w:r>
      <w:r>
        <w:rPr>
          <w:rFonts w:hint="eastAsia"/>
          <w:b/>
          <w:lang w:eastAsia="zh-CN"/>
        </w:rPr>
        <w:t xml:space="preserve">5   </w:t>
      </w:r>
      <w:r>
        <w:rPr>
          <w:b/>
          <w:lang w:eastAsia="zh-CN"/>
        </w:rPr>
        <w:t>本项目（Ⅰ类）评价工作等级标准</w:t>
      </w:r>
    </w:p>
    <w:tbl>
      <w:tblPr>
        <w:tblStyle w:val="76"/>
        <w:tblW w:w="5000" w:type="pct"/>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3"/>
        <w:gridCol w:w="1694"/>
        <w:gridCol w:w="1499"/>
        <w:gridCol w:w="1319"/>
        <w:gridCol w:w="1470"/>
        <w:gridCol w:w="1274"/>
      </w:tblGrid>
      <w:tr w14:paraId="04C1E28C">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6" w:type="pct"/>
            <w:vAlign w:val="center"/>
          </w:tcPr>
          <w:p w14:paraId="14E3A155">
            <w:pPr>
              <w:pStyle w:val="580"/>
              <w:widowControl w:val="0"/>
              <w:spacing w:line="240" w:lineRule="auto"/>
              <w:rPr>
                <w:rFonts w:ascii="Times New Roman" w:hAnsi="Times New Roman" w:eastAsia="宋体" w:cs="Times New Roman"/>
                <w:szCs w:val="21"/>
              </w:rPr>
            </w:pPr>
            <w:r>
              <w:rPr>
                <w:rFonts w:ascii="Times New Roman" w:hAnsi="Times New Roman" w:eastAsia="宋体" w:cs="Times New Roman"/>
                <w:szCs w:val="21"/>
              </w:rPr>
              <w:t>包气带防污性能分级</w:t>
            </w:r>
          </w:p>
        </w:tc>
        <w:tc>
          <w:tcPr>
            <w:tcW w:w="993" w:type="pct"/>
            <w:vAlign w:val="center"/>
          </w:tcPr>
          <w:p w14:paraId="2DB82D61">
            <w:pPr>
              <w:pStyle w:val="580"/>
              <w:widowControl w:val="0"/>
              <w:spacing w:line="240" w:lineRule="auto"/>
              <w:rPr>
                <w:rFonts w:ascii="Times New Roman" w:hAnsi="Times New Roman" w:eastAsia="宋体" w:cs="Times New Roman"/>
                <w:szCs w:val="21"/>
              </w:rPr>
            </w:pPr>
            <w:r>
              <w:rPr>
                <w:rFonts w:ascii="Times New Roman" w:hAnsi="Times New Roman" w:eastAsia="宋体" w:cs="Times New Roman"/>
                <w:szCs w:val="21"/>
              </w:rPr>
              <w:t>场地的含水层易污染特征分级</w:t>
            </w:r>
          </w:p>
        </w:tc>
        <w:tc>
          <w:tcPr>
            <w:tcW w:w="879" w:type="pct"/>
            <w:vAlign w:val="center"/>
          </w:tcPr>
          <w:p w14:paraId="7FA27680">
            <w:pPr>
              <w:pStyle w:val="580"/>
              <w:widowControl w:val="0"/>
              <w:spacing w:line="240" w:lineRule="auto"/>
              <w:rPr>
                <w:rFonts w:ascii="Times New Roman" w:hAnsi="Times New Roman" w:eastAsia="宋体" w:cs="Times New Roman"/>
                <w:szCs w:val="21"/>
              </w:rPr>
            </w:pPr>
            <w:r>
              <w:rPr>
                <w:rFonts w:ascii="Times New Roman" w:hAnsi="Times New Roman" w:eastAsia="宋体" w:cs="Times New Roman"/>
                <w:szCs w:val="21"/>
              </w:rPr>
              <w:t>地下水环境敏感程度分级</w:t>
            </w:r>
          </w:p>
        </w:tc>
        <w:tc>
          <w:tcPr>
            <w:tcW w:w="773" w:type="pct"/>
            <w:vAlign w:val="center"/>
          </w:tcPr>
          <w:p w14:paraId="581ED5DA">
            <w:pPr>
              <w:pStyle w:val="580"/>
              <w:widowControl w:val="0"/>
              <w:spacing w:line="240" w:lineRule="auto"/>
              <w:rPr>
                <w:rFonts w:ascii="Times New Roman" w:hAnsi="Times New Roman" w:eastAsia="宋体" w:cs="Times New Roman"/>
                <w:szCs w:val="21"/>
              </w:rPr>
            </w:pPr>
            <w:r>
              <w:rPr>
                <w:rFonts w:ascii="Times New Roman" w:hAnsi="Times New Roman" w:eastAsia="宋体" w:cs="Times New Roman"/>
                <w:szCs w:val="21"/>
              </w:rPr>
              <w:t>污水排放量</w:t>
            </w:r>
          </w:p>
          <w:p w14:paraId="758D79CD">
            <w:pPr>
              <w:pStyle w:val="580"/>
              <w:widowControl w:val="0"/>
              <w:spacing w:line="240" w:lineRule="auto"/>
              <w:rPr>
                <w:rFonts w:ascii="Times New Roman" w:hAnsi="Times New Roman" w:eastAsia="宋体" w:cs="Times New Roman"/>
                <w:szCs w:val="21"/>
              </w:rPr>
            </w:pPr>
            <w:r>
              <w:rPr>
                <w:rFonts w:ascii="Times New Roman" w:hAnsi="Times New Roman" w:eastAsia="宋体" w:cs="Times New Roman"/>
                <w:szCs w:val="21"/>
              </w:rPr>
              <w:t>分级</w:t>
            </w:r>
          </w:p>
        </w:tc>
        <w:tc>
          <w:tcPr>
            <w:tcW w:w="862" w:type="pct"/>
            <w:vAlign w:val="center"/>
          </w:tcPr>
          <w:p w14:paraId="052EC026">
            <w:pPr>
              <w:pStyle w:val="580"/>
              <w:widowControl w:val="0"/>
              <w:spacing w:line="240" w:lineRule="auto"/>
              <w:rPr>
                <w:rFonts w:ascii="Times New Roman" w:hAnsi="Times New Roman" w:eastAsia="宋体" w:cs="Times New Roman"/>
                <w:szCs w:val="21"/>
              </w:rPr>
            </w:pPr>
            <w:r>
              <w:rPr>
                <w:rFonts w:ascii="Times New Roman" w:hAnsi="Times New Roman" w:eastAsia="宋体" w:cs="Times New Roman"/>
                <w:szCs w:val="21"/>
              </w:rPr>
              <w:t>污水水质复杂程度分级</w:t>
            </w:r>
          </w:p>
        </w:tc>
        <w:tc>
          <w:tcPr>
            <w:tcW w:w="747" w:type="pct"/>
            <w:vAlign w:val="center"/>
          </w:tcPr>
          <w:p w14:paraId="64E2EC4A">
            <w:pPr>
              <w:pStyle w:val="580"/>
              <w:widowControl w:val="0"/>
              <w:spacing w:line="240" w:lineRule="auto"/>
              <w:rPr>
                <w:rFonts w:ascii="Times New Roman" w:hAnsi="Times New Roman" w:eastAsia="宋体" w:cs="Times New Roman"/>
                <w:szCs w:val="21"/>
              </w:rPr>
            </w:pPr>
            <w:r>
              <w:rPr>
                <w:rFonts w:ascii="Times New Roman" w:hAnsi="Times New Roman" w:eastAsia="宋体" w:cs="Times New Roman"/>
                <w:szCs w:val="21"/>
              </w:rPr>
              <w:t>评价级别</w:t>
            </w:r>
          </w:p>
        </w:tc>
      </w:tr>
      <w:tr w14:paraId="4D5045EF">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6" w:type="pct"/>
            <w:vAlign w:val="center"/>
          </w:tcPr>
          <w:p w14:paraId="675FB862">
            <w:pPr>
              <w:pStyle w:val="580"/>
              <w:widowControl w:val="0"/>
              <w:spacing w:line="240" w:lineRule="auto"/>
              <w:rPr>
                <w:rFonts w:ascii="Times New Roman" w:hAnsi="Times New Roman" w:eastAsia="宋体" w:cs="Times New Roman"/>
                <w:szCs w:val="21"/>
              </w:rPr>
            </w:pPr>
            <w:r>
              <w:rPr>
                <w:rFonts w:ascii="Times New Roman" w:hAnsi="Times New Roman" w:eastAsia="宋体" w:cs="Times New Roman"/>
                <w:szCs w:val="21"/>
              </w:rPr>
              <w:t>中</w:t>
            </w:r>
          </w:p>
        </w:tc>
        <w:tc>
          <w:tcPr>
            <w:tcW w:w="993" w:type="pct"/>
            <w:vAlign w:val="center"/>
          </w:tcPr>
          <w:p w14:paraId="3F6607E2">
            <w:pPr>
              <w:pStyle w:val="580"/>
              <w:widowControl w:val="0"/>
              <w:spacing w:line="240" w:lineRule="auto"/>
              <w:rPr>
                <w:rFonts w:ascii="Times New Roman" w:hAnsi="Times New Roman" w:eastAsia="宋体" w:cs="Times New Roman"/>
                <w:szCs w:val="21"/>
              </w:rPr>
            </w:pPr>
            <w:r>
              <w:rPr>
                <w:rFonts w:ascii="Times New Roman" w:hAnsi="Times New Roman" w:eastAsia="宋体" w:cs="Times New Roman"/>
                <w:szCs w:val="21"/>
              </w:rPr>
              <w:t>中</w:t>
            </w:r>
          </w:p>
        </w:tc>
        <w:tc>
          <w:tcPr>
            <w:tcW w:w="879" w:type="pct"/>
            <w:vAlign w:val="center"/>
          </w:tcPr>
          <w:p w14:paraId="33CF4D7F">
            <w:pPr>
              <w:pStyle w:val="580"/>
              <w:widowControl w:val="0"/>
              <w:spacing w:line="240" w:lineRule="auto"/>
              <w:rPr>
                <w:rFonts w:ascii="Times New Roman" w:hAnsi="Times New Roman" w:eastAsia="宋体" w:cs="Times New Roman"/>
                <w:szCs w:val="21"/>
              </w:rPr>
            </w:pPr>
            <w:r>
              <w:rPr>
                <w:rFonts w:hint="eastAsia" w:ascii="Times New Roman" w:hAnsi="Times New Roman" w:eastAsia="宋体" w:cs="Times New Roman"/>
                <w:szCs w:val="21"/>
              </w:rPr>
              <w:t>较</w:t>
            </w:r>
            <w:r>
              <w:rPr>
                <w:rFonts w:ascii="Times New Roman" w:hAnsi="Times New Roman" w:eastAsia="宋体" w:cs="Times New Roman"/>
                <w:szCs w:val="21"/>
              </w:rPr>
              <w:t>敏感</w:t>
            </w:r>
          </w:p>
        </w:tc>
        <w:tc>
          <w:tcPr>
            <w:tcW w:w="773" w:type="pct"/>
            <w:vAlign w:val="center"/>
          </w:tcPr>
          <w:p w14:paraId="67164DBA">
            <w:pPr>
              <w:pStyle w:val="580"/>
              <w:widowControl w:val="0"/>
              <w:spacing w:line="240" w:lineRule="auto"/>
              <w:rPr>
                <w:rFonts w:ascii="Times New Roman" w:hAnsi="Times New Roman" w:eastAsia="宋体" w:cs="Times New Roman"/>
                <w:szCs w:val="21"/>
              </w:rPr>
            </w:pPr>
            <w:r>
              <w:rPr>
                <w:rFonts w:ascii="Times New Roman" w:hAnsi="Times New Roman" w:eastAsia="宋体" w:cs="Times New Roman"/>
                <w:szCs w:val="21"/>
              </w:rPr>
              <w:t>小</w:t>
            </w:r>
          </w:p>
        </w:tc>
        <w:tc>
          <w:tcPr>
            <w:tcW w:w="862" w:type="pct"/>
            <w:vAlign w:val="center"/>
          </w:tcPr>
          <w:p w14:paraId="425A6227">
            <w:pPr>
              <w:pStyle w:val="580"/>
              <w:widowControl w:val="0"/>
              <w:spacing w:line="240" w:lineRule="auto"/>
              <w:rPr>
                <w:rFonts w:ascii="Times New Roman" w:hAnsi="Times New Roman" w:eastAsia="宋体" w:cs="Times New Roman"/>
                <w:szCs w:val="21"/>
              </w:rPr>
            </w:pPr>
            <w:r>
              <w:rPr>
                <w:rFonts w:hint="eastAsia" w:ascii="Times New Roman" w:hAnsi="Times New Roman" w:eastAsia="宋体" w:cs="Times New Roman"/>
                <w:szCs w:val="21"/>
              </w:rPr>
              <w:t>简单</w:t>
            </w:r>
          </w:p>
        </w:tc>
        <w:tc>
          <w:tcPr>
            <w:tcW w:w="747" w:type="pct"/>
            <w:vAlign w:val="center"/>
          </w:tcPr>
          <w:p w14:paraId="6F9C4E04">
            <w:pPr>
              <w:pStyle w:val="580"/>
              <w:widowControl w:val="0"/>
              <w:spacing w:line="240" w:lineRule="auto"/>
              <w:rPr>
                <w:rFonts w:ascii="Times New Roman" w:hAnsi="Times New Roman" w:eastAsia="宋体" w:cs="Times New Roman"/>
                <w:szCs w:val="21"/>
              </w:rPr>
            </w:pPr>
            <w:r>
              <w:rPr>
                <w:rFonts w:ascii="Times New Roman" w:hAnsi="Times New Roman" w:eastAsia="宋体" w:cs="Times New Roman"/>
                <w:szCs w:val="21"/>
              </w:rPr>
              <w:t>三级</w:t>
            </w:r>
          </w:p>
        </w:tc>
      </w:tr>
    </w:tbl>
    <w:p w14:paraId="0E3A8144">
      <w:pPr>
        <w:spacing w:line="240" w:lineRule="auto"/>
        <w:ind w:firstLine="482"/>
        <w:jc w:val="center"/>
        <w:rPr>
          <w:b/>
          <w:lang w:eastAsia="zh-CN"/>
        </w:rPr>
      </w:pPr>
    </w:p>
    <w:p w14:paraId="5B971EB5">
      <w:pPr>
        <w:ind w:firstLine="480"/>
        <w:rPr>
          <w:rFonts w:asciiTheme="minorEastAsia" w:hAnsiTheme="minorEastAsia" w:eastAsiaTheme="minorEastAsia"/>
          <w:lang w:eastAsia="zh-CN"/>
        </w:rPr>
      </w:pPr>
      <w:r>
        <w:rPr>
          <w:rFonts w:asciiTheme="minorEastAsia" w:hAnsiTheme="minorEastAsia" w:eastAsiaTheme="minorEastAsia"/>
          <w:lang w:eastAsia="zh-CN"/>
        </w:rPr>
        <w:t>2、根据</w:t>
      </w:r>
      <w:r>
        <w:rPr>
          <w:rFonts w:hint="eastAsia" w:asciiTheme="minorEastAsia" w:hAnsiTheme="minorEastAsia" w:eastAsiaTheme="minorEastAsia"/>
          <w:lang w:eastAsia="zh-CN"/>
        </w:rPr>
        <w:t>Ⅱ</w:t>
      </w:r>
      <w:r>
        <w:rPr>
          <w:rFonts w:asciiTheme="minorEastAsia" w:hAnsiTheme="minorEastAsia" w:eastAsiaTheme="minorEastAsia"/>
          <w:lang w:eastAsia="zh-CN"/>
        </w:rPr>
        <w:t>类建设项目工作等级划分</w:t>
      </w:r>
    </w:p>
    <w:p w14:paraId="5F55D330">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（1）</w:t>
      </w:r>
      <w:r>
        <w:rPr>
          <w:rFonts w:asciiTheme="minorEastAsia" w:hAnsiTheme="minorEastAsia" w:eastAsiaTheme="minorEastAsia"/>
          <w:lang w:eastAsia="zh-CN"/>
        </w:rPr>
        <w:t>分级依据</w:t>
      </w:r>
    </w:p>
    <w:p w14:paraId="3CA7159D">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ⅰ</w:t>
      </w:r>
      <w:r>
        <w:rPr>
          <w:rFonts w:asciiTheme="minorEastAsia" w:hAnsiTheme="minorEastAsia" w:eastAsiaTheme="minorEastAsia"/>
          <w:lang w:eastAsia="zh-CN"/>
        </w:rPr>
        <w:t>.建设项目地下水供水（或排水、注水）规模</w:t>
      </w:r>
    </w:p>
    <w:p w14:paraId="042FA5B7">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乌里雅斯太</w:t>
      </w:r>
      <w:r>
        <w:rPr>
          <w:rFonts w:asciiTheme="minorEastAsia" w:hAnsiTheme="minorEastAsia" w:eastAsiaTheme="minorEastAsia"/>
          <w:lang w:eastAsia="zh-CN"/>
        </w:rPr>
        <w:t>油田在开发过程中，供水水源引自项目水源井，供水</w:t>
      </w:r>
      <w:r>
        <w:rPr>
          <w:rFonts w:hint="eastAsia" w:asciiTheme="minorEastAsia" w:hAnsiTheme="minorEastAsia" w:eastAsiaTheme="minorEastAsia"/>
          <w:lang w:eastAsia="zh-CN"/>
        </w:rPr>
        <w:t>（补充清水）</w:t>
      </w:r>
      <w:r>
        <w:rPr>
          <w:rFonts w:asciiTheme="minorEastAsia" w:hAnsiTheme="minorEastAsia" w:eastAsiaTheme="minorEastAsia"/>
          <w:lang w:eastAsia="zh-CN"/>
        </w:rPr>
        <w:t>规模</w:t>
      </w:r>
      <w:r>
        <w:rPr>
          <w:rFonts w:hint="eastAsia" w:asciiTheme="minorEastAsia" w:hAnsiTheme="minorEastAsia" w:eastAsiaTheme="minorEastAsia"/>
          <w:lang w:eastAsia="zh-CN"/>
        </w:rPr>
        <w:t>最大</w:t>
      </w:r>
      <w:r>
        <w:rPr>
          <w:rFonts w:asciiTheme="minorEastAsia" w:hAnsiTheme="minorEastAsia" w:eastAsiaTheme="minorEastAsia"/>
          <w:lang w:eastAsia="zh-CN"/>
        </w:rPr>
        <w:t>为</w:t>
      </w:r>
      <w:r>
        <w:rPr>
          <w:rFonts w:hint="eastAsia" w:asciiTheme="minorEastAsia" w:hAnsiTheme="minorEastAsia" w:eastAsiaTheme="minorEastAsia"/>
          <w:lang w:eastAsia="zh-CN"/>
        </w:rPr>
        <w:t>410.48</w:t>
      </w:r>
      <w:r>
        <w:rPr>
          <w:rFonts w:asciiTheme="minorEastAsia" w:hAnsiTheme="minorEastAsia" w:eastAsiaTheme="minorEastAsia"/>
          <w:lang w:eastAsia="zh-CN"/>
        </w:rPr>
        <w:t>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/d；油田采用注水开采，生产过程中的含油废水经分离后，经过</w:t>
      </w:r>
      <w:r>
        <w:rPr>
          <w:rFonts w:hint="eastAsia" w:asciiTheme="minorEastAsia" w:hAnsiTheme="minorEastAsia" w:eastAsiaTheme="minorEastAsia"/>
          <w:lang w:eastAsia="zh-CN"/>
        </w:rPr>
        <w:t>雅斯联合站</w:t>
      </w:r>
      <w:r>
        <w:rPr>
          <w:rFonts w:asciiTheme="minorEastAsia" w:hAnsiTheme="minorEastAsia" w:eastAsiaTheme="minorEastAsia"/>
          <w:lang w:eastAsia="zh-CN"/>
        </w:rPr>
        <w:t>污水处理系统处理后全部用于生产注水，注水量</w:t>
      </w:r>
      <w:r>
        <w:rPr>
          <w:rFonts w:hint="eastAsia" w:asciiTheme="minorEastAsia" w:hAnsiTheme="minorEastAsia" w:eastAsiaTheme="minorEastAsia"/>
          <w:lang w:eastAsia="zh-CN"/>
        </w:rPr>
        <w:t>（处理后的含油污水和补充清水）503.01</w:t>
      </w:r>
      <w:r>
        <w:rPr>
          <w:rFonts w:asciiTheme="minorEastAsia" w:hAnsiTheme="minorEastAsia" w:eastAsiaTheme="minorEastAsia"/>
          <w:lang w:eastAsia="zh-CN"/>
        </w:rPr>
        <w:t>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/d，根据表1.</w:t>
      </w:r>
      <w:r>
        <w:rPr>
          <w:rFonts w:hint="eastAsia" w:asciiTheme="minorEastAsia" w:hAnsiTheme="minorEastAsia" w:eastAsiaTheme="minorEastAsia"/>
          <w:lang w:eastAsia="zh-CN"/>
        </w:rPr>
        <w:t>6</w:t>
      </w:r>
      <w:r>
        <w:rPr>
          <w:rFonts w:asciiTheme="minorEastAsia" w:hAnsiTheme="minorEastAsia" w:eastAsiaTheme="minorEastAsia"/>
          <w:lang w:eastAsia="zh-CN"/>
        </w:rPr>
        <w:t>-</w:t>
      </w:r>
      <w:r>
        <w:rPr>
          <w:rFonts w:hint="eastAsia" w:asciiTheme="minorEastAsia" w:hAnsiTheme="minorEastAsia" w:eastAsiaTheme="minorEastAsia"/>
          <w:lang w:eastAsia="zh-CN"/>
        </w:rPr>
        <w:t>6</w:t>
      </w:r>
      <w:r>
        <w:rPr>
          <w:rFonts w:asciiTheme="minorEastAsia" w:hAnsiTheme="minorEastAsia" w:eastAsiaTheme="minorEastAsia"/>
          <w:lang w:eastAsia="zh-CN"/>
        </w:rPr>
        <w:t>的判定依据，本建设项目地下水供排水规模为“</w:t>
      </w:r>
      <w:r>
        <w:rPr>
          <w:rFonts w:hint="eastAsia" w:asciiTheme="minorEastAsia" w:hAnsiTheme="minorEastAsia" w:eastAsiaTheme="minorEastAsia"/>
          <w:lang w:eastAsia="zh-CN"/>
        </w:rPr>
        <w:t>小</w:t>
      </w:r>
      <w:r>
        <w:rPr>
          <w:rFonts w:asciiTheme="minorEastAsia" w:hAnsiTheme="minorEastAsia" w:eastAsiaTheme="minorEastAsia"/>
          <w:lang w:eastAsia="zh-CN"/>
        </w:rPr>
        <w:t>”。</w:t>
      </w:r>
    </w:p>
    <w:p w14:paraId="3DBAF1AE">
      <w:pPr>
        <w:spacing w:line="240" w:lineRule="auto"/>
        <w:ind w:firstLine="361" w:firstLineChars="150"/>
        <w:rPr>
          <w:b/>
          <w:lang w:eastAsia="zh-CN"/>
        </w:rPr>
      </w:pPr>
      <w:r>
        <w:rPr>
          <w:b/>
          <w:lang w:eastAsia="zh-CN"/>
        </w:rPr>
        <w:t>表1.</w:t>
      </w:r>
      <w:r>
        <w:rPr>
          <w:rFonts w:hint="eastAsia"/>
          <w:b/>
          <w:lang w:eastAsia="zh-CN"/>
        </w:rPr>
        <w:t>6</w:t>
      </w:r>
      <w:r>
        <w:rPr>
          <w:b/>
          <w:lang w:eastAsia="zh-CN"/>
        </w:rPr>
        <w:t>-</w:t>
      </w:r>
      <w:r>
        <w:rPr>
          <w:rFonts w:hint="eastAsia"/>
          <w:b/>
          <w:lang w:eastAsia="zh-CN"/>
        </w:rPr>
        <w:t>6</w:t>
      </w:r>
      <w:r>
        <w:rPr>
          <w:b/>
          <w:lang w:eastAsia="zh-CN"/>
        </w:rPr>
        <w:t xml:space="preserve">  </w:t>
      </w:r>
      <w:r>
        <w:rPr>
          <w:rFonts w:hint="eastAsia"/>
          <w:b/>
          <w:lang w:eastAsia="zh-CN"/>
        </w:rPr>
        <w:t xml:space="preserve">  </w:t>
      </w:r>
      <w:r>
        <w:rPr>
          <w:b/>
          <w:lang w:eastAsia="zh-CN"/>
        </w:rPr>
        <w:t>地下水供水（或排水、注水）规模分级</w:t>
      </w:r>
    </w:p>
    <w:tbl>
      <w:tblPr>
        <w:tblStyle w:val="7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512"/>
        <w:gridCol w:w="5017"/>
      </w:tblGrid>
      <w:tr w14:paraId="7DE1F6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512" w:type="dxa"/>
            <w:vAlign w:val="center"/>
          </w:tcPr>
          <w:p w14:paraId="52950665">
            <w:pPr>
              <w:topLinePunct/>
              <w:adjustRightInd w:val="0"/>
              <w:snapToGrid w:val="0"/>
              <w:spacing w:line="240" w:lineRule="auto"/>
              <w:ind w:firstLine="420"/>
              <w:jc w:val="center"/>
              <w:rPr>
                <w:sz w:val="21"/>
                <w:szCs w:val="21"/>
              </w:rPr>
            </w:pPr>
            <w:r>
              <w:rPr>
                <w:sz w:val="21"/>
                <w:szCs w:val="21"/>
              </w:rPr>
              <w:t>分    级</w:t>
            </w:r>
          </w:p>
        </w:tc>
        <w:tc>
          <w:tcPr>
            <w:tcW w:w="5017" w:type="dxa"/>
            <w:vAlign w:val="center"/>
          </w:tcPr>
          <w:p w14:paraId="25BB60B6">
            <w:pPr>
              <w:topLinePunct/>
              <w:adjustRightInd w:val="0"/>
              <w:snapToGrid w:val="0"/>
              <w:spacing w:line="240" w:lineRule="auto"/>
              <w:ind w:firstLine="420"/>
              <w:jc w:val="center"/>
              <w:rPr>
                <w:sz w:val="21"/>
                <w:szCs w:val="21"/>
              </w:rPr>
            </w:pPr>
            <w:r>
              <w:rPr>
                <w:sz w:val="21"/>
                <w:szCs w:val="21"/>
              </w:rPr>
              <w:t>供水（或排水、注水）量（万m</w:t>
            </w:r>
            <w:r>
              <w:rPr>
                <w:sz w:val="21"/>
                <w:szCs w:val="21"/>
                <w:vertAlign w:val="superscript"/>
              </w:rPr>
              <w:t>3</w:t>
            </w:r>
            <w:r>
              <w:rPr>
                <w:sz w:val="21"/>
                <w:szCs w:val="21"/>
              </w:rPr>
              <w:t>/d）</w:t>
            </w:r>
          </w:p>
        </w:tc>
      </w:tr>
      <w:tr w14:paraId="220D05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512" w:type="dxa"/>
            <w:vAlign w:val="center"/>
          </w:tcPr>
          <w:p w14:paraId="73A0CA18">
            <w:pPr>
              <w:topLinePunct/>
              <w:adjustRightInd w:val="0"/>
              <w:snapToGrid w:val="0"/>
              <w:spacing w:line="240" w:lineRule="auto"/>
              <w:ind w:firstLine="420"/>
              <w:jc w:val="center"/>
              <w:rPr>
                <w:sz w:val="21"/>
                <w:szCs w:val="21"/>
              </w:rPr>
            </w:pPr>
            <w:r>
              <w:rPr>
                <w:sz w:val="21"/>
                <w:szCs w:val="21"/>
              </w:rPr>
              <w:t>大</w:t>
            </w:r>
          </w:p>
        </w:tc>
        <w:tc>
          <w:tcPr>
            <w:tcW w:w="5017" w:type="dxa"/>
            <w:vAlign w:val="center"/>
          </w:tcPr>
          <w:p w14:paraId="428F369F">
            <w:pPr>
              <w:topLinePunct/>
              <w:adjustRightInd w:val="0"/>
              <w:snapToGrid w:val="0"/>
              <w:spacing w:line="240" w:lineRule="auto"/>
              <w:ind w:firstLine="420"/>
              <w:jc w:val="center"/>
              <w:rPr>
                <w:sz w:val="21"/>
                <w:szCs w:val="21"/>
              </w:rPr>
            </w:pPr>
            <w:r>
              <w:rPr>
                <w:sz w:val="21"/>
                <w:szCs w:val="21"/>
              </w:rPr>
              <w:t>≥1.0</w:t>
            </w:r>
          </w:p>
        </w:tc>
      </w:tr>
      <w:tr w14:paraId="233922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512" w:type="dxa"/>
            <w:vAlign w:val="center"/>
          </w:tcPr>
          <w:p w14:paraId="0D554D29">
            <w:pPr>
              <w:topLinePunct/>
              <w:adjustRightInd w:val="0"/>
              <w:snapToGrid w:val="0"/>
              <w:spacing w:line="240" w:lineRule="auto"/>
              <w:ind w:firstLine="420"/>
              <w:jc w:val="center"/>
              <w:rPr>
                <w:sz w:val="21"/>
                <w:szCs w:val="21"/>
              </w:rPr>
            </w:pPr>
            <w:r>
              <w:rPr>
                <w:sz w:val="21"/>
                <w:szCs w:val="21"/>
              </w:rPr>
              <w:t>中</w:t>
            </w:r>
          </w:p>
        </w:tc>
        <w:tc>
          <w:tcPr>
            <w:tcW w:w="5017" w:type="dxa"/>
            <w:vAlign w:val="center"/>
          </w:tcPr>
          <w:p w14:paraId="6957663C">
            <w:pPr>
              <w:topLinePunct/>
              <w:adjustRightInd w:val="0"/>
              <w:snapToGrid w:val="0"/>
              <w:spacing w:line="240" w:lineRule="auto"/>
              <w:ind w:firstLine="420"/>
              <w:jc w:val="center"/>
              <w:rPr>
                <w:sz w:val="21"/>
                <w:szCs w:val="21"/>
              </w:rPr>
            </w:pPr>
            <w:r>
              <w:rPr>
                <w:sz w:val="21"/>
                <w:szCs w:val="21"/>
              </w:rPr>
              <w:t>0.2～1.0</w:t>
            </w:r>
          </w:p>
        </w:tc>
      </w:tr>
      <w:tr w14:paraId="536BA7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512" w:type="dxa"/>
            <w:vAlign w:val="center"/>
          </w:tcPr>
          <w:p w14:paraId="4A1CDB6E">
            <w:pPr>
              <w:topLinePunct/>
              <w:adjustRightInd w:val="0"/>
              <w:snapToGrid w:val="0"/>
              <w:spacing w:line="240" w:lineRule="auto"/>
              <w:ind w:firstLine="420"/>
              <w:jc w:val="center"/>
              <w:rPr>
                <w:sz w:val="21"/>
                <w:szCs w:val="21"/>
              </w:rPr>
            </w:pPr>
            <w:r>
              <w:rPr>
                <w:sz w:val="21"/>
                <w:szCs w:val="21"/>
              </w:rPr>
              <w:t>小</w:t>
            </w:r>
          </w:p>
        </w:tc>
        <w:tc>
          <w:tcPr>
            <w:tcW w:w="5017" w:type="dxa"/>
            <w:vAlign w:val="center"/>
          </w:tcPr>
          <w:p w14:paraId="2B070FC3">
            <w:pPr>
              <w:topLinePunct/>
              <w:adjustRightInd w:val="0"/>
              <w:snapToGrid w:val="0"/>
              <w:spacing w:line="240" w:lineRule="auto"/>
              <w:ind w:firstLine="420"/>
              <w:jc w:val="center"/>
              <w:rPr>
                <w:sz w:val="21"/>
                <w:szCs w:val="21"/>
              </w:rPr>
            </w:pPr>
            <w:r>
              <w:rPr>
                <w:sz w:val="21"/>
                <w:szCs w:val="21"/>
              </w:rPr>
              <w:t>≤0.2</w:t>
            </w:r>
          </w:p>
        </w:tc>
      </w:tr>
    </w:tbl>
    <w:p w14:paraId="4C661EE1">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ⅱ</w:t>
      </w:r>
      <w:r>
        <w:rPr>
          <w:rFonts w:asciiTheme="minorEastAsia" w:hAnsiTheme="minorEastAsia" w:eastAsiaTheme="minorEastAsia"/>
          <w:lang w:eastAsia="zh-CN"/>
        </w:rPr>
        <w:t>.建设项目地下水水位变化区域</w:t>
      </w:r>
    </w:p>
    <w:p w14:paraId="6E037435">
      <w:pPr>
        <w:ind w:firstLine="480"/>
        <w:rPr>
          <w:rFonts w:asciiTheme="minorEastAsia" w:hAnsiTheme="minorEastAsia" w:eastAsiaTheme="minorEastAsia"/>
          <w:lang w:eastAsia="zh-CN"/>
        </w:rPr>
      </w:pPr>
      <w:r>
        <w:rPr>
          <w:rFonts w:asciiTheme="minorEastAsia" w:hAnsiTheme="minorEastAsia" w:eastAsiaTheme="minorEastAsia"/>
          <w:lang w:eastAsia="zh-CN"/>
        </w:rPr>
        <w:t>建设项目地下水水位变化区域范围分大、中、小三级。</w:t>
      </w:r>
      <w:r>
        <w:rPr>
          <w:rFonts w:hint="eastAsia" w:asciiTheme="minorEastAsia" w:hAnsiTheme="minorEastAsia" w:eastAsiaTheme="minorEastAsia"/>
          <w:lang w:eastAsia="zh-CN"/>
        </w:rPr>
        <w:t>本项目含油废水经处理后主要回注含油层，几乎不引起区域地下水位的变化，</w:t>
      </w:r>
      <w:r>
        <w:rPr>
          <w:rFonts w:asciiTheme="minorEastAsia" w:hAnsiTheme="minorEastAsia" w:eastAsiaTheme="minorEastAsia"/>
          <w:lang w:eastAsia="zh-CN"/>
        </w:rPr>
        <w:t>因此本项目地下水水位变化区域范围分级为“小” 。</w:t>
      </w:r>
    </w:p>
    <w:p w14:paraId="13F1C3FC">
      <w:pPr>
        <w:spacing w:line="240" w:lineRule="auto"/>
        <w:ind w:firstLine="241" w:firstLineChars="100"/>
        <w:rPr>
          <w:b/>
          <w:lang w:eastAsia="zh-CN"/>
        </w:rPr>
      </w:pPr>
      <w:r>
        <w:rPr>
          <w:b/>
          <w:lang w:eastAsia="zh-CN"/>
        </w:rPr>
        <w:t>表1.</w:t>
      </w:r>
      <w:r>
        <w:rPr>
          <w:rFonts w:hint="eastAsia"/>
          <w:b/>
          <w:lang w:eastAsia="zh-CN"/>
        </w:rPr>
        <w:t>6</w:t>
      </w:r>
      <w:r>
        <w:rPr>
          <w:b/>
          <w:lang w:eastAsia="zh-CN"/>
        </w:rPr>
        <w:t>-</w:t>
      </w:r>
      <w:r>
        <w:rPr>
          <w:rFonts w:hint="eastAsia"/>
          <w:b/>
          <w:lang w:eastAsia="zh-CN"/>
        </w:rPr>
        <w:t>7</w:t>
      </w:r>
      <w:r>
        <w:rPr>
          <w:b/>
          <w:lang w:eastAsia="zh-CN"/>
        </w:rPr>
        <w:t xml:space="preserve">  </w:t>
      </w:r>
      <w:r>
        <w:rPr>
          <w:rFonts w:hint="eastAsia"/>
          <w:b/>
          <w:lang w:eastAsia="zh-CN"/>
        </w:rPr>
        <w:t xml:space="preserve">   </w:t>
      </w:r>
      <w:r>
        <w:rPr>
          <w:b/>
          <w:lang w:eastAsia="zh-CN"/>
        </w:rPr>
        <w:t>地下水水位变化区域范围分级</w:t>
      </w:r>
    </w:p>
    <w:tbl>
      <w:tblPr>
        <w:tblStyle w:val="7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693"/>
        <w:gridCol w:w="4836"/>
      </w:tblGrid>
      <w:tr w14:paraId="3669B3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93" w:type="dxa"/>
            <w:vAlign w:val="center"/>
          </w:tcPr>
          <w:p w14:paraId="4557C9BD">
            <w:pPr>
              <w:pStyle w:val="337"/>
              <w:adjustRightInd w:val="0"/>
              <w:snapToGrid w:val="0"/>
              <w:rPr>
                <w:color w:val="auto"/>
                <w:lang w:val="en-US" w:eastAsia="en-US" w:bidi="en-US"/>
              </w:rPr>
            </w:pPr>
            <w:r>
              <w:rPr>
                <w:color w:val="auto"/>
                <w:lang w:val="en-US" w:eastAsia="en-US" w:bidi="en-US"/>
              </w:rPr>
              <w:t>分    级</w:t>
            </w:r>
          </w:p>
        </w:tc>
        <w:tc>
          <w:tcPr>
            <w:tcW w:w="4836" w:type="dxa"/>
            <w:vAlign w:val="center"/>
          </w:tcPr>
          <w:p w14:paraId="2AA1E3EE">
            <w:pPr>
              <w:pStyle w:val="337"/>
              <w:adjustRightInd w:val="0"/>
              <w:snapToGrid w:val="0"/>
              <w:rPr>
                <w:color w:val="auto"/>
                <w:lang w:val="en-US" w:eastAsia="zh-CN" w:bidi="en-US"/>
              </w:rPr>
            </w:pPr>
            <w:r>
              <w:rPr>
                <w:color w:val="auto"/>
                <w:lang w:val="en-US" w:eastAsia="zh-CN" w:bidi="en-US"/>
              </w:rPr>
              <w:t>地下水水位变化影响半径（km）</w:t>
            </w:r>
          </w:p>
        </w:tc>
      </w:tr>
      <w:tr w14:paraId="11E3BD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93" w:type="dxa"/>
            <w:vAlign w:val="center"/>
          </w:tcPr>
          <w:p w14:paraId="69BB60D6">
            <w:pPr>
              <w:pStyle w:val="337"/>
              <w:adjustRightInd w:val="0"/>
              <w:snapToGrid w:val="0"/>
              <w:rPr>
                <w:color w:val="auto"/>
                <w:lang w:val="en-US" w:eastAsia="en-US" w:bidi="en-US"/>
              </w:rPr>
            </w:pPr>
            <w:r>
              <w:rPr>
                <w:color w:val="auto"/>
                <w:lang w:val="en-US" w:eastAsia="en-US" w:bidi="en-US"/>
              </w:rPr>
              <w:t>大</w:t>
            </w:r>
          </w:p>
        </w:tc>
        <w:tc>
          <w:tcPr>
            <w:tcW w:w="4836" w:type="dxa"/>
            <w:vAlign w:val="center"/>
          </w:tcPr>
          <w:p w14:paraId="37DB7534">
            <w:pPr>
              <w:pStyle w:val="337"/>
              <w:adjustRightInd w:val="0"/>
              <w:snapToGrid w:val="0"/>
              <w:rPr>
                <w:color w:val="auto"/>
                <w:lang w:val="en-US" w:eastAsia="en-US" w:bidi="en-US"/>
              </w:rPr>
            </w:pPr>
            <w:r>
              <w:rPr>
                <w:color w:val="auto"/>
                <w:lang w:val="en-US" w:eastAsia="en-US" w:bidi="en-US"/>
              </w:rPr>
              <w:t>≥1.5</w:t>
            </w:r>
          </w:p>
        </w:tc>
      </w:tr>
      <w:tr w14:paraId="7DFFE8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93" w:type="dxa"/>
            <w:vAlign w:val="center"/>
          </w:tcPr>
          <w:p w14:paraId="28809338">
            <w:pPr>
              <w:pStyle w:val="337"/>
              <w:adjustRightInd w:val="0"/>
              <w:snapToGrid w:val="0"/>
              <w:rPr>
                <w:color w:val="auto"/>
                <w:lang w:val="en-US" w:eastAsia="en-US" w:bidi="en-US"/>
              </w:rPr>
            </w:pPr>
            <w:r>
              <w:rPr>
                <w:color w:val="auto"/>
                <w:lang w:val="en-US" w:eastAsia="en-US" w:bidi="en-US"/>
              </w:rPr>
              <w:t>中</w:t>
            </w:r>
          </w:p>
        </w:tc>
        <w:tc>
          <w:tcPr>
            <w:tcW w:w="4836" w:type="dxa"/>
            <w:vAlign w:val="center"/>
          </w:tcPr>
          <w:p w14:paraId="1617F871">
            <w:pPr>
              <w:pStyle w:val="337"/>
              <w:adjustRightInd w:val="0"/>
              <w:snapToGrid w:val="0"/>
              <w:rPr>
                <w:color w:val="auto"/>
                <w:lang w:val="en-US" w:eastAsia="en-US" w:bidi="en-US"/>
              </w:rPr>
            </w:pPr>
            <w:r>
              <w:rPr>
                <w:color w:val="auto"/>
                <w:lang w:val="en-US" w:eastAsia="en-US" w:bidi="en-US"/>
              </w:rPr>
              <w:t>0.5～1.5</w:t>
            </w:r>
          </w:p>
        </w:tc>
      </w:tr>
      <w:tr w14:paraId="64CAD4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3693" w:type="dxa"/>
            <w:vAlign w:val="center"/>
          </w:tcPr>
          <w:p w14:paraId="66030C44">
            <w:pPr>
              <w:pStyle w:val="337"/>
              <w:adjustRightInd w:val="0"/>
              <w:snapToGrid w:val="0"/>
              <w:rPr>
                <w:color w:val="auto"/>
                <w:lang w:val="en-US" w:eastAsia="en-US" w:bidi="en-US"/>
              </w:rPr>
            </w:pPr>
            <w:r>
              <w:rPr>
                <w:color w:val="auto"/>
                <w:lang w:val="en-US" w:eastAsia="en-US" w:bidi="en-US"/>
              </w:rPr>
              <w:t>小</w:t>
            </w:r>
          </w:p>
        </w:tc>
        <w:tc>
          <w:tcPr>
            <w:tcW w:w="4836" w:type="dxa"/>
            <w:vAlign w:val="center"/>
          </w:tcPr>
          <w:p w14:paraId="33DA8611">
            <w:pPr>
              <w:pStyle w:val="337"/>
              <w:adjustRightInd w:val="0"/>
              <w:snapToGrid w:val="0"/>
              <w:rPr>
                <w:color w:val="auto"/>
                <w:lang w:val="en-US" w:eastAsia="en-US" w:bidi="en-US"/>
              </w:rPr>
            </w:pPr>
            <w:r>
              <w:rPr>
                <w:color w:val="auto"/>
                <w:lang w:val="en-US" w:eastAsia="en-US" w:bidi="en-US"/>
              </w:rPr>
              <w:t>≤0.5</w:t>
            </w:r>
          </w:p>
        </w:tc>
      </w:tr>
    </w:tbl>
    <w:p w14:paraId="28D9952C">
      <w:pPr>
        <w:ind w:firstLine="480"/>
        <w:rPr>
          <w:rFonts w:asciiTheme="minorEastAsia" w:hAnsiTheme="minorEastAsia" w:eastAsiaTheme="minorEastAsia"/>
          <w:lang w:eastAsia="zh-CN"/>
        </w:rPr>
      </w:pPr>
      <w:r>
        <w:rPr>
          <w:rFonts w:asciiTheme="minorEastAsia" w:hAnsiTheme="minorEastAsia" w:eastAsiaTheme="minorEastAsia"/>
          <w:lang w:eastAsia="zh-CN"/>
        </w:rPr>
        <w:t>ⅲ.建设项目场地的地下水环境敏感程度</w:t>
      </w:r>
    </w:p>
    <w:p w14:paraId="5E7B91E8">
      <w:pPr>
        <w:ind w:firstLine="480"/>
        <w:rPr>
          <w:rFonts w:asciiTheme="minorEastAsia" w:hAnsiTheme="minorEastAsia" w:eastAsiaTheme="minorEastAsia"/>
          <w:lang w:eastAsia="zh-CN"/>
        </w:rPr>
      </w:pPr>
      <w:r>
        <w:rPr>
          <w:rFonts w:asciiTheme="minorEastAsia" w:hAnsiTheme="minorEastAsia" w:eastAsiaTheme="minorEastAsia"/>
          <w:lang w:eastAsia="zh-CN"/>
        </w:rPr>
        <w:t>本项目所在区域无集中式饮用水水源地准保护区及其它保护区，也不在国家和自治区划定的水土流失重点防治区的范围内，不在集中式饮用水源地准保护区以外的补给径流区，油田周边只有</w:t>
      </w:r>
      <w:r>
        <w:rPr>
          <w:rFonts w:hint="eastAsia" w:asciiTheme="minorEastAsia" w:hAnsiTheme="minorEastAsia" w:eastAsiaTheme="minorEastAsia"/>
          <w:lang w:eastAsia="zh-CN"/>
        </w:rPr>
        <w:t>零散</w:t>
      </w:r>
      <w:r>
        <w:rPr>
          <w:rFonts w:asciiTheme="minorEastAsia" w:hAnsiTheme="minorEastAsia" w:eastAsiaTheme="minorEastAsia"/>
          <w:lang w:eastAsia="zh-CN"/>
        </w:rPr>
        <w:t>居民饮用水水源井。因此根据表1.</w:t>
      </w:r>
      <w:r>
        <w:rPr>
          <w:rFonts w:hint="eastAsia" w:asciiTheme="minorEastAsia" w:hAnsiTheme="minorEastAsia" w:eastAsiaTheme="minorEastAsia"/>
          <w:lang w:eastAsia="zh-CN"/>
        </w:rPr>
        <w:t>6</w:t>
      </w:r>
      <w:r>
        <w:rPr>
          <w:rFonts w:asciiTheme="minorEastAsia" w:hAnsiTheme="minorEastAsia" w:eastAsiaTheme="minorEastAsia"/>
          <w:lang w:eastAsia="zh-CN"/>
        </w:rPr>
        <w:t>-</w:t>
      </w:r>
      <w:r>
        <w:rPr>
          <w:rFonts w:hint="eastAsia" w:asciiTheme="minorEastAsia" w:hAnsiTheme="minorEastAsia" w:eastAsiaTheme="minorEastAsia"/>
          <w:lang w:eastAsia="zh-CN"/>
        </w:rPr>
        <w:t>8</w:t>
      </w:r>
      <w:r>
        <w:rPr>
          <w:rFonts w:asciiTheme="minorEastAsia" w:hAnsiTheme="minorEastAsia" w:eastAsiaTheme="minorEastAsia"/>
          <w:lang w:eastAsia="zh-CN"/>
        </w:rPr>
        <w:t>分级原则，本项目地下水环境敏感程度分级为“较敏感”。</w:t>
      </w:r>
    </w:p>
    <w:p w14:paraId="00F3A675">
      <w:pPr>
        <w:spacing w:line="240" w:lineRule="auto"/>
        <w:ind w:firstLine="361" w:firstLineChars="150"/>
        <w:rPr>
          <w:b/>
          <w:lang w:eastAsia="zh-CN"/>
        </w:rPr>
      </w:pPr>
      <w:r>
        <w:rPr>
          <w:b/>
          <w:lang w:eastAsia="zh-CN"/>
        </w:rPr>
        <w:t>表1.</w:t>
      </w:r>
      <w:r>
        <w:rPr>
          <w:rFonts w:hint="eastAsia"/>
          <w:b/>
          <w:lang w:eastAsia="zh-CN"/>
        </w:rPr>
        <w:t>6</w:t>
      </w:r>
      <w:r>
        <w:rPr>
          <w:b/>
          <w:lang w:eastAsia="zh-CN"/>
        </w:rPr>
        <w:t>-</w:t>
      </w:r>
      <w:r>
        <w:rPr>
          <w:rFonts w:hint="eastAsia"/>
          <w:b/>
          <w:lang w:eastAsia="zh-CN"/>
        </w:rPr>
        <w:t>8</w:t>
      </w:r>
      <w:r>
        <w:rPr>
          <w:b/>
          <w:lang w:eastAsia="zh-CN"/>
        </w:rPr>
        <w:t xml:space="preserve"> </w:t>
      </w:r>
      <w:r>
        <w:rPr>
          <w:rFonts w:hint="eastAsia"/>
          <w:b/>
          <w:lang w:eastAsia="zh-CN"/>
        </w:rPr>
        <w:t xml:space="preserve">   </w:t>
      </w:r>
      <w:r>
        <w:rPr>
          <w:b/>
          <w:lang w:eastAsia="zh-CN"/>
        </w:rPr>
        <w:t>地下水环境敏感程度分级</w:t>
      </w:r>
    </w:p>
    <w:tbl>
      <w:tblPr>
        <w:tblStyle w:val="7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26"/>
        <w:gridCol w:w="7303"/>
      </w:tblGrid>
      <w:tr w14:paraId="1E944A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26" w:type="dxa"/>
            <w:vAlign w:val="center"/>
          </w:tcPr>
          <w:p w14:paraId="514FEAEA">
            <w:pPr>
              <w:pStyle w:val="337"/>
              <w:adjustRightInd w:val="0"/>
              <w:snapToGrid w:val="0"/>
              <w:rPr>
                <w:color w:val="auto"/>
                <w:lang w:val="en-US" w:eastAsia="en-US" w:bidi="en-US"/>
              </w:rPr>
            </w:pPr>
            <w:r>
              <w:rPr>
                <w:color w:val="auto"/>
                <w:lang w:val="en-US" w:eastAsia="en-US" w:bidi="en-US"/>
              </w:rPr>
              <w:t>分级</w:t>
            </w:r>
          </w:p>
        </w:tc>
        <w:tc>
          <w:tcPr>
            <w:tcW w:w="7303" w:type="dxa"/>
            <w:vAlign w:val="center"/>
          </w:tcPr>
          <w:p w14:paraId="66EC3330">
            <w:pPr>
              <w:pStyle w:val="337"/>
              <w:adjustRightInd w:val="0"/>
              <w:snapToGrid w:val="0"/>
              <w:rPr>
                <w:color w:val="auto"/>
                <w:lang w:val="en-US" w:eastAsia="zh-CN" w:bidi="en-US"/>
              </w:rPr>
            </w:pPr>
            <w:r>
              <w:rPr>
                <w:color w:val="auto"/>
                <w:lang w:val="en-US" w:eastAsia="zh-CN" w:bidi="en-US"/>
              </w:rPr>
              <w:t>项目场地的地下水环境敏感特征</w:t>
            </w:r>
          </w:p>
        </w:tc>
      </w:tr>
      <w:tr w14:paraId="06156F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26" w:type="dxa"/>
            <w:vAlign w:val="center"/>
          </w:tcPr>
          <w:p w14:paraId="094CB52A">
            <w:pPr>
              <w:pStyle w:val="337"/>
              <w:adjustRightInd w:val="0"/>
              <w:snapToGrid w:val="0"/>
              <w:rPr>
                <w:color w:val="auto"/>
                <w:lang w:val="en-US" w:eastAsia="en-US" w:bidi="en-US"/>
              </w:rPr>
            </w:pPr>
            <w:r>
              <w:rPr>
                <w:color w:val="auto"/>
                <w:lang w:val="en-US" w:eastAsia="en-US" w:bidi="en-US"/>
              </w:rPr>
              <w:t>敏感</w:t>
            </w:r>
          </w:p>
        </w:tc>
        <w:tc>
          <w:tcPr>
            <w:tcW w:w="7303" w:type="dxa"/>
            <w:vAlign w:val="center"/>
          </w:tcPr>
          <w:p w14:paraId="682B96A2">
            <w:pPr>
              <w:pStyle w:val="337"/>
              <w:adjustRightInd w:val="0"/>
              <w:snapToGrid w:val="0"/>
              <w:rPr>
                <w:color w:val="auto"/>
                <w:lang w:val="en-US" w:eastAsia="zh-CN" w:bidi="en-US"/>
              </w:rPr>
            </w:pPr>
            <w:r>
              <w:rPr>
                <w:color w:val="auto"/>
                <w:lang w:val="en-US" w:eastAsia="zh-CN" w:bidi="en-US"/>
              </w:rPr>
              <w:t>集中式饮用水水源地（包括已建成的在用、备用、应急水源地，在建和规划的水源地）准保护区；除集中式饮用水水源地以外的国家或地方政府设定的与地下水环境相关的其它保护区，如热水、矿泉水、温泉等特殊地下水资源保护区；生态脆弱区重点保护区域；地质灾害易发区；重要湿地、水土流失重点防治区、沙化土地封禁保护区等。</w:t>
            </w:r>
          </w:p>
        </w:tc>
      </w:tr>
      <w:tr w14:paraId="04A5FA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26" w:type="dxa"/>
            <w:vAlign w:val="center"/>
          </w:tcPr>
          <w:p w14:paraId="1A1786A4">
            <w:pPr>
              <w:pStyle w:val="337"/>
              <w:adjustRightInd w:val="0"/>
              <w:snapToGrid w:val="0"/>
              <w:rPr>
                <w:color w:val="auto"/>
                <w:lang w:val="en-US" w:eastAsia="en-US" w:bidi="en-US"/>
              </w:rPr>
            </w:pPr>
            <w:r>
              <w:rPr>
                <w:color w:val="auto"/>
                <w:lang w:val="en-US" w:eastAsia="en-US" w:bidi="en-US"/>
              </w:rPr>
              <w:t>较敏感</w:t>
            </w:r>
          </w:p>
        </w:tc>
        <w:tc>
          <w:tcPr>
            <w:tcW w:w="7303" w:type="dxa"/>
            <w:vAlign w:val="center"/>
          </w:tcPr>
          <w:p w14:paraId="772E9245">
            <w:pPr>
              <w:pStyle w:val="337"/>
              <w:adjustRightInd w:val="0"/>
              <w:snapToGrid w:val="0"/>
              <w:rPr>
                <w:color w:val="auto"/>
                <w:lang w:val="en-US" w:eastAsia="zh-CN" w:bidi="en-US"/>
              </w:rPr>
            </w:pPr>
            <w:r>
              <w:rPr>
                <w:color w:val="auto"/>
                <w:lang w:val="en-US" w:eastAsia="zh-CN" w:bidi="en-US"/>
              </w:rPr>
              <w:t>集中式饮用水水源地（包括已建成的在用、备用、应急水源地，在建和规划的水源地）准保护区以外的补给径流区；特殊地下水资源（如矿泉水、温泉等）保护区以外的分布区以及分散式居民饮用水水源等其它未列入上述敏感分级的环境敏感。</w:t>
            </w:r>
          </w:p>
        </w:tc>
      </w:tr>
      <w:tr w14:paraId="0BCA69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26" w:type="dxa"/>
            <w:vAlign w:val="center"/>
          </w:tcPr>
          <w:p w14:paraId="7AF4EB4C">
            <w:pPr>
              <w:pStyle w:val="337"/>
              <w:adjustRightInd w:val="0"/>
              <w:snapToGrid w:val="0"/>
              <w:rPr>
                <w:color w:val="auto"/>
                <w:lang w:val="en-US" w:eastAsia="en-US" w:bidi="en-US"/>
              </w:rPr>
            </w:pPr>
            <w:r>
              <w:rPr>
                <w:color w:val="auto"/>
                <w:lang w:val="en-US" w:eastAsia="en-US" w:bidi="en-US"/>
              </w:rPr>
              <w:t>不敏感</w:t>
            </w:r>
          </w:p>
        </w:tc>
        <w:tc>
          <w:tcPr>
            <w:tcW w:w="7303" w:type="dxa"/>
            <w:vAlign w:val="center"/>
          </w:tcPr>
          <w:p w14:paraId="2AED37A2">
            <w:pPr>
              <w:pStyle w:val="337"/>
              <w:adjustRightInd w:val="0"/>
              <w:snapToGrid w:val="0"/>
              <w:rPr>
                <w:color w:val="auto"/>
                <w:lang w:val="en-US" w:eastAsia="zh-CN" w:bidi="en-US"/>
              </w:rPr>
            </w:pPr>
            <w:r>
              <w:rPr>
                <w:color w:val="auto"/>
                <w:lang w:val="en-US" w:eastAsia="zh-CN" w:bidi="en-US"/>
              </w:rPr>
              <w:t>上述地区之外的其它地区。</w:t>
            </w:r>
          </w:p>
        </w:tc>
      </w:tr>
    </w:tbl>
    <w:p w14:paraId="18F244EB">
      <w:pPr>
        <w:ind w:firstLine="480"/>
        <w:rPr>
          <w:rFonts w:asciiTheme="minorEastAsia" w:hAnsiTheme="minorEastAsia" w:eastAsiaTheme="minorEastAsia"/>
          <w:lang w:eastAsia="zh-CN"/>
        </w:rPr>
      </w:pPr>
      <w:r>
        <w:rPr>
          <w:rFonts w:asciiTheme="minorEastAsia" w:hAnsiTheme="minorEastAsia" w:eastAsiaTheme="minorEastAsia"/>
          <w:lang w:eastAsia="zh-CN"/>
        </w:rPr>
        <w:t>ⅳ.建设项目环境水文地质问题</w:t>
      </w:r>
    </w:p>
    <w:p w14:paraId="21615291">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乌里雅斯太</w:t>
      </w:r>
      <w:r>
        <w:rPr>
          <w:rFonts w:asciiTheme="minorEastAsia" w:hAnsiTheme="minorEastAsia" w:eastAsiaTheme="minorEastAsia"/>
          <w:lang w:eastAsia="zh-CN"/>
        </w:rPr>
        <w:t>油田在开发运营过程中不会产生地面沉降、地裂缝、岩溶塌陷、海水入侵、湿地退化、土地荒漠化及土壤盐渍化、沼泽化等环境水文地质问题，也不会对油田开发区域内各含水层造成明显疏干。因此根据表1.</w:t>
      </w:r>
      <w:r>
        <w:rPr>
          <w:rFonts w:hint="eastAsia" w:asciiTheme="minorEastAsia" w:hAnsiTheme="minorEastAsia" w:eastAsiaTheme="minorEastAsia"/>
          <w:lang w:eastAsia="zh-CN"/>
        </w:rPr>
        <w:t>6</w:t>
      </w:r>
      <w:r>
        <w:rPr>
          <w:rFonts w:asciiTheme="minorEastAsia" w:hAnsiTheme="minorEastAsia" w:eastAsiaTheme="minorEastAsia"/>
          <w:lang w:eastAsia="zh-CN"/>
        </w:rPr>
        <w:t>-</w:t>
      </w:r>
      <w:r>
        <w:rPr>
          <w:rFonts w:hint="eastAsia" w:asciiTheme="minorEastAsia" w:hAnsiTheme="minorEastAsia" w:eastAsiaTheme="minorEastAsia"/>
          <w:lang w:eastAsia="zh-CN"/>
        </w:rPr>
        <w:t>9</w:t>
      </w:r>
      <w:r>
        <w:rPr>
          <w:rFonts w:asciiTheme="minorEastAsia" w:hAnsiTheme="minorEastAsia" w:eastAsiaTheme="minorEastAsia"/>
          <w:lang w:eastAsia="zh-CN"/>
        </w:rPr>
        <w:t>分级原则，建设项目造成的环境水文地质问题为“弱”。</w:t>
      </w:r>
    </w:p>
    <w:p w14:paraId="6767FB6E">
      <w:pPr>
        <w:spacing w:line="240" w:lineRule="auto"/>
        <w:ind w:firstLine="241" w:firstLineChars="100"/>
        <w:rPr>
          <w:b/>
          <w:lang w:eastAsia="zh-CN"/>
        </w:rPr>
      </w:pPr>
      <w:r>
        <w:rPr>
          <w:b/>
          <w:lang w:eastAsia="zh-CN"/>
        </w:rPr>
        <w:t>表1.</w:t>
      </w:r>
      <w:r>
        <w:rPr>
          <w:rFonts w:hint="eastAsia"/>
          <w:b/>
          <w:lang w:eastAsia="zh-CN"/>
        </w:rPr>
        <w:t>6</w:t>
      </w:r>
      <w:r>
        <w:rPr>
          <w:b/>
          <w:lang w:eastAsia="zh-CN"/>
        </w:rPr>
        <w:t>-</w:t>
      </w:r>
      <w:r>
        <w:rPr>
          <w:rFonts w:hint="eastAsia"/>
          <w:b/>
          <w:lang w:eastAsia="zh-CN"/>
        </w:rPr>
        <w:t>9</w:t>
      </w:r>
      <w:r>
        <w:rPr>
          <w:b/>
          <w:lang w:eastAsia="zh-CN"/>
        </w:rPr>
        <w:t xml:space="preserve">  </w:t>
      </w:r>
      <w:r>
        <w:rPr>
          <w:rFonts w:hint="eastAsia"/>
          <w:b/>
          <w:lang w:eastAsia="zh-CN"/>
        </w:rPr>
        <w:t xml:space="preserve">    </w:t>
      </w:r>
      <w:r>
        <w:rPr>
          <w:b/>
          <w:lang w:eastAsia="zh-CN"/>
        </w:rPr>
        <w:t>环境水文地质问题分级</w:t>
      </w:r>
    </w:p>
    <w:tbl>
      <w:tblPr>
        <w:tblStyle w:val="7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13"/>
        <w:gridCol w:w="7316"/>
      </w:tblGrid>
      <w:tr w14:paraId="196720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13" w:type="dxa"/>
            <w:vAlign w:val="center"/>
          </w:tcPr>
          <w:p w14:paraId="08737761">
            <w:pPr>
              <w:pStyle w:val="337"/>
              <w:adjustRightInd w:val="0"/>
              <w:snapToGrid w:val="0"/>
              <w:rPr>
                <w:color w:val="auto"/>
                <w:lang w:val="en-US" w:eastAsia="en-US" w:bidi="en-US"/>
              </w:rPr>
            </w:pPr>
            <w:r>
              <w:rPr>
                <w:color w:val="auto"/>
                <w:lang w:val="en-US" w:eastAsia="en-US" w:bidi="en-US"/>
              </w:rPr>
              <w:t>级别</w:t>
            </w:r>
          </w:p>
        </w:tc>
        <w:tc>
          <w:tcPr>
            <w:tcW w:w="7316" w:type="dxa"/>
            <w:vAlign w:val="center"/>
          </w:tcPr>
          <w:p w14:paraId="07BD84A1">
            <w:pPr>
              <w:pStyle w:val="337"/>
              <w:adjustRightInd w:val="0"/>
              <w:snapToGrid w:val="0"/>
              <w:rPr>
                <w:color w:val="auto"/>
                <w:lang w:val="en-US" w:eastAsia="zh-CN" w:bidi="en-US"/>
              </w:rPr>
            </w:pPr>
            <w:r>
              <w:rPr>
                <w:color w:val="auto"/>
                <w:lang w:val="en-US" w:eastAsia="zh-CN" w:bidi="en-US"/>
              </w:rPr>
              <w:t>可能造成的环境水文地质问题</w:t>
            </w:r>
          </w:p>
        </w:tc>
      </w:tr>
      <w:tr w14:paraId="7C4996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13" w:type="dxa"/>
            <w:vAlign w:val="center"/>
          </w:tcPr>
          <w:p w14:paraId="7C37CD9A">
            <w:pPr>
              <w:pStyle w:val="337"/>
              <w:adjustRightInd w:val="0"/>
              <w:snapToGrid w:val="0"/>
              <w:rPr>
                <w:color w:val="auto"/>
                <w:lang w:val="en-US" w:eastAsia="en-US" w:bidi="en-US"/>
              </w:rPr>
            </w:pPr>
            <w:r>
              <w:rPr>
                <w:color w:val="auto"/>
                <w:lang w:val="en-US" w:eastAsia="en-US" w:bidi="en-US"/>
              </w:rPr>
              <w:t>强</w:t>
            </w:r>
          </w:p>
        </w:tc>
        <w:tc>
          <w:tcPr>
            <w:tcW w:w="7316" w:type="dxa"/>
            <w:vAlign w:val="center"/>
          </w:tcPr>
          <w:p w14:paraId="4C3E059A">
            <w:pPr>
              <w:pStyle w:val="337"/>
              <w:adjustRightInd w:val="0"/>
              <w:snapToGrid w:val="0"/>
              <w:rPr>
                <w:color w:val="auto"/>
                <w:lang w:val="en-US" w:eastAsia="zh-CN" w:bidi="en-US"/>
              </w:rPr>
            </w:pPr>
            <w:r>
              <w:rPr>
                <w:color w:val="auto"/>
                <w:lang w:val="en-US" w:eastAsia="zh-CN" w:bidi="en-US"/>
              </w:rPr>
              <w:t>产生地面沉降、地裂缝、岩溶塌陷、海水入侵、湿地退化、土地荒漠化等环境水文地质问题，含水层疏干现象明显，产生土壤盐渍化、沼泽化。</w:t>
            </w:r>
          </w:p>
        </w:tc>
      </w:tr>
      <w:tr w14:paraId="1137D1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13" w:type="dxa"/>
            <w:vAlign w:val="center"/>
          </w:tcPr>
          <w:p w14:paraId="42A7ACA5">
            <w:pPr>
              <w:pStyle w:val="337"/>
              <w:adjustRightInd w:val="0"/>
              <w:snapToGrid w:val="0"/>
              <w:rPr>
                <w:color w:val="auto"/>
                <w:lang w:val="en-US" w:eastAsia="en-US" w:bidi="en-US"/>
              </w:rPr>
            </w:pPr>
            <w:r>
              <w:rPr>
                <w:color w:val="auto"/>
                <w:lang w:val="en-US" w:eastAsia="en-US" w:bidi="en-US"/>
              </w:rPr>
              <w:t>中等</w:t>
            </w:r>
          </w:p>
        </w:tc>
        <w:tc>
          <w:tcPr>
            <w:tcW w:w="7316" w:type="dxa"/>
            <w:vAlign w:val="center"/>
          </w:tcPr>
          <w:p w14:paraId="2C5E4B6E">
            <w:pPr>
              <w:pStyle w:val="337"/>
              <w:adjustRightInd w:val="0"/>
              <w:snapToGrid w:val="0"/>
              <w:rPr>
                <w:color w:val="auto"/>
                <w:lang w:val="en-US" w:eastAsia="zh-CN" w:bidi="en-US"/>
              </w:rPr>
            </w:pPr>
            <w:r>
              <w:rPr>
                <w:color w:val="auto"/>
                <w:lang w:val="en-US" w:eastAsia="zh-CN" w:bidi="en-US"/>
              </w:rPr>
              <w:t>出现土壤盐渍化、沼泽化迹象。</w:t>
            </w:r>
          </w:p>
        </w:tc>
      </w:tr>
      <w:tr w14:paraId="0B1B25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13" w:type="dxa"/>
            <w:vAlign w:val="center"/>
          </w:tcPr>
          <w:p w14:paraId="2A1C8566">
            <w:pPr>
              <w:pStyle w:val="337"/>
              <w:adjustRightInd w:val="0"/>
              <w:snapToGrid w:val="0"/>
              <w:rPr>
                <w:color w:val="auto"/>
                <w:lang w:val="en-US" w:eastAsia="en-US" w:bidi="en-US"/>
              </w:rPr>
            </w:pPr>
            <w:r>
              <w:rPr>
                <w:color w:val="auto"/>
                <w:lang w:val="en-US" w:eastAsia="en-US" w:bidi="en-US"/>
              </w:rPr>
              <w:t>弱</w:t>
            </w:r>
          </w:p>
        </w:tc>
        <w:tc>
          <w:tcPr>
            <w:tcW w:w="7316" w:type="dxa"/>
            <w:vAlign w:val="center"/>
          </w:tcPr>
          <w:p w14:paraId="14D3DD3B">
            <w:pPr>
              <w:pStyle w:val="337"/>
              <w:adjustRightInd w:val="0"/>
              <w:snapToGrid w:val="0"/>
              <w:rPr>
                <w:color w:val="auto"/>
                <w:lang w:val="en-US" w:eastAsia="zh-CN" w:bidi="en-US"/>
              </w:rPr>
            </w:pPr>
            <w:r>
              <w:rPr>
                <w:color w:val="auto"/>
                <w:lang w:val="en-US" w:eastAsia="zh-CN" w:bidi="en-US"/>
              </w:rPr>
              <w:t>无上述环境水文地质问题。</w:t>
            </w:r>
          </w:p>
        </w:tc>
      </w:tr>
    </w:tbl>
    <w:p w14:paraId="1F12C92C">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（2）</w:t>
      </w:r>
      <w:r>
        <w:rPr>
          <w:rFonts w:asciiTheme="minorEastAsia" w:hAnsiTheme="minorEastAsia" w:eastAsiaTheme="minorEastAsia"/>
          <w:lang w:eastAsia="zh-CN"/>
        </w:rPr>
        <w:t>按Ⅱ类建设项目划分评价工作等级</w:t>
      </w:r>
    </w:p>
    <w:p w14:paraId="2A01E3C7">
      <w:pPr>
        <w:ind w:firstLine="480"/>
        <w:rPr>
          <w:rFonts w:asciiTheme="minorEastAsia" w:hAnsiTheme="minorEastAsia" w:eastAsiaTheme="minorEastAsia"/>
          <w:lang w:eastAsia="zh-CN"/>
        </w:rPr>
      </w:pPr>
      <w:r>
        <w:rPr>
          <w:rFonts w:asciiTheme="minorEastAsia" w:hAnsiTheme="minorEastAsia" w:eastAsiaTheme="minorEastAsia"/>
          <w:lang w:eastAsia="zh-CN"/>
        </w:rPr>
        <w:t>根据以上分析，本项目地下水环境评价工作等级按照《环境影响评价技术导则</w:t>
      </w:r>
      <w:r>
        <w:rPr>
          <w:rFonts w:hint="eastAsia" w:asciiTheme="minorEastAsia" w:hAnsiTheme="minorEastAsia" w:eastAsiaTheme="minorEastAsia"/>
          <w:lang w:eastAsia="zh-CN"/>
        </w:rPr>
        <w:t>-</w:t>
      </w:r>
      <w:r>
        <w:rPr>
          <w:rFonts w:asciiTheme="minorEastAsia" w:hAnsiTheme="minorEastAsia" w:eastAsiaTheme="minorEastAsia"/>
          <w:lang w:eastAsia="zh-CN"/>
        </w:rPr>
        <w:t>地下水环境》（HJ610-2011）中Ⅱ类建设项目等级划分表1.</w:t>
      </w:r>
      <w:r>
        <w:rPr>
          <w:rFonts w:hint="eastAsia" w:asciiTheme="minorEastAsia" w:hAnsiTheme="minorEastAsia" w:eastAsiaTheme="minorEastAsia"/>
          <w:lang w:eastAsia="zh-CN"/>
        </w:rPr>
        <w:t>6</w:t>
      </w:r>
      <w:r>
        <w:rPr>
          <w:rFonts w:asciiTheme="minorEastAsia" w:hAnsiTheme="minorEastAsia" w:eastAsiaTheme="minorEastAsia"/>
          <w:lang w:eastAsia="zh-CN"/>
        </w:rPr>
        <w:t>-</w:t>
      </w:r>
      <w:r>
        <w:rPr>
          <w:rFonts w:hint="eastAsia" w:asciiTheme="minorEastAsia" w:hAnsiTheme="minorEastAsia" w:eastAsiaTheme="minorEastAsia"/>
          <w:lang w:eastAsia="zh-CN"/>
        </w:rPr>
        <w:t>10</w:t>
      </w:r>
      <w:r>
        <w:rPr>
          <w:rFonts w:asciiTheme="minorEastAsia" w:hAnsiTheme="minorEastAsia" w:eastAsiaTheme="minorEastAsia"/>
          <w:lang w:eastAsia="zh-CN"/>
        </w:rPr>
        <w:t>可知，本项目地下水环境评价工作等级为三级。</w:t>
      </w:r>
    </w:p>
    <w:p w14:paraId="5AF21C26">
      <w:pPr>
        <w:spacing w:line="240" w:lineRule="auto"/>
        <w:ind w:firstLine="361" w:firstLineChars="150"/>
        <w:rPr>
          <w:b/>
          <w:lang w:eastAsia="zh-CN"/>
        </w:rPr>
      </w:pPr>
      <w:r>
        <w:rPr>
          <w:b/>
          <w:lang w:eastAsia="zh-CN"/>
        </w:rPr>
        <w:t>表1.</w:t>
      </w:r>
      <w:r>
        <w:rPr>
          <w:rFonts w:hint="eastAsia"/>
          <w:b/>
          <w:lang w:eastAsia="zh-CN"/>
        </w:rPr>
        <w:t>6</w:t>
      </w:r>
      <w:r>
        <w:rPr>
          <w:b/>
          <w:lang w:eastAsia="zh-CN"/>
        </w:rPr>
        <w:t>-</w:t>
      </w:r>
      <w:r>
        <w:rPr>
          <w:rFonts w:hint="eastAsia"/>
          <w:b/>
          <w:lang w:eastAsia="zh-CN"/>
        </w:rPr>
        <w:t>10</w:t>
      </w:r>
      <w:r>
        <w:rPr>
          <w:b/>
          <w:lang w:eastAsia="zh-CN"/>
        </w:rPr>
        <w:t xml:space="preserve"> </w:t>
      </w:r>
      <w:r>
        <w:rPr>
          <w:rFonts w:hint="eastAsia"/>
          <w:b/>
          <w:lang w:eastAsia="zh-CN"/>
        </w:rPr>
        <w:t xml:space="preserve">  </w:t>
      </w:r>
      <w:r>
        <w:rPr>
          <w:b/>
          <w:lang w:eastAsia="zh-CN"/>
        </w:rPr>
        <w:t xml:space="preserve"> 建设项目（</w:t>
      </w:r>
      <w:r>
        <w:rPr>
          <w:rFonts w:hint="eastAsia" w:asciiTheme="minorEastAsia" w:hAnsiTheme="minorEastAsia" w:eastAsiaTheme="minorEastAsia"/>
          <w:lang w:eastAsia="zh-CN"/>
        </w:rPr>
        <w:t>Ⅱ</w:t>
      </w:r>
      <w:r>
        <w:rPr>
          <w:b/>
          <w:lang w:eastAsia="zh-CN"/>
        </w:rPr>
        <w:t>类）评价工作等级分级表</w:t>
      </w:r>
    </w:p>
    <w:tbl>
      <w:tblPr>
        <w:tblStyle w:val="7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20"/>
        <w:gridCol w:w="1438"/>
        <w:gridCol w:w="2212"/>
        <w:gridCol w:w="1820"/>
        <w:gridCol w:w="1539"/>
      </w:tblGrid>
      <w:tr w14:paraId="0729A4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520" w:type="dxa"/>
            <w:vAlign w:val="center"/>
          </w:tcPr>
          <w:p w14:paraId="5C1CFA4E">
            <w:pPr>
              <w:pStyle w:val="337"/>
              <w:adjustRightInd w:val="0"/>
              <w:snapToGrid w:val="0"/>
              <w:rPr>
                <w:color w:val="auto"/>
                <w:lang w:val="en-US" w:eastAsia="en-US" w:bidi="en-US"/>
              </w:rPr>
            </w:pPr>
            <w:r>
              <w:rPr>
                <w:color w:val="auto"/>
                <w:lang w:val="en-US" w:eastAsia="en-US" w:bidi="en-US"/>
              </w:rPr>
              <w:t>评价级别</w:t>
            </w:r>
          </w:p>
        </w:tc>
        <w:tc>
          <w:tcPr>
            <w:tcW w:w="1438" w:type="dxa"/>
            <w:vAlign w:val="center"/>
          </w:tcPr>
          <w:p w14:paraId="4AD99588">
            <w:pPr>
              <w:pStyle w:val="337"/>
              <w:adjustRightInd w:val="0"/>
              <w:snapToGrid w:val="0"/>
              <w:rPr>
                <w:color w:val="auto"/>
                <w:lang w:val="en-US" w:eastAsia="en-US" w:bidi="en-US"/>
              </w:rPr>
            </w:pPr>
            <w:r>
              <w:rPr>
                <w:color w:val="auto"/>
                <w:lang w:val="en-US" w:eastAsia="en-US" w:bidi="en-US"/>
              </w:rPr>
              <w:t>地下水排水强度</w:t>
            </w:r>
          </w:p>
        </w:tc>
        <w:tc>
          <w:tcPr>
            <w:tcW w:w="2212" w:type="dxa"/>
            <w:vAlign w:val="center"/>
          </w:tcPr>
          <w:p w14:paraId="57C4A993">
            <w:pPr>
              <w:pStyle w:val="337"/>
              <w:adjustRightInd w:val="0"/>
              <w:snapToGrid w:val="0"/>
              <w:rPr>
                <w:color w:val="auto"/>
                <w:lang w:val="en-US" w:eastAsia="zh-CN" w:bidi="en-US"/>
              </w:rPr>
            </w:pPr>
            <w:r>
              <w:rPr>
                <w:color w:val="auto"/>
                <w:lang w:val="en-US" w:eastAsia="zh-CN" w:bidi="en-US"/>
              </w:rPr>
              <w:t>地下水水位变化区域范围</w:t>
            </w:r>
          </w:p>
        </w:tc>
        <w:tc>
          <w:tcPr>
            <w:tcW w:w="1820" w:type="dxa"/>
            <w:vAlign w:val="center"/>
          </w:tcPr>
          <w:p w14:paraId="201F259D">
            <w:pPr>
              <w:pStyle w:val="337"/>
              <w:adjustRightInd w:val="0"/>
              <w:snapToGrid w:val="0"/>
              <w:rPr>
                <w:color w:val="auto"/>
                <w:lang w:val="en-US" w:eastAsia="en-US" w:bidi="en-US"/>
              </w:rPr>
            </w:pPr>
            <w:r>
              <w:rPr>
                <w:color w:val="auto"/>
                <w:lang w:val="en-US" w:eastAsia="en-US" w:bidi="en-US"/>
              </w:rPr>
              <w:t>地下水环境敏感程度</w:t>
            </w:r>
          </w:p>
        </w:tc>
        <w:tc>
          <w:tcPr>
            <w:tcW w:w="1539" w:type="dxa"/>
            <w:vAlign w:val="center"/>
          </w:tcPr>
          <w:p w14:paraId="7968F054">
            <w:pPr>
              <w:pStyle w:val="337"/>
              <w:adjustRightInd w:val="0"/>
              <w:snapToGrid w:val="0"/>
              <w:rPr>
                <w:color w:val="auto"/>
                <w:lang w:val="en-US" w:eastAsia="en-US" w:bidi="en-US"/>
              </w:rPr>
            </w:pPr>
            <w:r>
              <w:rPr>
                <w:color w:val="auto"/>
                <w:lang w:val="en-US" w:eastAsia="en-US" w:bidi="en-US"/>
              </w:rPr>
              <w:t>环境水文地质问题</w:t>
            </w:r>
          </w:p>
        </w:tc>
      </w:tr>
      <w:tr w14:paraId="72281C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1520" w:type="dxa"/>
            <w:vAlign w:val="center"/>
          </w:tcPr>
          <w:p w14:paraId="334C14A4">
            <w:pPr>
              <w:pStyle w:val="337"/>
              <w:adjustRightInd w:val="0"/>
              <w:snapToGrid w:val="0"/>
              <w:rPr>
                <w:color w:val="auto"/>
                <w:lang w:val="en-US" w:eastAsia="en-US" w:bidi="en-US"/>
              </w:rPr>
            </w:pPr>
            <w:r>
              <w:rPr>
                <w:color w:val="auto"/>
                <w:lang w:val="en-US" w:eastAsia="en-US" w:bidi="en-US"/>
              </w:rPr>
              <w:t>三级</w:t>
            </w:r>
          </w:p>
        </w:tc>
        <w:tc>
          <w:tcPr>
            <w:tcW w:w="1438" w:type="dxa"/>
            <w:vAlign w:val="center"/>
          </w:tcPr>
          <w:p w14:paraId="4DCE986C">
            <w:pPr>
              <w:pStyle w:val="337"/>
              <w:adjustRightInd w:val="0"/>
              <w:snapToGrid w:val="0"/>
              <w:rPr>
                <w:color w:val="auto"/>
                <w:lang w:val="en-US" w:eastAsia="zh-CN" w:bidi="en-US"/>
              </w:rPr>
            </w:pPr>
            <w:r>
              <w:rPr>
                <w:rFonts w:hint="eastAsia"/>
                <w:color w:val="auto"/>
                <w:lang w:val="en-US" w:eastAsia="zh-CN" w:bidi="en-US"/>
              </w:rPr>
              <w:t>小</w:t>
            </w:r>
          </w:p>
        </w:tc>
        <w:tc>
          <w:tcPr>
            <w:tcW w:w="2212" w:type="dxa"/>
            <w:vAlign w:val="center"/>
          </w:tcPr>
          <w:p w14:paraId="1349FA26">
            <w:pPr>
              <w:pStyle w:val="337"/>
              <w:adjustRightInd w:val="0"/>
              <w:snapToGrid w:val="0"/>
              <w:rPr>
                <w:color w:val="auto"/>
                <w:lang w:val="en-US" w:eastAsia="zh-CN" w:bidi="en-US"/>
              </w:rPr>
            </w:pPr>
            <w:r>
              <w:rPr>
                <w:color w:val="auto"/>
                <w:lang w:val="en-US" w:eastAsia="zh-CN" w:bidi="en-US"/>
              </w:rPr>
              <w:t>小</w:t>
            </w:r>
          </w:p>
        </w:tc>
        <w:tc>
          <w:tcPr>
            <w:tcW w:w="1820" w:type="dxa"/>
            <w:vAlign w:val="center"/>
          </w:tcPr>
          <w:p w14:paraId="40AEF26E">
            <w:pPr>
              <w:pStyle w:val="337"/>
              <w:adjustRightInd w:val="0"/>
              <w:snapToGrid w:val="0"/>
              <w:rPr>
                <w:color w:val="auto"/>
                <w:lang w:val="en-US" w:eastAsia="en-US" w:bidi="en-US"/>
              </w:rPr>
            </w:pPr>
            <w:r>
              <w:rPr>
                <w:color w:val="auto"/>
                <w:lang w:val="en-US" w:eastAsia="zh-CN" w:bidi="en-US"/>
              </w:rPr>
              <w:t>较</w:t>
            </w:r>
            <w:r>
              <w:rPr>
                <w:color w:val="auto"/>
                <w:lang w:val="en-US" w:eastAsia="en-US" w:bidi="en-US"/>
              </w:rPr>
              <w:t>敏感</w:t>
            </w:r>
          </w:p>
        </w:tc>
        <w:tc>
          <w:tcPr>
            <w:tcW w:w="1539" w:type="dxa"/>
            <w:vAlign w:val="center"/>
          </w:tcPr>
          <w:p w14:paraId="200CCB78">
            <w:pPr>
              <w:pStyle w:val="337"/>
              <w:adjustRightInd w:val="0"/>
              <w:snapToGrid w:val="0"/>
              <w:rPr>
                <w:color w:val="auto"/>
                <w:lang w:val="en-US" w:eastAsia="en-US" w:bidi="en-US"/>
              </w:rPr>
            </w:pPr>
            <w:r>
              <w:rPr>
                <w:color w:val="auto"/>
                <w:lang w:val="en-US" w:eastAsia="en-US" w:bidi="en-US"/>
              </w:rPr>
              <w:t>弱</w:t>
            </w:r>
          </w:p>
        </w:tc>
      </w:tr>
    </w:tbl>
    <w:p w14:paraId="7C881DD3">
      <w:pPr>
        <w:ind w:firstLine="480"/>
        <w:rPr>
          <w:rFonts w:asciiTheme="minorEastAsia" w:hAnsiTheme="minorEastAsia" w:eastAsiaTheme="minorEastAsia"/>
          <w:lang w:eastAsia="zh-CN"/>
        </w:rPr>
      </w:pPr>
      <w:r>
        <w:rPr>
          <w:rFonts w:asciiTheme="minorEastAsia" w:hAnsiTheme="minorEastAsia" w:eastAsiaTheme="minorEastAsia"/>
          <w:lang w:eastAsia="zh-CN"/>
        </w:rPr>
        <w:t>3、本项目评价等级确定</w:t>
      </w:r>
    </w:p>
    <w:p w14:paraId="0902C3F4">
      <w:pPr>
        <w:ind w:firstLine="480"/>
        <w:rPr>
          <w:rFonts w:asciiTheme="minorEastAsia" w:hAnsiTheme="minorEastAsia" w:eastAsiaTheme="minorEastAsia"/>
          <w:lang w:eastAsia="zh-CN"/>
        </w:rPr>
      </w:pPr>
      <w:r>
        <w:rPr>
          <w:rFonts w:asciiTheme="minorEastAsia" w:hAnsiTheme="minorEastAsia" w:eastAsiaTheme="minorEastAsia"/>
          <w:lang w:eastAsia="zh-CN"/>
        </w:rPr>
        <w:t>依据上述分析，由于本项目为</w:t>
      </w:r>
      <w:r>
        <w:rPr>
          <w:rFonts w:hint="eastAsia" w:asciiTheme="minorEastAsia" w:hAnsiTheme="minorEastAsia" w:eastAsiaTheme="minorEastAsia"/>
          <w:lang w:eastAsia="zh-CN"/>
        </w:rPr>
        <w:t>Ⅲ</w:t>
      </w:r>
      <w:r>
        <w:rPr>
          <w:rFonts w:asciiTheme="minorEastAsia" w:hAnsiTheme="minorEastAsia" w:eastAsiaTheme="minorEastAsia"/>
          <w:lang w:eastAsia="zh-CN"/>
        </w:rPr>
        <w:t>类建设项目，按照《环境影响评价技术导则——地下水环境》（HJ610-2011）中</w:t>
      </w:r>
      <w:r>
        <w:rPr>
          <w:rFonts w:hint="eastAsia" w:asciiTheme="minorEastAsia" w:hAnsiTheme="minorEastAsia" w:eastAsiaTheme="minorEastAsia"/>
          <w:lang w:eastAsia="zh-CN"/>
        </w:rPr>
        <w:t>Ⅰ</w:t>
      </w:r>
      <w:r>
        <w:rPr>
          <w:rFonts w:asciiTheme="minorEastAsia" w:hAnsiTheme="minorEastAsia" w:eastAsiaTheme="minorEastAsia"/>
          <w:lang w:eastAsia="zh-CN"/>
        </w:rPr>
        <w:t>类建设项目等级划分，该项目地下水环境评价工作等级为三级；按</w:t>
      </w:r>
      <w:r>
        <w:rPr>
          <w:rFonts w:hint="eastAsia" w:asciiTheme="minorEastAsia" w:hAnsiTheme="minorEastAsia" w:eastAsiaTheme="minorEastAsia"/>
          <w:lang w:eastAsia="zh-CN"/>
        </w:rPr>
        <w:t>Ⅱ</w:t>
      </w:r>
      <w:r>
        <w:rPr>
          <w:rFonts w:asciiTheme="minorEastAsia" w:hAnsiTheme="minorEastAsia" w:eastAsiaTheme="minorEastAsia"/>
          <w:lang w:eastAsia="zh-CN"/>
        </w:rPr>
        <w:t>类建设项目等级划分，该项目地下水环境评价工作等级为三级，最终确定本项目的地下水环境评价工作等级为三级。</w:t>
      </w:r>
    </w:p>
    <w:p w14:paraId="3B85B887">
      <w:pPr>
        <w:pStyle w:val="4"/>
        <w:rPr>
          <w:lang w:eastAsia="zh-CN"/>
        </w:rPr>
      </w:pPr>
      <w:bookmarkStart w:id="100" w:name="_Toc408413896"/>
      <w:r>
        <w:rPr>
          <w:lang w:eastAsia="zh-CN"/>
        </w:rPr>
        <w:t>1.</w:t>
      </w:r>
      <w:r>
        <w:rPr>
          <w:rFonts w:hint="eastAsia"/>
          <w:lang w:eastAsia="zh-CN"/>
        </w:rPr>
        <w:t>6</w:t>
      </w:r>
      <w:r>
        <w:rPr>
          <w:lang w:eastAsia="zh-CN"/>
        </w:rPr>
        <w:t>.3声环境影响评价等级</w:t>
      </w:r>
      <w:bookmarkEnd w:id="100"/>
    </w:p>
    <w:p w14:paraId="4E6E8786">
      <w:pPr>
        <w:ind w:firstLine="480"/>
        <w:rPr>
          <w:rFonts w:asciiTheme="minorEastAsia" w:hAnsiTheme="minorEastAsia" w:eastAsiaTheme="minorEastAsia"/>
          <w:lang w:eastAsia="zh-CN"/>
        </w:rPr>
      </w:pPr>
      <w:r>
        <w:rPr>
          <w:rFonts w:asciiTheme="minorEastAsia" w:hAnsiTheme="minorEastAsia" w:eastAsiaTheme="minorEastAsia"/>
          <w:lang w:eastAsia="zh-CN"/>
        </w:rPr>
        <w:t>油田开发属于滚动开发，</w:t>
      </w:r>
      <w:r>
        <w:rPr>
          <w:rFonts w:hint="eastAsia" w:asciiTheme="minorEastAsia" w:hAnsiTheme="minorEastAsia" w:eastAsiaTheme="minorEastAsia"/>
          <w:lang w:eastAsia="zh-CN"/>
        </w:rPr>
        <w:t>本次地面产能</w:t>
      </w:r>
      <w:r>
        <w:rPr>
          <w:rFonts w:asciiTheme="minorEastAsia" w:hAnsiTheme="minorEastAsia" w:eastAsiaTheme="minorEastAsia"/>
          <w:lang w:eastAsia="zh-CN"/>
        </w:rPr>
        <w:t>开发建设</w:t>
      </w:r>
      <w:r>
        <w:rPr>
          <w:rFonts w:hint="eastAsia" w:asciiTheme="minorEastAsia" w:hAnsiTheme="minorEastAsia" w:eastAsiaTheme="minorEastAsia"/>
          <w:lang w:eastAsia="zh-CN"/>
        </w:rPr>
        <w:t>项目属于改扩建项目，位于现有的乌里雅斯太油田区域内</w:t>
      </w:r>
      <w:r>
        <w:rPr>
          <w:rFonts w:asciiTheme="minorEastAsia" w:hAnsiTheme="minorEastAsia" w:eastAsiaTheme="minorEastAsia"/>
          <w:lang w:eastAsia="zh-CN"/>
        </w:rPr>
        <w:t>，执行(GB3096-2008)标准中的2类标准。噪声源主要集中在</w:t>
      </w:r>
      <w:r>
        <w:rPr>
          <w:rFonts w:hint="eastAsia" w:asciiTheme="minorEastAsia" w:hAnsiTheme="minorEastAsia" w:eastAsiaTheme="minorEastAsia"/>
          <w:lang w:eastAsia="zh-CN"/>
        </w:rPr>
        <w:t>雅斯</w:t>
      </w:r>
      <w:r>
        <w:rPr>
          <w:rFonts w:asciiTheme="minorEastAsia" w:hAnsiTheme="minorEastAsia" w:eastAsiaTheme="minorEastAsia"/>
          <w:lang w:eastAsia="zh-CN"/>
        </w:rPr>
        <w:t>联合站内，本次改扩建项目充分利用现有的设施</w:t>
      </w:r>
      <w:r>
        <w:rPr>
          <w:rFonts w:hint="eastAsia" w:asciiTheme="minorEastAsia" w:hAnsiTheme="minorEastAsia" w:eastAsiaTheme="minorEastAsia"/>
          <w:lang w:eastAsia="zh-CN"/>
        </w:rPr>
        <w:t>，</w:t>
      </w:r>
      <w:r>
        <w:rPr>
          <w:rFonts w:asciiTheme="minorEastAsia" w:hAnsiTheme="minorEastAsia" w:eastAsiaTheme="minorEastAsia"/>
          <w:lang w:eastAsia="zh-CN"/>
        </w:rPr>
        <w:t>新增噪声源较少</w:t>
      </w:r>
      <w:r>
        <w:rPr>
          <w:rFonts w:hint="eastAsia" w:asciiTheme="minorEastAsia" w:hAnsiTheme="minorEastAsia" w:eastAsiaTheme="minorEastAsia"/>
          <w:lang w:eastAsia="zh-CN"/>
        </w:rPr>
        <w:t>，</w:t>
      </w:r>
      <w:r>
        <w:rPr>
          <w:rFonts w:asciiTheme="minorEastAsia" w:hAnsiTheme="minorEastAsia" w:eastAsiaTheme="minorEastAsia"/>
          <w:lang w:eastAsia="zh-CN"/>
        </w:rPr>
        <w:t>油田开发区内牧户稀少，分散分布，项目建成前后，厂界噪声新增最大值小于</w:t>
      </w:r>
      <w:r>
        <w:rPr>
          <w:rFonts w:hint="eastAsia" w:asciiTheme="minorEastAsia" w:hAnsiTheme="minorEastAsia" w:eastAsiaTheme="minorEastAsia"/>
          <w:lang w:eastAsia="zh-CN"/>
        </w:rPr>
        <w:t>3</w:t>
      </w:r>
      <w:r>
        <w:rPr>
          <w:rFonts w:asciiTheme="minorEastAsia" w:hAnsiTheme="minorEastAsia" w:eastAsiaTheme="minorEastAsia"/>
          <w:lang w:eastAsia="zh-CN"/>
        </w:rPr>
        <w:t>dB(A)，厂界外200m范围内无声环境敏感目标，距离联合站厂界最近的牧户在</w:t>
      </w:r>
      <w:r>
        <w:rPr>
          <w:rFonts w:hint="eastAsia" w:asciiTheme="minorEastAsia" w:hAnsiTheme="minorEastAsia" w:eastAsiaTheme="minorEastAsia"/>
          <w:lang w:eastAsia="zh-CN"/>
        </w:rPr>
        <w:t>1000m以外，</w:t>
      </w:r>
      <w:r>
        <w:rPr>
          <w:rFonts w:asciiTheme="minorEastAsia" w:hAnsiTheme="minorEastAsia" w:eastAsiaTheme="minorEastAsia"/>
          <w:lang w:eastAsia="zh-CN"/>
        </w:rPr>
        <w:t>受影响人口数量变化不大。根据</w:t>
      </w:r>
      <w:r>
        <w:rPr>
          <w:rFonts w:hint="eastAsia" w:asciiTheme="minorEastAsia" w:hAnsiTheme="minorEastAsia" w:eastAsiaTheme="minorEastAsia"/>
          <w:lang w:eastAsia="zh-CN"/>
        </w:rPr>
        <w:t>（</w:t>
      </w:r>
      <w:r>
        <w:rPr>
          <w:rFonts w:asciiTheme="minorEastAsia" w:hAnsiTheme="minorEastAsia" w:eastAsiaTheme="minorEastAsia"/>
          <w:lang w:eastAsia="zh-CN"/>
        </w:rPr>
        <w:t>HJ2.4-2009</w:t>
      </w:r>
      <w:r>
        <w:rPr>
          <w:rFonts w:hint="eastAsia" w:asciiTheme="minorEastAsia" w:hAnsiTheme="minorEastAsia" w:eastAsiaTheme="minorEastAsia"/>
          <w:lang w:eastAsia="zh-CN"/>
        </w:rPr>
        <w:t>）</w:t>
      </w:r>
      <w:r>
        <w:rPr>
          <w:rFonts w:asciiTheme="minorEastAsia" w:hAnsiTheme="minorEastAsia" w:eastAsiaTheme="minorEastAsia"/>
          <w:lang w:eastAsia="zh-CN"/>
        </w:rPr>
        <w:t>的规定及环境特点，本项目声环境影响评价工作等级为</w:t>
      </w:r>
      <w:r>
        <w:rPr>
          <w:rFonts w:hint="eastAsia" w:asciiTheme="minorEastAsia" w:hAnsiTheme="minorEastAsia" w:eastAsiaTheme="minorEastAsia"/>
          <w:lang w:eastAsia="zh-CN"/>
        </w:rPr>
        <w:t>三</w:t>
      </w:r>
      <w:r>
        <w:rPr>
          <w:rFonts w:asciiTheme="minorEastAsia" w:hAnsiTheme="minorEastAsia" w:eastAsiaTheme="minorEastAsia"/>
          <w:lang w:eastAsia="zh-CN"/>
        </w:rPr>
        <w:t>级。</w:t>
      </w:r>
    </w:p>
    <w:p w14:paraId="3C575676">
      <w:pPr>
        <w:pStyle w:val="4"/>
        <w:rPr>
          <w:lang w:eastAsia="zh-CN"/>
        </w:rPr>
      </w:pPr>
      <w:bookmarkStart w:id="101" w:name="_Toc408413897"/>
      <w:r>
        <w:rPr>
          <w:lang w:eastAsia="zh-CN"/>
        </w:rPr>
        <w:t>1.</w:t>
      </w:r>
      <w:r>
        <w:rPr>
          <w:rFonts w:hint="eastAsia"/>
          <w:lang w:eastAsia="zh-CN"/>
        </w:rPr>
        <w:t>6</w:t>
      </w:r>
      <w:r>
        <w:rPr>
          <w:lang w:eastAsia="zh-CN"/>
        </w:rPr>
        <w:t>.4生态环境影响评价等级</w:t>
      </w:r>
      <w:bookmarkEnd w:id="101"/>
    </w:p>
    <w:p w14:paraId="16043AB3">
      <w:pPr>
        <w:ind w:firstLine="480"/>
        <w:rPr>
          <w:rFonts w:asciiTheme="minorEastAsia" w:hAnsiTheme="minorEastAsia" w:eastAsiaTheme="minorEastAsia"/>
          <w:lang w:eastAsia="zh-CN"/>
        </w:rPr>
      </w:pPr>
      <w:r>
        <w:rPr>
          <w:rFonts w:asciiTheme="minorEastAsia" w:hAnsiTheme="minorEastAsia" w:eastAsiaTheme="minorEastAsia"/>
          <w:lang w:eastAsia="zh-CN"/>
        </w:rPr>
        <w:t>本工程占地面积</w:t>
      </w:r>
      <w:r>
        <w:rPr>
          <w:rFonts w:hint="eastAsia" w:asciiTheme="minorEastAsia" w:hAnsiTheme="minorEastAsia" w:eastAsiaTheme="minorEastAsia"/>
          <w:lang w:eastAsia="zh-CN"/>
        </w:rPr>
        <w:t>65.87</w:t>
      </w:r>
      <w:r>
        <w:rPr>
          <w:rFonts w:asciiTheme="minorEastAsia" w:hAnsiTheme="minorEastAsia" w:eastAsiaTheme="minorEastAsia"/>
          <w:lang w:eastAsia="zh-CN"/>
        </w:rPr>
        <w:t>hm</w:t>
      </w:r>
      <w:r>
        <w:rPr>
          <w:rFonts w:asciiTheme="minorEastAsia" w:hAnsiTheme="minorEastAsia" w:eastAsiaTheme="minorEastAsia"/>
          <w:vertAlign w:val="superscript"/>
          <w:lang w:eastAsia="zh-CN"/>
        </w:rPr>
        <w:t>2</w:t>
      </w:r>
      <w:r>
        <w:rPr>
          <w:rFonts w:asciiTheme="minorEastAsia" w:hAnsiTheme="minorEastAsia" w:eastAsiaTheme="minorEastAsia"/>
          <w:lang w:eastAsia="zh-CN"/>
        </w:rPr>
        <w:t>，其中永久占地</w:t>
      </w:r>
      <w:r>
        <w:rPr>
          <w:rFonts w:hint="eastAsia" w:asciiTheme="minorEastAsia" w:hAnsiTheme="minorEastAsia" w:eastAsiaTheme="minorEastAsia"/>
          <w:lang w:eastAsia="zh-CN"/>
        </w:rPr>
        <w:t>15.2</w:t>
      </w:r>
      <w:r>
        <w:rPr>
          <w:rFonts w:asciiTheme="minorEastAsia" w:hAnsiTheme="minorEastAsia" w:eastAsiaTheme="minorEastAsia"/>
          <w:lang w:eastAsia="zh-CN"/>
        </w:rPr>
        <w:t>hm</w:t>
      </w:r>
      <w:r>
        <w:rPr>
          <w:rFonts w:asciiTheme="minorEastAsia" w:hAnsiTheme="minorEastAsia" w:eastAsiaTheme="minorEastAsia"/>
          <w:vertAlign w:val="superscript"/>
          <w:lang w:eastAsia="zh-CN"/>
        </w:rPr>
        <w:t>2</w:t>
      </w:r>
      <w:r>
        <w:rPr>
          <w:rFonts w:asciiTheme="minorEastAsia" w:hAnsiTheme="minorEastAsia" w:eastAsiaTheme="minorEastAsia"/>
          <w:lang w:eastAsia="zh-CN"/>
        </w:rPr>
        <w:t>，临时占地</w:t>
      </w:r>
      <w:r>
        <w:rPr>
          <w:rFonts w:hint="eastAsia" w:asciiTheme="minorEastAsia" w:hAnsiTheme="minorEastAsia" w:eastAsiaTheme="minorEastAsia"/>
          <w:lang w:eastAsia="zh-CN"/>
        </w:rPr>
        <w:t>50.67</w:t>
      </w:r>
      <w:r>
        <w:rPr>
          <w:rFonts w:asciiTheme="minorEastAsia" w:hAnsiTheme="minorEastAsia" w:eastAsiaTheme="minorEastAsia"/>
          <w:lang w:eastAsia="zh-CN"/>
        </w:rPr>
        <w:t>hm</w:t>
      </w:r>
      <w:r>
        <w:rPr>
          <w:rFonts w:asciiTheme="minorEastAsia" w:hAnsiTheme="minorEastAsia" w:eastAsiaTheme="minorEastAsia"/>
          <w:vertAlign w:val="superscript"/>
          <w:lang w:eastAsia="zh-CN"/>
        </w:rPr>
        <w:t>2</w:t>
      </w:r>
      <w:r>
        <w:rPr>
          <w:rFonts w:hint="eastAsia" w:asciiTheme="minorEastAsia" w:hAnsiTheme="minorEastAsia" w:eastAsiaTheme="minorEastAsia"/>
          <w:lang w:eastAsia="zh-CN"/>
        </w:rPr>
        <w:t>。项目</w:t>
      </w:r>
      <w:r>
        <w:rPr>
          <w:rFonts w:asciiTheme="minorEastAsia" w:hAnsiTheme="minorEastAsia" w:eastAsiaTheme="minorEastAsia"/>
          <w:lang w:eastAsia="zh-CN"/>
        </w:rPr>
        <w:t>占地面积&lt;2km</w:t>
      </w:r>
      <w:r>
        <w:rPr>
          <w:rFonts w:asciiTheme="minorEastAsia" w:hAnsiTheme="minorEastAsia" w:eastAsiaTheme="minorEastAsia"/>
          <w:vertAlign w:val="superscript"/>
          <w:lang w:eastAsia="zh-CN"/>
        </w:rPr>
        <w:t>2</w:t>
      </w:r>
      <w:r>
        <w:rPr>
          <w:rFonts w:hint="eastAsia" w:asciiTheme="minorEastAsia" w:hAnsiTheme="minorEastAsia" w:eastAsiaTheme="minorEastAsia"/>
          <w:lang w:eastAsia="zh-CN"/>
        </w:rPr>
        <w:t>，</w:t>
      </w:r>
      <w:r>
        <w:rPr>
          <w:rFonts w:asciiTheme="minorEastAsia" w:hAnsiTheme="minorEastAsia" w:eastAsiaTheme="minorEastAsia"/>
          <w:lang w:eastAsia="zh-CN"/>
        </w:rPr>
        <w:t>油田内联络道路总长</w:t>
      </w:r>
      <w:r>
        <w:rPr>
          <w:rFonts w:hint="eastAsia" w:asciiTheme="minorEastAsia" w:hAnsiTheme="minorEastAsia" w:eastAsiaTheme="minorEastAsia"/>
          <w:lang w:eastAsia="zh-CN"/>
        </w:rPr>
        <w:t>18.0</w:t>
      </w:r>
      <w:r>
        <w:rPr>
          <w:rFonts w:asciiTheme="minorEastAsia" w:hAnsiTheme="minorEastAsia" w:eastAsiaTheme="minorEastAsia"/>
          <w:lang w:eastAsia="zh-CN"/>
        </w:rPr>
        <w:t>km，长</w:t>
      </w:r>
      <w:r>
        <w:rPr>
          <w:rFonts w:hint="eastAsia" w:asciiTheme="minorEastAsia" w:hAnsiTheme="minorEastAsia" w:eastAsiaTheme="minorEastAsia"/>
          <w:lang w:eastAsia="zh-CN"/>
        </w:rPr>
        <w:t>度</w:t>
      </w:r>
      <w:r>
        <w:rPr>
          <w:rFonts w:asciiTheme="minorEastAsia" w:hAnsiTheme="minorEastAsia" w:eastAsiaTheme="minorEastAsia"/>
          <w:lang w:eastAsia="zh-CN"/>
        </w:rPr>
        <w:t>≤50km。本项目建设不涉及自然保护区、世界文化和自然遗产地、风景名胜区等特殊生态敏感区及重要生态敏感区，按照《环境影响评价技术导则—生态影响》(HJ19-2011)的有关规定，综合考虑以上各个参数，本项目生态影响的评价工作等级判定为</w:t>
      </w:r>
      <w:r>
        <w:rPr>
          <w:rFonts w:hint="eastAsia" w:asciiTheme="minorEastAsia" w:hAnsiTheme="minorEastAsia" w:eastAsiaTheme="minorEastAsia"/>
          <w:lang w:eastAsia="zh-CN"/>
        </w:rPr>
        <w:t>三</w:t>
      </w:r>
      <w:r>
        <w:rPr>
          <w:rFonts w:asciiTheme="minorEastAsia" w:hAnsiTheme="minorEastAsia" w:eastAsiaTheme="minorEastAsia"/>
          <w:lang w:eastAsia="zh-CN"/>
        </w:rPr>
        <w:t>级。</w:t>
      </w:r>
    </w:p>
    <w:p w14:paraId="05D6D81B">
      <w:pPr>
        <w:spacing w:line="240" w:lineRule="auto"/>
        <w:ind w:firstLine="482"/>
        <w:rPr>
          <w:b/>
          <w:snapToGrid w:val="0"/>
          <w:lang w:eastAsia="zh-CN"/>
        </w:rPr>
      </w:pPr>
      <w:r>
        <w:rPr>
          <w:b/>
          <w:snapToGrid w:val="0"/>
          <w:lang w:eastAsia="zh-CN"/>
        </w:rPr>
        <w:t>表1.</w:t>
      </w:r>
      <w:r>
        <w:rPr>
          <w:rFonts w:hint="eastAsia"/>
          <w:b/>
          <w:snapToGrid w:val="0"/>
          <w:lang w:eastAsia="zh-CN"/>
        </w:rPr>
        <w:t>6-11</w:t>
      </w:r>
      <w:r>
        <w:rPr>
          <w:b/>
          <w:snapToGrid w:val="0"/>
          <w:lang w:eastAsia="zh-CN"/>
        </w:rPr>
        <w:t xml:space="preserve"> </w:t>
      </w:r>
      <w:r>
        <w:rPr>
          <w:rFonts w:hint="eastAsia"/>
          <w:b/>
          <w:snapToGrid w:val="0"/>
          <w:lang w:eastAsia="zh-CN"/>
        </w:rPr>
        <w:t xml:space="preserve">  </w:t>
      </w:r>
      <w:r>
        <w:rPr>
          <w:b/>
          <w:snapToGrid w:val="0"/>
          <w:lang w:eastAsia="zh-CN"/>
        </w:rPr>
        <w:t>生态影响评价工作级别划分判据表</w:t>
      </w:r>
    </w:p>
    <w:tbl>
      <w:tblPr>
        <w:tblStyle w:val="7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133"/>
        <w:gridCol w:w="2132"/>
        <w:gridCol w:w="2364"/>
        <w:gridCol w:w="1900"/>
      </w:tblGrid>
      <w:tr w14:paraId="102704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133" w:type="dxa"/>
            <w:vMerge w:val="restart"/>
            <w:vAlign w:val="center"/>
          </w:tcPr>
          <w:p w14:paraId="2C086747">
            <w:pPr>
              <w:spacing w:line="240" w:lineRule="auto"/>
              <w:ind w:firstLine="420"/>
              <w:jc w:val="center"/>
              <w:rPr>
                <w:sz w:val="21"/>
                <w:szCs w:val="21"/>
              </w:rPr>
            </w:pPr>
            <w:r>
              <w:rPr>
                <w:sz w:val="21"/>
                <w:szCs w:val="21"/>
              </w:rPr>
              <w:t>影响区域生态敏感性</w:t>
            </w:r>
          </w:p>
        </w:tc>
        <w:tc>
          <w:tcPr>
            <w:tcW w:w="6396" w:type="dxa"/>
            <w:gridSpan w:val="3"/>
            <w:vAlign w:val="center"/>
          </w:tcPr>
          <w:p w14:paraId="4E45475F">
            <w:pPr>
              <w:spacing w:line="240" w:lineRule="auto"/>
              <w:ind w:firstLine="420"/>
              <w:jc w:val="center"/>
              <w:rPr>
                <w:sz w:val="21"/>
                <w:szCs w:val="21"/>
                <w:lang w:eastAsia="zh-CN"/>
              </w:rPr>
            </w:pPr>
            <w:r>
              <w:rPr>
                <w:sz w:val="21"/>
                <w:szCs w:val="21"/>
                <w:lang w:eastAsia="zh-CN"/>
              </w:rPr>
              <w:t>工程占地（水域）范围</w:t>
            </w:r>
          </w:p>
        </w:tc>
      </w:tr>
      <w:tr w14:paraId="7D13B4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133" w:type="dxa"/>
            <w:vMerge w:val="continue"/>
            <w:vAlign w:val="center"/>
          </w:tcPr>
          <w:p w14:paraId="1797D2CF">
            <w:pPr>
              <w:spacing w:line="240" w:lineRule="auto"/>
              <w:ind w:firstLine="420"/>
              <w:jc w:val="center"/>
              <w:rPr>
                <w:sz w:val="21"/>
                <w:szCs w:val="21"/>
                <w:lang w:eastAsia="zh-CN"/>
              </w:rPr>
            </w:pPr>
          </w:p>
        </w:tc>
        <w:tc>
          <w:tcPr>
            <w:tcW w:w="2132" w:type="dxa"/>
            <w:vAlign w:val="center"/>
          </w:tcPr>
          <w:p w14:paraId="799E494F">
            <w:pPr>
              <w:spacing w:line="240" w:lineRule="auto"/>
              <w:ind w:firstLine="420"/>
              <w:jc w:val="center"/>
              <w:rPr>
                <w:sz w:val="21"/>
                <w:szCs w:val="21"/>
              </w:rPr>
            </w:pPr>
            <w:r>
              <w:rPr>
                <w:sz w:val="21"/>
                <w:szCs w:val="21"/>
              </w:rPr>
              <w:t>面积≥20km</w:t>
            </w:r>
            <w:r>
              <w:rPr>
                <w:sz w:val="21"/>
                <w:szCs w:val="21"/>
                <w:vertAlign w:val="superscript"/>
              </w:rPr>
              <w:t>2</w:t>
            </w:r>
          </w:p>
          <w:p w14:paraId="7482BFE2">
            <w:pPr>
              <w:spacing w:line="240" w:lineRule="auto"/>
              <w:ind w:firstLine="420"/>
              <w:jc w:val="center"/>
              <w:rPr>
                <w:sz w:val="21"/>
                <w:szCs w:val="21"/>
              </w:rPr>
            </w:pPr>
            <w:r>
              <w:rPr>
                <w:sz w:val="21"/>
                <w:szCs w:val="21"/>
              </w:rPr>
              <w:t>或长度≥100km</w:t>
            </w:r>
          </w:p>
        </w:tc>
        <w:tc>
          <w:tcPr>
            <w:tcW w:w="2364" w:type="dxa"/>
            <w:vAlign w:val="center"/>
          </w:tcPr>
          <w:p w14:paraId="3C7CE118">
            <w:pPr>
              <w:spacing w:line="240" w:lineRule="auto"/>
              <w:ind w:firstLine="420"/>
              <w:jc w:val="center"/>
              <w:rPr>
                <w:sz w:val="21"/>
                <w:szCs w:val="21"/>
              </w:rPr>
            </w:pPr>
            <w:r>
              <w:rPr>
                <w:sz w:val="21"/>
                <w:szCs w:val="21"/>
              </w:rPr>
              <w:t>面积2-20km</w:t>
            </w:r>
            <w:r>
              <w:rPr>
                <w:sz w:val="21"/>
                <w:szCs w:val="21"/>
                <w:vertAlign w:val="superscript"/>
              </w:rPr>
              <w:t>2</w:t>
            </w:r>
          </w:p>
          <w:p w14:paraId="4B9F6FE3">
            <w:pPr>
              <w:spacing w:line="240" w:lineRule="auto"/>
              <w:ind w:firstLine="420"/>
              <w:jc w:val="center"/>
              <w:rPr>
                <w:sz w:val="21"/>
                <w:szCs w:val="21"/>
              </w:rPr>
            </w:pPr>
            <w:r>
              <w:rPr>
                <w:sz w:val="21"/>
                <w:szCs w:val="21"/>
              </w:rPr>
              <w:t>或长度50-100km</w:t>
            </w:r>
          </w:p>
        </w:tc>
        <w:tc>
          <w:tcPr>
            <w:tcW w:w="1900" w:type="dxa"/>
            <w:vAlign w:val="center"/>
          </w:tcPr>
          <w:p w14:paraId="3BFD63C0">
            <w:pPr>
              <w:spacing w:line="240" w:lineRule="auto"/>
              <w:ind w:firstLine="0" w:firstLineChars="0"/>
              <w:jc w:val="center"/>
              <w:rPr>
                <w:sz w:val="21"/>
                <w:szCs w:val="21"/>
                <w:lang w:eastAsia="zh-CN"/>
              </w:rPr>
            </w:pPr>
            <w:r>
              <w:rPr>
                <w:sz w:val="21"/>
                <w:szCs w:val="21"/>
              </w:rPr>
              <w:t>面积≤2km</w:t>
            </w:r>
            <w:r>
              <w:rPr>
                <w:sz w:val="21"/>
                <w:szCs w:val="21"/>
                <w:vertAlign w:val="superscript"/>
              </w:rPr>
              <w:t>2</w:t>
            </w:r>
          </w:p>
          <w:p w14:paraId="2B1834AA">
            <w:pPr>
              <w:spacing w:line="240" w:lineRule="auto"/>
              <w:ind w:firstLine="0" w:firstLineChars="0"/>
              <w:jc w:val="center"/>
              <w:rPr>
                <w:sz w:val="21"/>
                <w:szCs w:val="21"/>
              </w:rPr>
            </w:pPr>
            <w:r>
              <w:rPr>
                <w:sz w:val="21"/>
                <w:szCs w:val="21"/>
              </w:rPr>
              <w:t>或长度≤50km</w:t>
            </w:r>
          </w:p>
        </w:tc>
      </w:tr>
      <w:tr w14:paraId="24DC6D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133" w:type="dxa"/>
            <w:vAlign w:val="center"/>
          </w:tcPr>
          <w:p w14:paraId="536AAE21">
            <w:pPr>
              <w:spacing w:line="240" w:lineRule="auto"/>
              <w:ind w:firstLine="420"/>
              <w:jc w:val="center"/>
              <w:rPr>
                <w:sz w:val="21"/>
                <w:szCs w:val="21"/>
              </w:rPr>
            </w:pPr>
            <w:r>
              <w:rPr>
                <w:sz w:val="21"/>
                <w:szCs w:val="21"/>
              </w:rPr>
              <w:t>特殊生态敏感区</w:t>
            </w:r>
          </w:p>
        </w:tc>
        <w:tc>
          <w:tcPr>
            <w:tcW w:w="2132" w:type="dxa"/>
            <w:vAlign w:val="center"/>
          </w:tcPr>
          <w:p w14:paraId="27915DB1">
            <w:pPr>
              <w:spacing w:line="240" w:lineRule="auto"/>
              <w:ind w:firstLine="420"/>
              <w:jc w:val="center"/>
              <w:rPr>
                <w:sz w:val="21"/>
                <w:szCs w:val="21"/>
              </w:rPr>
            </w:pPr>
            <w:r>
              <w:rPr>
                <w:sz w:val="21"/>
                <w:szCs w:val="21"/>
              </w:rPr>
              <w:t>一级</w:t>
            </w:r>
          </w:p>
        </w:tc>
        <w:tc>
          <w:tcPr>
            <w:tcW w:w="2364" w:type="dxa"/>
            <w:vAlign w:val="center"/>
          </w:tcPr>
          <w:p w14:paraId="0A50E59C">
            <w:pPr>
              <w:spacing w:line="240" w:lineRule="auto"/>
              <w:ind w:firstLine="420"/>
              <w:jc w:val="center"/>
              <w:rPr>
                <w:sz w:val="21"/>
                <w:szCs w:val="21"/>
              </w:rPr>
            </w:pPr>
            <w:r>
              <w:rPr>
                <w:sz w:val="21"/>
                <w:szCs w:val="21"/>
              </w:rPr>
              <w:t>一级</w:t>
            </w:r>
          </w:p>
        </w:tc>
        <w:tc>
          <w:tcPr>
            <w:tcW w:w="1900" w:type="dxa"/>
            <w:vAlign w:val="center"/>
          </w:tcPr>
          <w:p w14:paraId="3AE8A011">
            <w:pPr>
              <w:spacing w:line="240" w:lineRule="auto"/>
              <w:ind w:firstLine="420"/>
              <w:jc w:val="center"/>
              <w:rPr>
                <w:sz w:val="21"/>
                <w:szCs w:val="21"/>
              </w:rPr>
            </w:pPr>
            <w:r>
              <w:rPr>
                <w:sz w:val="21"/>
                <w:szCs w:val="21"/>
              </w:rPr>
              <w:t>一级</w:t>
            </w:r>
          </w:p>
        </w:tc>
      </w:tr>
      <w:tr w14:paraId="7F57CB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133" w:type="dxa"/>
            <w:vAlign w:val="center"/>
          </w:tcPr>
          <w:p w14:paraId="34174DF8">
            <w:pPr>
              <w:spacing w:line="240" w:lineRule="auto"/>
              <w:ind w:firstLine="420"/>
              <w:jc w:val="center"/>
              <w:rPr>
                <w:sz w:val="21"/>
                <w:szCs w:val="21"/>
              </w:rPr>
            </w:pPr>
            <w:r>
              <w:rPr>
                <w:sz w:val="21"/>
                <w:szCs w:val="21"/>
              </w:rPr>
              <w:t>重要生态敏感区</w:t>
            </w:r>
          </w:p>
        </w:tc>
        <w:tc>
          <w:tcPr>
            <w:tcW w:w="2132" w:type="dxa"/>
            <w:vAlign w:val="center"/>
          </w:tcPr>
          <w:p w14:paraId="76BCA265">
            <w:pPr>
              <w:spacing w:line="240" w:lineRule="auto"/>
              <w:ind w:firstLine="420"/>
              <w:jc w:val="center"/>
              <w:rPr>
                <w:sz w:val="21"/>
                <w:szCs w:val="21"/>
              </w:rPr>
            </w:pPr>
            <w:r>
              <w:rPr>
                <w:sz w:val="21"/>
                <w:szCs w:val="21"/>
              </w:rPr>
              <w:t>一级</w:t>
            </w:r>
          </w:p>
        </w:tc>
        <w:tc>
          <w:tcPr>
            <w:tcW w:w="2364" w:type="dxa"/>
            <w:vAlign w:val="center"/>
          </w:tcPr>
          <w:p w14:paraId="50B14A7E">
            <w:pPr>
              <w:spacing w:line="240" w:lineRule="auto"/>
              <w:ind w:firstLine="420"/>
              <w:jc w:val="center"/>
              <w:rPr>
                <w:sz w:val="21"/>
                <w:szCs w:val="21"/>
              </w:rPr>
            </w:pPr>
            <w:r>
              <w:rPr>
                <w:sz w:val="21"/>
                <w:szCs w:val="21"/>
              </w:rPr>
              <w:t>二级</w:t>
            </w:r>
          </w:p>
        </w:tc>
        <w:tc>
          <w:tcPr>
            <w:tcW w:w="1900" w:type="dxa"/>
            <w:vAlign w:val="center"/>
          </w:tcPr>
          <w:p w14:paraId="33EF8BD9">
            <w:pPr>
              <w:spacing w:line="240" w:lineRule="auto"/>
              <w:ind w:firstLine="420"/>
              <w:jc w:val="center"/>
              <w:rPr>
                <w:sz w:val="21"/>
                <w:szCs w:val="21"/>
              </w:rPr>
            </w:pPr>
            <w:r>
              <w:rPr>
                <w:sz w:val="21"/>
                <w:szCs w:val="21"/>
              </w:rPr>
              <w:t>三级</w:t>
            </w:r>
          </w:p>
        </w:tc>
      </w:tr>
      <w:tr w14:paraId="0BCC9B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133" w:type="dxa"/>
            <w:shd w:val="clear" w:color="auto" w:fill="auto"/>
            <w:vAlign w:val="center"/>
          </w:tcPr>
          <w:p w14:paraId="137A0F03">
            <w:pPr>
              <w:spacing w:line="240" w:lineRule="auto"/>
              <w:ind w:firstLine="420"/>
              <w:jc w:val="center"/>
              <w:rPr>
                <w:sz w:val="21"/>
                <w:szCs w:val="21"/>
              </w:rPr>
            </w:pPr>
            <w:r>
              <w:rPr>
                <w:sz w:val="21"/>
                <w:szCs w:val="21"/>
              </w:rPr>
              <w:t>一般区域</w:t>
            </w:r>
          </w:p>
        </w:tc>
        <w:tc>
          <w:tcPr>
            <w:tcW w:w="2132" w:type="dxa"/>
            <w:shd w:val="clear" w:color="auto" w:fill="FFFFFF"/>
            <w:vAlign w:val="center"/>
          </w:tcPr>
          <w:p w14:paraId="05FC5281">
            <w:pPr>
              <w:spacing w:line="240" w:lineRule="auto"/>
              <w:ind w:firstLine="420"/>
              <w:jc w:val="center"/>
              <w:rPr>
                <w:sz w:val="21"/>
                <w:szCs w:val="21"/>
              </w:rPr>
            </w:pPr>
            <w:r>
              <w:rPr>
                <w:sz w:val="21"/>
                <w:szCs w:val="21"/>
              </w:rPr>
              <w:t>二级</w:t>
            </w:r>
          </w:p>
        </w:tc>
        <w:tc>
          <w:tcPr>
            <w:tcW w:w="2364" w:type="dxa"/>
            <w:vAlign w:val="center"/>
          </w:tcPr>
          <w:p w14:paraId="7A89B2E2">
            <w:pPr>
              <w:spacing w:line="240" w:lineRule="auto"/>
              <w:ind w:firstLine="420"/>
              <w:jc w:val="center"/>
              <w:rPr>
                <w:sz w:val="21"/>
                <w:szCs w:val="21"/>
              </w:rPr>
            </w:pPr>
            <w:r>
              <w:rPr>
                <w:sz w:val="21"/>
                <w:szCs w:val="21"/>
              </w:rPr>
              <w:t>三级</w:t>
            </w:r>
          </w:p>
        </w:tc>
        <w:tc>
          <w:tcPr>
            <w:tcW w:w="1900" w:type="dxa"/>
            <w:vAlign w:val="center"/>
          </w:tcPr>
          <w:p w14:paraId="13A17FA0">
            <w:pPr>
              <w:spacing w:line="240" w:lineRule="auto"/>
              <w:ind w:firstLine="420"/>
              <w:jc w:val="center"/>
              <w:rPr>
                <w:sz w:val="21"/>
                <w:szCs w:val="21"/>
              </w:rPr>
            </w:pPr>
            <w:r>
              <w:rPr>
                <w:sz w:val="21"/>
                <w:szCs w:val="21"/>
              </w:rPr>
              <w:t>三级</w:t>
            </w:r>
          </w:p>
        </w:tc>
      </w:tr>
    </w:tbl>
    <w:p w14:paraId="30FF365B">
      <w:pPr>
        <w:pStyle w:val="337"/>
        <w:rPr>
          <w:color w:val="auto"/>
        </w:rPr>
      </w:pPr>
    </w:p>
    <w:p w14:paraId="628C8F69">
      <w:pPr>
        <w:pStyle w:val="4"/>
      </w:pPr>
      <w:bookmarkStart w:id="102" w:name="_Toc408413898"/>
      <w:r>
        <w:t>1.</w:t>
      </w:r>
      <w:r>
        <w:rPr>
          <w:rFonts w:hint="eastAsia"/>
          <w:lang w:eastAsia="zh-CN"/>
        </w:rPr>
        <w:t>6</w:t>
      </w:r>
      <w:r>
        <w:t>.5环境风险评价等级</w:t>
      </w:r>
      <w:bookmarkEnd w:id="102"/>
    </w:p>
    <w:p w14:paraId="7DBABC35">
      <w:pPr>
        <w:ind w:firstLine="480"/>
        <w:rPr>
          <w:rFonts w:asciiTheme="minorEastAsia" w:hAnsiTheme="minorEastAsia" w:eastAsiaTheme="minorEastAsia"/>
          <w:lang w:eastAsia="zh-CN"/>
        </w:rPr>
      </w:pPr>
      <w:r>
        <w:rPr>
          <w:rFonts w:asciiTheme="minorEastAsia" w:hAnsiTheme="minorEastAsia" w:eastAsiaTheme="minorEastAsia"/>
          <w:lang w:eastAsia="zh-CN"/>
        </w:rPr>
        <w:t>根据《建设项目环境风险评价技术导则》(HJ/T169 -2004)的规定，本项目涉及环境风险的物料为原油，属于易燃危险性物质。本次环境风险评价工作等级的确定以</w:t>
      </w:r>
      <w:r>
        <w:rPr>
          <w:rFonts w:hint="eastAsia" w:asciiTheme="minorEastAsia" w:hAnsiTheme="minorEastAsia" w:eastAsiaTheme="minorEastAsia"/>
          <w:lang w:eastAsia="zh-CN"/>
        </w:rPr>
        <w:t>雅斯联合站</w:t>
      </w:r>
      <w:r>
        <w:rPr>
          <w:rFonts w:asciiTheme="minorEastAsia" w:hAnsiTheme="minorEastAsia" w:eastAsiaTheme="minorEastAsia"/>
          <w:lang w:eastAsia="zh-CN"/>
        </w:rPr>
        <w:t>3具</w:t>
      </w:r>
      <w:r>
        <w:rPr>
          <w:rFonts w:hint="eastAsia" w:asciiTheme="minorEastAsia" w:hAnsiTheme="minorEastAsia" w:eastAsiaTheme="minorEastAsia"/>
          <w:lang w:eastAsia="zh-CN"/>
        </w:rPr>
        <w:t>5</w:t>
      </w:r>
      <w:r>
        <w:rPr>
          <w:rFonts w:asciiTheme="minorEastAsia" w:hAnsiTheme="minorEastAsia" w:eastAsiaTheme="minorEastAsia"/>
          <w:lang w:eastAsia="zh-CN"/>
        </w:rPr>
        <w:t>00m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储油罐为依据，具体见表1.</w:t>
      </w:r>
      <w:r>
        <w:rPr>
          <w:rFonts w:hint="eastAsia" w:asciiTheme="minorEastAsia" w:hAnsiTheme="minorEastAsia" w:eastAsiaTheme="minorEastAsia"/>
          <w:lang w:eastAsia="zh-CN"/>
        </w:rPr>
        <w:t>6</w:t>
      </w:r>
      <w:r>
        <w:rPr>
          <w:rFonts w:asciiTheme="minorEastAsia" w:hAnsiTheme="minorEastAsia" w:eastAsiaTheme="minorEastAsia"/>
          <w:lang w:eastAsia="zh-CN"/>
        </w:rPr>
        <w:t>-</w:t>
      </w:r>
      <w:r>
        <w:rPr>
          <w:rFonts w:hint="eastAsia" w:asciiTheme="minorEastAsia" w:hAnsiTheme="minorEastAsia" w:eastAsiaTheme="minorEastAsia"/>
          <w:lang w:eastAsia="zh-CN"/>
        </w:rPr>
        <w:t>12</w:t>
      </w:r>
      <w:r>
        <w:rPr>
          <w:rFonts w:asciiTheme="minorEastAsia" w:hAnsiTheme="minorEastAsia" w:eastAsiaTheme="minorEastAsia"/>
          <w:lang w:eastAsia="zh-CN"/>
        </w:rPr>
        <w:t>，表1.</w:t>
      </w:r>
      <w:r>
        <w:rPr>
          <w:rFonts w:hint="eastAsia" w:asciiTheme="minorEastAsia" w:hAnsiTheme="minorEastAsia" w:eastAsiaTheme="minorEastAsia"/>
          <w:lang w:eastAsia="zh-CN"/>
        </w:rPr>
        <w:t>6</w:t>
      </w:r>
      <w:r>
        <w:rPr>
          <w:rFonts w:asciiTheme="minorEastAsia" w:hAnsiTheme="minorEastAsia" w:eastAsiaTheme="minorEastAsia"/>
          <w:lang w:eastAsia="zh-CN"/>
        </w:rPr>
        <w:t>-</w:t>
      </w:r>
      <w:r>
        <w:rPr>
          <w:rFonts w:hint="eastAsia" w:asciiTheme="minorEastAsia" w:hAnsiTheme="minorEastAsia" w:eastAsiaTheme="minorEastAsia"/>
          <w:lang w:eastAsia="zh-CN"/>
        </w:rPr>
        <w:t>13</w:t>
      </w:r>
      <w:r>
        <w:rPr>
          <w:rFonts w:asciiTheme="minorEastAsia" w:hAnsiTheme="minorEastAsia" w:eastAsiaTheme="minorEastAsia"/>
          <w:lang w:eastAsia="zh-CN"/>
        </w:rPr>
        <w:t>。</w:t>
      </w:r>
    </w:p>
    <w:p w14:paraId="5F443EFE">
      <w:pPr>
        <w:spacing w:line="240" w:lineRule="auto"/>
        <w:ind w:firstLine="482"/>
        <w:rPr>
          <w:b/>
          <w:lang w:eastAsia="zh-CN"/>
        </w:rPr>
      </w:pPr>
      <w:r>
        <w:rPr>
          <w:b/>
          <w:lang w:eastAsia="zh-CN"/>
        </w:rPr>
        <w:t>表1.</w:t>
      </w:r>
      <w:r>
        <w:rPr>
          <w:rFonts w:hint="eastAsia"/>
          <w:b/>
          <w:lang w:eastAsia="zh-CN"/>
        </w:rPr>
        <w:t>6-12</w:t>
      </w:r>
      <w:r>
        <w:rPr>
          <w:b/>
          <w:lang w:eastAsia="zh-CN"/>
        </w:rPr>
        <w:t xml:space="preserve"> </w:t>
      </w:r>
      <w:r>
        <w:rPr>
          <w:rFonts w:hint="eastAsia"/>
          <w:b/>
          <w:lang w:eastAsia="zh-CN"/>
        </w:rPr>
        <w:t xml:space="preserve">   </w:t>
      </w:r>
      <w:r>
        <w:rPr>
          <w:b/>
          <w:lang w:eastAsia="zh-CN"/>
        </w:rPr>
        <w:t>评价工作级别(一、二级)表</w:t>
      </w:r>
    </w:p>
    <w:tbl>
      <w:tblPr>
        <w:tblStyle w:val="7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22"/>
        <w:gridCol w:w="1725"/>
        <w:gridCol w:w="1725"/>
        <w:gridCol w:w="2011"/>
        <w:gridCol w:w="1646"/>
      </w:tblGrid>
      <w:tr w14:paraId="1DB175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422" w:type="dxa"/>
            <w:vAlign w:val="center"/>
          </w:tcPr>
          <w:p w14:paraId="48326D92">
            <w:pPr>
              <w:pStyle w:val="518"/>
            </w:pPr>
            <w:r>
              <w:t>项目</w:t>
            </w:r>
          </w:p>
        </w:tc>
        <w:tc>
          <w:tcPr>
            <w:tcW w:w="1725" w:type="dxa"/>
            <w:vAlign w:val="center"/>
          </w:tcPr>
          <w:p w14:paraId="4E010484">
            <w:pPr>
              <w:pStyle w:val="518"/>
            </w:pPr>
            <w:r>
              <w:t>剧毒危险性物质</w:t>
            </w:r>
          </w:p>
        </w:tc>
        <w:tc>
          <w:tcPr>
            <w:tcW w:w="1725" w:type="dxa"/>
            <w:vAlign w:val="center"/>
          </w:tcPr>
          <w:p w14:paraId="39876B74">
            <w:pPr>
              <w:pStyle w:val="518"/>
              <w:rPr>
                <w:spacing w:val="-20"/>
              </w:rPr>
            </w:pPr>
            <w:r>
              <w:rPr>
                <w:spacing w:val="-20"/>
              </w:rPr>
              <w:t>一般毒性危险物质</w:t>
            </w:r>
          </w:p>
        </w:tc>
        <w:tc>
          <w:tcPr>
            <w:tcW w:w="2011" w:type="dxa"/>
            <w:vAlign w:val="center"/>
          </w:tcPr>
          <w:p w14:paraId="5FA8D141">
            <w:pPr>
              <w:pStyle w:val="518"/>
              <w:rPr>
                <w:spacing w:val="-20"/>
                <w:lang w:eastAsia="zh-CN"/>
              </w:rPr>
            </w:pPr>
            <w:r>
              <w:rPr>
                <w:spacing w:val="-20"/>
                <w:lang w:eastAsia="zh-CN"/>
              </w:rPr>
              <w:t>可燃、易燃危险性物质</w:t>
            </w:r>
          </w:p>
        </w:tc>
        <w:tc>
          <w:tcPr>
            <w:tcW w:w="1646" w:type="dxa"/>
            <w:vAlign w:val="center"/>
          </w:tcPr>
          <w:p w14:paraId="55FE1678">
            <w:pPr>
              <w:pStyle w:val="518"/>
            </w:pPr>
            <w:r>
              <w:t>爆炸危险性物质</w:t>
            </w:r>
          </w:p>
        </w:tc>
      </w:tr>
      <w:tr w14:paraId="707B65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422" w:type="dxa"/>
            <w:vAlign w:val="center"/>
          </w:tcPr>
          <w:p w14:paraId="45548291">
            <w:pPr>
              <w:pStyle w:val="518"/>
            </w:pPr>
            <w:r>
              <w:t>重大危险源</w:t>
            </w:r>
          </w:p>
        </w:tc>
        <w:tc>
          <w:tcPr>
            <w:tcW w:w="1725" w:type="dxa"/>
            <w:vAlign w:val="center"/>
          </w:tcPr>
          <w:p w14:paraId="60777A30">
            <w:pPr>
              <w:pStyle w:val="518"/>
            </w:pPr>
            <w:r>
              <w:t>一</w:t>
            </w:r>
          </w:p>
        </w:tc>
        <w:tc>
          <w:tcPr>
            <w:tcW w:w="1725" w:type="dxa"/>
            <w:vAlign w:val="center"/>
          </w:tcPr>
          <w:p w14:paraId="42112DA6">
            <w:pPr>
              <w:pStyle w:val="518"/>
            </w:pPr>
            <w:r>
              <w:t>二</w:t>
            </w:r>
          </w:p>
        </w:tc>
        <w:tc>
          <w:tcPr>
            <w:tcW w:w="2011" w:type="dxa"/>
            <w:vAlign w:val="center"/>
          </w:tcPr>
          <w:p w14:paraId="78DD1CC4">
            <w:pPr>
              <w:pStyle w:val="518"/>
            </w:pPr>
            <w:r>
              <w:t>一</w:t>
            </w:r>
          </w:p>
        </w:tc>
        <w:tc>
          <w:tcPr>
            <w:tcW w:w="1646" w:type="dxa"/>
            <w:vAlign w:val="center"/>
          </w:tcPr>
          <w:p w14:paraId="2C89B0E0">
            <w:pPr>
              <w:pStyle w:val="518"/>
            </w:pPr>
            <w:r>
              <w:t>一</w:t>
            </w:r>
          </w:p>
        </w:tc>
      </w:tr>
      <w:tr w14:paraId="596107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422" w:type="dxa"/>
            <w:vAlign w:val="center"/>
          </w:tcPr>
          <w:p w14:paraId="7D110C21">
            <w:pPr>
              <w:pStyle w:val="518"/>
            </w:pPr>
            <w:r>
              <w:t>非重大危险源</w:t>
            </w:r>
          </w:p>
        </w:tc>
        <w:tc>
          <w:tcPr>
            <w:tcW w:w="1725" w:type="dxa"/>
            <w:vAlign w:val="center"/>
          </w:tcPr>
          <w:p w14:paraId="709BA591">
            <w:pPr>
              <w:pStyle w:val="518"/>
            </w:pPr>
            <w:r>
              <w:t>二</w:t>
            </w:r>
          </w:p>
        </w:tc>
        <w:tc>
          <w:tcPr>
            <w:tcW w:w="1725" w:type="dxa"/>
            <w:vAlign w:val="center"/>
          </w:tcPr>
          <w:p w14:paraId="4CC11F9F">
            <w:pPr>
              <w:pStyle w:val="518"/>
            </w:pPr>
            <w:r>
              <w:t>二</w:t>
            </w:r>
          </w:p>
        </w:tc>
        <w:tc>
          <w:tcPr>
            <w:tcW w:w="2011" w:type="dxa"/>
            <w:vAlign w:val="center"/>
          </w:tcPr>
          <w:p w14:paraId="5D90B128">
            <w:pPr>
              <w:pStyle w:val="518"/>
            </w:pPr>
            <w:r>
              <w:t>二</w:t>
            </w:r>
          </w:p>
        </w:tc>
        <w:tc>
          <w:tcPr>
            <w:tcW w:w="1646" w:type="dxa"/>
            <w:vAlign w:val="center"/>
          </w:tcPr>
          <w:p w14:paraId="7130981D">
            <w:pPr>
              <w:pStyle w:val="518"/>
            </w:pPr>
            <w:r>
              <w:t>二</w:t>
            </w:r>
          </w:p>
        </w:tc>
      </w:tr>
      <w:tr w14:paraId="38843A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422" w:type="dxa"/>
            <w:vAlign w:val="center"/>
          </w:tcPr>
          <w:p w14:paraId="3957AE34">
            <w:pPr>
              <w:pStyle w:val="518"/>
            </w:pPr>
            <w:r>
              <w:t>环境敏感地区</w:t>
            </w:r>
          </w:p>
        </w:tc>
        <w:tc>
          <w:tcPr>
            <w:tcW w:w="1725" w:type="dxa"/>
            <w:vAlign w:val="center"/>
          </w:tcPr>
          <w:p w14:paraId="2474DA5C">
            <w:pPr>
              <w:pStyle w:val="518"/>
            </w:pPr>
            <w:r>
              <w:t>一</w:t>
            </w:r>
          </w:p>
        </w:tc>
        <w:tc>
          <w:tcPr>
            <w:tcW w:w="1725" w:type="dxa"/>
            <w:vAlign w:val="center"/>
          </w:tcPr>
          <w:p w14:paraId="3806B054">
            <w:pPr>
              <w:pStyle w:val="518"/>
            </w:pPr>
            <w:r>
              <w:t>一</w:t>
            </w:r>
          </w:p>
        </w:tc>
        <w:tc>
          <w:tcPr>
            <w:tcW w:w="2011" w:type="dxa"/>
            <w:vAlign w:val="center"/>
          </w:tcPr>
          <w:p w14:paraId="1D82C766">
            <w:pPr>
              <w:pStyle w:val="518"/>
            </w:pPr>
            <w:r>
              <w:t>一</w:t>
            </w:r>
          </w:p>
        </w:tc>
        <w:tc>
          <w:tcPr>
            <w:tcW w:w="1646" w:type="dxa"/>
            <w:vAlign w:val="center"/>
          </w:tcPr>
          <w:p w14:paraId="7D028FE0">
            <w:pPr>
              <w:pStyle w:val="518"/>
            </w:pPr>
            <w:r>
              <w:t>一</w:t>
            </w:r>
          </w:p>
        </w:tc>
      </w:tr>
    </w:tbl>
    <w:p w14:paraId="7B6BB1D0">
      <w:pPr>
        <w:spacing w:line="240" w:lineRule="auto"/>
        <w:ind w:firstLine="482"/>
        <w:rPr>
          <w:b/>
          <w:lang w:eastAsia="zh-CN"/>
        </w:rPr>
      </w:pPr>
      <w:r>
        <w:rPr>
          <w:b/>
          <w:lang w:eastAsia="zh-CN"/>
        </w:rPr>
        <w:t>表1.</w:t>
      </w:r>
      <w:r>
        <w:rPr>
          <w:rFonts w:hint="eastAsia"/>
          <w:b/>
          <w:lang w:eastAsia="zh-CN"/>
        </w:rPr>
        <w:t>6</w:t>
      </w:r>
      <w:r>
        <w:rPr>
          <w:b/>
          <w:lang w:eastAsia="zh-CN"/>
        </w:rPr>
        <w:t>-1</w:t>
      </w:r>
      <w:r>
        <w:rPr>
          <w:rFonts w:hint="eastAsia"/>
          <w:b/>
          <w:lang w:eastAsia="zh-CN"/>
        </w:rPr>
        <w:t>3</w:t>
      </w:r>
      <w:r>
        <w:rPr>
          <w:b/>
          <w:lang w:eastAsia="zh-CN"/>
        </w:rPr>
        <w:t xml:space="preserve"> </w:t>
      </w:r>
      <w:r>
        <w:rPr>
          <w:rFonts w:hint="eastAsia"/>
          <w:b/>
          <w:lang w:eastAsia="zh-CN"/>
        </w:rPr>
        <w:t xml:space="preserve">    </w:t>
      </w:r>
      <w:r>
        <w:rPr>
          <w:b/>
          <w:lang w:eastAsia="zh-CN"/>
        </w:rPr>
        <w:t>评价等级判断表</w:t>
      </w:r>
    </w:p>
    <w:tbl>
      <w:tblPr>
        <w:tblStyle w:val="7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40"/>
        <w:gridCol w:w="908"/>
        <w:gridCol w:w="907"/>
        <w:gridCol w:w="925"/>
        <w:gridCol w:w="1110"/>
        <w:gridCol w:w="1112"/>
        <w:gridCol w:w="1110"/>
        <w:gridCol w:w="1317"/>
      </w:tblGrid>
      <w:tr w14:paraId="182818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40" w:type="dxa"/>
            <w:vMerge w:val="restart"/>
            <w:vAlign w:val="center"/>
          </w:tcPr>
          <w:p w14:paraId="6CBCA02C">
            <w:pPr>
              <w:pStyle w:val="518"/>
            </w:pPr>
            <w:r>
              <w:t>物质</w:t>
            </w:r>
          </w:p>
        </w:tc>
        <w:tc>
          <w:tcPr>
            <w:tcW w:w="4962" w:type="dxa"/>
            <w:gridSpan w:val="5"/>
            <w:vAlign w:val="center"/>
          </w:tcPr>
          <w:p w14:paraId="5920D8CA">
            <w:pPr>
              <w:pStyle w:val="518"/>
            </w:pPr>
            <w:r>
              <w:t>危险源辨识</w:t>
            </w:r>
          </w:p>
        </w:tc>
        <w:tc>
          <w:tcPr>
            <w:tcW w:w="1110" w:type="dxa"/>
            <w:vMerge w:val="restart"/>
            <w:vAlign w:val="center"/>
          </w:tcPr>
          <w:p w14:paraId="2F706B43">
            <w:pPr>
              <w:pStyle w:val="518"/>
            </w:pPr>
            <w:r>
              <w:t>环境敏感感地区</w:t>
            </w:r>
          </w:p>
        </w:tc>
        <w:tc>
          <w:tcPr>
            <w:tcW w:w="1317" w:type="dxa"/>
            <w:vMerge w:val="restart"/>
            <w:vAlign w:val="center"/>
          </w:tcPr>
          <w:p w14:paraId="19B57B16">
            <w:pPr>
              <w:pStyle w:val="518"/>
            </w:pPr>
            <w:r>
              <w:t>物料描述</w:t>
            </w:r>
          </w:p>
        </w:tc>
      </w:tr>
      <w:tr w14:paraId="3B215A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40" w:type="dxa"/>
            <w:vMerge w:val="continue"/>
            <w:vAlign w:val="center"/>
          </w:tcPr>
          <w:p w14:paraId="0023CA9C">
            <w:pPr>
              <w:pStyle w:val="518"/>
            </w:pPr>
          </w:p>
        </w:tc>
        <w:tc>
          <w:tcPr>
            <w:tcW w:w="1815" w:type="dxa"/>
            <w:gridSpan w:val="2"/>
            <w:vAlign w:val="center"/>
          </w:tcPr>
          <w:p w14:paraId="79A7583E">
            <w:pPr>
              <w:pStyle w:val="518"/>
            </w:pPr>
            <w:r>
              <w:t>生产场所(t)</w:t>
            </w:r>
          </w:p>
        </w:tc>
        <w:tc>
          <w:tcPr>
            <w:tcW w:w="2035" w:type="dxa"/>
            <w:gridSpan w:val="2"/>
            <w:vAlign w:val="center"/>
          </w:tcPr>
          <w:p w14:paraId="53296114">
            <w:pPr>
              <w:pStyle w:val="518"/>
            </w:pPr>
            <w:r>
              <w:t>贮存场所(t)</w:t>
            </w:r>
          </w:p>
        </w:tc>
        <w:tc>
          <w:tcPr>
            <w:tcW w:w="1112" w:type="dxa"/>
            <w:vMerge w:val="restart"/>
            <w:vAlign w:val="center"/>
          </w:tcPr>
          <w:p w14:paraId="08BF18AB">
            <w:pPr>
              <w:pStyle w:val="518"/>
            </w:pPr>
            <w:r>
              <w:t>辨识结果</w:t>
            </w:r>
          </w:p>
        </w:tc>
        <w:tc>
          <w:tcPr>
            <w:tcW w:w="1110" w:type="dxa"/>
            <w:vMerge w:val="continue"/>
            <w:vAlign w:val="center"/>
          </w:tcPr>
          <w:p w14:paraId="4D293C51">
            <w:pPr>
              <w:pStyle w:val="518"/>
            </w:pPr>
          </w:p>
        </w:tc>
        <w:tc>
          <w:tcPr>
            <w:tcW w:w="1317" w:type="dxa"/>
            <w:vMerge w:val="continue"/>
            <w:vAlign w:val="center"/>
          </w:tcPr>
          <w:p w14:paraId="38126C1D">
            <w:pPr>
              <w:pStyle w:val="518"/>
            </w:pPr>
          </w:p>
        </w:tc>
      </w:tr>
      <w:tr w14:paraId="6BFE1F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40" w:type="dxa"/>
            <w:vMerge w:val="continue"/>
            <w:vAlign w:val="center"/>
          </w:tcPr>
          <w:p w14:paraId="44968740">
            <w:pPr>
              <w:pStyle w:val="518"/>
            </w:pPr>
          </w:p>
        </w:tc>
        <w:tc>
          <w:tcPr>
            <w:tcW w:w="908" w:type="dxa"/>
            <w:vAlign w:val="center"/>
          </w:tcPr>
          <w:p w14:paraId="07E2C864">
            <w:pPr>
              <w:pStyle w:val="518"/>
            </w:pPr>
            <w:r>
              <w:t>临界量</w:t>
            </w:r>
          </w:p>
        </w:tc>
        <w:tc>
          <w:tcPr>
            <w:tcW w:w="907" w:type="dxa"/>
            <w:vAlign w:val="center"/>
          </w:tcPr>
          <w:p w14:paraId="4AFCE8D8">
            <w:pPr>
              <w:pStyle w:val="518"/>
            </w:pPr>
            <w:r>
              <w:t>实际量</w:t>
            </w:r>
          </w:p>
        </w:tc>
        <w:tc>
          <w:tcPr>
            <w:tcW w:w="925" w:type="dxa"/>
            <w:vAlign w:val="center"/>
          </w:tcPr>
          <w:p w14:paraId="1928F794">
            <w:pPr>
              <w:pStyle w:val="518"/>
            </w:pPr>
            <w:r>
              <w:t>临界量</w:t>
            </w:r>
          </w:p>
        </w:tc>
        <w:tc>
          <w:tcPr>
            <w:tcW w:w="1110" w:type="dxa"/>
            <w:vAlign w:val="center"/>
          </w:tcPr>
          <w:p w14:paraId="673BA05F">
            <w:pPr>
              <w:pStyle w:val="518"/>
            </w:pPr>
            <w:r>
              <w:t>实际量</w:t>
            </w:r>
          </w:p>
        </w:tc>
        <w:tc>
          <w:tcPr>
            <w:tcW w:w="1112" w:type="dxa"/>
            <w:vMerge w:val="continue"/>
            <w:vAlign w:val="center"/>
          </w:tcPr>
          <w:p w14:paraId="6290F732">
            <w:pPr>
              <w:pStyle w:val="518"/>
            </w:pPr>
          </w:p>
        </w:tc>
        <w:tc>
          <w:tcPr>
            <w:tcW w:w="1110" w:type="dxa"/>
            <w:vMerge w:val="continue"/>
            <w:vAlign w:val="center"/>
          </w:tcPr>
          <w:p w14:paraId="390ED15C">
            <w:pPr>
              <w:pStyle w:val="518"/>
            </w:pPr>
          </w:p>
        </w:tc>
        <w:tc>
          <w:tcPr>
            <w:tcW w:w="1317" w:type="dxa"/>
            <w:vMerge w:val="continue"/>
            <w:vAlign w:val="center"/>
          </w:tcPr>
          <w:p w14:paraId="3B834D9E">
            <w:pPr>
              <w:pStyle w:val="518"/>
            </w:pPr>
          </w:p>
        </w:tc>
      </w:tr>
      <w:tr w14:paraId="695F2C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40" w:type="dxa"/>
            <w:vAlign w:val="center"/>
          </w:tcPr>
          <w:p w14:paraId="2B630CAE">
            <w:pPr>
              <w:pStyle w:val="518"/>
              <w:rPr>
                <w:lang w:eastAsia="zh-CN"/>
              </w:rPr>
            </w:pPr>
            <w:r>
              <w:t>原油储存</w:t>
            </w:r>
          </w:p>
        </w:tc>
        <w:tc>
          <w:tcPr>
            <w:tcW w:w="908" w:type="dxa"/>
            <w:vAlign w:val="center"/>
          </w:tcPr>
          <w:p w14:paraId="3F50D232">
            <w:pPr>
              <w:pStyle w:val="518"/>
              <w:rPr>
                <w:lang w:eastAsia="zh-CN"/>
              </w:rPr>
            </w:pPr>
            <w:r>
              <w:t>2</w:t>
            </w:r>
          </w:p>
        </w:tc>
        <w:tc>
          <w:tcPr>
            <w:tcW w:w="907" w:type="dxa"/>
            <w:vAlign w:val="center"/>
          </w:tcPr>
          <w:p w14:paraId="461D537B">
            <w:pPr>
              <w:pStyle w:val="518"/>
            </w:pPr>
            <w:r>
              <w:rPr>
                <w:rFonts w:hint="eastAsia"/>
                <w:lang w:eastAsia="zh-CN"/>
              </w:rPr>
              <w:t>3.1136</w:t>
            </w:r>
          </w:p>
        </w:tc>
        <w:tc>
          <w:tcPr>
            <w:tcW w:w="925" w:type="dxa"/>
            <w:vAlign w:val="center"/>
          </w:tcPr>
          <w:p w14:paraId="08982882">
            <w:pPr>
              <w:pStyle w:val="518"/>
              <w:rPr>
                <w:lang w:eastAsia="zh-CN"/>
              </w:rPr>
            </w:pPr>
            <w:r>
              <w:t>20</w:t>
            </w:r>
          </w:p>
        </w:tc>
        <w:tc>
          <w:tcPr>
            <w:tcW w:w="1110" w:type="dxa"/>
            <w:vAlign w:val="center"/>
          </w:tcPr>
          <w:p w14:paraId="78BF239A">
            <w:pPr>
              <w:pStyle w:val="518"/>
              <w:rPr>
                <w:lang w:eastAsia="zh-CN"/>
              </w:rPr>
            </w:pPr>
            <w:r>
              <w:rPr>
                <w:rFonts w:hint="eastAsia"/>
                <w:lang w:eastAsia="zh-CN"/>
              </w:rPr>
              <w:t>93</w:t>
            </w:r>
            <w:r>
              <w:rPr>
                <w:lang w:eastAsia="zh-CN"/>
              </w:rPr>
              <w:t>.</w:t>
            </w:r>
            <w:r>
              <w:rPr>
                <w:rFonts w:hint="eastAsia"/>
                <w:lang w:eastAsia="zh-CN"/>
              </w:rPr>
              <w:t>4092</w:t>
            </w:r>
          </w:p>
        </w:tc>
        <w:tc>
          <w:tcPr>
            <w:tcW w:w="1112" w:type="dxa"/>
            <w:vAlign w:val="center"/>
          </w:tcPr>
          <w:p w14:paraId="37741EBF">
            <w:pPr>
              <w:pStyle w:val="518"/>
            </w:pPr>
            <w:r>
              <w:t>重大</w:t>
            </w:r>
          </w:p>
          <w:p w14:paraId="6039290C">
            <w:pPr>
              <w:pStyle w:val="518"/>
            </w:pPr>
            <w:r>
              <w:t>危险源</w:t>
            </w:r>
          </w:p>
        </w:tc>
        <w:tc>
          <w:tcPr>
            <w:tcW w:w="1110" w:type="dxa"/>
            <w:vAlign w:val="center"/>
          </w:tcPr>
          <w:p w14:paraId="1853AF6F">
            <w:pPr>
              <w:pStyle w:val="518"/>
            </w:pPr>
            <w:r>
              <w:t>——</w:t>
            </w:r>
          </w:p>
        </w:tc>
        <w:tc>
          <w:tcPr>
            <w:tcW w:w="1317" w:type="dxa"/>
            <w:vAlign w:val="center"/>
          </w:tcPr>
          <w:p w14:paraId="55CBC903">
            <w:pPr>
              <w:pStyle w:val="518"/>
              <w:rPr>
                <w:lang w:eastAsia="zh-CN"/>
              </w:rPr>
            </w:pPr>
            <w:r>
              <w:rPr>
                <w:lang w:eastAsia="zh-CN"/>
              </w:rPr>
              <w:t>可燃、易燃危险性物质</w:t>
            </w:r>
          </w:p>
        </w:tc>
      </w:tr>
    </w:tbl>
    <w:p w14:paraId="10A80AAF">
      <w:pPr>
        <w:ind w:firstLine="360"/>
        <w:rPr>
          <w:sz w:val="18"/>
          <w:szCs w:val="18"/>
          <w:lang w:eastAsia="zh-CN"/>
        </w:rPr>
      </w:pPr>
      <w:r>
        <w:rPr>
          <w:sz w:val="18"/>
          <w:szCs w:val="18"/>
          <w:lang w:eastAsia="zh-CN"/>
        </w:rPr>
        <w:t>注：生产场所实际量按单井</w:t>
      </w:r>
      <w:r>
        <w:rPr>
          <w:rFonts w:hint="eastAsia"/>
          <w:sz w:val="18"/>
          <w:szCs w:val="18"/>
          <w:lang w:eastAsia="zh-CN"/>
        </w:rPr>
        <w:t>井场</w:t>
      </w:r>
      <w:r>
        <w:rPr>
          <w:sz w:val="18"/>
          <w:szCs w:val="18"/>
          <w:lang w:eastAsia="zh-CN"/>
        </w:rPr>
        <w:t>存储量</w:t>
      </w:r>
      <w:r>
        <w:rPr>
          <w:rFonts w:hint="eastAsia"/>
          <w:sz w:val="18"/>
          <w:szCs w:val="18"/>
          <w:lang w:eastAsia="zh-CN"/>
        </w:rPr>
        <w:t>计，储存场所按照</w:t>
      </w:r>
      <w:r>
        <w:rPr>
          <w:sz w:val="18"/>
          <w:szCs w:val="18"/>
          <w:lang w:eastAsia="zh-CN"/>
        </w:rPr>
        <w:t>集中处理站油罐最大储存量计。</w:t>
      </w:r>
      <w:r>
        <w:rPr>
          <w:rFonts w:hint="eastAsia"/>
          <w:sz w:val="18"/>
          <w:szCs w:val="18"/>
          <w:lang w:eastAsia="zh-CN"/>
        </w:rPr>
        <w:t>单井生产场储罐按照最大5</w:t>
      </w:r>
      <w:r>
        <w:rPr>
          <w:sz w:val="18"/>
          <w:szCs w:val="18"/>
          <w:lang w:eastAsia="zh-CN"/>
        </w:rPr>
        <w:t>0m</w:t>
      </w:r>
      <w:r>
        <w:rPr>
          <w:sz w:val="18"/>
          <w:szCs w:val="18"/>
          <w:vertAlign w:val="superscript"/>
          <w:lang w:eastAsia="zh-CN"/>
        </w:rPr>
        <w:t>3</w:t>
      </w:r>
      <w:r>
        <w:rPr>
          <w:rFonts w:hint="eastAsia"/>
          <w:sz w:val="18"/>
          <w:szCs w:val="18"/>
          <w:lang w:eastAsia="zh-CN"/>
        </w:rPr>
        <w:t>计，雅斯</w:t>
      </w:r>
      <w:r>
        <w:rPr>
          <w:sz w:val="18"/>
          <w:szCs w:val="18"/>
          <w:lang w:eastAsia="zh-CN"/>
        </w:rPr>
        <w:t>联合站罐区有</w:t>
      </w:r>
      <w:r>
        <w:rPr>
          <w:rFonts w:hint="eastAsia"/>
          <w:sz w:val="18"/>
          <w:szCs w:val="18"/>
          <w:lang w:eastAsia="zh-CN"/>
        </w:rPr>
        <w:t>5</w:t>
      </w:r>
      <w:r>
        <w:rPr>
          <w:sz w:val="18"/>
          <w:szCs w:val="18"/>
          <w:lang w:eastAsia="zh-CN"/>
        </w:rPr>
        <w:t>00m</w:t>
      </w:r>
      <w:r>
        <w:rPr>
          <w:sz w:val="18"/>
          <w:szCs w:val="18"/>
          <w:vertAlign w:val="superscript"/>
          <w:lang w:eastAsia="zh-CN"/>
        </w:rPr>
        <w:t>3</w:t>
      </w:r>
      <w:r>
        <w:rPr>
          <w:sz w:val="18"/>
          <w:szCs w:val="18"/>
          <w:lang w:eastAsia="zh-CN"/>
        </w:rPr>
        <w:t>油罐3座，原油储罐充装系数按0.9，原油密度0.8649g/cm</w:t>
      </w:r>
      <w:r>
        <w:rPr>
          <w:sz w:val="18"/>
          <w:szCs w:val="18"/>
          <w:vertAlign w:val="superscript"/>
          <w:lang w:eastAsia="zh-CN"/>
        </w:rPr>
        <w:t>3</w:t>
      </w:r>
      <w:r>
        <w:rPr>
          <w:sz w:val="18"/>
          <w:szCs w:val="18"/>
          <w:lang w:eastAsia="zh-CN"/>
        </w:rPr>
        <w:t>，汽油含量占原油8%计算。</w:t>
      </w:r>
    </w:p>
    <w:p w14:paraId="6C35FE0C">
      <w:pPr>
        <w:ind w:firstLine="480"/>
        <w:rPr>
          <w:rFonts w:asciiTheme="minorEastAsia" w:hAnsiTheme="minorEastAsia" w:eastAsiaTheme="minorEastAsia"/>
          <w:lang w:eastAsia="zh-CN"/>
        </w:rPr>
      </w:pPr>
      <w:r>
        <w:rPr>
          <w:rFonts w:asciiTheme="minorEastAsia" w:hAnsiTheme="minorEastAsia" w:eastAsiaTheme="minorEastAsia"/>
          <w:lang w:eastAsia="zh-CN"/>
        </w:rPr>
        <w:t>本项目不涉及特殊保护区、生态敏感与脆弱区及社会关注区，属于一般区域。</w:t>
      </w:r>
      <w:bookmarkStart w:id="103" w:name="_Toc287598100"/>
      <w:bookmarkStart w:id="104" w:name="_Toc279676563"/>
      <w:bookmarkStart w:id="105" w:name="_Toc202420674"/>
      <w:r>
        <w:rPr>
          <w:rFonts w:asciiTheme="minorEastAsia" w:hAnsiTheme="minorEastAsia" w:eastAsiaTheme="minorEastAsia"/>
          <w:lang w:eastAsia="zh-CN"/>
        </w:rPr>
        <w:t>根据《建设项目环境风险评价技术导则》(HJ/T 169-2004)确定本项目环境风险评价工作等级为一级。</w:t>
      </w:r>
    </w:p>
    <w:p w14:paraId="6BB1A6ED">
      <w:pPr>
        <w:pStyle w:val="3"/>
        <w:rPr>
          <w:lang w:eastAsia="zh-CN"/>
        </w:rPr>
      </w:pPr>
      <w:bookmarkStart w:id="106" w:name="_Toc408413899"/>
      <w:r>
        <w:rPr>
          <w:lang w:eastAsia="zh-CN"/>
        </w:rPr>
        <w:t>1.</w:t>
      </w:r>
      <w:r>
        <w:rPr>
          <w:rFonts w:hint="eastAsia"/>
          <w:lang w:eastAsia="zh-CN"/>
        </w:rPr>
        <w:t>7</w:t>
      </w:r>
      <w:r>
        <w:rPr>
          <w:lang w:eastAsia="zh-CN"/>
        </w:rPr>
        <w:t>评价范围</w:t>
      </w:r>
      <w:bookmarkEnd w:id="106"/>
    </w:p>
    <w:p w14:paraId="7EA05A21">
      <w:pPr>
        <w:ind w:firstLine="480"/>
        <w:rPr>
          <w:rFonts w:asciiTheme="minorEastAsia" w:hAnsiTheme="minorEastAsia" w:eastAsiaTheme="minorEastAsia"/>
          <w:lang w:eastAsia="zh-CN"/>
        </w:rPr>
      </w:pPr>
      <w:r>
        <w:rPr>
          <w:rFonts w:asciiTheme="minorEastAsia" w:hAnsiTheme="minorEastAsia" w:eastAsiaTheme="minorEastAsia"/>
          <w:lang w:eastAsia="zh-CN"/>
        </w:rPr>
        <w:t>本项目评价范围见表1.</w:t>
      </w:r>
      <w:r>
        <w:rPr>
          <w:rFonts w:hint="eastAsia" w:asciiTheme="minorEastAsia" w:hAnsiTheme="minorEastAsia" w:eastAsiaTheme="minorEastAsia"/>
          <w:lang w:eastAsia="zh-CN"/>
        </w:rPr>
        <w:t>7</w:t>
      </w:r>
      <w:r>
        <w:rPr>
          <w:rFonts w:asciiTheme="minorEastAsia" w:hAnsiTheme="minorEastAsia" w:eastAsiaTheme="minorEastAsia"/>
          <w:lang w:eastAsia="zh-CN"/>
        </w:rPr>
        <w:t>-1。</w:t>
      </w:r>
    </w:p>
    <w:p w14:paraId="47827369">
      <w:pPr>
        <w:spacing w:line="240" w:lineRule="auto"/>
        <w:ind w:firstLine="361" w:firstLineChars="150"/>
        <w:rPr>
          <w:b/>
          <w:lang w:eastAsia="zh-CN"/>
        </w:rPr>
      </w:pPr>
      <w:r>
        <w:rPr>
          <w:b/>
          <w:lang w:eastAsia="zh-CN"/>
        </w:rPr>
        <w:t>表1.</w:t>
      </w:r>
      <w:r>
        <w:rPr>
          <w:rFonts w:hint="eastAsia"/>
          <w:b/>
          <w:lang w:eastAsia="zh-CN"/>
        </w:rPr>
        <w:t>7</w:t>
      </w:r>
      <w:r>
        <w:rPr>
          <w:b/>
          <w:lang w:eastAsia="zh-CN"/>
        </w:rPr>
        <w:t xml:space="preserve">-1  </w:t>
      </w:r>
      <w:r>
        <w:rPr>
          <w:rFonts w:hint="eastAsia"/>
          <w:b/>
          <w:lang w:eastAsia="zh-CN"/>
        </w:rPr>
        <w:t xml:space="preserve">  项目</w:t>
      </w:r>
      <w:r>
        <w:rPr>
          <w:b/>
          <w:lang w:eastAsia="zh-CN"/>
        </w:rPr>
        <w:t>评价等级及评价范围一览表</w:t>
      </w:r>
    </w:p>
    <w:tbl>
      <w:tblPr>
        <w:tblStyle w:val="7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01"/>
        <w:gridCol w:w="1134"/>
        <w:gridCol w:w="6294"/>
      </w:tblGrid>
      <w:tr w14:paraId="193F82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01" w:type="dxa"/>
            <w:vAlign w:val="center"/>
          </w:tcPr>
          <w:p w14:paraId="1362B64E">
            <w:pPr>
              <w:pStyle w:val="337"/>
              <w:adjustRightInd w:val="0"/>
              <w:snapToGrid w:val="0"/>
              <w:rPr>
                <w:color w:val="auto"/>
                <w:lang w:val="en-US" w:eastAsia="en-US" w:bidi="en-US"/>
              </w:rPr>
            </w:pPr>
            <w:r>
              <w:rPr>
                <w:color w:val="auto"/>
                <w:lang w:val="en-US" w:eastAsia="en-US" w:bidi="en-US"/>
              </w:rPr>
              <w:t>评价内容</w:t>
            </w:r>
          </w:p>
        </w:tc>
        <w:tc>
          <w:tcPr>
            <w:tcW w:w="1134" w:type="dxa"/>
            <w:vAlign w:val="center"/>
          </w:tcPr>
          <w:p w14:paraId="3DCD28CA">
            <w:pPr>
              <w:pStyle w:val="337"/>
              <w:adjustRightInd w:val="0"/>
              <w:snapToGrid w:val="0"/>
              <w:rPr>
                <w:color w:val="auto"/>
                <w:lang w:val="en-US" w:eastAsia="en-US" w:bidi="en-US"/>
              </w:rPr>
            </w:pPr>
            <w:r>
              <w:rPr>
                <w:color w:val="auto"/>
                <w:lang w:val="en-US" w:eastAsia="en-US" w:bidi="en-US"/>
              </w:rPr>
              <w:t>评价等级</w:t>
            </w:r>
          </w:p>
        </w:tc>
        <w:tc>
          <w:tcPr>
            <w:tcW w:w="6294" w:type="dxa"/>
            <w:vAlign w:val="center"/>
          </w:tcPr>
          <w:p w14:paraId="342B449A">
            <w:pPr>
              <w:pStyle w:val="337"/>
              <w:adjustRightInd w:val="0"/>
              <w:snapToGrid w:val="0"/>
              <w:rPr>
                <w:color w:val="auto"/>
                <w:lang w:val="en-US" w:eastAsia="en-US" w:bidi="en-US"/>
              </w:rPr>
            </w:pPr>
            <w:r>
              <w:rPr>
                <w:color w:val="auto"/>
                <w:lang w:val="en-US" w:eastAsia="en-US" w:bidi="en-US"/>
              </w:rPr>
              <w:t>范围</w:t>
            </w:r>
          </w:p>
        </w:tc>
      </w:tr>
      <w:tr w14:paraId="64343E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01" w:type="dxa"/>
            <w:vAlign w:val="center"/>
          </w:tcPr>
          <w:p w14:paraId="05D7C9B3">
            <w:pPr>
              <w:pStyle w:val="337"/>
              <w:adjustRightInd w:val="0"/>
              <w:snapToGrid w:val="0"/>
              <w:rPr>
                <w:color w:val="auto"/>
                <w:lang w:val="en-US" w:eastAsia="en-US" w:bidi="en-US"/>
              </w:rPr>
            </w:pPr>
            <w:r>
              <w:rPr>
                <w:color w:val="auto"/>
                <w:lang w:val="en-US" w:eastAsia="en-US" w:bidi="en-US"/>
              </w:rPr>
              <w:t>大气环境</w:t>
            </w:r>
          </w:p>
        </w:tc>
        <w:tc>
          <w:tcPr>
            <w:tcW w:w="1134" w:type="dxa"/>
            <w:vAlign w:val="center"/>
          </w:tcPr>
          <w:p w14:paraId="52C4C8B6">
            <w:pPr>
              <w:pStyle w:val="337"/>
              <w:adjustRightInd w:val="0"/>
              <w:snapToGrid w:val="0"/>
              <w:rPr>
                <w:color w:val="auto"/>
                <w:lang w:val="en-US" w:eastAsia="en-US" w:bidi="en-US"/>
              </w:rPr>
            </w:pPr>
            <w:r>
              <w:rPr>
                <w:color w:val="auto"/>
                <w:lang w:val="en-US" w:eastAsia="en-US" w:bidi="en-US"/>
              </w:rPr>
              <w:t>三级</w:t>
            </w:r>
          </w:p>
        </w:tc>
        <w:tc>
          <w:tcPr>
            <w:tcW w:w="6294" w:type="dxa"/>
            <w:vAlign w:val="center"/>
          </w:tcPr>
          <w:p w14:paraId="61161EF3">
            <w:pPr>
              <w:pStyle w:val="337"/>
              <w:adjustRightInd w:val="0"/>
              <w:snapToGrid w:val="0"/>
              <w:rPr>
                <w:color w:val="auto"/>
                <w:szCs w:val="21"/>
                <w:lang w:val="en-US" w:eastAsia="zh-CN" w:bidi="en-US"/>
              </w:rPr>
            </w:pPr>
            <w:r>
              <w:rPr>
                <w:color w:val="auto"/>
                <w:szCs w:val="21"/>
                <w:lang w:val="en-US" w:eastAsia="zh-CN" w:bidi="en-US"/>
              </w:rPr>
              <w:t>以</w:t>
            </w:r>
            <w:r>
              <w:rPr>
                <w:rFonts w:hint="eastAsia"/>
                <w:color w:val="auto"/>
                <w:szCs w:val="21"/>
                <w:lang w:val="en-US" w:eastAsia="zh-CN" w:bidi="en-US"/>
              </w:rPr>
              <w:t>雅斯联合站燃气机组</w:t>
            </w:r>
            <w:r>
              <w:rPr>
                <w:rFonts w:hint="eastAsia"/>
                <w:color w:val="auto"/>
                <w:szCs w:val="21"/>
                <w:lang w:val="en-US" w:eastAsia="zh-CN"/>
              </w:rPr>
              <w:t>的</w:t>
            </w:r>
            <w:r>
              <w:rPr>
                <w:color w:val="auto"/>
                <w:szCs w:val="21"/>
                <w:lang w:val="en-US" w:eastAsia="zh-CN" w:bidi="en-US"/>
              </w:rPr>
              <w:t>烟囱为中心，半径为2.5km的圆形区域。</w:t>
            </w:r>
          </w:p>
        </w:tc>
      </w:tr>
      <w:tr w14:paraId="17DF00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01" w:type="dxa"/>
            <w:vMerge w:val="restart"/>
            <w:vAlign w:val="center"/>
          </w:tcPr>
          <w:p w14:paraId="4B349C7B">
            <w:pPr>
              <w:pStyle w:val="337"/>
              <w:adjustRightInd w:val="0"/>
              <w:snapToGrid w:val="0"/>
              <w:rPr>
                <w:color w:val="auto"/>
                <w:lang w:val="en-US" w:eastAsia="zh-CN" w:bidi="en-US"/>
              </w:rPr>
            </w:pPr>
            <w:r>
              <w:rPr>
                <w:color w:val="auto"/>
                <w:lang w:val="en-US" w:eastAsia="en-US" w:bidi="en-US"/>
              </w:rPr>
              <w:t>地下水</w:t>
            </w:r>
          </w:p>
          <w:p w14:paraId="62674540">
            <w:pPr>
              <w:pStyle w:val="337"/>
              <w:adjustRightInd w:val="0"/>
              <w:snapToGrid w:val="0"/>
              <w:rPr>
                <w:color w:val="auto"/>
                <w:lang w:val="en-US" w:eastAsia="en-US" w:bidi="en-US"/>
              </w:rPr>
            </w:pPr>
            <w:r>
              <w:rPr>
                <w:color w:val="auto"/>
                <w:lang w:val="en-US" w:eastAsia="en-US" w:bidi="en-US"/>
              </w:rPr>
              <w:t>环境</w:t>
            </w:r>
          </w:p>
        </w:tc>
        <w:tc>
          <w:tcPr>
            <w:tcW w:w="1134" w:type="dxa"/>
            <w:vAlign w:val="center"/>
          </w:tcPr>
          <w:p w14:paraId="72529CCB">
            <w:pPr>
              <w:pStyle w:val="337"/>
              <w:adjustRightInd w:val="0"/>
              <w:snapToGrid w:val="0"/>
              <w:rPr>
                <w:color w:val="auto"/>
                <w:lang w:val="en-US" w:eastAsia="en-US" w:bidi="en-US"/>
              </w:rPr>
            </w:pPr>
            <w:r>
              <w:rPr>
                <w:color w:val="auto"/>
                <w:lang w:val="en-US" w:eastAsia="zh-CN" w:bidi="en-US"/>
              </w:rPr>
              <w:fldChar w:fldCharType="begin"/>
            </w:r>
            <w:r>
              <w:rPr>
                <w:color w:val="auto"/>
                <w:lang w:val="en-US" w:eastAsia="zh-CN" w:bidi="en-US"/>
              </w:rPr>
              <w:instrText xml:space="preserve"> = 1 \* ROMAN </w:instrText>
            </w:r>
            <w:r>
              <w:rPr>
                <w:color w:val="auto"/>
                <w:lang w:val="en-US" w:eastAsia="zh-CN" w:bidi="en-US"/>
              </w:rPr>
              <w:fldChar w:fldCharType="separate"/>
            </w:r>
            <w:r>
              <w:rPr>
                <w:color w:val="auto"/>
                <w:lang w:val="en-US" w:eastAsia="zh-CN" w:bidi="en-US"/>
              </w:rPr>
              <w:t>I</w:t>
            </w:r>
            <w:r>
              <w:rPr>
                <w:color w:val="auto"/>
                <w:lang w:val="en-US" w:eastAsia="zh-CN" w:bidi="en-US"/>
              </w:rPr>
              <w:fldChar w:fldCharType="end"/>
            </w:r>
            <w:r>
              <w:rPr>
                <w:color w:val="auto"/>
                <w:lang w:val="en-US" w:eastAsia="zh-CN" w:bidi="en-US"/>
              </w:rPr>
              <w:t>类三</w:t>
            </w:r>
            <w:r>
              <w:rPr>
                <w:color w:val="auto"/>
                <w:lang w:val="en-US" w:eastAsia="en-US" w:bidi="en-US"/>
              </w:rPr>
              <w:t>级</w:t>
            </w:r>
          </w:p>
        </w:tc>
        <w:tc>
          <w:tcPr>
            <w:tcW w:w="6294" w:type="dxa"/>
            <w:vAlign w:val="center"/>
          </w:tcPr>
          <w:p w14:paraId="5D3FCE33">
            <w:pPr>
              <w:pStyle w:val="337"/>
              <w:adjustRightInd w:val="0"/>
              <w:snapToGrid w:val="0"/>
              <w:rPr>
                <w:color w:val="auto"/>
                <w:lang w:val="en-US" w:eastAsia="zh-CN" w:bidi="en-US"/>
              </w:rPr>
            </w:pPr>
            <w:r>
              <w:rPr>
                <w:rFonts w:hint="eastAsia"/>
                <w:color w:val="auto"/>
                <w:szCs w:val="21"/>
                <w:lang w:val="en-US" w:eastAsia="zh-CN" w:bidi="en-US"/>
              </w:rPr>
              <w:t>雅斯联合站</w:t>
            </w:r>
            <w:r>
              <w:rPr>
                <w:rFonts w:hint="eastAsia"/>
                <w:color w:val="auto"/>
                <w:szCs w:val="21"/>
                <w:lang w:val="en-US" w:eastAsia="zh-CN"/>
              </w:rPr>
              <w:t>站场</w:t>
            </w:r>
            <w:r>
              <w:rPr>
                <w:rFonts w:hint="eastAsia"/>
                <w:color w:val="auto"/>
                <w:lang w:val="en-US" w:eastAsia="zh-CN" w:bidi="en-US"/>
              </w:rPr>
              <w:t>外扩500m范围</w:t>
            </w:r>
          </w:p>
        </w:tc>
      </w:tr>
      <w:tr w14:paraId="153EDA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01" w:type="dxa"/>
            <w:vMerge w:val="continue"/>
            <w:vAlign w:val="center"/>
          </w:tcPr>
          <w:p w14:paraId="6E71DB7A">
            <w:pPr>
              <w:pStyle w:val="337"/>
              <w:adjustRightInd w:val="0"/>
              <w:snapToGrid w:val="0"/>
              <w:rPr>
                <w:color w:val="auto"/>
                <w:lang w:val="en-US" w:eastAsia="zh-CN" w:bidi="en-US"/>
              </w:rPr>
            </w:pPr>
          </w:p>
        </w:tc>
        <w:tc>
          <w:tcPr>
            <w:tcW w:w="1134" w:type="dxa"/>
            <w:vAlign w:val="center"/>
          </w:tcPr>
          <w:p w14:paraId="28FEAFD6">
            <w:pPr>
              <w:pStyle w:val="337"/>
              <w:adjustRightInd w:val="0"/>
              <w:snapToGrid w:val="0"/>
              <w:rPr>
                <w:color w:val="auto"/>
                <w:lang w:val="en-US" w:eastAsia="zh-CN" w:bidi="en-US"/>
              </w:rPr>
            </w:pPr>
            <w:r>
              <w:rPr>
                <w:color w:val="auto"/>
                <w:lang w:val="en-US" w:eastAsia="zh-CN" w:bidi="en-US"/>
              </w:rPr>
              <w:fldChar w:fldCharType="begin"/>
            </w:r>
            <w:r>
              <w:rPr>
                <w:color w:val="auto"/>
                <w:lang w:val="en-US" w:eastAsia="zh-CN" w:bidi="en-US"/>
              </w:rPr>
              <w:instrText xml:space="preserve"> = 2 \* ROMAN </w:instrText>
            </w:r>
            <w:r>
              <w:rPr>
                <w:color w:val="auto"/>
                <w:lang w:val="en-US" w:eastAsia="zh-CN" w:bidi="en-US"/>
              </w:rPr>
              <w:fldChar w:fldCharType="separate"/>
            </w:r>
            <w:r>
              <w:rPr>
                <w:color w:val="auto"/>
                <w:lang w:val="en-US" w:eastAsia="zh-CN" w:bidi="en-US"/>
              </w:rPr>
              <w:t>II</w:t>
            </w:r>
            <w:r>
              <w:rPr>
                <w:color w:val="auto"/>
                <w:lang w:val="en-US" w:eastAsia="zh-CN" w:bidi="en-US"/>
              </w:rPr>
              <w:fldChar w:fldCharType="end"/>
            </w:r>
            <w:r>
              <w:rPr>
                <w:color w:val="auto"/>
                <w:lang w:val="en-US" w:eastAsia="zh-CN" w:bidi="en-US"/>
              </w:rPr>
              <w:t>类三</w:t>
            </w:r>
            <w:r>
              <w:rPr>
                <w:color w:val="auto"/>
                <w:lang w:val="en-US" w:eastAsia="en-US" w:bidi="en-US"/>
              </w:rPr>
              <w:t>级</w:t>
            </w:r>
          </w:p>
        </w:tc>
        <w:tc>
          <w:tcPr>
            <w:tcW w:w="6294" w:type="dxa"/>
            <w:vAlign w:val="center"/>
          </w:tcPr>
          <w:p w14:paraId="290FA147">
            <w:pPr>
              <w:pStyle w:val="337"/>
              <w:adjustRightInd w:val="0"/>
              <w:snapToGrid w:val="0"/>
              <w:rPr>
                <w:color w:val="auto"/>
                <w:lang w:val="en-US" w:eastAsia="zh-CN" w:bidi="en-US"/>
              </w:rPr>
            </w:pPr>
            <w:r>
              <w:rPr>
                <w:color w:val="auto"/>
                <w:lang w:val="en-US" w:eastAsia="zh-CN" w:bidi="en-US"/>
              </w:rPr>
              <w:t>以油田</w:t>
            </w:r>
            <w:r>
              <w:rPr>
                <w:rFonts w:hint="eastAsia"/>
                <w:color w:val="auto"/>
                <w:lang w:val="en-US" w:eastAsia="zh-CN" w:bidi="en-US"/>
              </w:rPr>
              <w:t>范围及周边水井</w:t>
            </w:r>
          </w:p>
        </w:tc>
      </w:tr>
      <w:tr w14:paraId="13A900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01" w:type="dxa"/>
            <w:vAlign w:val="center"/>
          </w:tcPr>
          <w:p w14:paraId="0FF4F336">
            <w:pPr>
              <w:pStyle w:val="337"/>
              <w:adjustRightInd w:val="0"/>
              <w:snapToGrid w:val="0"/>
              <w:rPr>
                <w:color w:val="auto"/>
                <w:lang w:val="en-US" w:eastAsia="en-US" w:bidi="en-US"/>
              </w:rPr>
            </w:pPr>
            <w:r>
              <w:rPr>
                <w:color w:val="auto"/>
                <w:lang w:val="en-US" w:eastAsia="en-US" w:bidi="en-US"/>
              </w:rPr>
              <w:t>声环境</w:t>
            </w:r>
          </w:p>
        </w:tc>
        <w:tc>
          <w:tcPr>
            <w:tcW w:w="1134" w:type="dxa"/>
            <w:vAlign w:val="center"/>
          </w:tcPr>
          <w:p w14:paraId="785B05EF">
            <w:pPr>
              <w:pStyle w:val="337"/>
              <w:adjustRightInd w:val="0"/>
              <w:snapToGrid w:val="0"/>
              <w:rPr>
                <w:color w:val="auto"/>
                <w:lang w:val="en-US" w:eastAsia="en-US" w:bidi="en-US"/>
              </w:rPr>
            </w:pPr>
            <w:r>
              <w:rPr>
                <w:rFonts w:hint="eastAsia"/>
                <w:color w:val="auto"/>
                <w:lang w:val="en-US" w:eastAsia="zh-CN" w:bidi="en-US"/>
              </w:rPr>
              <w:t>三</w:t>
            </w:r>
            <w:r>
              <w:rPr>
                <w:color w:val="auto"/>
                <w:lang w:val="en-US" w:eastAsia="en-US" w:bidi="en-US"/>
              </w:rPr>
              <w:t>级</w:t>
            </w:r>
          </w:p>
        </w:tc>
        <w:tc>
          <w:tcPr>
            <w:tcW w:w="6294" w:type="dxa"/>
            <w:vAlign w:val="center"/>
          </w:tcPr>
          <w:p w14:paraId="2181111B">
            <w:pPr>
              <w:pStyle w:val="337"/>
              <w:adjustRightInd w:val="0"/>
              <w:snapToGrid w:val="0"/>
              <w:rPr>
                <w:color w:val="auto"/>
                <w:lang w:val="en-US" w:eastAsia="zh-CN" w:bidi="en-US"/>
              </w:rPr>
            </w:pPr>
            <w:r>
              <w:rPr>
                <w:rFonts w:hint="eastAsia"/>
                <w:color w:val="auto"/>
                <w:szCs w:val="21"/>
                <w:lang w:val="en-US" w:eastAsia="zh-CN" w:bidi="en-US"/>
              </w:rPr>
              <w:t>雅斯联合站</w:t>
            </w:r>
            <w:r>
              <w:rPr>
                <w:rFonts w:hint="eastAsia"/>
                <w:color w:val="auto"/>
                <w:szCs w:val="21"/>
                <w:lang w:val="en-US" w:eastAsia="zh-CN"/>
              </w:rPr>
              <w:t>站场</w:t>
            </w:r>
            <w:r>
              <w:rPr>
                <w:rFonts w:hint="eastAsia"/>
                <w:color w:val="auto"/>
                <w:lang w:val="en-US" w:eastAsia="zh-CN" w:bidi="en-US"/>
              </w:rPr>
              <w:t>外</w:t>
            </w:r>
            <w:r>
              <w:rPr>
                <w:color w:val="auto"/>
                <w:lang w:val="en-US" w:eastAsia="zh-CN" w:bidi="en-US"/>
              </w:rPr>
              <w:t>周围200m。</w:t>
            </w:r>
          </w:p>
        </w:tc>
      </w:tr>
      <w:tr w14:paraId="2C8525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01" w:type="dxa"/>
            <w:vAlign w:val="center"/>
          </w:tcPr>
          <w:p w14:paraId="5BBF9530">
            <w:pPr>
              <w:pStyle w:val="337"/>
              <w:adjustRightInd w:val="0"/>
              <w:snapToGrid w:val="0"/>
              <w:rPr>
                <w:color w:val="auto"/>
                <w:lang w:val="en-US" w:eastAsia="en-US" w:bidi="en-US"/>
              </w:rPr>
            </w:pPr>
            <w:r>
              <w:rPr>
                <w:color w:val="auto"/>
                <w:lang w:val="en-US" w:eastAsia="en-US" w:bidi="en-US"/>
              </w:rPr>
              <w:t>生态环境</w:t>
            </w:r>
          </w:p>
        </w:tc>
        <w:tc>
          <w:tcPr>
            <w:tcW w:w="1134" w:type="dxa"/>
            <w:vAlign w:val="center"/>
          </w:tcPr>
          <w:p w14:paraId="14E6CE2E">
            <w:pPr>
              <w:pStyle w:val="337"/>
              <w:adjustRightInd w:val="0"/>
              <w:snapToGrid w:val="0"/>
              <w:rPr>
                <w:color w:val="auto"/>
                <w:lang w:val="en-US" w:eastAsia="en-US" w:bidi="en-US"/>
              </w:rPr>
            </w:pPr>
            <w:r>
              <w:rPr>
                <w:rFonts w:hint="eastAsia"/>
                <w:color w:val="auto"/>
                <w:lang w:val="en-US" w:eastAsia="zh-CN" w:bidi="en-US"/>
              </w:rPr>
              <w:t>三</w:t>
            </w:r>
            <w:r>
              <w:rPr>
                <w:color w:val="auto"/>
                <w:lang w:val="en-US" w:eastAsia="en-US" w:bidi="en-US"/>
              </w:rPr>
              <w:t>级</w:t>
            </w:r>
          </w:p>
        </w:tc>
        <w:tc>
          <w:tcPr>
            <w:tcW w:w="6294" w:type="dxa"/>
            <w:vAlign w:val="center"/>
          </w:tcPr>
          <w:p w14:paraId="3BFB7F87">
            <w:pPr>
              <w:pStyle w:val="337"/>
              <w:adjustRightInd w:val="0"/>
              <w:snapToGrid w:val="0"/>
              <w:rPr>
                <w:color w:val="auto"/>
                <w:lang w:val="en-US" w:eastAsia="zh-CN" w:bidi="en-US"/>
              </w:rPr>
            </w:pPr>
            <w:r>
              <w:rPr>
                <w:color w:val="auto"/>
                <w:lang w:val="en-US" w:eastAsia="zh-CN" w:bidi="en-US"/>
              </w:rPr>
              <w:t>整个油田开发区域外扩1km。</w:t>
            </w:r>
          </w:p>
        </w:tc>
      </w:tr>
      <w:tr w14:paraId="193CD2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01" w:type="dxa"/>
            <w:vAlign w:val="center"/>
          </w:tcPr>
          <w:p w14:paraId="4FF06F38">
            <w:pPr>
              <w:pStyle w:val="337"/>
              <w:adjustRightInd w:val="0"/>
              <w:snapToGrid w:val="0"/>
              <w:rPr>
                <w:color w:val="auto"/>
                <w:lang w:val="en-US" w:eastAsia="en-US" w:bidi="en-US"/>
              </w:rPr>
            </w:pPr>
            <w:r>
              <w:rPr>
                <w:color w:val="auto"/>
                <w:lang w:val="en-US" w:eastAsia="en-US" w:bidi="en-US"/>
              </w:rPr>
              <w:t>环境风险</w:t>
            </w:r>
          </w:p>
        </w:tc>
        <w:tc>
          <w:tcPr>
            <w:tcW w:w="1134" w:type="dxa"/>
            <w:vAlign w:val="center"/>
          </w:tcPr>
          <w:p w14:paraId="611A2456">
            <w:pPr>
              <w:pStyle w:val="337"/>
              <w:adjustRightInd w:val="0"/>
              <w:snapToGrid w:val="0"/>
              <w:rPr>
                <w:color w:val="auto"/>
                <w:lang w:val="en-US" w:eastAsia="en-US" w:bidi="en-US"/>
              </w:rPr>
            </w:pPr>
            <w:r>
              <w:rPr>
                <w:color w:val="auto"/>
                <w:lang w:val="en-US" w:eastAsia="en-US" w:bidi="en-US"/>
              </w:rPr>
              <w:t>一级</w:t>
            </w:r>
          </w:p>
        </w:tc>
        <w:tc>
          <w:tcPr>
            <w:tcW w:w="6294" w:type="dxa"/>
            <w:vAlign w:val="center"/>
          </w:tcPr>
          <w:p w14:paraId="1464E77E">
            <w:pPr>
              <w:pStyle w:val="337"/>
              <w:adjustRightInd w:val="0"/>
              <w:snapToGrid w:val="0"/>
              <w:rPr>
                <w:color w:val="auto"/>
                <w:lang w:val="en-US" w:eastAsia="zh-CN" w:bidi="en-US"/>
              </w:rPr>
            </w:pPr>
            <w:r>
              <w:rPr>
                <w:color w:val="auto"/>
                <w:lang w:val="en-US" w:eastAsia="zh-CN" w:bidi="en-US"/>
              </w:rPr>
              <w:t>以储油罐装置区为中心，半径为5km的范围。</w:t>
            </w:r>
          </w:p>
        </w:tc>
      </w:tr>
      <w:bookmarkEnd w:id="103"/>
      <w:bookmarkEnd w:id="104"/>
      <w:bookmarkEnd w:id="105"/>
    </w:tbl>
    <w:p w14:paraId="45DC6EBE">
      <w:pPr>
        <w:pStyle w:val="3"/>
        <w:rPr>
          <w:lang w:eastAsia="zh-CN"/>
        </w:rPr>
      </w:pPr>
      <w:bookmarkStart w:id="107" w:name="_Toc408413900"/>
      <w:r>
        <w:rPr>
          <w:lang w:eastAsia="zh-CN"/>
        </w:rPr>
        <w:t>1.</w:t>
      </w:r>
      <w:r>
        <w:rPr>
          <w:rFonts w:hint="eastAsia"/>
          <w:lang w:eastAsia="zh-CN"/>
        </w:rPr>
        <w:t>8</w:t>
      </w:r>
      <w:r>
        <w:rPr>
          <w:lang w:eastAsia="zh-CN"/>
        </w:rPr>
        <w:t>评价时段</w:t>
      </w:r>
      <w:bookmarkEnd w:id="90"/>
      <w:bookmarkEnd w:id="91"/>
      <w:bookmarkEnd w:id="92"/>
      <w:bookmarkEnd w:id="107"/>
    </w:p>
    <w:p w14:paraId="10A7CF5B">
      <w:pPr>
        <w:ind w:firstLine="480"/>
        <w:rPr>
          <w:rFonts w:asciiTheme="minorEastAsia" w:hAnsiTheme="minorEastAsia" w:eastAsiaTheme="minorEastAsia"/>
          <w:lang w:eastAsia="zh-CN"/>
        </w:rPr>
      </w:pPr>
      <w:r>
        <w:rPr>
          <w:rFonts w:asciiTheme="minorEastAsia" w:hAnsiTheme="minorEastAsia" w:eastAsiaTheme="minorEastAsia"/>
          <w:lang w:eastAsia="zh-CN"/>
        </w:rPr>
        <w:t>本项目环境影响评价时段为：施工期</w:t>
      </w:r>
      <w:r>
        <w:rPr>
          <w:rFonts w:hint="eastAsia" w:asciiTheme="minorEastAsia" w:hAnsiTheme="minorEastAsia" w:eastAsiaTheme="minorEastAsia"/>
          <w:lang w:eastAsia="zh-CN"/>
        </w:rPr>
        <w:t>、</w:t>
      </w:r>
      <w:r>
        <w:rPr>
          <w:rFonts w:asciiTheme="minorEastAsia" w:hAnsiTheme="minorEastAsia" w:eastAsiaTheme="minorEastAsia"/>
          <w:lang w:eastAsia="zh-CN"/>
        </w:rPr>
        <w:t>运行期</w:t>
      </w:r>
      <w:r>
        <w:rPr>
          <w:rFonts w:hint="eastAsia" w:asciiTheme="minorEastAsia" w:hAnsiTheme="minorEastAsia" w:eastAsiaTheme="minorEastAsia"/>
          <w:lang w:eastAsia="zh-CN"/>
        </w:rPr>
        <w:t>和闭井期</w:t>
      </w:r>
      <w:r>
        <w:rPr>
          <w:rFonts w:asciiTheme="minorEastAsia" w:hAnsiTheme="minorEastAsia" w:eastAsiaTheme="minorEastAsia"/>
          <w:lang w:eastAsia="zh-CN"/>
        </w:rPr>
        <w:t>。</w:t>
      </w:r>
    </w:p>
    <w:p w14:paraId="1C97C1CB">
      <w:pPr>
        <w:pStyle w:val="3"/>
        <w:rPr>
          <w:lang w:eastAsia="zh-CN"/>
        </w:rPr>
      </w:pPr>
      <w:bookmarkStart w:id="108" w:name="_Toc202420680"/>
      <w:bookmarkStart w:id="109" w:name="_Toc279676570"/>
      <w:bookmarkStart w:id="110" w:name="_Toc408413901"/>
      <w:bookmarkStart w:id="111" w:name="_Toc287598107"/>
      <w:r>
        <w:rPr>
          <w:lang w:eastAsia="zh-CN"/>
        </w:rPr>
        <w:t>1.</w:t>
      </w:r>
      <w:r>
        <w:rPr>
          <w:rFonts w:hint="eastAsia"/>
          <w:lang w:eastAsia="zh-CN"/>
        </w:rPr>
        <w:t>9</w:t>
      </w:r>
      <w:r>
        <w:rPr>
          <w:lang w:eastAsia="zh-CN"/>
        </w:rPr>
        <w:t>环境保护目标</w:t>
      </w:r>
      <w:bookmarkEnd w:id="108"/>
      <w:bookmarkEnd w:id="109"/>
      <w:bookmarkEnd w:id="110"/>
      <w:bookmarkEnd w:id="111"/>
    </w:p>
    <w:p w14:paraId="0C194EB1">
      <w:pPr>
        <w:ind w:firstLine="480"/>
        <w:rPr>
          <w:rFonts w:asciiTheme="minorEastAsia" w:hAnsiTheme="minorEastAsia" w:eastAsiaTheme="minorEastAsia"/>
          <w:lang w:eastAsia="zh-CN"/>
        </w:rPr>
      </w:pPr>
      <w:r>
        <w:rPr>
          <w:rFonts w:asciiTheme="minorEastAsia" w:hAnsiTheme="minorEastAsia" w:eastAsiaTheme="minorEastAsia"/>
          <w:lang w:eastAsia="zh-CN"/>
        </w:rPr>
        <w:t>本项目建设不涉及自然保护区、饮用水水源地、风景旅游区、文物保护区等特殊环境敏感区。</w:t>
      </w:r>
      <w:r>
        <w:rPr>
          <w:rFonts w:hint="eastAsia" w:asciiTheme="minorEastAsia" w:hAnsiTheme="minorEastAsia" w:eastAsiaTheme="minorEastAsia"/>
          <w:lang w:eastAsia="zh-CN"/>
        </w:rPr>
        <w:t>乌里雅斯太</w:t>
      </w:r>
      <w:r>
        <w:rPr>
          <w:rFonts w:asciiTheme="minorEastAsia" w:hAnsiTheme="minorEastAsia" w:eastAsiaTheme="minorEastAsia"/>
          <w:lang w:eastAsia="zh-CN"/>
        </w:rPr>
        <w:t>油田开发</w:t>
      </w:r>
      <w:r>
        <w:rPr>
          <w:rFonts w:hint="eastAsia" w:asciiTheme="minorEastAsia" w:hAnsiTheme="minorEastAsia" w:eastAsiaTheme="minorEastAsia"/>
          <w:lang w:eastAsia="zh-CN"/>
        </w:rPr>
        <w:t>区域及周边1000m范围内11户</w:t>
      </w:r>
      <w:r>
        <w:rPr>
          <w:rFonts w:asciiTheme="minorEastAsia" w:hAnsiTheme="minorEastAsia" w:eastAsiaTheme="minorEastAsia"/>
          <w:lang w:eastAsia="zh-CN"/>
        </w:rPr>
        <w:t>牧户作为环境敏感点。根据项目所在地环境特征和工程污染特征，确定该工程的环境保护目标为评价区内的环境空气质量、生态环境质量、地下水环境质量等，</w:t>
      </w:r>
      <w:r>
        <w:rPr>
          <w:rFonts w:hint="eastAsia" w:asciiTheme="minorEastAsia" w:hAnsiTheme="minorEastAsia" w:eastAsiaTheme="minorEastAsia"/>
          <w:lang w:eastAsia="zh-CN"/>
        </w:rPr>
        <w:t>环境保护目标</w:t>
      </w:r>
      <w:r>
        <w:rPr>
          <w:rFonts w:asciiTheme="minorEastAsia" w:hAnsiTheme="minorEastAsia" w:eastAsiaTheme="minorEastAsia"/>
          <w:lang w:eastAsia="zh-CN"/>
        </w:rPr>
        <w:t>见表1.</w:t>
      </w:r>
      <w:r>
        <w:rPr>
          <w:rFonts w:hint="eastAsia" w:asciiTheme="minorEastAsia" w:hAnsiTheme="minorEastAsia" w:eastAsiaTheme="minorEastAsia"/>
          <w:lang w:eastAsia="zh-CN"/>
        </w:rPr>
        <w:t>9</w:t>
      </w:r>
      <w:r>
        <w:rPr>
          <w:rFonts w:asciiTheme="minorEastAsia" w:hAnsiTheme="minorEastAsia" w:eastAsiaTheme="minorEastAsia"/>
          <w:lang w:eastAsia="zh-CN"/>
        </w:rPr>
        <w:t>-1，图1.</w:t>
      </w:r>
      <w:r>
        <w:rPr>
          <w:rFonts w:hint="eastAsia" w:asciiTheme="minorEastAsia" w:hAnsiTheme="minorEastAsia" w:eastAsiaTheme="minorEastAsia"/>
          <w:lang w:eastAsia="zh-CN"/>
        </w:rPr>
        <w:t>9</w:t>
      </w:r>
      <w:r>
        <w:rPr>
          <w:rFonts w:asciiTheme="minorEastAsia" w:hAnsiTheme="minorEastAsia" w:eastAsiaTheme="minorEastAsia"/>
          <w:lang w:eastAsia="zh-CN"/>
        </w:rPr>
        <w:t>-1。</w:t>
      </w:r>
    </w:p>
    <w:p w14:paraId="1C3389D8">
      <w:pPr>
        <w:spacing w:line="240" w:lineRule="auto"/>
        <w:ind w:firstLine="441" w:firstLineChars="183"/>
        <w:rPr>
          <w:b/>
          <w:lang w:eastAsia="zh-CN"/>
        </w:rPr>
      </w:pPr>
      <w:r>
        <w:rPr>
          <w:b/>
          <w:lang w:eastAsia="zh-CN"/>
        </w:rPr>
        <w:t>表1.</w:t>
      </w:r>
      <w:r>
        <w:rPr>
          <w:rFonts w:hint="eastAsia"/>
          <w:b/>
          <w:lang w:eastAsia="zh-CN"/>
        </w:rPr>
        <w:t>9</w:t>
      </w:r>
      <w:r>
        <w:rPr>
          <w:b/>
          <w:lang w:eastAsia="zh-CN"/>
        </w:rPr>
        <w:t xml:space="preserve">-1  </w:t>
      </w:r>
      <w:r>
        <w:rPr>
          <w:rFonts w:hint="eastAsia"/>
          <w:b/>
          <w:lang w:eastAsia="zh-CN"/>
        </w:rPr>
        <w:t xml:space="preserve">      </w:t>
      </w:r>
      <w:r>
        <w:rPr>
          <w:b/>
          <w:lang w:eastAsia="zh-CN"/>
        </w:rPr>
        <w:t>环境保护目标</w:t>
      </w:r>
      <w:r>
        <w:rPr>
          <w:rFonts w:hint="eastAsia"/>
          <w:b/>
          <w:lang w:eastAsia="zh-CN"/>
        </w:rPr>
        <w:t>表</w:t>
      </w:r>
    </w:p>
    <w:tbl>
      <w:tblPr>
        <w:tblStyle w:val="7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59"/>
        <w:gridCol w:w="1417"/>
        <w:gridCol w:w="2694"/>
        <w:gridCol w:w="1842"/>
        <w:gridCol w:w="1418"/>
      </w:tblGrid>
      <w:tr w14:paraId="1B80AD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tcBorders>
              <w:right w:val="single" w:color="auto" w:sz="4" w:space="0"/>
            </w:tcBorders>
            <w:vAlign w:val="center"/>
          </w:tcPr>
          <w:p w14:paraId="2FAC3CE9">
            <w:pPr>
              <w:pStyle w:val="316"/>
              <w:rPr>
                <w:lang w:val="en-US" w:eastAsia="en-US"/>
              </w:rPr>
            </w:pPr>
            <w:r>
              <w:rPr>
                <w:lang w:val="en-US" w:eastAsia="en-US"/>
              </w:rPr>
              <w:t>环境要素</w:t>
            </w:r>
          </w:p>
        </w:tc>
        <w:tc>
          <w:tcPr>
            <w:tcW w:w="1417" w:type="dxa"/>
            <w:tcBorders>
              <w:left w:val="single" w:color="auto" w:sz="4" w:space="0"/>
            </w:tcBorders>
            <w:vAlign w:val="center"/>
          </w:tcPr>
          <w:p w14:paraId="284772EC">
            <w:pPr>
              <w:pStyle w:val="316"/>
              <w:rPr>
                <w:lang w:val="en-US" w:eastAsia="en-US"/>
              </w:rPr>
            </w:pPr>
            <w:r>
              <w:rPr>
                <w:lang w:val="en-US" w:eastAsia="en-US"/>
              </w:rPr>
              <w:t>保护目标</w:t>
            </w:r>
          </w:p>
          <w:p w14:paraId="2A9B1C33">
            <w:pPr>
              <w:pStyle w:val="316"/>
              <w:rPr>
                <w:lang w:val="en-US" w:eastAsia="en-US"/>
              </w:rPr>
            </w:pPr>
            <w:r>
              <w:rPr>
                <w:lang w:val="en-US" w:eastAsia="en-US"/>
              </w:rPr>
              <w:t>名称</w:t>
            </w:r>
          </w:p>
        </w:tc>
        <w:tc>
          <w:tcPr>
            <w:tcW w:w="2694" w:type="dxa"/>
            <w:vAlign w:val="center"/>
          </w:tcPr>
          <w:p w14:paraId="65DEADC9">
            <w:pPr>
              <w:pStyle w:val="316"/>
              <w:rPr>
                <w:lang w:val="en-US" w:eastAsia="en-US"/>
              </w:rPr>
            </w:pPr>
            <w:r>
              <w:rPr>
                <w:rFonts w:hint="eastAsia"/>
                <w:lang w:val="en-US" w:eastAsia="zh-CN"/>
              </w:rPr>
              <w:t>与雅斯站方位、</w:t>
            </w:r>
            <w:r>
              <w:rPr>
                <w:lang w:val="en-US" w:eastAsia="en-US"/>
              </w:rPr>
              <w:t>距离(m)</w:t>
            </w:r>
          </w:p>
        </w:tc>
        <w:tc>
          <w:tcPr>
            <w:tcW w:w="1842" w:type="dxa"/>
            <w:vAlign w:val="center"/>
          </w:tcPr>
          <w:p w14:paraId="606446B9">
            <w:pPr>
              <w:pStyle w:val="316"/>
              <w:rPr>
                <w:lang w:val="en-US" w:eastAsia="en-US"/>
              </w:rPr>
            </w:pPr>
            <w:r>
              <w:rPr>
                <w:lang w:val="en-US" w:eastAsia="en-US"/>
              </w:rPr>
              <w:t>概况</w:t>
            </w:r>
          </w:p>
        </w:tc>
        <w:tc>
          <w:tcPr>
            <w:tcW w:w="1418" w:type="dxa"/>
            <w:vAlign w:val="center"/>
          </w:tcPr>
          <w:p w14:paraId="373018E7">
            <w:pPr>
              <w:pStyle w:val="316"/>
              <w:rPr>
                <w:lang w:val="en-US" w:eastAsia="en-US"/>
              </w:rPr>
            </w:pPr>
            <w:r>
              <w:rPr>
                <w:lang w:val="en-US" w:eastAsia="en-US"/>
              </w:rPr>
              <w:t>保护要求</w:t>
            </w:r>
          </w:p>
        </w:tc>
      </w:tr>
      <w:tr w14:paraId="2CF748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Merge w:val="restart"/>
            <w:tcBorders>
              <w:right w:val="single" w:color="auto" w:sz="4" w:space="0"/>
            </w:tcBorders>
            <w:vAlign w:val="center"/>
          </w:tcPr>
          <w:p w14:paraId="3C8192F9">
            <w:pPr>
              <w:pStyle w:val="316"/>
              <w:rPr>
                <w:lang w:val="en-US" w:eastAsia="en-US"/>
              </w:rPr>
            </w:pPr>
            <w:r>
              <w:rPr>
                <w:lang w:val="en-US" w:eastAsia="en-US"/>
              </w:rPr>
              <w:t>大气环境</w:t>
            </w:r>
          </w:p>
        </w:tc>
        <w:tc>
          <w:tcPr>
            <w:tcW w:w="1417" w:type="dxa"/>
            <w:tcBorders>
              <w:left w:val="single" w:color="auto" w:sz="4" w:space="0"/>
            </w:tcBorders>
            <w:vAlign w:val="center"/>
          </w:tcPr>
          <w:p w14:paraId="0FC749FB">
            <w:pPr>
              <w:pStyle w:val="316"/>
              <w:rPr>
                <w:lang w:val="en-US" w:eastAsia="en-US"/>
              </w:rPr>
            </w:pPr>
            <w:r>
              <w:rPr>
                <w:rFonts w:hint="eastAsia"/>
                <w:lang w:val="en-US" w:eastAsia="zh-CN"/>
              </w:rPr>
              <w:t>牧户1</w:t>
            </w:r>
            <w:r>
              <w:rPr>
                <w:lang w:val="en-US" w:eastAsia="en-US"/>
              </w:rPr>
              <w:t xml:space="preserve"> </w:t>
            </w:r>
          </w:p>
        </w:tc>
        <w:tc>
          <w:tcPr>
            <w:tcW w:w="2694" w:type="dxa"/>
            <w:vAlign w:val="center"/>
          </w:tcPr>
          <w:p w14:paraId="39E86083">
            <w:pPr>
              <w:pStyle w:val="316"/>
              <w:rPr>
                <w:lang w:val="en-US" w:eastAsia="zh-CN"/>
              </w:rPr>
            </w:pPr>
            <w:r>
              <w:rPr>
                <w:lang w:val="en-US" w:eastAsia="zh-CN"/>
              </w:rPr>
              <w:t>位于</w:t>
            </w:r>
            <w:r>
              <w:rPr>
                <w:rFonts w:hint="eastAsia"/>
                <w:lang w:val="en-US" w:eastAsia="zh-CN"/>
              </w:rPr>
              <w:t>雅斯站东北</w:t>
            </w:r>
            <w:r>
              <w:rPr>
                <w:lang w:val="en-US" w:eastAsia="zh-CN"/>
              </w:rPr>
              <w:t>，</w:t>
            </w:r>
            <w:r>
              <w:rPr>
                <w:rFonts w:hint="eastAsia"/>
                <w:lang w:val="en-US" w:eastAsia="zh-CN"/>
              </w:rPr>
              <w:t>1.0</w:t>
            </w:r>
            <w:r>
              <w:rPr>
                <w:lang w:val="en-US" w:eastAsia="zh-CN"/>
              </w:rPr>
              <w:t>km</w:t>
            </w:r>
          </w:p>
        </w:tc>
        <w:tc>
          <w:tcPr>
            <w:tcW w:w="1842" w:type="dxa"/>
            <w:vAlign w:val="center"/>
          </w:tcPr>
          <w:p w14:paraId="58FCBE93">
            <w:pPr>
              <w:pStyle w:val="316"/>
              <w:rPr>
                <w:spacing w:val="-10"/>
                <w:lang w:val="en-US" w:eastAsia="zh-CN"/>
              </w:rPr>
            </w:pPr>
            <w:r>
              <w:rPr>
                <w:lang w:val="en-US" w:eastAsia="zh-CN"/>
              </w:rPr>
              <w:t>1户3人</w:t>
            </w:r>
          </w:p>
        </w:tc>
        <w:tc>
          <w:tcPr>
            <w:tcW w:w="1418" w:type="dxa"/>
            <w:vMerge w:val="restart"/>
            <w:vAlign w:val="center"/>
          </w:tcPr>
          <w:p w14:paraId="55569B59">
            <w:pPr>
              <w:pStyle w:val="316"/>
              <w:rPr>
                <w:kern w:val="0"/>
                <w:lang w:val="en-US" w:eastAsia="zh-CN"/>
              </w:rPr>
            </w:pPr>
            <w:r>
              <w:rPr>
                <w:kern w:val="0"/>
                <w:lang w:val="en-US" w:eastAsia="en-US"/>
              </w:rPr>
              <w:t>维持现有</w:t>
            </w:r>
          </w:p>
          <w:p w14:paraId="0F68C866">
            <w:pPr>
              <w:pStyle w:val="316"/>
              <w:rPr>
                <w:spacing w:val="-10"/>
                <w:lang w:val="en-US" w:eastAsia="en-US"/>
              </w:rPr>
            </w:pPr>
            <w:r>
              <w:rPr>
                <w:kern w:val="0"/>
                <w:lang w:val="en-US" w:eastAsia="en-US"/>
              </w:rPr>
              <w:t>功能</w:t>
            </w:r>
          </w:p>
        </w:tc>
      </w:tr>
      <w:tr w14:paraId="6F4D94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Merge w:val="continue"/>
            <w:tcBorders>
              <w:right w:val="single" w:color="auto" w:sz="4" w:space="0"/>
            </w:tcBorders>
            <w:vAlign w:val="center"/>
          </w:tcPr>
          <w:p w14:paraId="7FF794CA">
            <w:pPr>
              <w:pStyle w:val="316"/>
              <w:rPr>
                <w:lang w:val="en-US" w:eastAsia="en-US"/>
              </w:rPr>
            </w:pPr>
          </w:p>
        </w:tc>
        <w:tc>
          <w:tcPr>
            <w:tcW w:w="1417" w:type="dxa"/>
            <w:tcBorders>
              <w:left w:val="single" w:color="auto" w:sz="4" w:space="0"/>
            </w:tcBorders>
            <w:vAlign w:val="center"/>
          </w:tcPr>
          <w:p w14:paraId="2E3AA3A1">
            <w:pPr>
              <w:pStyle w:val="316"/>
              <w:rPr>
                <w:lang w:val="en-US" w:eastAsia="en-US"/>
              </w:rPr>
            </w:pPr>
            <w:r>
              <w:rPr>
                <w:rFonts w:hint="eastAsia"/>
                <w:lang w:val="en-US" w:eastAsia="zh-CN"/>
              </w:rPr>
              <w:t>牧户2</w:t>
            </w:r>
          </w:p>
        </w:tc>
        <w:tc>
          <w:tcPr>
            <w:tcW w:w="2694" w:type="dxa"/>
            <w:vAlign w:val="center"/>
          </w:tcPr>
          <w:p w14:paraId="54420A7A">
            <w:pPr>
              <w:pStyle w:val="316"/>
              <w:rPr>
                <w:lang w:val="en-US" w:eastAsia="zh-CN"/>
              </w:rPr>
            </w:pPr>
            <w:r>
              <w:rPr>
                <w:lang w:val="en-US" w:eastAsia="zh-CN"/>
              </w:rPr>
              <w:t>位于</w:t>
            </w:r>
            <w:r>
              <w:rPr>
                <w:rFonts w:hint="eastAsia"/>
                <w:lang w:val="en-US" w:eastAsia="zh-CN"/>
              </w:rPr>
              <w:t>雅斯站东北</w:t>
            </w:r>
            <w:r>
              <w:rPr>
                <w:lang w:val="en-US" w:eastAsia="zh-CN"/>
              </w:rPr>
              <w:t>，</w:t>
            </w:r>
            <w:r>
              <w:rPr>
                <w:rFonts w:hint="eastAsia"/>
                <w:lang w:val="en-US" w:eastAsia="zh-CN"/>
              </w:rPr>
              <w:t>2.3</w:t>
            </w:r>
            <w:r>
              <w:rPr>
                <w:lang w:val="en-US" w:eastAsia="zh-CN"/>
              </w:rPr>
              <w:t>km</w:t>
            </w:r>
          </w:p>
        </w:tc>
        <w:tc>
          <w:tcPr>
            <w:tcW w:w="1842" w:type="dxa"/>
            <w:vAlign w:val="center"/>
          </w:tcPr>
          <w:p w14:paraId="2AE9AD98">
            <w:pPr>
              <w:pStyle w:val="316"/>
              <w:rPr>
                <w:lang w:val="en-US" w:eastAsia="zh-CN"/>
              </w:rPr>
            </w:pPr>
            <w:r>
              <w:rPr>
                <w:lang w:val="en-US" w:eastAsia="zh-CN"/>
              </w:rPr>
              <w:t>1户</w:t>
            </w:r>
            <w:r>
              <w:rPr>
                <w:rFonts w:hint="eastAsia"/>
                <w:lang w:val="en-US" w:eastAsia="zh-CN"/>
              </w:rPr>
              <w:t>2</w:t>
            </w:r>
            <w:r>
              <w:rPr>
                <w:lang w:val="en-US" w:eastAsia="zh-CN"/>
              </w:rPr>
              <w:t>人</w:t>
            </w:r>
          </w:p>
        </w:tc>
        <w:tc>
          <w:tcPr>
            <w:tcW w:w="1418" w:type="dxa"/>
            <w:vMerge w:val="continue"/>
            <w:vAlign w:val="center"/>
          </w:tcPr>
          <w:p w14:paraId="5B94B4E5">
            <w:pPr>
              <w:pStyle w:val="316"/>
              <w:rPr>
                <w:kern w:val="0"/>
                <w:lang w:val="en-US" w:eastAsia="en-US"/>
              </w:rPr>
            </w:pPr>
          </w:p>
        </w:tc>
      </w:tr>
      <w:tr w14:paraId="2468B8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Merge w:val="continue"/>
            <w:tcBorders>
              <w:right w:val="single" w:color="auto" w:sz="4" w:space="0"/>
            </w:tcBorders>
            <w:vAlign w:val="center"/>
          </w:tcPr>
          <w:p w14:paraId="5B6C63A8">
            <w:pPr>
              <w:pStyle w:val="316"/>
              <w:rPr>
                <w:lang w:val="en-US" w:eastAsia="en-US"/>
              </w:rPr>
            </w:pPr>
          </w:p>
        </w:tc>
        <w:tc>
          <w:tcPr>
            <w:tcW w:w="1417" w:type="dxa"/>
            <w:tcBorders>
              <w:left w:val="single" w:color="auto" w:sz="4" w:space="0"/>
            </w:tcBorders>
            <w:vAlign w:val="center"/>
          </w:tcPr>
          <w:p w14:paraId="5F3C618E">
            <w:pPr>
              <w:pStyle w:val="316"/>
              <w:rPr>
                <w:lang w:val="en-US" w:eastAsia="en-US"/>
              </w:rPr>
            </w:pPr>
            <w:r>
              <w:rPr>
                <w:rFonts w:hint="eastAsia"/>
                <w:lang w:val="en-US" w:eastAsia="zh-CN"/>
              </w:rPr>
              <w:t>牧户3</w:t>
            </w:r>
          </w:p>
        </w:tc>
        <w:tc>
          <w:tcPr>
            <w:tcW w:w="2694" w:type="dxa"/>
            <w:vAlign w:val="center"/>
          </w:tcPr>
          <w:p w14:paraId="568FAAD0">
            <w:pPr>
              <w:pStyle w:val="316"/>
              <w:rPr>
                <w:lang w:val="en-US" w:eastAsia="zh-CN"/>
              </w:rPr>
            </w:pPr>
            <w:r>
              <w:rPr>
                <w:lang w:val="en-US" w:eastAsia="zh-CN"/>
              </w:rPr>
              <w:t>位于</w:t>
            </w:r>
            <w:r>
              <w:rPr>
                <w:rFonts w:hint="eastAsia"/>
                <w:lang w:val="en-US" w:eastAsia="zh-CN"/>
              </w:rPr>
              <w:t>雅斯站东北</w:t>
            </w:r>
            <w:r>
              <w:rPr>
                <w:lang w:val="en-US" w:eastAsia="zh-CN"/>
              </w:rPr>
              <w:t>，</w:t>
            </w:r>
            <w:r>
              <w:rPr>
                <w:rFonts w:hint="eastAsia"/>
                <w:lang w:val="en-US" w:eastAsia="zh-CN"/>
              </w:rPr>
              <w:t>1.8</w:t>
            </w:r>
            <w:r>
              <w:rPr>
                <w:lang w:val="en-US" w:eastAsia="zh-CN"/>
              </w:rPr>
              <w:t>km</w:t>
            </w:r>
          </w:p>
        </w:tc>
        <w:tc>
          <w:tcPr>
            <w:tcW w:w="1842" w:type="dxa"/>
            <w:vAlign w:val="center"/>
          </w:tcPr>
          <w:p w14:paraId="074FDDF9">
            <w:pPr>
              <w:pStyle w:val="316"/>
              <w:rPr>
                <w:lang w:val="en-US" w:eastAsia="zh-CN"/>
              </w:rPr>
            </w:pPr>
            <w:r>
              <w:rPr>
                <w:lang w:val="en-US" w:eastAsia="zh-CN"/>
              </w:rPr>
              <w:t>1户3人</w:t>
            </w:r>
          </w:p>
        </w:tc>
        <w:tc>
          <w:tcPr>
            <w:tcW w:w="1418" w:type="dxa"/>
            <w:vMerge w:val="continue"/>
            <w:vAlign w:val="center"/>
          </w:tcPr>
          <w:p w14:paraId="072FA062">
            <w:pPr>
              <w:pStyle w:val="316"/>
              <w:rPr>
                <w:kern w:val="0"/>
                <w:lang w:val="en-US" w:eastAsia="en-US"/>
              </w:rPr>
            </w:pPr>
          </w:p>
        </w:tc>
      </w:tr>
      <w:tr w14:paraId="02B737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Merge w:val="continue"/>
            <w:tcBorders>
              <w:right w:val="single" w:color="auto" w:sz="4" w:space="0"/>
            </w:tcBorders>
            <w:vAlign w:val="center"/>
          </w:tcPr>
          <w:p w14:paraId="58B506DC">
            <w:pPr>
              <w:pStyle w:val="316"/>
              <w:rPr>
                <w:lang w:val="en-US" w:eastAsia="en-US"/>
              </w:rPr>
            </w:pPr>
          </w:p>
        </w:tc>
        <w:tc>
          <w:tcPr>
            <w:tcW w:w="1417" w:type="dxa"/>
            <w:tcBorders>
              <w:left w:val="single" w:color="auto" w:sz="4" w:space="0"/>
            </w:tcBorders>
          </w:tcPr>
          <w:p w14:paraId="06144000">
            <w:pPr>
              <w:pStyle w:val="316"/>
              <w:rPr>
                <w:lang w:val="en-US" w:eastAsia="en-US"/>
              </w:rPr>
            </w:pPr>
            <w:r>
              <w:rPr>
                <w:lang w:val="en-US" w:eastAsia="en-US"/>
              </w:rPr>
              <w:t>牧户</w:t>
            </w:r>
            <w:r>
              <w:rPr>
                <w:rFonts w:hint="eastAsia"/>
                <w:lang w:val="en-US" w:eastAsia="zh-CN"/>
              </w:rPr>
              <w:t>4</w:t>
            </w:r>
          </w:p>
        </w:tc>
        <w:tc>
          <w:tcPr>
            <w:tcW w:w="2694" w:type="dxa"/>
            <w:vAlign w:val="center"/>
          </w:tcPr>
          <w:p w14:paraId="2883B632">
            <w:pPr>
              <w:pStyle w:val="316"/>
              <w:rPr>
                <w:lang w:val="en-US" w:eastAsia="zh-CN"/>
              </w:rPr>
            </w:pPr>
            <w:r>
              <w:rPr>
                <w:lang w:val="en-US" w:eastAsia="zh-CN"/>
              </w:rPr>
              <w:t>位于</w:t>
            </w:r>
            <w:r>
              <w:rPr>
                <w:rFonts w:hint="eastAsia"/>
                <w:lang w:val="en-US" w:eastAsia="zh-CN"/>
              </w:rPr>
              <w:t>雅斯站东北</w:t>
            </w:r>
            <w:r>
              <w:rPr>
                <w:lang w:val="en-US" w:eastAsia="zh-CN"/>
              </w:rPr>
              <w:t>，</w:t>
            </w:r>
            <w:r>
              <w:rPr>
                <w:rFonts w:hint="eastAsia"/>
                <w:lang w:val="en-US" w:eastAsia="zh-CN"/>
              </w:rPr>
              <w:t>3.8</w:t>
            </w:r>
            <w:r>
              <w:rPr>
                <w:lang w:val="en-US" w:eastAsia="zh-CN"/>
              </w:rPr>
              <w:t>km</w:t>
            </w:r>
          </w:p>
        </w:tc>
        <w:tc>
          <w:tcPr>
            <w:tcW w:w="1842" w:type="dxa"/>
            <w:vAlign w:val="center"/>
          </w:tcPr>
          <w:p w14:paraId="78DCF8C9">
            <w:pPr>
              <w:pStyle w:val="316"/>
              <w:rPr>
                <w:spacing w:val="-10"/>
                <w:lang w:val="en-US" w:eastAsia="zh-CN"/>
              </w:rPr>
            </w:pPr>
            <w:r>
              <w:rPr>
                <w:lang w:val="en-US" w:eastAsia="zh-CN"/>
              </w:rPr>
              <w:t>1户3人</w:t>
            </w:r>
          </w:p>
        </w:tc>
        <w:tc>
          <w:tcPr>
            <w:tcW w:w="1418" w:type="dxa"/>
            <w:vMerge w:val="continue"/>
            <w:vAlign w:val="center"/>
          </w:tcPr>
          <w:p w14:paraId="7A69DE76">
            <w:pPr>
              <w:pStyle w:val="316"/>
              <w:rPr>
                <w:kern w:val="0"/>
                <w:lang w:val="en-US" w:eastAsia="zh-CN"/>
              </w:rPr>
            </w:pPr>
          </w:p>
        </w:tc>
      </w:tr>
      <w:tr w14:paraId="6B7A13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Merge w:val="continue"/>
            <w:tcBorders>
              <w:right w:val="single" w:color="auto" w:sz="4" w:space="0"/>
            </w:tcBorders>
            <w:vAlign w:val="center"/>
          </w:tcPr>
          <w:p w14:paraId="3B71EC7C">
            <w:pPr>
              <w:pStyle w:val="316"/>
              <w:rPr>
                <w:lang w:val="en-US" w:eastAsia="zh-CN"/>
              </w:rPr>
            </w:pPr>
          </w:p>
        </w:tc>
        <w:tc>
          <w:tcPr>
            <w:tcW w:w="1417" w:type="dxa"/>
            <w:tcBorders>
              <w:left w:val="single" w:color="auto" w:sz="4" w:space="0"/>
            </w:tcBorders>
          </w:tcPr>
          <w:p w14:paraId="2D3FBF0C">
            <w:pPr>
              <w:pStyle w:val="316"/>
              <w:rPr>
                <w:lang w:val="en-US" w:eastAsia="en-US"/>
              </w:rPr>
            </w:pPr>
            <w:r>
              <w:rPr>
                <w:lang w:val="en-US" w:eastAsia="en-US"/>
              </w:rPr>
              <w:t>牧户</w:t>
            </w:r>
            <w:r>
              <w:rPr>
                <w:rFonts w:hint="eastAsia"/>
                <w:lang w:val="en-US" w:eastAsia="zh-CN"/>
              </w:rPr>
              <w:t>5</w:t>
            </w:r>
          </w:p>
        </w:tc>
        <w:tc>
          <w:tcPr>
            <w:tcW w:w="2694" w:type="dxa"/>
            <w:vAlign w:val="center"/>
          </w:tcPr>
          <w:p w14:paraId="33B90EFD">
            <w:pPr>
              <w:pStyle w:val="316"/>
              <w:rPr>
                <w:lang w:val="en-US" w:eastAsia="zh-CN"/>
              </w:rPr>
            </w:pPr>
            <w:r>
              <w:rPr>
                <w:lang w:val="en-US" w:eastAsia="zh-CN"/>
              </w:rPr>
              <w:t>位于</w:t>
            </w:r>
            <w:r>
              <w:rPr>
                <w:rFonts w:hint="eastAsia"/>
                <w:lang w:val="en-US" w:eastAsia="zh-CN"/>
              </w:rPr>
              <w:t>雅斯站西南</w:t>
            </w:r>
            <w:r>
              <w:rPr>
                <w:lang w:val="en-US" w:eastAsia="zh-CN"/>
              </w:rPr>
              <w:t>，</w:t>
            </w:r>
            <w:r>
              <w:rPr>
                <w:rFonts w:hint="eastAsia"/>
                <w:lang w:val="en-US" w:eastAsia="zh-CN"/>
              </w:rPr>
              <w:t>4.2</w:t>
            </w:r>
            <w:r>
              <w:rPr>
                <w:lang w:val="en-US" w:eastAsia="zh-CN"/>
              </w:rPr>
              <w:t>km</w:t>
            </w:r>
          </w:p>
        </w:tc>
        <w:tc>
          <w:tcPr>
            <w:tcW w:w="1842" w:type="dxa"/>
            <w:vAlign w:val="center"/>
          </w:tcPr>
          <w:p w14:paraId="6537FD4F">
            <w:pPr>
              <w:pStyle w:val="316"/>
              <w:rPr>
                <w:spacing w:val="-10"/>
                <w:lang w:val="en-US" w:eastAsia="zh-CN"/>
              </w:rPr>
            </w:pPr>
            <w:r>
              <w:rPr>
                <w:lang w:val="en-US" w:eastAsia="zh-CN"/>
              </w:rPr>
              <w:t>1户3人</w:t>
            </w:r>
            <w:r>
              <w:rPr>
                <w:spacing w:val="-10"/>
                <w:lang w:val="en-US" w:eastAsia="zh-CN"/>
              </w:rPr>
              <w:t xml:space="preserve"> </w:t>
            </w:r>
          </w:p>
        </w:tc>
        <w:tc>
          <w:tcPr>
            <w:tcW w:w="1418" w:type="dxa"/>
            <w:vMerge w:val="continue"/>
            <w:vAlign w:val="center"/>
          </w:tcPr>
          <w:p w14:paraId="5E9A8DF8">
            <w:pPr>
              <w:pStyle w:val="316"/>
              <w:rPr>
                <w:kern w:val="0"/>
                <w:lang w:val="en-US" w:eastAsia="zh-CN"/>
              </w:rPr>
            </w:pPr>
          </w:p>
        </w:tc>
      </w:tr>
      <w:tr w14:paraId="57F58F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Merge w:val="continue"/>
            <w:tcBorders>
              <w:right w:val="single" w:color="auto" w:sz="4" w:space="0"/>
            </w:tcBorders>
            <w:vAlign w:val="center"/>
          </w:tcPr>
          <w:p w14:paraId="4078D12C">
            <w:pPr>
              <w:pStyle w:val="316"/>
              <w:rPr>
                <w:lang w:val="en-US" w:eastAsia="zh-CN"/>
              </w:rPr>
            </w:pPr>
          </w:p>
        </w:tc>
        <w:tc>
          <w:tcPr>
            <w:tcW w:w="1417" w:type="dxa"/>
            <w:tcBorders>
              <w:left w:val="single" w:color="auto" w:sz="4" w:space="0"/>
            </w:tcBorders>
          </w:tcPr>
          <w:p w14:paraId="46980F3A">
            <w:pPr>
              <w:pStyle w:val="316"/>
              <w:rPr>
                <w:lang w:val="en-US" w:eastAsia="en-US"/>
              </w:rPr>
            </w:pPr>
            <w:r>
              <w:rPr>
                <w:lang w:val="en-US" w:eastAsia="en-US"/>
              </w:rPr>
              <w:t xml:space="preserve">牧户6 </w:t>
            </w:r>
          </w:p>
        </w:tc>
        <w:tc>
          <w:tcPr>
            <w:tcW w:w="2694" w:type="dxa"/>
            <w:vAlign w:val="center"/>
          </w:tcPr>
          <w:p w14:paraId="5C5342F2">
            <w:pPr>
              <w:pStyle w:val="316"/>
              <w:rPr>
                <w:lang w:val="en-US" w:eastAsia="zh-CN"/>
              </w:rPr>
            </w:pPr>
            <w:r>
              <w:rPr>
                <w:lang w:val="en-US" w:eastAsia="zh-CN"/>
              </w:rPr>
              <w:t>位于</w:t>
            </w:r>
            <w:r>
              <w:rPr>
                <w:rFonts w:hint="eastAsia"/>
                <w:lang w:val="en-US" w:eastAsia="zh-CN"/>
              </w:rPr>
              <w:t>雅斯站西南</w:t>
            </w:r>
            <w:r>
              <w:rPr>
                <w:lang w:val="en-US" w:eastAsia="zh-CN"/>
              </w:rPr>
              <w:t>，</w:t>
            </w:r>
            <w:r>
              <w:rPr>
                <w:rFonts w:hint="eastAsia"/>
                <w:lang w:val="en-US" w:eastAsia="zh-CN"/>
              </w:rPr>
              <w:t>3.7</w:t>
            </w:r>
            <w:r>
              <w:rPr>
                <w:lang w:val="en-US" w:eastAsia="zh-CN"/>
              </w:rPr>
              <w:t>km</w:t>
            </w:r>
          </w:p>
        </w:tc>
        <w:tc>
          <w:tcPr>
            <w:tcW w:w="1842" w:type="dxa"/>
            <w:vAlign w:val="center"/>
          </w:tcPr>
          <w:p w14:paraId="08CECC53">
            <w:pPr>
              <w:pStyle w:val="316"/>
              <w:rPr>
                <w:spacing w:val="-10"/>
                <w:lang w:val="en-US" w:eastAsia="zh-CN"/>
              </w:rPr>
            </w:pPr>
            <w:r>
              <w:rPr>
                <w:lang w:val="en-US" w:eastAsia="zh-CN"/>
              </w:rPr>
              <w:t>1户3人</w:t>
            </w:r>
          </w:p>
        </w:tc>
        <w:tc>
          <w:tcPr>
            <w:tcW w:w="1418" w:type="dxa"/>
            <w:vMerge w:val="continue"/>
            <w:vAlign w:val="center"/>
          </w:tcPr>
          <w:p w14:paraId="302CBF59">
            <w:pPr>
              <w:pStyle w:val="316"/>
              <w:rPr>
                <w:kern w:val="0"/>
                <w:lang w:val="en-US" w:eastAsia="zh-CN"/>
              </w:rPr>
            </w:pPr>
          </w:p>
        </w:tc>
      </w:tr>
      <w:tr w14:paraId="3FAA35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Merge w:val="continue"/>
            <w:tcBorders>
              <w:right w:val="single" w:color="auto" w:sz="4" w:space="0"/>
            </w:tcBorders>
            <w:vAlign w:val="center"/>
          </w:tcPr>
          <w:p w14:paraId="384A13D3">
            <w:pPr>
              <w:pStyle w:val="316"/>
              <w:rPr>
                <w:lang w:val="en-US" w:eastAsia="zh-CN"/>
              </w:rPr>
            </w:pPr>
          </w:p>
        </w:tc>
        <w:tc>
          <w:tcPr>
            <w:tcW w:w="1417" w:type="dxa"/>
            <w:tcBorders>
              <w:left w:val="single" w:color="auto" w:sz="4" w:space="0"/>
            </w:tcBorders>
          </w:tcPr>
          <w:p w14:paraId="584669C0">
            <w:pPr>
              <w:pStyle w:val="316"/>
              <w:rPr>
                <w:lang w:val="en-US" w:eastAsia="en-US"/>
              </w:rPr>
            </w:pPr>
            <w:r>
              <w:rPr>
                <w:lang w:val="en-US" w:eastAsia="en-US"/>
              </w:rPr>
              <w:t>牧户</w:t>
            </w:r>
            <w:r>
              <w:rPr>
                <w:rFonts w:hint="eastAsia"/>
                <w:lang w:val="en-US" w:eastAsia="zh-CN"/>
              </w:rPr>
              <w:t>7</w:t>
            </w:r>
          </w:p>
        </w:tc>
        <w:tc>
          <w:tcPr>
            <w:tcW w:w="2694" w:type="dxa"/>
            <w:vAlign w:val="center"/>
          </w:tcPr>
          <w:p w14:paraId="4B328132">
            <w:pPr>
              <w:pStyle w:val="316"/>
              <w:ind w:firstLine="105" w:firstLineChars="50"/>
              <w:jc w:val="both"/>
              <w:rPr>
                <w:lang w:val="en-US" w:eastAsia="zh-CN"/>
              </w:rPr>
            </w:pPr>
            <w:r>
              <w:rPr>
                <w:lang w:val="en-US" w:eastAsia="zh-CN"/>
              </w:rPr>
              <w:t>位于</w:t>
            </w:r>
            <w:r>
              <w:rPr>
                <w:rFonts w:hint="eastAsia"/>
                <w:lang w:val="en-US" w:eastAsia="zh-CN"/>
              </w:rPr>
              <w:t>雅斯站南</w:t>
            </w:r>
            <w:r>
              <w:rPr>
                <w:lang w:val="en-US" w:eastAsia="zh-CN"/>
              </w:rPr>
              <w:t>，</w:t>
            </w:r>
            <w:r>
              <w:rPr>
                <w:rFonts w:hint="eastAsia"/>
                <w:lang w:val="en-US" w:eastAsia="zh-CN"/>
              </w:rPr>
              <w:t>6.6</w:t>
            </w:r>
            <w:r>
              <w:rPr>
                <w:lang w:val="en-US" w:eastAsia="zh-CN"/>
              </w:rPr>
              <w:t>km</w:t>
            </w:r>
          </w:p>
        </w:tc>
        <w:tc>
          <w:tcPr>
            <w:tcW w:w="1842" w:type="dxa"/>
            <w:vAlign w:val="center"/>
          </w:tcPr>
          <w:p w14:paraId="0A4B4B7E">
            <w:pPr>
              <w:pStyle w:val="316"/>
              <w:rPr>
                <w:lang w:val="en-US" w:eastAsia="zh-CN"/>
              </w:rPr>
            </w:pPr>
            <w:r>
              <w:rPr>
                <w:lang w:val="en-US" w:eastAsia="zh-CN"/>
              </w:rPr>
              <w:t>1户</w:t>
            </w:r>
            <w:r>
              <w:rPr>
                <w:rFonts w:hint="eastAsia"/>
                <w:lang w:val="en-US" w:eastAsia="zh-CN"/>
              </w:rPr>
              <w:t>4</w:t>
            </w:r>
            <w:r>
              <w:rPr>
                <w:lang w:val="en-US" w:eastAsia="zh-CN"/>
              </w:rPr>
              <w:t>人</w:t>
            </w:r>
          </w:p>
        </w:tc>
        <w:tc>
          <w:tcPr>
            <w:tcW w:w="1418" w:type="dxa"/>
            <w:vMerge w:val="continue"/>
            <w:vAlign w:val="center"/>
          </w:tcPr>
          <w:p w14:paraId="318B5092">
            <w:pPr>
              <w:pStyle w:val="316"/>
              <w:rPr>
                <w:kern w:val="0"/>
                <w:lang w:val="en-US" w:eastAsia="zh-CN"/>
              </w:rPr>
            </w:pPr>
          </w:p>
        </w:tc>
      </w:tr>
      <w:tr w14:paraId="7BBD9F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Merge w:val="continue"/>
            <w:tcBorders>
              <w:right w:val="single" w:color="auto" w:sz="4" w:space="0"/>
            </w:tcBorders>
            <w:vAlign w:val="center"/>
          </w:tcPr>
          <w:p w14:paraId="27F5E88C">
            <w:pPr>
              <w:pStyle w:val="316"/>
              <w:rPr>
                <w:lang w:val="en-US" w:eastAsia="zh-CN"/>
              </w:rPr>
            </w:pPr>
          </w:p>
        </w:tc>
        <w:tc>
          <w:tcPr>
            <w:tcW w:w="1417" w:type="dxa"/>
            <w:tcBorders>
              <w:left w:val="single" w:color="auto" w:sz="4" w:space="0"/>
            </w:tcBorders>
          </w:tcPr>
          <w:p w14:paraId="0F42BF32">
            <w:pPr>
              <w:pStyle w:val="316"/>
              <w:rPr>
                <w:lang w:val="en-US" w:eastAsia="en-US"/>
              </w:rPr>
            </w:pPr>
            <w:r>
              <w:rPr>
                <w:lang w:val="en-US" w:eastAsia="en-US"/>
              </w:rPr>
              <w:t>牧户</w:t>
            </w:r>
            <w:r>
              <w:rPr>
                <w:rFonts w:hint="eastAsia"/>
                <w:lang w:val="en-US" w:eastAsia="zh-CN"/>
              </w:rPr>
              <w:t>8</w:t>
            </w:r>
          </w:p>
        </w:tc>
        <w:tc>
          <w:tcPr>
            <w:tcW w:w="2694" w:type="dxa"/>
            <w:vAlign w:val="center"/>
          </w:tcPr>
          <w:p w14:paraId="6207E7BD">
            <w:pPr>
              <w:pStyle w:val="316"/>
              <w:ind w:firstLine="105" w:firstLineChars="50"/>
              <w:jc w:val="both"/>
              <w:rPr>
                <w:lang w:val="en-US" w:eastAsia="zh-CN"/>
              </w:rPr>
            </w:pPr>
            <w:r>
              <w:rPr>
                <w:lang w:val="en-US" w:eastAsia="zh-CN"/>
              </w:rPr>
              <w:t>位于</w:t>
            </w:r>
            <w:r>
              <w:rPr>
                <w:rFonts w:hint="eastAsia"/>
                <w:lang w:val="en-US" w:eastAsia="zh-CN"/>
              </w:rPr>
              <w:t>雅斯站南</w:t>
            </w:r>
            <w:r>
              <w:rPr>
                <w:lang w:val="en-US" w:eastAsia="zh-CN"/>
              </w:rPr>
              <w:t>，</w:t>
            </w:r>
            <w:r>
              <w:rPr>
                <w:rFonts w:hint="eastAsia"/>
                <w:lang w:val="en-US" w:eastAsia="zh-CN"/>
              </w:rPr>
              <w:t>6.3</w:t>
            </w:r>
            <w:r>
              <w:rPr>
                <w:lang w:val="en-US" w:eastAsia="zh-CN"/>
              </w:rPr>
              <w:t>km</w:t>
            </w:r>
          </w:p>
        </w:tc>
        <w:tc>
          <w:tcPr>
            <w:tcW w:w="1842" w:type="dxa"/>
            <w:vAlign w:val="center"/>
          </w:tcPr>
          <w:p w14:paraId="223D5627">
            <w:pPr>
              <w:pStyle w:val="316"/>
              <w:rPr>
                <w:spacing w:val="-10"/>
                <w:lang w:val="en-US" w:eastAsia="zh-CN"/>
              </w:rPr>
            </w:pPr>
            <w:r>
              <w:rPr>
                <w:lang w:val="en-US" w:eastAsia="zh-CN"/>
              </w:rPr>
              <w:t>1户</w:t>
            </w:r>
            <w:r>
              <w:rPr>
                <w:rFonts w:hint="eastAsia"/>
                <w:lang w:val="en-US" w:eastAsia="zh-CN"/>
              </w:rPr>
              <w:t>4</w:t>
            </w:r>
            <w:r>
              <w:rPr>
                <w:lang w:val="en-US" w:eastAsia="zh-CN"/>
              </w:rPr>
              <w:t>人</w:t>
            </w:r>
          </w:p>
        </w:tc>
        <w:tc>
          <w:tcPr>
            <w:tcW w:w="1418" w:type="dxa"/>
            <w:vMerge w:val="continue"/>
            <w:vAlign w:val="center"/>
          </w:tcPr>
          <w:p w14:paraId="4DF09BE2">
            <w:pPr>
              <w:pStyle w:val="316"/>
              <w:rPr>
                <w:kern w:val="0"/>
                <w:lang w:val="en-US" w:eastAsia="zh-CN"/>
              </w:rPr>
            </w:pPr>
          </w:p>
        </w:tc>
      </w:tr>
      <w:tr w14:paraId="3C7B0D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Merge w:val="continue"/>
            <w:tcBorders>
              <w:right w:val="single" w:color="auto" w:sz="4" w:space="0"/>
            </w:tcBorders>
            <w:vAlign w:val="center"/>
          </w:tcPr>
          <w:p w14:paraId="244A05C2">
            <w:pPr>
              <w:pStyle w:val="316"/>
              <w:rPr>
                <w:lang w:val="en-US" w:eastAsia="zh-CN"/>
              </w:rPr>
            </w:pPr>
          </w:p>
        </w:tc>
        <w:tc>
          <w:tcPr>
            <w:tcW w:w="1417" w:type="dxa"/>
            <w:tcBorders>
              <w:left w:val="single" w:color="auto" w:sz="4" w:space="0"/>
            </w:tcBorders>
          </w:tcPr>
          <w:p w14:paraId="2F0FBCFE">
            <w:pPr>
              <w:pStyle w:val="316"/>
              <w:rPr>
                <w:lang w:val="en-US" w:eastAsia="en-US"/>
              </w:rPr>
            </w:pPr>
            <w:r>
              <w:rPr>
                <w:lang w:val="en-US" w:eastAsia="en-US"/>
              </w:rPr>
              <w:t>牧户</w:t>
            </w:r>
            <w:r>
              <w:rPr>
                <w:rFonts w:hint="eastAsia"/>
                <w:lang w:val="en-US" w:eastAsia="zh-CN"/>
              </w:rPr>
              <w:t>9</w:t>
            </w:r>
          </w:p>
        </w:tc>
        <w:tc>
          <w:tcPr>
            <w:tcW w:w="2694" w:type="dxa"/>
            <w:vAlign w:val="center"/>
          </w:tcPr>
          <w:p w14:paraId="6AD3C8B4">
            <w:pPr>
              <w:pStyle w:val="316"/>
              <w:ind w:firstLine="105" w:firstLineChars="50"/>
              <w:jc w:val="both"/>
              <w:rPr>
                <w:lang w:val="en-US" w:eastAsia="zh-CN"/>
              </w:rPr>
            </w:pPr>
            <w:r>
              <w:rPr>
                <w:lang w:val="en-US" w:eastAsia="zh-CN"/>
              </w:rPr>
              <w:t>位于</w:t>
            </w:r>
            <w:r>
              <w:rPr>
                <w:rFonts w:hint="eastAsia"/>
                <w:lang w:val="en-US" w:eastAsia="zh-CN"/>
              </w:rPr>
              <w:t>雅斯站西</w:t>
            </w:r>
            <w:r>
              <w:rPr>
                <w:lang w:val="en-US" w:eastAsia="zh-CN"/>
              </w:rPr>
              <w:t>，</w:t>
            </w:r>
            <w:r>
              <w:rPr>
                <w:rFonts w:hint="eastAsia"/>
                <w:lang w:val="en-US" w:eastAsia="zh-CN"/>
              </w:rPr>
              <w:t>1.2</w:t>
            </w:r>
            <w:r>
              <w:rPr>
                <w:lang w:val="en-US" w:eastAsia="zh-CN"/>
              </w:rPr>
              <w:t>km</w:t>
            </w:r>
          </w:p>
        </w:tc>
        <w:tc>
          <w:tcPr>
            <w:tcW w:w="1842" w:type="dxa"/>
            <w:vAlign w:val="center"/>
          </w:tcPr>
          <w:p w14:paraId="3E3C5198">
            <w:pPr>
              <w:pStyle w:val="316"/>
              <w:rPr>
                <w:spacing w:val="-10"/>
                <w:lang w:val="en-US" w:eastAsia="zh-CN"/>
              </w:rPr>
            </w:pPr>
            <w:r>
              <w:rPr>
                <w:lang w:val="en-US" w:eastAsia="zh-CN"/>
              </w:rPr>
              <w:t>1户</w:t>
            </w:r>
            <w:r>
              <w:rPr>
                <w:rFonts w:hint="eastAsia"/>
                <w:lang w:val="en-US" w:eastAsia="zh-CN"/>
              </w:rPr>
              <w:t>4</w:t>
            </w:r>
            <w:r>
              <w:rPr>
                <w:lang w:val="en-US" w:eastAsia="zh-CN"/>
              </w:rPr>
              <w:t>人</w:t>
            </w:r>
            <w:r>
              <w:rPr>
                <w:spacing w:val="-10"/>
                <w:lang w:val="en-US" w:eastAsia="zh-CN"/>
              </w:rPr>
              <w:t xml:space="preserve"> </w:t>
            </w:r>
          </w:p>
        </w:tc>
        <w:tc>
          <w:tcPr>
            <w:tcW w:w="1418" w:type="dxa"/>
            <w:vMerge w:val="continue"/>
            <w:vAlign w:val="center"/>
          </w:tcPr>
          <w:p w14:paraId="0F704912">
            <w:pPr>
              <w:pStyle w:val="316"/>
              <w:rPr>
                <w:kern w:val="0"/>
                <w:lang w:val="en-US" w:eastAsia="zh-CN"/>
              </w:rPr>
            </w:pPr>
          </w:p>
        </w:tc>
      </w:tr>
      <w:tr w14:paraId="1BA53A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Merge w:val="continue"/>
            <w:tcBorders>
              <w:right w:val="single" w:color="auto" w:sz="4" w:space="0"/>
            </w:tcBorders>
            <w:vAlign w:val="center"/>
          </w:tcPr>
          <w:p w14:paraId="025FA255">
            <w:pPr>
              <w:pStyle w:val="316"/>
              <w:rPr>
                <w:lang w:val="en-US" w:eastAsia="zh-CN"/>
              </w:rPr>
            </w:pPr>
          </w:p>
        </w:tc>
        <w:tc>
          <w:tcPr>
            <w:tcW w:w="1417" w:type="dxa"/>
            <w:tcBorders>
              <w:left w:val="single" w:color="auto" w:sz="4" w:space="0"/>
            </w:tcBorders>
          </w:tcPr>
          <w:p w14:paraId="741F099E">
            <w:pPr>
              <w:pStyle w:val="316"/>
              <w:rPr>
                <w:lang w:val="en-US" w:eastAsia="en-US"/>
              </w:rPr>
            </w:pPr>
            <w:r>
              <w:rPr>
                <w:lang w:val="en-US" w:eastAsia="en-US"/>
              </w:rPr>
              <w:t>牧户</w:t>
            </w:r>
            <w:r>
              <w:rPr>
                <w:rFonts w:hint="eastAsia"/>
                <w:lang w:val="en-US" w:eastAsia="zh-CN"/>
              </w:rPr>
              <w:t>10</w:t>
            </w:r>
            <w:r>
              <w:rPr>
                <w:lang w:val="en-US" w:eastAsia="en-US"/>
              </w:rPr>
              <w:t xml:space="preserve"> </w:t>
            </w:r>
          </w:p>
        </w:tc>
        <w:tc>
          <w:tcPr>
            <w:tcW w:w="2694" w:type="dxa"/>
            <w:vAlign w:val="center"/>
          </w:tcPr>
          <w:p w14:paraId="43592BA5">
            <w:pPr>
              <w:pStyle w:val="316"/>
              <w:rPr>
                <w:lang w:val="en-US" w:eastAsia="zh-CN"/>
              </w:rPr>
            </w:pPr>
            <w:r>
              <w:rPr>
                <w:lang w:val="en-US" w:eastAsia="zh-CN"/>
              </w:rPr>
              <w:t>位于</w:t>
            </w:r>
            <w:r>
              <w:rPr>
                <w:rFonts w:hint="eastAsia"/>
                <w:lang w:val="en-US" w:eastAsia="zh-CN"/>
              </w:rPr>
              <w:t>雅斯站西南</w:t>
            </w:r>
            <w:r>
              <w:rPr>
                <w:lang w:val="en-US" w:eastAsia="zh-CN"/>
              </w:rPr>
              <w:t>，</w:t>
            </w:r>
            <w:r>
              <w:rPr>
                <w:rFonts w:hint="eastAsia"/>
                <w:lang w:val="en-US" w:eastAsia="zh-CN"/>
              </w:rPr>
              <w:t>2.7</w:t>
            </w:r>
            <w:r>
              <w:rPr>
                <w:lang w:val="en-US" w:eastAsia="zh-CN"/>
              </w:rPr>
              <w:t>km</w:t>
            </w:r>
          </w:p>
        </w:tc>
        <w:tc>
          <w:tcPr>
            <w:tcW w:w="1842" w:type="dxa"/>
            <w:vAlign w:val="center"/>
          </w:tcPr>
          <w:p w14:paraId="54950597">
            <w:pPr>
              <w:pStyle w:val="316"/>
              <w:rPr>
                <w:spacing w:val="-10"/>
                <w:lang w:val="en-US" w:eastAsia="zh-CN"/>
              </w:rPr>
            </w:pPr>
            <w:r>
              <w:rPr>
                <w:lang w:val="en-US" w:eastAsia="zh-CN"/>
              </w:rPr>
              <w:t>1户</w:t>
            </w:r>
            <w:r>
              <w:rPr>
                <w:rFonts w:hint="eastAsia"/>
                <w:lang w:val="en-US" w:eastAsia="zh-CN"/>
              </w:rPr>
              <w:t>4</w:t>
            </w:r>
            <w:r>
              <w:rPr>
                <w:lang w:val="en-US" w:eastAsia="zh-CN"/>
              </w:rPr>
              <w:t>人</w:t>
            </w:r>
          </w:p>
        </w:tc>
        <w:tc>
          <w:tcPr>
            <w:tcW w:w="1418" w:type="dxa"/>
            <w:vMerge w:val="continue"/>
            <w:vAlign w:val="center"/>
          </w:tcPr>
          <w:p w14:paraId="758002E9">
            <w:pPr>
              <w:pStyle w:val="316"/>
              <w:rPr>
                <w:kern w:val="0"/>
                <w:lang w:val="en-US" w:eastAsia="zh-CN"/>
              </w:rPr>
            </w:pPr>
          </w:p>
        </w:tc>
      </w:tr>
      <w:tr w14:paraId="1D6ACC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Merge w:val="continue"/>
            <w:tcBorders>
              <w:right w:val="single" w:color="auto" w:sz="4" w:space="0"/>
            </w:tcBorders>
            <w:vAlign w:val="center"/>
          </w:tcPr>
          <w:p w14:paraId="6FF2BBDB">
            <w:pPr>
              <w:pStyle w:val="316"/>
              <w:rPr>
                <w:lang w:val="en-US" w:eastAsia="zh-CN"/>
              </w:rPr>
            </w:pPr>
          </w:p>
        </w:tc>
        <w:tc>
          <w:tcPr>
            <w:tcW w:w="1417" w:type="dxa"/>
            <w:tcBorders>
              <w:left w:val="single" w:color="auto" w:sz="4" w:space="0"/>
            </w:tcBorders>
          </w:tcPr>
          <w:p w14:paraId="78A52E28">
            <w:pPr>
              <w:pStyle w:val="316"/>
              <w:rPr>
                <w:lang w:val="en-US" w:eastAsia="en-US"/>
              </w:rPr>
            </w:pPr>
            <w:r>
              <w:rPr>
                <w:lang w:val="en-US" w:eastAsia="en-US"/>
              </w:rPr>
              <w:t>牧户</w:t>
            </w:r>
            <w:r>
              <w:rPr>
                <w:rFonts w:hint="eastAsia"/>
                <w:lang w:val="en-US" w:eastAsia="zh-CN"/>
              </w:rPr>
              <w:t>11</w:t>
            </w:r>
          </w:p>
        </w:tc>
        <w:tc>
          <w:tcPr>
            <w:tcW w:w="2694" w:type="dxa"/>
            <w:vAlign w:val="center"/>
          </w:tcPr>
          <w:p w14:paraId="33F432F5">
            <w:pPr>
              <w:pStyle w:val="316"/>
              <w:rPr>
                <w:lang w:val="en-US" w:eastAsia="zh-CN"/>
              </w:rPr>
            </w:pPr>
            <w:r>
              <w:rPr>
                <w:lang w:val="en-US" w:eastAsia="zh-CN"/>
              </w:rPr>
              <w:t>位于</w:t>
            </w:r>
            <w:r>
              <w:rPr>
                <w:rFonts w:hint="eastAsia"/>
                <w:lang w:val="en-US" w:eastAsia="zh-CN"/>
              </w:rPr>
              <w:t>雅斯站西南</w:t>
            </w:r>
            <w:r>
              <w:rPr>
                <w:lang w:val="en-US" w:eastAsia="zh-CN"/>
              </w:rPr>
              <w:t>，</w:t>
            </w:r>
            <w:r>
              <w:rPr>
                <w:rFonts w:hint="eastAsia"/>
                <w:lang w:val="en-US" w:eastAsia="zh-CN"/>
              </w:rPr>
              <w:t>6.2</w:t>
            </w:r>
            <w:r>
              <w:rPr>
                <w:lang w:val="en-US" w:eastAsia="zh-CN"/>
              </w:rPr>
              <w:t>km</w:t>
            </w:r>
          </w:p>
        </w:tc>
        <w:tc>
          <w:tcPr>
            <w:tcW w:w="1842" w:type="dxa"/>
            <w:vAlign w:val="center"/>
          </w:tcPr>
          <w:p w14:paraId="3CDE1FFB">
            <w:pPr>
              <w:pStyle w:val="316"/>
              <w:rPr>
                <w:lang w:val="en-US" w:eastAsia="zh-CN"/>
              </w:rPr>
            </w:pPr>
            <w:r>
              <w:rPr>
                <w:lang w:val="en-US" w:eastAsia="zh-CN"/>
              </w:rPr>
              <w:t>1户</w:t>
            </w:r>
            <w:r>
              <w:rPr>
                <w:rFonts w:hint="eastAsia"/>
                <w:lang w:val="en-US" w:eastAsia="zh-CN"/>
              </w:rPr>
              <w:t>3</w:t>
            </w:r>
            <w:r>
              <w:rPr>
                <w:lang w:val="en-US" w:eastAsia="zh-CN"/>
              </w:rPr>
              <w:t>人</w:t>
            </w:r>
          </w:p>
        </w:tc>
        <w:tc>
          <w:tcPr>
            <w:tcW w:w="1418" w:type="dxa"/>
            <w:vMerge w:val="continue"/>
            <w:vAlign w:val="center"/>
          </w:tcPr>
          <w:p w14:paraId="4A18E9D5">
            <w:pPr>
              <w:pStyle w:val="316"/>
              <w:rPr>
                <w:kern w:val="0"/>
                <w:lang w:val="en-US" w:eastAsia="zh-CN"/>
              </w:rPr>
            </w:pPr>
          </w:p>
        </w:tc>
      </w:tr>
      <w:tr w14:paraId="1E9A7B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Align w:val="center"/>
          </w:tcPr>
          <w:p w14:paraId="1376350D">
            <w:pPr>
              <w:pStyle w:val="316"/>
              <w:rPr>
                <w:lang w:val="en-US" w:eastAsia="en-US"/>
              </w:rPr>
            </w:pPr>
            <w:r>
              <w:rPr>
                <w:lang w:val="en-US" w:eastAsia="en-US"/>
              </w:rPr>
              <w:t>水环境</w:t>
            </w:r>
          </w:p>
        </w:tc>
        <w:tc>
          <w:tcPr>
            <w:tcW w:w="1417" w:type="dxa"/>
            <w:vAlign w:val="center"/>
          </w:tcPr>
          <w:p w14:paraId="5C24178C">
            <w:pPr>
              <w:pStyle w:val="316"/>
              <w:rPr>
                <w:lang w:val="en-US" w:eastAsia="zh-CN"/>
              </w:rPr>
            </w:pPr>
            <w:r>
              <w:rPr>
                <w:lang w:val="en-US" w:eastAsia="zh-CN"/>
              </w:rPr>
              <w:t>评价区内</w:t>
            </w:r>
            <w:r>
              <w:rPr>
                <w:rFonts w:hint="eastAsia"/>
                <w:lang w:val="en-US" w:eastAsia="zh-CN"/>
              </w:rPr>
              <w:t>浅层地下水及周边居民水井、生产水源井</w:t>
            </w:r>
          </w:p>
        </w:tc>
        <w:tc>
          <w:tcPr>
            <w:tcW w:w="2694" w:type="dxa"/>
            <w:vAlign w:val="center"/>
          </w:tcPr>
          <w:p w14:paraId="3BDA4F09">
            <w:pPr>
              <w:pStyle w:val="316"/>
              <w:rPr>
                <w:lang w:val="en-US" w:eastAsia="en-US"/>
              </w:rPr>
            </w:pPr>
            <w:r>
              <w:rPr>
                <w:rFonts w:hint="eastAsia"/>
                <w:lang w:val="en-US" w:eastAsia="zh-CN"/>
              </w:rPr>
              <w:t>油田范围及周边水井</w:t>
            </w:r>
          </w:p>
        </w:tc>
        <w:tc>
          <w:tcPr>
            <w:tcW w:w="1842" w:type="dxa"/>
            <w:vAlign w:val="center"/>
          </w:tcPr>
          <w:p w14:paraId="738C2A34">
            <w:pPr>
              <w:pStyle w:val="316"/>
              <w:rPr>
                <w:lang w:val="en-US" w:eastAsia="en-US"/>
              </w:rPr>
            </w:pPr>
            <w:r>
              <w:rPr>
                <w:rFonts w:hint="eastAsia"/>
                <w:lang w:val="en-US" w:eastAsia="en-US"/>
              </w:rPr>
              <w:t>——</w:t>
            </w:r>
          </w:p>
        </w:tc>
        <w:tc>
          <w:tcPr>
            <w:tcW w:w="1418" w:type="dxa"/>
            <w:vAlign w:val="center"/>
          </w:tcPr>
          <w:p w14:paraId="17D1AAE9">
            <w:pPr>
              <w:pStyle w:val="316"/>
              <w:rPr>
                <w:lang w:val="en-US" w:eastAsia="zh-CN"/>
              </w:rPr>
            </w:pPr>
            <w:r>
              <w:rPr>
                <w:lang w:val="en-US" w:eastAsia="zh-CN"/>
              </w:rPr>
              <w:t>符合GB/T14848-1993中</w:t>
            </w:r>
            <w:r>
              <w:rPr>
                <w:rFonts w:hint="eastAsia" w:ascii="宋体" w:hAnsi="宋体" w:cs="宋体"/>
                <w:lang w:val="en-US" w:eastAsia="zh-CN"/>
              </w:rPr>
              <w:t>Ⅲ</w:t>
            </w:r>
            <w:r>
              <w:rPr>
                <w:lang w:val="en-US" w:eastAsia="zh-CN"/>
              </w:rPr>
              <w:t>类标准</w:t>
            </w:r>
          </w:p>
        </w:tc>
      </w:tr>
      <w:tr w14:paraId="0218F6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Align w:val="center"/>
          </w:tcPr>
          <w:p w14:paraId="0419B163">
            <w:pPr>
              <w:pStyle w:val="316"/>
              <w:rPr>
                <w:lang w:val="en-US" w:eastAsia="en-US"/>
              </w:rPr>
            </w:pPr>
            <w:r>
              <w:rPr>
                <w:lang w:val="en-US" w:eastAsia="en-US"/>
              </w:rPr>
              <w:t>声环境</w:t>
            </w:r>
          </w:p>
        </w:tc>
        <w:tc>
          <w:tcPr>
            <w:tcW w:w="1417" w:type="dxa"/>
            <w:vAlign w:val="center"/>
          </w:tcPr>
          <w:p w14:paraId="10F2E629">
            <w:pPr>
              <w:pStyle w:val="316"/>
              <w:rPr>
                <w:lang w:val="en-US" w:eastAsia="zh-CN"/>
              </w:rPr>
            </w:pPr>
            <w:r>
              <w:rPr>
                <w:rFonts w:hint="eastAsia"/>
                <w:lang w:val="en-US" w:eastAsia="zh-CN"/>
              </w:rPr>
              <w:t>雅斯联合站</w:t>
            </w:r>
            <w:r>
              <w:rPr>
                <w:lang w:val="en-US" w:eastAsia="zh-CN"/>
              </w:rPr>
              <w:t>周围200m的声环境。</w:t>
            </w:r>
          </w:p>
        </w:tc>
        <w:tc>
          <w:tcPr>
            <w:tcW w:w="2694" w:type="dxa"/>
            <w:vAlign w:val="center"/>
          </w:tcPr>
          <w:p w14:paraId="30640962">
            <w:pPr>
              <w:pStyle w:val="316"/>
              <w:rPr>
                <w:lang w:val="en-US" w:eastAsia="en-US"/>
              </w:rPr>
            </w:pPr>
            <w:r>
              <w:rPr>
                <w:lang w:val="en-US" w:eastAsia="en-US"/>
              </w:rPr>
              <w:t>——</w:t>
            </w:r>
          </w:p>
        </w:tc>
        <w:tc>
          <w:tcPr>
            <w:tcW w:w="1842" w:type="dxa"/>
            <w:vAlign w:val="center"/>
          </w:tcPr>
          <w:p w14:paraId="2817ADF4">
            <w:pPr>
              <w:pStyle w:val="316"/>
              <w:rPr>
                <w:spacing w:val="-10"/>
                <w:lang w:val="en-US" w:eastAsia="zh-CN"/>
              </w:rPr>
            </w:pPr>
            <w:r>
              <w:rPr>
                <w:rFonts w:hint="eastAsia"/>
                <w:lang w:val="en-US" w:eastAsia="zh-CN"/>
              </w:rPr>
              <w:t>雅斯联合站</w:t>
            </w:r>
            <w:r>
              <w:rPr>
                <w:lang w:val="en-US" w:eastAsia="zh-CN"/>
              </w:rPr>
              <w:t>周围200m无居民点</w:t>
            </w:r>
          </w:p>
        </w:tc>
        <w:tc>
          <w:tcPr>
            <w:tcW w:w="1418" w:type="dxa"/>
            <w:vAlign w:val="center"/>
          </w:tcPr>
          <w:p w14:paraId="2BA423DE">
            <w:pPr>
              <w:pStyle w:val="316"/>
              <w:rPr>
                <w:lang w:val="en-US" w:eastAsia="zh-CN"/>
              </w:rPr>
            </w:pPr>
            <w:r>
              <w:rPr>
                <w:lang w:val="en-US" w:eastAsia="zh-CN"/>
              </w:rPr>
              <w:t>符合</w:t>
            </w:r>
            <w:r>
              <w:rPr>
                <w:rFonts w:hint="eastAsia"/>
                <w:lang w:val="en-US" w:eastAsia="zh-CN"/>
              </w:rPr>
              <w:t>（</w:t>
            </w:r>
            <w:r>
              <w:rPr>
                <w:lang w:val="en-US" w:eastAsia="zh-CN"/>
              </w:rPr>
              <w:t>GB3096- 2008</w:t>
            </w:r>
            <w:r>
              <w:rPr>
                <w:rFonts w:hint="eastAsia"/>
                <w:lang w:val="en-US" w:eastAsia="zh-CN"/>
              </w:rPr>
              <w:t>）</w:t>
            </w:r>
            <w:r>
              <w:rPr>
                <w:lang w:val="en-US" w:eastAsia="zh-CN"/>
              </w:rPr>
              <w:t>中2类标准</w:t>
            </w:r>
          </w:p>
        </w:tc>
      </w:tr>
      <w:tr w14:paraId="08243A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Align w:val="center"/>
          </w:tcPr>
          <w:p w14:paraId="509B387D">
            <w:pPr>
              <w:pStyle w:val="316"/>
              <w:rPr>
                <w:lang w:val="en-US" w:eastAsia="zh-CN"/>
              </w:rPr>
            </w:pPr>
            <w:r>
              <w:rPr>
                <w:lang w:val="en-US" w:eastAsia="en-US"/>
              </w:rPr>
              <w:t>生态</w:t>
            </w:r>
          </w:p>
          <w:p w14:paraId="2BD74B03">
            <w:pPr>
              <w:pStyle w:val="316"/>
              <w:rPr>
                <w:lang w:val="en-US" w:eastAsia="en-US"/>
              </w:rPr>
            </w:pPr>
            <w:r>
              <w:rPr>
                <w:lang w:val="en-US" w:eastAsia="en-US"/>
              </w:rPr>
              <w:t>环境</w:t>
            </w:r>
          </w:p>
        </w:tc>
        <w:tc>
          <w:tcPr>
            <w:tcW w:w="1417" w:type="dxa"/>
            <w:vAlign w:val="center"/>
          </w:tcPr>
          <w:p w14:paraId="0F913367">
            <w:pPr>
              <w:pStyle w:val="316"/>
              <w:rPr>
                <w:lang w:val="en-US" w:eastAsia="zh-CN"/>
              </w:rPr>
            </w:pPr>
            <w:r>
              <w:rPr>
                <w:lang w:val="en-US" w:eastAsia="zh-CN"/>
              </w:rPr>
              <w:t>油田范围内草原植被、土地资源、野生动物、土壤等</w:t>
            </w:r>
          </w:p>
        </w:tc>
        <w:tc>
          <w:tcPr>
            <w:tcW w:w="2694" w:type="dxa"/>
            <w:vAlign w:val="center"/>
          </w:tcPr>
          <w:p w14:paraId="51167A86">
            <w:pPr>
              <w:pStyle w:val="316"/>
              <w:rPr>
                <w:lang w:val="en-US" w:eastAsia="zh-CN"/>
              </w:rPr>
            </w:pPr>
            <w:r>
              <w:rPr>
                <w:lang w:val="en-US" w:eastAsia="zh-CN"/>
              </w:rPr>
              <w:t>整个油田开发区域外扩1km。</w:t>
            </w:r>
          </w:p>
        </w:tc>
        <w:tc>
          <w:tcPr>
            <w:tcW w:w="1842" w:type="dxa"/>
            <w:vAlign w:val="center"/>
          </w:tcPr>
          <w:p w14:paraId="4E9A3D90">
            <w:pPr>
              <w:pStyle w:val="316"/>
              <w:rPr>
                <w:lang w:val="en-US" w:eastAsia="zh-CN"/>
              </w:rPr>
            </w:pPr>
            <w:r>
              <w:rPr>
                <w:lang w:val="en-US" w:eastAsia="zh-CN"/>
              </w:rPr>
              <w:t>评价区草地以大针茅、羊草为主</w:t>
            </w:r>
          </w:p>
        </w:tc>
        <w:tc>
          <w:tcPr>
            <w:tcW w:w="1418" w:type="dxa"/>
            <w:vAlign w:val="center"/>
          </w:tcPr>
          <w:p w14:paraId="4EE22D98">
            <w:pPr>
              <w:pStyle w:val="316"/>
              <w:rPr>
                <w:spacing w:val="-10"/>
                <w:lang w:val="en-US" w:eastAsia="zh-CN"/>
              </w:rPr>
            </w:pPr>
            <w:r>
              <w:rPr>
                <w:spacing w:val="-10"/>
                <w:lang w:val="en-US" w:eastAsia="en-US"/>
              </w:rPr>
              <w:t>减少生态</w:t>
            </w:r>
            <w:r>
              <w:rPr>
                <w:rFonts w:hint="eastAsia"/>
                <w:spacing w:val="-10"/>
                <w:lang w:val="en-US" w:eastAsia="zh-CN"/>
              </w:rPr>
              <w:t>影响</w:t>
            </w:r>
          </w:p>
        </w:tc>
      </w:tr>
      <w:tr w14:paraId="79DB06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Merge w:val="restart"/>
            <w:vAlign w:val="center"/>
          </w:tcPr>
          <w:p w14:paraId="4BDBF975">
            <w:pPr>
              <w:pStyle w:val="316"/>
              <w:rPr>
                <w:lang w:val="en-US" w:eastAsia="zh-CN"/>
              </w:rPr>
            </w:pPr>
            <w:r>
              <w:rPr>
                <w:rFonts w:hint="eastAsia"/>
                <w:lang w:val="en-US" w:eastAsia="zh-CN"/>
              </w:rPr>
              <w:t>环境</w:t>
            </w:r>
          </w:p>
          <w:p w14:paraId="11FBA9C9">
            <w:pPr>
              <w:pStyle w:val="316"/>
              <w:rPr>
                <w:lang w:val="en-US" w:eastAsia="en-US"/>
              </w:rPr>
            </w:pPr>
            <w:r>
              <w:rPr>
                <w:rFonts w:hint="eastAsia"/>
                <w:lang w:val="en-US" w:eastAsia="zh-CN"/>
              </w:rPr>
              <w:t>风险</w:t>
            </w:r>
          </w:p>
        </w:tc>
        <w:tc>
          <w:tcPr>
            <w:tcW w:w="1417" w:type="dxa"/>
            <w:vAlign w:val="center"/>
          </w:tcPr>
          <w:p w14:paraId="1C19D275">
            <w:pPr>
              <w:pStyle w:val="316"/>
              <w:rPr>
                <w:lang w:val="en-US" w:eastAsia="en-US"/>
              </w:rPr>
            </w:pPr>
            <w:r>
              <w:rPr>
                <w:rFonts w:hint="eastAsia"/>
                <w:lang w:val="en-US" w:eastAsia="zh-CN"/>
              </w:rPr>
              <w:t>雅斯联合站</w:t>
            </w:r>
          </w:p>
        </w:tc>
        <w:tc>
          <w:tcPr>
            <w:tcW w:w="2694" w:type="dxa"/>
            <w:vAlign w:val="center"/>
          </w:tcPr>
          <w:p w14:paraId="12B1D20B">
            <w:pPr>
              <w:pStyle w:val="316"/>
              <w:rPr>
                <w:spacing w:val="-10"/>
                <w:lang w:val="en-US" w:eastAsia="zh-CN"/>
              </w:rPr>
            </w:pPr>
            <w:r>
              <w:rPr>
                <w:rFonts w:hint="eastAsia"/>
                <w:spacing w:val="-10"/>
                <w:lang w:val="en-US" w:eastAsia="zh-CN"/>
              </w:rPr>
              <w:t>联合站内</w:t>
            </w:r>
          </w:p>
        </w:tc>
        <w:tc>
          <w:tcPr>
            <w:tcW w:w="1842" w:type="dxa"/>
            <w:vAlign w:val="center"/>
          </w:tcPr>
          <w:p w14:paraId="1E8821C8">
            <w:pPr>
              <w:pStyle w:val="316"/>
              <w:rPr>
                <w:spacing w:val="-10"/>
                <w:lang w:val="en-US" w:eastAsia="zh-CN"/>
              </w:rPr>
            </w:pPr>
            <w:r>
              <w:rPr>
                <w:spacing w:val="-10"/>
                <w:lang w:val="en-US" w:eastAsia="zh-CN"/>
              </w:rPr>
              <w:t>办公和职工宿舍区</w:t>
            </w:r>
          </w:p>
        </w:tc>
        <w:tc>
          <w:tcPr>
            <w:tcW w:w="1418" w:type="dxa"/>
            <w:vMerge w:val="restart"/>
            <w:vAlign w:val="center"/>
          </w:tcPr>
          <w:p w14:paraId="365EFB5B">
            <w:pPr>
              <w:pStyle w:val="316"/>
              <w:rPr>
                <w:kern w:val="0"/>
                <w:lang w:val="en-US" w:eastAsia="zh-CN"/>
              </w:rPr>
            </w:pPr>
            <w:r>
              <w:rPr>
                <w:kern w:val="0"/>
                <w:lang w:val="en-US" w:eastAsia="en-US"/>
              </w:rPr>
              <w:t>维持现有</w:t>
            </w:r>
          </w:p>
          <w:p w14:paraId="3C05ED53">
            <w:pPr>
              <w:pStyle w:val="316"/>
              <w:rPr>
                <w:spacing w:val="-10"/>
                <w:lang w:val="en-US" w:eastAsia="en-US"/>
              </w:rPr>
            </w:pPr>
            <w:r>
              <w:rPr>
                <w:kern w:val="0"/>
                <w:lang w:val="en-US" w:eastAsia="en-US"/>
              </w:rPr>
              <w:t>功能</w:t>
            </w:r>
          </w:p>
        </w:tc>
      </w:tr>
      <w:tr w14:paraId="20FB64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Merge w:val="continue"/>
            <w:vAlign w:val="center"/>
          </w:tcPr>
          <w:p w14:paraId="1E7D0585">
            <w:pPr>
              <w:pStyle w:val="316"/>
              <w:rPr>
                <w:lang w:val="en-US" w:eastAsia="zh-CN"/>
              </w:rPr>
            </w:pPr>
          </w:p>
        </w:tc>
        <w:tc>
          <w:tcPr>
            <w:tcW w:w="1417" w:type="dxa"/>
            <w:vAlign w:val="center"/>
          </w:tcPr>
          <w:p w14:paraId="65D6D08D">
            <w:pPr>
              <w:pStyle w:val="316"/>
              <w:rPr>
                <w:lang w:val="en-US" w:eastAsia="en-US"/>
              </w:rPr>
            </w:pPr>
            <w:r>
              <w:rPr>
                <w:rFonts w:hint="eastAsia"/>
                <w:lang w:val="en-US" w:eastAsia="zh-CN"/>
              </w:rPr>
              <w:t>油田范围内牧户</w:t>
            </w:r>
          </w:p>
        </w:tc>
        <w:tc>
          <w:tcPr>
            <w:tcW w:w="2694" w:type="dxa"/>
            <w:vAlign w:val="center"/>
          </w:tcPr>
          <w:p w14:paraId="287DE55F">
            <w:pPr>
              <w:pStyle w:val="316"/>
              <w:rPr>
                <w:lang w:val="en-US" w:eastAsia="zh-CN"/>
              </w:rPr>
            </w:pPr>
            <w:r>
              <w:rPr>
                <w:rFonts w:hint="eastAsia"/>
                <w:lang w:val="en-US" w:eastAsia="zh-CN"/>
              </w:rPr>
              <w:t>评价范围内</w:t>
            </w:r>
          </w:p>
        </w:tc>
        <w:tc>
          <w:tcPr>
            <w:tcW w:w="1842" w:type="dxa"/>
            <w:vAlign w:val="center"/>
          </w:tcPr>
          <w:p w14:paraId="3E52E1DA">
            <w:pPr>
              <w:pStyle w:val="316"/>
              <w:rPr>
                <w:spacing w:val="-10"/>
                <w:lang w:val="en-US" w:eastAsia="zh-CN"/>
              </w:rPr>
            </w:pPr>
            <w:r>
              <w:rPr>
                <w:rFonts w:hint="eastAsia"/>
                <w:spacing w:val="-10"/>
                <w:lang w:val="en-US" w:eastAsia="zh-CN"/>
              </w:rPr>
              <w:t>牧户</w:t>
            </w:r>
          </w:p>
        </w:tc>
        <w:tc>
          <w:tcPr>
            <w:tcW w:w="1418" w:type="dxa"/>
            <w:vMerge w:val="continue"/>
            <w:vAlign w:val="center"/>
          </w:tcPr>
          <w:p w14:paraId="489AF408">
            <w:pPr>
              <w:pStyle w:val="316"/>
              <w:rPr>
                <w:kern w:val="0"/>
                <w:lang w:val="en-US" w:eastAsia="zh-CN"/>
              </w:rPr>
            </w:pPr>
          </w:p>
        </w:tc>
      </w:tr>
    </w:tbl>
    <w:p w14:paraId="403120A0">
      <w:pPr>
        <w:spacing w:line="240" w:lineRule="auto"/>
        <w:ind w:firstLine="482"/>
        <w:rPr>
          <w:rFonts w:hAnsi="宋体"/>
          <w:b/>
          <w:szCs w:val="24"/>
          <w:lang w:eastAsia="zh-CN"/>
        </w:rPr>
      </w:pPr>
    </w:p>
    <w:p w14:paraId="47D9006F">
      <w:pPr>
        <w:spacing w:line="240" w:lineRule="auto"/>
        <w:ind w:firstLine="0" w:firstLineChars="0"/>
        <w:jc w:val="center"/>
        <w:rPr>
          <w:b/>
          <w:lang w:eastAsia="zh-CN"/>
        </w:rPr>
        <w:sectPr>
          <w:headerReference r:id="rId11" w:type="default"/>
          <w:footerReference r:id="rId12" w:type="default"/>
          <w:footerReference r:id="rId13" w:type="even"/>
          <w:pgSz w:w="11907" w:h="16840"/>
          <w:pgMar w:top="1440" w:right="1797" w:bottom="1440" w:left="1797" w:header="851" w:footer="992" w:gutter="0"/>
          <w:cols w:space="720" w:num="1"/>
          <w:docGrid w:linePitch="326" w:charSpace="0"/>
        </w:sectPr>
      </w:pPr>
    </w:p>
    <w:bookmarkEnd w:id="41"/>
    <w:bookmarkEnd w:id="42"/>
    <w:bookmarkEnd w:id="43"/>
    <w:bookmarkEnd w:id="44"/>
    <w:bookmarkEnd w:id="45"/>
    <w:p w14:paraId="61D5BC15">
      <w:pPr>
        <w:pStyle w:val="2"/>
        <w:rPr>
          <w:lang w:eastAsia="zh-CN"/>
        </w:rPr>
      </w:pPr>
      <w:bookmarkStart w:id="112" w:name="_Toc248649411"/>
      <w:bookmarkStart w:id="113" w:name="_Toc408413902"/>
      <w:r>
        <w:rPr>
          <w:lang w:eastAsia="zh-CN"/>
        </w:rPr>
        <w:t>2</w:t>
      </w:r>
      <w:bookmarkEnd w:id="112"/>
      <w:r>
        <w:rPr>
          <w:lang w:eastAsia="zh-CN"/>
        </w:rPr>
        <w:t>工程概况</w:t>
      </w:r>
      <w:bookmarkEnd w:id="113"/>
    </w:p>
    <w:p w14:paraId="67EC9460">
      <w:pPr>
        <w:pStyle w:val="3"/>
        <w:rPr>
          <w:lang w:eastAsia="zh-CN"/>
        </w:rPr>
      </w:pPr>
      <w:bookmarkStart w:id="114" w:name="_Toc408413903"/>
      <w:r>
        <w:rPr>
          <w:lang w:eastAsia="zh-CN"/>
        </w:rPr>
        <w:t>2.1油田发展史</w:t>
      </w:r>
      <w:bookmarkEnd w:id="114"/>
    </w:p>
    <w:p w14:paraId="65CC6409">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1、油田发展历程</w:t>
      </w:r>
    </w:p>
    <w:p w14:paraId="4C698FAA">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乌里雅斯太</w:t>
      </w:r>
      <w:r>
        <w:rPr>
          <w:rFonts w:asciiTheme="minorEastAsia" w:hAnsiTheme="minorEastAsia" w:eastAsiaTheme="minorEastAsia"/>
          <w:lang w:eastAsia="zh-CN"/>
        </w:rPr>
        <w:t>油田构造上隶属于二连盆地马尼特坳陷东北端，整体呈北东向长条型展布，为一西北断东南超的半地堑，分为南、中、北三个次级洼槽，目前油气勘探</w:t>
      </w:r>
      <w:r>
        <w:rPr>
          <w:rFonts w:hint="eastAsia" w:asciiTheme="minorEastAsia" w:hAnsiTheme="minorEastAsia" w:eastAsiaTheme="minorEastAsia"/>
          <w:lang w:eastAsia="zh-CN"/>
        </w:rPr>
        <w:t>开发</w:t>
      </w:r>
      <w:r>
        <w:rPr>
          <w:rFonts w:asciiTheme="minorEastAsia" w:hAnsiTheme="minorEastAsia" w:eastAsiaTheme="minorEastAsia"/>
          <w:lang w:eastAsia="zh-CN"/>
        </w:rPr>
        <w:t>主要集中在南洼槽。南洼槽位于乌里雅斯太凹陷南端，为滚动开发项目。</w:t>
      </w:r>
    </w:p>
    <w:p w14:paraId="4C6B13EF">
      <w:pPr>
        <w:overflowPunct w:val="0"/>
        <w:autoSpaceDE w:val="0"/>
        <w:ind w:firstLine="480"/>
        <w:rPr>
          <w:rFonts w:asciiTheme="minorEastAsia" w:hAnsiTheme="minorEastAsia" w:eastAsiaTheme="minorEastAsia"/>
          <w:lang w:eastAsia="zh-CN"/>
        </w:rPr>
      </w:pPr>
      <w:r>
        <w:rPr>
          <w:rFonts w:asciiTheme="minorEastAsia" w:hAnsiTheme="minorEastAsia" w:eastAsiaTheme="minorEastAsia"/>
          <w:lang w:eastAsia="zh-CN"/>
        </w:rPr>
        <w:t>乌里雅斯太南洼槽的油气勘探始于1987年，1988年发现太参1油藏</w:t>
      </w:r>
      <w:r>
        <w:rPr>
          <w:rFonts w:hint="eastAsia" w:asciiTheme="minorEastAsia" w:hAnsiTheme="minorEastAsia" w:eastAsiaTheme="minorEastAsia"/>
          <w:lang w:eastAsia="zh-CN"/>
        </w:rPr>
        <w:t>，之后，随着对该区</w:t>
      </w:r>
      <w:r>
        <w:rPr>
          <w:rFonts w:asciiTheme="minorEastAsia" w:hAnsiTheme="minorEastAsia" w:eastAsiaTheme="minorEastAsia"/>
          <w:lang w:eastAsia="zh-CN"/>
        </w:rPr>
        <w:t>勘探理念不断深化、勘探思路不断转变</w:t>
      </w:r>
      <w:r>
        <w:rPr>
          <w:rFonts w:hint="eastAsia" w:asciiTheme="minorEastAsia" w:hAnsiTheme="minorEastAsia" w:eastAsiaTheme="minorEastAsia"/>
          <w:lang w:eastAsia="zh-CN"/>
        </w:rPr>
        <w:t>，该区的勘探也取得了较大的成就，</w:t>
      </w:r>
      <w:r>
        <w:rPr>
          <w:rFonts w:asciiTheme="minorEastAsia" w:hAnsiTheme="minorEastAsia" w:eastAsiaTheme="minorEastAsia"/>
          <w:lang w:eastAsia="zh-CN"/>
        </w:rPr>
        <w:t>2004年该区K</w:t>
      </w:r>
      <w:r>
        <w:rPr>
          <w:rFonts w:asciiTheme="minorEastAsia" w:hAnsiTheme="minorEastAsia" w:eastAsiaTheme="minorEastAsia"/>
          <w:vertAlign w:val="subscript"/>
          <w:lang w:eastAsia="zh-CN"/>
        </w:rPr>
        <w:t>1</w:t>
      </w:r>
      <w:r>
        <w:rPr>
          <w:rFonts w:asciiTheme="minorEastAsia" w:hAnsiTheme="minorEastAsia" w:eastAsiaTheme="minorEastAsia"/>
          <w:lang w:eastAsia="zh-CN"/>
        </w:rPr>
        <w:t>bt</w:t>
      </w:r>
      <w:r>
        <w:rPr>
          <w:rFonts w:asciiTheme="minorEastAsia" w:hAnsiTheme="minorEastAsia" w:eastAsiaTheme="minorEastAsia"/>
          <w:vertAlign w:val="superscript"/>
          <w:lang w:eastAsia="zh-CN"/>
        </w:rPr>
        <w:t>1</w:t>
      </w:r>
      <w:r>
        <w:rPr>
          <w:rFonts w:asciiTheme="minorEastAsia" w:hAnsiTheme="minorEastAsia" w:eastAsiaTheme="minorEastAsia"/>
          <w:lang w:eastAsia="zh-CN"/>
        </w:rPr>
        <w:t>上报控制储量2164×10</w:t>
      </w:r>
      <w:r>
        <w:rPr>
          <w:rFonts w:asciiTheme="minorEastAsia" w:hAnsiTheme="minorEastAsia" w:eastAsiaTheme="minorEastAsia"/>
          <w:vertAlign w:val="superscript"/>
          <w:lang w:eastAsia="zh-CN"/>
        </w:rPr>
        <w:t>4</w:t>
      </w:r>
      <w:r>
        <w:rPr>
          <w:rFonts w:asciiTheme="minorEastAsia" w:hAnsiTheme="minorEastAsia" w:eastAsiaTheme="minorEastAsia"/>
          <w:lang w:eastAsia="zh-CN"/>
        </w:rPr>
        <w:t>t，K</w:t>
      </w:r>
      <w:r>
        <w:rPr>
          <w:rFonts w:asciiTheme="minorEastAsia" w:hAnsiTheme="minorEastAsia" w:eastAsiaTheme="minorEastAsia"/>
          <w:vertAlign w:val="subscript"/>
          <w:lang w:eastAsia="zh-CN"/>
        </w:rPr>
        <w:t>1</w:t>
      </w:r>
      <w:r>
        <w:rPr>
          <w:rFonts w:asciiTheme="minorEastAsia" w:hAnsiTheme="minorEastAsia" w:eastAsiaTheme="minorEastAsia"/>
          <w:lang w:eastAsia="zh-CN"/>
        </w:rPr>
        <w:t>ba</w:t>
      </w:r>
      <w:r>
        <w:rPr>
          <w:rFonts w:asciiTheme="minorEastAsia" w:hAnsiTheme="minorEastAsia" w:eastAsiaTheme="minorEastAsia"/>
          <w:vertAlign w:val="superscript"/>
          <w:lang w:eastAsia="zh-CN"/>
        </w:rPr>
        <w:t>4</w:t>
      </w:r>
      <w:r>
        <w:rPr>
          <w:rFonts w:hint="eastAsia" w:asciiTheme="minorEastAsia" w:hAnsiTheme="minorEastAsia" w:eastAsiaTheme="minorEastAsia"/>
          <w:lang w:eastAsia="zh-CN"/>
        </w:rPr>
        <w:t>，</w:t>
      </w:r>
      <w:r>
        <w:rPr>
          <w:rFonts w:asciiTheme="minorEastAsia" w:hAnsiTheme="minorEastAsia" w:eastAsiaTheme="minorEastAsia"/>
          <w:lang w:eastAsia="zh-CN"/>
        </w:rPr>
        <w:t>上报预测储量3008×10</w:t>
      </w:r>
      <w:r>
        <w:rPr>
          <w:rFonts w:asciiTheme="minorEastAsia" w:hAnsiTheme="minorEastAsia" w:eastAsiaTheme="minorEastAsia"/>
          <w:vertAlign w:val="superscript"/>
          <w:lang w:eastAsia="zh-CN"/>
        </w:rPr>
        <w:t>4</w:t>
      </w:r>
      <w:r>
        <w:rPr>
          <w:rFonts w:asciiTheme="minorEastAsia" w:hAnsiTheme="minorEastAsia" w:eastAsiaTheme="minorEastAsia"/>
          <w:lang w:eastAsia="zh-CN"/>
        </w:rPr>
        <w:t>t。</w:t>
      </w:r>
    </w:p>
    <w:p w14:paraId="1D37AAE0">
      <w:pPr>
        <w:overflowPunct w:val="0"/>
        <w:autoSpaceDE w:val="0"/>
        <w:ind w:firstLine="480"/>
        <w:rPr>
          <w:rFonts w:asciiTheme="minorEastAsia" w:hAnsiTheme="minorEastAsia" w:eastAsiaTheme="minorEastAsia"/>
          <w:lang w:eastAsia="zh-CN"/>
        </w:rPr>
      </w:pPr>
      <w:r>
        <w:rPr>
          <w:rFonts w:asciiTheme="minorEastAsia" w:hAnsiTheme="minorEastAsia" w:eastAsiaTheme="minorEastAsia"/>
          <w:lang w:eastAsia="zh-CN"/>
        </w:rPr>
        <w:t>2006年针对</w:t>
      </w:r>
      <w:r>
        <w:rPr>
          <w:rFonts w:hint="eastAsia" w:asciiTheme="minorEastAsia" w:hAnsiTheme="minorEastAsia" w:eastAsiaTheme="minorEastAsia"/>
          <w:lang w:eastAsia="zh-CN"/>
        </w:rPr>
        <w:t>太53断块AⅡ油组</w:t>
      </w:r>
      <w:r>
        <w:rPr>
          <w:rFonts w:asciiTheme="minorEastAsia" w:hAnsiTheme="minorEastAsia" w:eastAsiaTheme="minorEastAsia"/>
          <w:lang w:eastAsia="zh-CN"/>
        </w:rPr>
        <w:t>开展开发试验井组试验。试验井组采用菱形井网</w:t>
      </w:r>
      <w:r>
        <w:rPr>
          <w:rFonts w:asciiTheme="minorEastAsia" w:hAnsiTheme="minorEastAsia" w:eastAsiaTheme="minorEastAsia"/>
          <w:szCs w:val="20"/>
          <w:lang w:eastAsia="zh-CN"/>
        </w:rPr>
        <w:t>300m井距150m排距布井</w:t>
      </w:r>
      <w:r>
        <w:rPr>
          <w:rFonts w:asciiTheme="minorEastAsia" w:hAnsiTheme="minorEastAsia" w:eastAsiaTheme="minorEastAsia"/>
          <w:lang w:eastAsia="zh-CN"/>
        </w:rPr>
        <w:t>，注水方式开发。</w:t>
      </w:r>
    </w:p>
    <w:p w14:paraId="4598D97F">
      <w:pPr>
        <w:overflowPunct w:val="0"/>
        <w:autoSpaceDE w:val="0"/>
        <w:ind w:firstLine="480"/>
        <w:rPr>
          <w:rFonts w:asciiTheme="minorEastAsia" w:hAnsiTheme="minorEastAsia" w:eastAsiaTheme="minorEastAsia"/>
          <w:lang w:eastAsia="zh-CN"/>
        </w:rPr>
      </w:pPr>
      <w:r>
        <w:rPr>
          <w:rFonts w:asciiTheme="minorEastAsia" w:hAnsiTheme="minorEastAsia" w:eastAsiaTheme="minorEastAsia"/>
          <w:lang w:eastAsia="zh-CN"/>
        </w:rPr>
        <w:t>截止</w:t>
      </w:r>
      <w:r>
        <w:rPr>
          <w:rFonts w:hint="eastAsia" w:asciiTheme="minorEastAsia" w:hAnsiTheme="minorEastAsia" w:eastAsiaTheme="minorEastAsia"/>
          <w:lang w:eastAsia="zh-CN"/>
        </w:rPr>
        <w:t>2013年底，乌里雅斯太油田合作区内共投产油井21口/开井15口，累积产油5.93×10</w:t>
      </w:r>
      <w:r>
        <w:rPr>
          <w:rFonts w:hint="eastAsia" w:asciiTheme="minorEastAsia" w:hAnsiTheme="minorEastAsia" w:eastAsiaTheme="minorEastAsia"/>
          <w:vertAlign w:val="superscript"/>
          <w:lang w:eastAsia="zh-CN"/>
        </w:rPr>
        <w:t>4</w:t>
      </w:r>
      <w:r>
        <w:rPr>
          <w:rFonts w:hint="eastAsia" w:asciiTheme="minorEastAsia" w:hAnsiTheme="minorEastAsia" w:eastAsiaTheme="minorEastAsia"/>
          <w:lang w:eastAsia="zh-CN"/>
        </w:rPr>
        <w:t>t；投注水井5口/开井4口，累积注水24.8×10</w:t>
      </w:r>
      <w:r>
        <w:rPr>
          <w:rFonts w:hint="eastAsia" w:asciiTheme="minorEastAsia" w:hAnsiTheme="minorEastAsia" w:eastAsiaTheme="minorEastAsia"/>
          <w:vertAlign w:val="superscript"/>
          <w:lang w:eastAsia="zh-CN"/>
        </w:rPr>
        <w:t>4</w:t>
      </w:r>
      <w:r>
        <w:rPr>
          <w:rFonts w:hint="eastAsia" w:asciiTheme="minorEastAsia" w:hAnsiTheme="minorEastAsia" w:eastAsiaTheme="minorEastAsia"/>
          <w:lang w:eastAsia="zh-CN"/>
        </w:rPr>
        <w:t>m</w:t>
      </w:r>
      <w:r>
        <w:rPr>
          <w:rFonts w:hint="eastAsia" w:asciiTheme="minorEastAsia" w:hAnsiTheme="minorEastAsia" w:eastAsiaTheme="minorEastAsia"/>
          <w:vertAlign w:val="superscript"/>
          <w:lang w:eastAsia="zh-CN"/>
        </w:rPr>
        <w:t>3</w:t>
      </w:r>
      <w:r>
        <w:rPr>
          <w:rFonts w:hint="eastAsia" w:asciiTheme="minorEastAsia" w:hAnsiTheme="minorEastAsia" w:eastAsiaTheme="minorEastAsia"/>
          <w:lang w:eastAsia="zh-CN"/>
        </w:rPr>
        <w:t>。</w:t>
      </w:r>
    </w:p>
    <w:p w14:paraId="1BE20610">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乌里雅斯太油田开发项目主要开采太53断块、太27断块，现有油井48口，其中，太53断块22口/开井16口，太27断块26口；现有注水井</w:t>
      </w:r>
      <w:r>
        <w:rPr>
          <w:rFonts w:hint="eastAsia" w:asciiTheme="minorEastAsia" w:hAnsiTheme="minorEastAsia" w:eastAsiaTheme="minorEastAsia"/>
          <w:kern w:val="2"/>
          <w:szCs w:val="24"/>
          <w:lang w:eastAsia="zh-CN" w:bidi="ar-SA"/>
        </w:rPr>
        <w:t>21口（太27断块16口，太53断块5口），开井</w:t>
      </w:r>
      <w:r>
        <w:rPr>
          <w:rFonts w:asciiTheme="minorEastAsia" w:hAnsiTheme="minorEastAsia" w:eastAsiaTheme="minorEastAsia"/>
          <w:kern w:val="2"/>
          <w:szCs w:val="24"/>
          <w:lang w:eastAsia="zh-CN" w:bidi="ar-SA"/>
        </w:rPr>
        <w:t>17</w:t>
      </w:r>
      <w:r>
        <w:rPr>
          <w:rFonts w:hint="eastAsia" w:asciiTheme="minorEastAsia" w:hAnsiTheme="minorEastAsia" w:eastAsiaTheme="minorEastAsia"/>
          <w:kern w:val="2"/>
          <w:szCs w:val="24"/>
          <w:lang w:eastAsia="zh-CN" w:bidi="ar-SA"/>
        </w:rPr>
        <w:t>口（太</w:t>
      </w:r>
      <w:r>
        <w:rPr>
          <w:rFonts w:asciiTheme="minorEastAsia" w:hAnsiTheme="minorEastAsia" w:eastAsiaTheme="minorEastAsia"/>
          <w:kern w:val="2"/>
          <w:szCs w:val="24"/>
          <w:lang w:eastAsia="zh-CN" w:bidi="ar-SA"/>
        </w:rPr>
        <w:t>27</w:t>
      </w:r>
      <w:r>
        <w:rPr>
          <w:rFonts w:hint="eastAsia" w:asciiTheme="minorEastAsia" w:hAnsiTheme="minorEastAsia" w:eastAsiaTheme="minorEastAsia"/>
          <w:kern w:val="2"/>
          <w:szCs w:val="24"/>
          <w:lang w:eastAsia="zh-CN" w:bidi="ar-SA"/>
        </w:rPr>
        <w:t>断块</w:t>
      </w:r>
      <w:r>
        <w:rPr>
          <w:rFonts w:asciiTheme="minorEastAsia" w:hAnsiTheme="minorEastAsia" w:eastAsiaTheme="minorEastAsia"/>
          <w:kern w:val="2"/>
          <w:szCs w:val="24"/>
          <w:lang w:eastAsia="zh-CN" w:bidi="ar-SA"/>
        </w:rPr>
        <w:t>13</w:t>
      </w:r>
      <w:r>
        <w:rPr>
          <w:rFonts w:hint="eastAsia" w:asciiTheme="minorEastAsia" w:hAnsiTheme="minorEastAsia" w:eastAsiaTheme="minorEastAsia"/>
          <w:kern w:val="2"/>
          <w:szCs w:val="24"/>
          <w:lang w:eastAsia="zh-CN" w:bidi="ar-SA"/>
        </w:rPr>
        <w:t>口，太</w:t>
      </w:r>
      <w:r>
        <w:rPr>
          <w:rFonts w:asciiTheme="minorEastAsia" w:hAnsiTheme="minorEastAsia" w:eastAsiaTheme="minorEastAsia"/>
          <w:kern w:val="2"/>
          <w:szCs w:val="24"/>
          <w:lang w:eastAsia="zh-CN" w:bidi="ar-SA"/>
        </w:rPr>
        <w:t>53</w:t>
      </w:r>
      <w:r>
        <w:rPr>
          <w:rFonts w:hint="eastAsia" w:asciiTheme="minorEastAsia" w:hAnsiTheme="minorEastAsia" w:eastAsiaTheme="minorEastAsia"/>
          <w:kern w:val="2"/>
          <w:szCs w:val="24"/>
          <w:lang w:eastAsia="zh-CN" w:bidi="ar-SA"/>
        </w:rPr>
        <w:t>断块</w:t>
      </w:r>
      <w:r>
        <w:rPr>
          <w:rFonts w:asciiTheme="minorEastAsia" w:hAnsiTheme="minorEastAsia" w:eastAsiaTheme="minorEastAsia"/>
          <w:kern w:val="2"/>
          <w:szCs w:val="24"/>
          <w:lang w:eastAsia="zh-CN" w:bidi="ar-SA"/>
        </w:rPr>
        <w:t>4</w:t>
      </w:r>
      <w:r>
        <w:rPr>
          <w:rFonts w:hint="eastAsia" w:asciiTheme="minorEastAsia" w:hAnsiTheme="minorEastAsia" w:eastAsiaTheme="minorEastAsia"/>
          <w:kern w:val="2"/>
          <w:szCs w:val="24"/>
          <w:lang w:eastAsia="zh-CN" w:bidi="ar-SA"/>
        </w:rPr>
        <w:t>口）</w:t>
      </w:r>
      <w:r>
        <w:rPr>
          <w:rFonts w:hint="eastAsia" w:asciiTheme="minorEastAsia" w:hAnsiTheme="minorEastAsia" w:eastAsiaTheme="minorEastAsia"/>
          <w:lang w:eastAsia="zh-CN"/>
        </w:rPr>
        <w:t>。雅—站地面接转站1座，产能3.0</w:t>
      </w:r>
      <w:r>
        <w:rPr>
          <w:rFonts w:asciiTheme="minorEastAsia" w:hAnsiTheme="minorEastAsia" w:eastAsiaTheme="minorEastAsia"/>
          <w:lang w:eastAsia="zh-CN"/>
        </w:rPr>
        <w:t>×10</w:t>
      </w:r>
      <w:r>
        <w:rPr>
          <w:rFonts w:asciiTheme="minorEastAsia" w:hAnsiTheme="minorEastAsia" w:eastAsiaTheme="minorEastAsia"/>
          <w:vertAlign w:val="superscript"/>
          <w:lang w:eastAsia="zh-CN"/>
        </w:rPr>
        <w:t>4</w:t>
      </w:r>
      <w:r>
        <w:rPr>
          <w:rFonts w:asciiTheme="minorEastAsia" w:hAnsiTheme="minorEastAsia" w:eastAsiaTheme="minorEastAsia"/>
          <w:lang w:eastAsia="zh-CN"/>
        </w:rPr>
        <w:t>t</w:t>
      </w:r>
      <w:r>
        <w:rPr>
          <w:rFonts w:hint="eastAsia" w:asciiTheme="minorEastAsia" w:hAnsiTheme="minorEastAsia" w:eastAsiaTheme="minorEastAsia"/>
          <w:lang w:eastAsia="zh-CN"/>
        </w:rPr>
        <w:t>/a。</w:t>
      </w:r>
    </w:p>
    <w:p w14:paraId="3E2288BD">
      <w:pPr>
        <w:overflowPunct w:val="0"/>
        <w:autoSpaceDE w:val="0"/>
        <w:ind w:firstLine="480"/>
        <w:outlineLvl w:val="0"/>
        <w:rPr>
          <w:rFonts w:asciiTheme="minorEastAsia" w:hAnsiTheme="minorEastAsia" w:eastAsiaTheme="minorEastAsia"/>
          <w:lang w:eastAsia="zh-CN"/>
        </w:rPr>
      </w:pPr>
      <w:r>
        <w:rPr>
          <w:rFonts w:hint="eastAsia" w:asciiTheme="minorEastAsia" w:hAnsiTheme="minorEastAsia" w:eastAsiaTheme="minorEastAsia"/>
          <w:lang w:eastAsia="zh-CN"/>
        </w:rPr>
        <w:t>2、勘探期环境影响回顾性评价</w:t>
      </w:r>
    </w:p>
    <w:p w14:paraId="78037D63">
      <w:pPr>
        <w:overflowPunct w:val="0"/>
        <w:autoSpaceDE w:val="0"/>
        <w:ind w:firstLine="480"/>
        <w:rPr>
          <w:rFonts w:asciiTheme="minorEastAsia" w:hAnsiTheme="minorEastAsia" w:eastAsiaTheme="minorEastAsia"/>
          <w:lang w:eastAsia="zh-CN"/>
        </w:rPr>
      </w:pPr>
      <w:r>
        <w:rPr>
          <w:rFonts w:asciiTheme="minorEastAsia" w:hAnsiTheme="minorEastAsia" w:eastAsiaTheme="minorEastAsia"/>
          <w:lang w:eastAsia="zh-CN"/>
        </w:rPr>
        <w:t>勘探期钻井环境影响排放的污染物主要为钻井岩屑、废弃钻井泥浆及钻井废水、钻井噪声、井队工作人员的生活污水和生活垃圾等。根据现场调查及走访，勘探期钻井井场的施工噪声、施工废水及施工扬尘未对周围环境造成影响。勘探期的生态影响主要是对土壤、植被、生态景观和生态系统的影响，包括临时和永久占地对井场植被的破坏。建设单位勘探期环境保护工作主要体现在以下方面：</w:t>
      </w:r>
    </w:p>
    <w:p w14:paraId="1E8B17EA">
      <w:pPr>
        <w:overflowPunct w:val="0"/>
        <w:autoSpaceDE w:val="0"/>
        <w:ind w:firstLine="480"/>
        <w:rPr>
          <w:rFonts w:asciiTheme="minorEastAsia" w:hAnsiTheme="minorEastAsia" w:eastAsiaTheme="minorEastAsia"/>
          <w:lang w:eastAsia="zh-CN"/>
        </w:rPr>
      </w:pPr>
      <w:r>
        <w:rPr>
          <w:rFonts w:hint="eastAsia" w:asciiTheme="minorEastAsia" w:hAnsiTheme="minorEastAsia" w:eastAsiaTheme="minorEastAsia"/>
          <w:lang w:eastAsia="zh-CN"/>
        </w:rPr>
        <w:t>①</w:t>
      </w:r>
      <w:r>
        <w:rPr>
          <w:rFonts w:asciiTheme="minorEastAsia" w:hAnsiTheme="minorEastAsia" w:eastAsiaTheme="minorEastAsia"/>
          <w:lang w:eastAsia="zh-CN"/>
        </w:rPr>
        <w:t>通过采取“勘探开发一体化”模式，缩短了勘探期与开发期的时间间隔，部分勘探井作为了目前的生产井，勘探井井场推平过程中的弃土部分已作为铺垫井场材料，弃土弃渣得到了合理处置。</w:t>
      </w:r>
    </w:p>
    <w:p w14:paraId="5546D096">
      <w:pPr>
        <w:overflowPunct w:val="0"/>
        <w:autoSpaceDE w:val="0"/>
        <w:ind w:firstLine="480"/>
        <w:rPr>
          <w:rFonts w:asciiTheme="minorEastAsia" w:hAnsiTheme="minorEastAsia" w:eastAsiaTheme="minorEastAsia"/>
          <w:lang w:eastAsia="zh-CN"/>
        </w:rPr>
      </w:pPr>
      <w:r>
        <w:rPr>
          <w:rFonts w:hint="eastAsia" w:asciiTheme="minorEastAsia" w:hAnsiTheme="minorEastAsia" w:eastAsiaTheme="minorEastAsia"/>
          <w:lang w:eastAsia="zh-CN"/>
        </w:rPr>
        <w:t>②</w:t>
      </w:r>
      <w:r>
        <w:rPr>
          <w:rFonts w:asciiTheme="minorEastAsia" w:hAnsiTheme="minorEastAsia" w:eastAsiaTheme="minorEastAsia"/>
          <w:lang w:eastAsia="zh-CN"/>
        </w:rPr>
        <w:t>井场周围的临时占地均进行了植被恢复，恢复状况良好，钻井泥浆池均采取了无害化固化填埋处置措施，并进行了植被恢复，恢复状况良好。</w:t>
      </w:r>
    </w:p>
    <w:p w14:paraId="79523EAE">
      <w:pPr>
        <w:overflowPunct w:val="0"/>
        <w:autoSpaceDE w:val="0"/>
        <w:ind w:firstLine="480"/>
        <w:rPr>
          <w:rFonts w:asciiTheme="minorEastAsia" w:hAnsiTheme="minorEastAsia" w:eastAsiaTheme="minorEastAsia"/>
          <w:lang w:eastAsia="zh-CN"/>
        </w:rPr>
      </w:pPr>
      <w:r>
        <w:rPr>
          <w:rFonts w:hint="eastAsia" w:asciiTheme="minorEastAsia" w:hAnsiTheme="minorEastAsia" w:eastAsiaTheme="minorEastAsia"/>
          <w:lang w:eastAsia="zh-CN"/>
        </w:rPr>
        <w:t>③</w:t>
      </w:r>
      <w:r>
        <w:rPr>
          <w:rFonts w:asciiTheme="minorEastAsia" w:hAnsiTheme="minorEastAsia" w:eastAsiaTheme="minorEastAsia"/>
          <w:lang w:eastAsia="zh-CN"/>
        </w:rPr>
        <w:t>探勘期废弃井均进行了封井。</w:t>
      </w:r>
    </w:p>
    <w:p w14:paraId="14A14DA7">
      <w:pPr>
        <w:overflowPunct w:val="0"/>
        <w:autoSpaceDE w:val="0"/>
        <w:ind w:firstLine="480"/>
        <w:rPr>
          <w:rFonts w:asciiTheme="minorEastAsia" w:hAnsiTheme="minorEastAsia" w:eastAsiaTheme="minorEastAsia"/>
          <w:lang w:eastAsia="zh-CN"/>
        </w:rPr>
      </w:pPr>
      <w:r>
        <w:rPr>
          <w:rFonts w:asciiTheme="minorEastAsia" w:hAnsiTheme="minorEastAsia" w:eastAsiaTheme="minorEastAsia"/>
          <w:lang w:eastAsia="zh-CN"/>
        </w:rPr>
        <w:t>总体看，项目勘探期钻井数量少，分布分散，对环境影响较小，采取了环保措施后，项目勘探期环境影响得到了有效的控制和减缓。根据现场调查，勘探期未发现</w:t>
      </w:r>
      <w:r>
        <w:rPr>
          <w:rFonts w:hint="eastAsia" w:asciiTheme="minorEastAsia" w:hAnsiTheme="minorEastAsia" w:eastAsiaTheme="minorEastAsia"/>
          <w:lang w:eastAsia="zh-CN"/>
        </w:rPr>
        <w:t>明显的</w:t>
      </w:r>
      <w:r>
        <w:rPr>
          <w:rFonts w:asciiTheme="minorEastAsia" w:hAnsiTheme="minorEastAsia" w:eastAsiaTheme="minorEastAsia"/>
          <w:lang w:eastAsia="zh-CN"/>
        </w:rPr>
        <w:t>遗留环保问题。</w:t>
      </w:r>
    </w:p>
    <w:p w14:paraId="254D8FD6">
      <w:pPr>
        <w:pStyle w:val="3"/>
        <w:rPr>
          <w:lang w:eastAsia="zh-CN"/>
        </w:rPr>
      </w:pPr>
      <w:bookmarkStart w:id="115" w:name="_Toc408413904"/>
      <w:bookmarkStart w:id="116" w:name="_Toc338663468"/>
      <w:r>
        <w:rPr>
          <w:lang w:eastAsia="zh-CN"/>
        </w:rPr>
        <w:t>2.</w:t>
      </w:r>
      <w:r>
        <w:rPr>
          <w:rFonts w:hint="eastAsia"/>
          <w:lang w:eastAsia="zh-CN"/>
        </w:rPr>
        <w:t>2现有工程概况</w:t>
      </w:r>
      <w:bookmarkEnd w:id="115"/>
    </w:p>
    <w:p w14:paraId="6F560ECC">
      <w:pPr>
        <w:pStyle w:val="4"/>
        <w:rPr>
          <w:lang w:eastAsia="zh-CN"/>
        </w:rPr>
      </w:pPr>
      <w:bookmarkStart w:id="117" w:name="_Toc408413905"/>
      <w:r>
        <w:rPr>
          <w:lang w:eastAsia="zh-CN"/>
        </w:rPr>
        <w:t>2.</w:t>
      </w:r>
      <w:r>
        <w:rPr>
          <w:rFonts w:hint="eastAsia"/>
          <w:lang w:eastAsia="zh-CN"/>
        </w:rPr>
        <w:t>2</w:t>
      </w:r>
      <w:r>
        <w:rPr>
          <w:lang w:eastAsia="zh-CN"/>
        </w:rPr>
        <w:t>.1</w:t>
      </w:r>
      <w:r>
        <w:rPr>
          <w:rFonts w:hint="eastAsia"/>
          <w:lang w:eastAsia="zh-CN"/>
        </w:rPr>
        <w:t>现有工程</w:t>
      </w:r>
      <w:r>
        <w:rPr>
          <w:lang w:eastAsia="zh-CN"/>
        </w:rPr>
        <w:t>概况</w:t>
      </w:r>
      <w:bookmarkEnd w:id="117"/>
    </w:p>
    <w:p w14:paraId="4532BCB1">
      <w:pPr>
        <w:ind w:firstLine="480"/>
        <w:rPr>
          <w:rFonts w:asciiTheme="minorEastAsia" w:hAnsiTheme="minorEastAsia" w:eastAsiaTheme="minorEastAsia"/>
          <w:kern w:val="2"/>
          <w:szCs w:val="24"/>
          <w:lang w:eastAsia="zh-CN" w:bidi="ar-SA"/>
        </w:rPr>
      </w:pPr>
      <w:r>
        <w:rPr>
          <w:rFonts w:asciiTheme="minorEastAsia" w:hAnsiTheme="minorEastAsia" w:eastAsiaTheme="minorEastAsia"/>
          <w:kern w:val="2"/>
          <w:szCs w:val="24"/>
          <w:lang w:eastAsia="zh-CN" w:bidi="ar-SA"/>
        </w:rPr>
        <w:t>乌里雅斯太油田地面产能开发建设项目</w:t>
      </w:r>
      <w:r>
        <w:rPr>
          <w:rFonts w:hint="eastAsia" w:asciiTheme="minorEastAsia" w:hAnsiTheme="minorEastAsia" w:eastAsiaTheme="minorEastAsia"/>
          <w:kern w:val="2"/>
          <w:szCs w:val="24"/>
          <w:lang w:eastAsia="zh-CN" w:bidi="ar-SA"/>
        </w:rPr>
        <w:t xml:space="preserve">，开发太53 </w:t>
      </w:r>
      <w:r>
        <w:rPr>
          <w:rFonts w:asciiTheme="minorEastAsia" w:hAnsiTheme="minorEastAsia" w:eastAsiaTheme="minorEastAsia"/>
          <w:kern w:val="2"/>
          <w:szCs w:val="24"/>
          <w:lang w:eastAsia="zh-CN" w:bidi="ar-SA"/>
        </w:rPr>
        <w:t>断块</w:t>
      </w:r>
      <w:r>
        <w:rPr>
          <w:rFonts w:hint="eastAsia" w:asciiTheme="minorEastAsia" w:hAnsiTheme="minorEastAsia" w:eastAsiaTheme="minorEastAsia"/>
          <w:kern w:val="2"/>
          <w:szCs w:val="24"/>
          <w:lang w:eastAsia="zh-CN" w:bidi="ar-SA"/>
        </w:rPr>
        <w:t xml:space="preserve">和太27 </w:t>
      </w:r>
      <w:r>
        <w:rPr>
          <w:rFonts w:asciiTheme="minorEastAsia" w:hAnsiTheme="minorEastAsia" w:eastAsiaTheme="minorEastAsia"/>
          <w:kern w:val="2"/>
          <w:szCs w:val="24"/>
          <w:lang w:eastAsia="zh-CN" w:bidi="ar-SA"/>
        </w:rPr>
        <w:t>断块</w:t>
      </w:r>
      <w:r>
        <w:rPr>
          <w:rFonts w:hint="eastAsia" w:asciiTheme="minorEastAsia" w:hAnsiTheme="minorEastAsia" w:eastAsiaTheme="minorEastAsia"/>
          <w:kern w:val="2"/>
          <w:szCs w:val="24"/>
          <w:lang w:eastAsia="zh-CN" w:bidi="ar-SA"/>
        </w:rPr>
        <w:t xml:space="preserve">，太53 </w:t>
      </w:r>
      <w:r>
        <w:rPr>
          <w:rFonts w:asciiTheme="minorEastAsia" w:hAnsiTheme="minorEastAsia" w:eastAsiaTheme="minorEastAsia"/>
          <w:kern w:val="2"/>
          <w:szCs w:val="24"/>
          <w:lang w:eastAsia="zh-CN" w:bidi="ar-SA"/>
        </w:rPr>
        <w:t>断块</w:t>
      </w:r>
      <w:r>
        <w:rPr>
          <w:rFonts w:hint="eastAsia" w:asciiTheme="minorEastAsia" w:hAnsiTheme="minorEastAsia" w:eastAsiaTheme="minorEastAsia"/>
          <w:kern w:val="2"/>
          <w:szCs w:val="24"/>
          <w:lang w:eastAsia="zh-CN" w:bidi="ar-SA"/>
        </w:rPr>
        <w:t>探明含油面积12.95km</w:t>
      </w:r>
      <w:r>
        <w:rPr>
          <w:rFonts w:hint="eastAsia" w:asciiTheme="minorEastAsia" w:hAnsiTheme="minorEastAsia" w:eastAsiaTheme="minorEastAsia"/>
          <w:kern w:val="2"/>
          <w:szCs w:val="24"/>
          <w:vertAlign w:val="superscript"/>
          <w:lang w:eastAsia="zh-CN" w:bidi="ar-SA"/>
        </w:rPr>
        <w:t>2</w:t>
      </w:r>
      <w:r>
        <w:rPr>
          <w:rFonts w:hint="eastAsia" w:asciiTheme="minorEastAsia" w:hAnsiTheme="minorEastAsia" w:eastAsiaTheme="minorEastAsia"/>
          <w:kern w:val="2"/>
          <w:szCs w:val="24"/>
          <w:lang w:eastAsia="zh-CN" w:bidi="ar-SA"/>
        </w:rPr>
        <w:t>，地质储量1060.54×10</w:t>
      </w:r>
      <w:r>
        <w:rPr>
          <w:rFonts w:hint="eastAsia" w:asciiTheme="minorEastAsia" w:hAnsiTheme="minorEastAsia" w:eastAsiaTheme="minorEastAsia"/>
          <w:kern w:val="2"/>
          <w:szCs w:val="24"/>
          <w:vertAlign w:val="superscript"/>
          <w:lang w:eastAsia="zh-CN" w:bidi="ar-SA"/>
        </w:rPr>
        <w:t>4</w:t>
      </w:r>
      <w:r>
        <w:rPr>
          <w:rFonts w:hint="eastAsia" w:asciiTheme="minorEastAsia" w:hAnsiTheme="minorEastAsia" w:eastAsiaTheme="minorEastAsia"/>
          <w:kern w:val="2"/>
          <w:szCs w:val="24"/>
          <w:lang w:eastAsia="zh-CN" w:bidi="ar-SA"/>
        </w:rPr>
        <w:t>t，现有油井22口，开井16口；太27断块探明含油面积11.27km</w:t>
      </w:r>
      <w:r>
        <w:rPr>
          <w:rFonts w:hint="eastAsia" w:asciiTheme="minorEastAsia" w:hAnsiTheme="minorEastAsia" w:eastAsiaTheme="minorEastAsia"/>
          <w:kern w:val="2"/>
          <w:szCs w:val="24"/>
          <w:vertAlign w:val="superscript"/>
          <w:lang w:eastAsia="zh-CN" w:bidi="ar-SA"/>
        </w:rPr>
        <w:t>2</w:t>
      </w:r>
      <w:r>
        <w:rPr>
          <w:rFonts w:hint="eastAsia" w:asciiTheme="minorEastAsia" w:hAnsiTheme="minorEastAsia" w:eastAsiaTheme="minorEastAsia"/>
          <w:kern w:val="2"/>
          <w:szCs w:val="24"/>
          <w:lang w:eastAsia="zh-CN" w:bidi="ar-SA"/>
        </w:rPr>
        <w:t>，地质储量1226.91×10</w:t>
      </w:r>
      <w:r>
        <w:rPr>
          <w:rFonts w:hint="eastAsia" w:asciiTheme="minorEastAsia" w:hAnsiTheme="minorEastAsia" w:eastAsiaTheme="minorEastAsia"/>
          <w:kern w:val="2"/>
          <w:szCs w:val="24"/>
          <w:vertAlign w:val="superscript"/>
          <w:lang w:eastAsia="zh-CN" w:bidi="ar-SA"/>
        </w:rPr>
        <w:t>4</w:t>
      </w:r>
      <w:r>
        <w:rPr>
          <w:rFonts w:hint="eastAsia" w:asciiTheme="minorEastAsia" w:hAnsiTheme="minorEastAsia" w:eastAsiaTheme="minorEastAsia"/>
          <w:kern w:val="2"/>
          <w:szCs w:val="24"/>
          <w:lang w:eastAsia="zh-CN" w:bidi="ar-SA"/>
        </w:rPr>
        <w:t>t。现有油井26口；现有注水井21口（太27断块16口，太53断块5口），开井</w:t>
      </w:r>
      <w:r>
        <w:rPr>
          <w:rFonts w:asciiTheme="minorEastAsia" w:hAnsiTheme="minorEastAsia" w:eastAsiaTheme="minorEastAsia"/>
          <w:kern w:val="2"/>
          <w:szCs w:val="24"/>
          <w:lang w:eastAsia="zh-CN" w:bidi="ar-SA"/>
        </w:rPr>
        <w:t>17</w:t>
      </w:r>
      <w:r>
        <w:rPr>
          <w:rFonts w:hint="eastAsia" w:asciiTheme="minorEastAsia" w:hAnsiTheme="minorEastAsia" w:eastAsiaTheme="minorEastAsia"/>
          <w:kern w:val="2"/>
          <w:szCs w:val="24"/>
          <w:lang w:eastAsia="zh-CN" w:bidi="ar-SA"/>
        </w:rPr>
        <w:t>口（太</w:t>
      </w:r>
      <w:r>
        <w:rPr>
          <w:rFonts w:asciiTheme="minorEastAsia" w:hAnsiTheme="minorEastAsia" w:eastAsiaTheme="minorEastAsia"/>
          <w:kern w:val="2"/>
          <w:szCs w:val="24"/>
          <w:lang w:eastAsia="zh-CN" w:bidi="ar-SA"/>
        </w:rPr>
        <w:t>27</w:t>
      </w:r>
      <w:r>
        <w:rPr>
          <w:rFonts w:hint="eastAsia" w:asciiTheme="minorEastAsia" w:hAnsiTheme="minorEastAsia" w:eastAsiaTheme="minorEastAsia"/>
          <w:kern w:val="2"/>
          <w:szCs w:val="24"/>
          <w:lang w:eastAsia="zh-CN" w:bidi="ar-SA"/>
        </w:rPr>
        <w:t>断块</w:t>
      </w:r>
      <w:r>
        <w:rPr>
          <w:rFonts w:asciiTheme="minorEastAsia" w:hAnsiTheme="minorEastAsia" w:eastAsiaTheme="minorEastAsia"/>
          <w:kern w:val="2"/>
          <w:szCs w:val="24"/>
          <w:lang w:eastAsia="zh-CN" w:bidi="ar-SA"/>
        </w:rPr>
        <w:t>13</w:t>
      </w:r>
      <w:r>
        <w:rPr>
          <w:rFonts w:hint="eastAsia" w:asciiTheme="minorEastAsia" w:hAnsiTheme="minorEastAsia" w:eastAsiaTheme="minorEastAsia"/>
          <w:kern w:val="2"/>
          <w:szCs w:val="24"/>
          <w:lang w:eastAsia="zh-CN" w:bidi="ar-SA"/>
        </w:rPr>
        <w:t>口，太</w:t>
      </w:r>
      <w:r>
        <w:rPr>
          <w:rFonts w:asciiTheme="minorEastAsia" w:hAnsiTheme="minorEastAsia" w:eastAsiaTheme="minorEastAsia"/>
          <w:kern w:val="2"/>
          <w:szCs w:val="24"/>
          <w:lang w:eastAsia="zh-CN" w:bidi="ar-SA"/>
        </w:rPr>
        <w:t>53</w:t>
      </w:r>
      <w:r>
        <w:rPr>
          <w:rFonts w:hint="eastAsia" w:asciiTheme="minorEastAsia" w:hAnsiTheme="minorEastAsia" w:eastAsiaTheme="minorEastAsia"/>
          <w:kern w:val="2"/>
          <w:szCs w:val="24"/>
          <w:lang w:eastAsia="zh-CN" w:bidi="ar-SA"/>
        </w:rPr>
        <w:t>断块</w:t>
      </w:r>
      <w:r>
        <w:rPr>
          <w:rFonts w:asciiTheme="minorEastAsia" w:hAnsiTheme="minorEastAsia" w:eastAsiaTheme="minorEastAsia"/>
          <w:kern w:val="2"/>
          <w:szCs w:val="24"/>
          <w:lang w:eastAsia="zh-CN" w:bidi="ar-SA"/>
        </w:rPr>
        <w:t>4</w:t>
      </w:r>
      <w:r>
        <w:rPr>
          <w:rFonts w:hint="eastAsia" w:asciiTheme="minorEastAsia" w:hAnsiTheme="minorEastAsia" w:eastAsiaTheme="minorEastAsia"/>
          <w:kern w:val="2"/>
          <w:szCs w:val="24"/>
          <w:lang w:eastAsia="zh-CN" w:bidi="ar-SA"/>
        </w:rPr>
        <w:t>口）。</w:t>
      </w:r>
    </w:p>
    <w:p w14:paraId="1BB9E6BA">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lang w:eastAsia="zh-CN"/>
        </w:rPr>
        <w:t>乌里雅斯太油田2004年投入试采，2006年结合产能建设雅一站接转站，产能为油处理规模3×10</w:t>
      </w:r>
      <w:r>
        <w:rPr>
          <w:rFonts w:hint="eastAsia" w:asciiTheme="minorEastAsia" w:hAnsiTheme="minorEastAsia" w:eastAsiaTheme="minorEastAsia"/>
          <w:vertAlign w:val="superscript"/>
          <w:lang w:eastAsia="zh-CN"/>
        </w:rPr>
        <w:t>4</w:t>
      </w:r>
      <w:r>
        <w:rPr>
          <w:rFonts w:hint="eastAsia" w:asciiTheme="minorEastAsia" w:hAnsiTheme="minorEastAsia" w:eastAsiaTheme="minorEastAsia"/>
          <w:lang w:eastAsia="zh-CN"/>
        </w:rPr>
        <w:t>t/a，气处理规模5×10</w:t>
      </w:r>
      <w:r>
        <w:rPr>
          <w:rFonts w:hint="eastAsia" w:asciiTheme="minorEastAsia" w:hAnsiTheme="minorEastAsia" w:eastAsiaTheme="minorEastAsia"/>
          <w:vertAlign w:val="superscript"/>
          <w:lang w:eastAsia="zh-CN"/>
        </w:rPr>
        <w:t>4</w:t>
      </w:r>
      <w:r>
        <w:rPr>
          <w:rFonts w:hint="eastAsia" w:asciiTheme="minorEastAsia" w:hAnsiTheme="minorEastAsia" w:eastAsiaTheme="minorEastAsia"/>
          <w:lang w:eastAsia="zh-CN"/>
        </w:rPr>
        <w:t>m</w:t>
      </w:r>
      <w:r>
        <w:rPr>
          <w:rFonts w:hint="eastAsia" w:asciiTheme="minorEastAsia" w:hAnsiTheme="minorEastAsia" w:eastAsiaTheme="minorEastAsia"/>
          <w:vertAlign w:val="superscript"/>
          <w:lang w:eastAsia="zh-CN"/>
        </w:rPr>
        <w:t>3</w:t>
      </w:r>
      <w:r>
        <w:rPr>
          <w:rFonts w:hint="eastAsia" w:asciiTheme="minorEastAsia" w:hAnsiTheme="minorEastAsia" w:eastAsiaTheme="minorEastAsia"/>
          <w:lang w:eastAsia="zh-CN"/>
        </w:rPr>
        <w:t>/d。太53断块采出油采取三管伴热集油方式经集输油管线进雅一站，太</w:t>
      </w:r>
      <w:r>
        <w:rPr>
          <w:rFonts w:asciiTheme="minorEastAsia" w:hAnsiTheme="minorEastAsia" w:eastAsiaTheme="minorEastAsia"/>
          <w:lang w:eastAsia="zh-CN"/>
        </w:rPr>
        <w:t>27</w:t>
      </w:r>
      <w:r>
        <w:rPr>
          <w:rFonts w:hint="eastAsia" w:asciiTheme="minorEastAsia" w:hAnsiTheme="minorEastAsia" w:eastAsiaTheme="minorEastAsia"/>
          <w:lang w:eastAsia="zh-CN"/>
        </w:rPr>
        <w:t>断块单井全部采用单井罐生产，采</w:t>
      </w:r>
      <w:r>
        <w:rPr>
          <w:rFonts w:hint="eastAsia" w:asciiTheme="minorEastAsia" w:hAnsiTheme="minorEastAsia" w:eastAsiaTheme="minorEastAsia"/>
          <w:kern w:val="2"/>
          <w:szCs w:val="24"/>
          <w:lang w:eastAsia="zh-CN" w:bidi="ar-SA"/>
        </w:rPr>
        <w:t>出油暂存单体储油罐，经汽车拉运至雅—站。采出油运至雅—站后经油气分离及大罐沉降脱水合格后注入阿乌宝线，与阿尔油田原油一起输送至宝一联，通过宝蒙线、蒙阿线输送到阿赛线。</w:t>
      </w:r>
    </w:p>
    <w:p w14:paraId="52D8E062">
      <w:pPr>
        <w:ind w:firstLine="480"/>
        <w:rPr>
          <w:rFonts w:asciiTheme="minorEastAsia" w:hAnsiTheme="minorEastAsia" w:eastAsiaTheme="minorEastAsia"/>
          <w:kern w:val="2"/>
          <w:szCs w:val="24"/>
          <w:lang w:eastAsia="zh-CN"/>
        </w:rPr>
      </w:pPr>
      <w:r>
        <w:rPr>
          <w:rFonts w:hint="eastAsia" w:asciiTheme="minorEastAsia" w:hAnsiTheme="minorEastAsia" w:eastAsiaTheme="minorEastAsia"/>
          <w:kern w:val="2"/>
          <w:szCs w:val="24"/>
          <w:lang w:eastAsia="zh-CN"/>
        </w:rPr>
        <w:t>乌里雅斯太油田现有</w:t>
      </w:r>
      <w:r>
        <w:rPr>
          <w:rFonts w:asciiTheme="minorEastAsia" w:hAnsiTheme="minorEastAsia" w:eastAsiaTheme="minorEastAsia"/>
          <w:kern w:val="2"/>
          <w:szCs w:val="24"/>
          <w:lang w:eastAsia="zh-CN"/>
        </w:rPr>
        <w:t>油水井部署</w:t>
      </w:r>
      <w:r>
        <w:rPr>
          <w:rFonts w:hint="eastAsia" w:asciiTheme="minorEastAsia" w:hAnsiTheme="minorEastAsia" w:eastAsiaTheme="minorEastAsia"/>
          <w:kern w:val="2"/>
          <w:szCs w:val="24"/>
          <w:lang w:eastAsia="zh-CN"/>
        </w:rPr>
        <w:t>见表2.2-1，</w:t>
      </w:r>
      <w:r>
        <w:rPr>
          <w:rFonts w:hint="eastAsia" w:asciiTheme="minorEastAsia" w:hAnsiTheme="minorEastAsia" w:eastAsiaTheme="minorEastAsia"/>
          <w:kern w:val="2"/>
          <w:szCs w:val="24"/>
          <w:lang w:eastAsia="zh-CN" w:bidi="ar-SA"/>
        </w:rPr>
        <w:t xml:space="preserve">雅—站现有建设规模见表2.2-2，现有生产设备情况见表2.2-3。 </w:t>
      </w:r>
    </w:p>
    <w:p w14:paraId="0EEEE4DD">
      <w:pPr>
        <w:spacing w:line="240" w:lineRule="auto"/>
        <w:ind w:firstLine="482"/>
        <w:rPr>
          <w:b/>
          <w:lang w:eastAsia="zh-CN"/>
        </w:rPr>
      </w:pPr>
      <w:r>
        <w:rPr>
          <w:b/>
          <w:lang w:eastAsia="zh-CN"/>
        </w:rPr>
        <w:t>表2.</w:t>
      </w:r>
      <w:r>
        <w:rPr>
          <w:rFonts w:hint="eastAsia"/>
          <w:b/>
          <w:lang w:eastAsia="zh-CN"/>
        </w:rPr>
        <w:t>2</w:t>
      </w:r>
      <w:r>
        <w:rPr>
          <w:b/>
          <w:lang w:eastAsia="zh-CN"/>
        </w:rPr>
        <w:t>-</w:t>
      </w:r>
      <w:r>
        <w:rPr>
          <w:rFonts w:hint="eastAsia"/>
          <w:b/>
          <w:lang w:eastAsia="zh-CN"/>
        </w:rPr>
        <w:t>1</w:t>
      </w:r>
      <w:r>
        <w:rPr>
          <w:b/>
          <w:lang w:eastAsia="zh-CN"/>
        </w:rPr>
        <w:t xml:space="preserve">  </w:t>
      </w:r>
      <w:r>
        <w:rPr>
          <w:rFonts w:hint="eastAsia"/>
          <w:b/>
          <w:lang w:eastAsia="zh-CN"/>
        </w:rPr>
        <w:t xml:space="preserve"> 乌里雅斯太油田现有</w:t>
      </w:r>
      <w:r>
        <w:rPr>
          <w:b/>
          <w:lang w:eastAsia="zh-CN"/>
        </w:rPr>
        <w:t>油水井部署</w:t>
      </w:r>
      <w:r>
        <w:rPr>
          <w:rFonts w:hint="eastAsia"/>
          <w:b/>
          <w:lang w:eastAsia="zh-CN"/>
        </w:rPr>
        <w:t>表</w:t>
      </w:r>
    </w:p>
    <w:tbl>
      <w:tblPr>
        <w:tblStyle w:val="76"/>
        <w:tblW w:w="0" w:type="auto"/>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85"/>
        <w:gridCol w:w="1329"/>
        <w:gridCol w:w="1772"/>
        <w:gridCol w:w="1477"/>
        <w:gridCol w:w="1329"/>
        <w:gridCol w:w="1329"/>
      </w:tblGrid>
      <w:tr w14:paraId="36A973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1185" w:type="dxa"/>
            <w:vMerge w:val="restart"/>
            <w:vAlign w:val="center"/>
          </w:tcPr>
          <w:p w14:paraId="115AF6AC">
            <w:pPr>
              <w:pStyle w:val="518"/>
              <w:rPr>
                <w:rFonts w:asciiTheme="minorEastAsia" w:hAnsiTheme="minorEastAsia" w:eastAsiaTheme="minorEastAsia"/>
                <w:szCs w:val="21"/>
                <w:lang w:eastAsia="zh-CN"/>
              </w:rPr>
            </w:pPr>
            <w:r>
              <w:rPr>
                <w:rFonts w:asciiTheme="minorEastAsia" w:hAnsiTheme="minorEastAsia" w:eastAsiaTheme="minorEastAsia"/>
                <w:szCs w:val="21"/>
                <w:lang w:eastAsia="zh-CN"/>
              </w:rPr>
              <w:t>区块</w:t>
            </w:r>
          </w:p>
        </w:tc>
        <w:tc>
          <w:tcPr>
            <w:tcW w:w="1329" w:type="dxa"/>
            <w:vAlign w:val="center"/>
          </w:tcPr>
          <w:p w14:paraId="26B55802">
            <w:pPr>
              <w:pStyle w:val="518"/>
              <w:rPr>
                <w:rFonts w:asciiTheme="minorEastAsia" w:hAnsiTheme="minorEastAsia" w:eastAsiaTheme="minorEastAsia"/>
                <w:szCs w:val="21"/>
                <w:lang w:eastAsia="zh-CN"/>
              </w:rPr>
            </w:pPr>
            <w:r>
              <w:rPr>
                <w:rFonts w:hint="eastAsia" w:asciiTheme="minorEastAsia" w:hAnsiTheme="minorEastAsia" w:eastAsiaTheme="minorEastAsia"/>
                <w:szCs w:val="21"/>
                <w:lang w:eastAsia="zh-CN"/>
              </w:rPr>
              <w:t>总</w:t>
            </w:r>
            <w:r>
              <w:rPr>
                <w:rFonts w:asciiTheme="minorEastAsia" w:hAnsiTheme="minorEastAsia" w:eastAsiaTheme="minorEastAsia"/>
                <w:szCs w:val="21"/>
                <w:lang w:eastAsia="zh-CN"/>
              </w:rPr>
              <w:t>井数</w:t>
            </w:r>
          </w:p>
        </w:tc>
        <w:tc>
          <w:tcPr>
            <w:tcW w:w="3249" w:type="dxa"/>
            <w:gridSpan w:val="2"/>
            <w:vAlign w:val="center"/>
          </w:tcPr>
          <w:p w14:paraId="715D13C9">
            <w:pPr>
              <w:pStyle w:val="518"/>
              <w:rPr>
                <w:rFonts w:asciiTheme="minorEastAsia" w:hAnsiTheme="minorEastAsia" w:eastAsiaTheme="minorEastAsia"/>
                <w:szCs w:val="21"/>
                <w:lang w:eastAsia="zh-CN"/>
              </w:rPr>
            </w:pPr>
            <w:r>
              <w:rPr>
                <w:rFonts w:asciiTheme="minorEastAsia" w:hAnsiTheme="minorEastAsia" w:eastAsiaTheme="minorEastAsia"/>
                <w:szCs w:val="21"/>
                <w:lang w:eastAsia="zh-CN"/>
              </w:rPr>
              <w:t>现有油</w:t>
            </w:r>
            <w:r>
              <w:rPr>
                <w:rFonts w:asciiTheme="minorEastAsia" w:hAnsiTheme="minorEastAsia" w:eastAsiaTheme="minorEastAsia"/>
                <w:szCs w:val="21"/>
              </w:rPr>
              <w:t>井数</w:t>
            </w:r>
          </w:p>
        </w:tc>
        <w:tc>
          <w:tcPr>
            <w:tcW w:w="2658" w:type="dxa"/>
            <w:gridSpan w:val="2"/>
            <w:vAlign w:val="center"/>
          </w:tcPr>
          <w:p w14:paraId="31789C2A">
            <w:pPr>
              <w:pStyle w:val="518"/>
              <w:rPr>
                <w:rFonts w:asciiTheme="minorEastAsia" w:hAnsiTheme="minorEastAsia" w:eastAsiaTheme="minorEastAsia"/>
                <w:szCs w:val="21"/>
                <w:lang w:eastAsia="zh-CN"/>
              </w:rPr>
            </w:pPr>
            <w:r>
              <w:rPr>
                <w:rFonts w:asciiTheme="minorEastAsia" w:hAnsiTheme="minorEastAsia" w:eastAsiaTheme="minorEastAsia"/>
                <w:szCs w:val="21"/>
                <w:lang w:eastAsia="zh-CN"/>
              </w:rPr>
              <w:t>现有注水</w:t>
            </w:r>
            <w:r>
              <w:rPr>
                <w:rFonts w:asciiTheme="minorEastAsia" w:hAnsiTheme="minorEastAsia" w:eastAsiaTheme="minorEastAsia"/>
                <w:szCs w:val="21"/>
              </w:rPr>
              <w:t>井数</w:t>
            </w:r>
          </w:p>
        </w:tc>
      </w:tr>
      <w:tr w14:paraId="072CD1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1185" w:type="dxa"/>
            <w:vMerge w:val="continue"/>
            <w:vAlign w:val="center"/>
          </w:tcPr>
          <w:p w14:paraId="2963E7C8">
            <w:pPr>
              <w:pStyle w:val="518"/>
              <w:rPr>
                <w:rFonts w:asciiTheme="minorEastAsia" w:hAnsiTheme="minorEastAsia" w:eastAsiaTheme="minorEastAsia"/>
                <w:szCs w:val="21"/>
              </w:rPr>
            </w:pPr>
          </w:p>
        </w:tc>
        <w:tc>
          <w:tcPr>
            <w:tcW w:w="1329" w:type="dxa"/>
            <w:vAlign w:val="center"/>
          </w:tcPr>
          <w:p w14:paraId="6BE6FC3E">
            <w:pPr>
              <w:pStyle w:val="518"/>
              <w:rPr>
                <w:rFonts w:asciiTheme="minorEastAsia" w:hAnsiTheme="minorEastAsia" w:eastAsiaTheme="minorEastAsia"/>
                <w:szCs w:val="21"/>
              </w:rPr>
            </w:pPr>
            <w:r>
              <w:rPr>
                <w:rFonts w:asciiTheme="minorEastAsia" w:hAnsiTheme="minorEastAsia" w:eastAsiaTheme="minorEastAsia"/>
                <w:szCs w:val="21"/>
              </w:rPr>
              <w:t>(口)</w:t>
            </w:r>
          </w:p>
        </w:tc>
        <w:tc>
          <w:tcPr>
            <w:tcW w:w="1772" w:type="dxa"/>
            <w:vAlign w:val="center"/>
          </w:tcPr>
          <w:p w14:paraId="72969FB6">
            <w:pPr>
              <w:pStyle w:val="518"/>
              <w:rPr>
                <w:rFonts w:asciiTheme="minorEastAsia" w:hAnsiTheme="minorEastAsia" w:eastAsiaTheme="minorEastAsia"/>
                <w:szCs w:val="21"/>
              </w:rPr>
            </w:pPr>
            <w:r>
              <w:rPr>
                <w:rFonts w:asciiTheme="minorEastAsia" w:hAnsiTheme="minorEastAsia" w:eastAsiaTheme="minorEastAsia"/>
                <w:szCs w:val="21"/>
                <w:lang w:eastAsia="zh-CN"/>
              </w:rPr>
              <w:t>井数</w:t>
            </w:r>
            <w:r>
              <w:rPr>
                <w:rFonts w:asciiTheme="minorEastAsia" w:hAnsiTheme="minorEastAsia" w:eastAsiaTheme="minorEastAsia"/>
                <w:szCs w:val="21"/>
              </w:rPr>
              <w:t>(口)</w:t>
            </w:r>
          </w:p>
        </w:tc>
        <w:tc>
          <w:tcPr>
            <w:tcW w:w="1477" w:type="dxa"/>
          </w:tcPr>
          <w:p w14:paraId="7E1C06B0">
            <w:pPr>
              <w:pStyle w:val="518"/>
              <w:rPr>
                <w:rFonts w:asciiTheme="minorEastAsia" w:hAnsiTheme="minorEastAsia" w:eastAsiaTheme="minorEastAsia"/>
                <w:szCs w:val="21"/>
                <w:lang w:eastAsia="zh-CN"/>
              </w:rPr>
            </w:pPr>
            <w:r>
              <w:rPr>
                <w:rFonts w:asciiTheme="minorEastAsia" w:hAnsiTheme="minorEastAsia" w:eastAsiaTheme="minorEastAsia"/>
                <w:szCs w:val="21"/>
                <w:lang w:eastAsia="zh-CN"/>
              </w:rPr>
              <w:t>开井数(口)</w:t>
            </w:r>
          </w:p>
        </w:tc>
        <w:tc>
          <w:tcPr>
            <w:tcW w:w="1329" w:type="dxa"/>
            <w:vAlign w:val="center"/>
          </w:tcPr>
          <w:p w14:paraId="6A35E651">
            <w:pPr>
              <w:pStyle w:val="518"/>
              <w:rPr>
                <w:rFonts w:asciiTheme="minorEastAsia" w:hAnsiTheme="minorEastAsia" w:eastAsiaTheme="minorEastAsia"/>
                <w:szCs w:val="21"/>
                <w:lang w:eastAsia="zh-CN"/>
              </w:rPr>
            </w:pPr>
            <w:r>
              <w:rPr>
                <w:rFonts w:asciiTheme="minorEastAsia" w:hAnsiTheme="minorEastAsia" w:eastAsiaTheme="minorEastAsia"/>
                <w:szCs w:val="21"/>
                <w:lang w:eastAsia="zh-CN"/>
              </w:rPr>
              <w:t>井数(口)</w:t>
            </w:r>
          </w:p>
        </w:tc>
        <w:tc>
          <w:tcPr>
            <w:tcW w:w="1329" w:type="dxa"/>
          </w:tcPr>
          <w:p w14:paraId="5246F328">
            <w:pPr>
              <w:pStyle w:val="518"/>
              <w:rPr>
                <w:rFonts w:asciiTheme="minorEastAsia" w:hAnsiTheme="minorEastAsia" w:eastAsiaTheme="minorEastAsia"/>
                <w:szCs w:val="21"/>
                <w:lang w:eastAsia="zh-CN"/>
              </w:rPr>
            </w:pPr>
            <w:r>
              <w:rPr>
                <w:rFonts w:asciiTheme="minorEastAsia" w:hAnsiTheme="minorEastAsia" w:eastAsiaTheme="minorEastAsia"/>
                <w:szCs w:val="21"/>
                <w:lang w:eastAsia="zh-CN"/>
              </w:rPr>
              <w:t>开井数(口)</w:t>
            </w:r>
          </w:p>
        </w:tc>
      </w:tr>
      <w:tr w14:paraId="1A71FC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1185" w:type="dxa"/>
            <w:vAlign w:val="center"/>
          </w:tcPr>
          <w:p w14:paraId="649DC5AB">
            <w:pPr>
              <w:pStyle w:val="518"/>
              <w:rPr>
                <w:rFonts w:asciiTheme="minorEastAsia" w:hAnsiTheme="minorEastAsia" w:eastAsiaTheme="minorEastAsia"/>
                <w:szCs w:val="21"/>
                <w:lang w:eastAsia="zh-CN"/>
              </w:rPr>
            </w:pPr>
            <w:r>
              <w:rPr>
                <w:rFonts w:hint="eastAsia" w:asciiTheme="minorEastAsia" w:hAnsiTheme="minorEastAsia" w:eastAsiaTheme="minorEastAsia"/>
                <w:szCs w:val="21"/>
                <w:lang w:eastAsia="zh-CN"/>
              </w:rPr>
              <w:t>太53</w:t>
            </w:r>
          </w:p>
        </w:tc>
        <w:tc>
          <w:tcPr>
            <w:tcW w:w="1329" w:type="dxa"/>
            <w:vAlign w:val="center"/>
          </w:tcPr>
          <w:p w14:paraId="20D2F569">
            <w:pPr>
              <w:pStyle w:val="518"/>
              <w:rPr>
                <w:rFonts w:asciiTheme="minorEastAsia" w:hAnsiTheme="minorEastAsia" w:eastAsiaTheme="minorEastAsia"/>
                <w:szCs w:val="21"/>
                <w:lang w:eastAsia="zh-CN"/>
              </w:rPr>
            </w:pPr>
            <w:r>
              <w:rPr>
                <w:rFonts w:hint="eastAsia" w:asciiTheme="minorEastAsia" w:hAnsiTheme="minorEastAsia" w:eastAsiaTheme="minorEastAsia"/>
                <w:szCs w:val="21"/>
                <w:lang w:eastAsia="zh-CN"/>
              </w:rPr>
              <w:t>27</w:t>
            </w:r>
          </w:p>
        </w:tc>
        <w:tc>
          <w:tcPr>
            <w:tcW w:w="1772" w:type="dxa"/>
            <w:vAlign w:val="center"/>
          </w:tcPr>
          <w:p w14:paraId="0EEEDAE3">
            <w:pPr>
              <w:pStyle w:val="518"/>
              <w:rPr>
                <w:rFonts w:asciiTheme="minorEastAsia" w:hAnsiTheme="minorEastAsia" w:eastAsiaTheme="minorEastAsia"/>
                <w:szCs w:val="21"/>
                <w:lang w:eastAsia="zh-CN"/>
              </w:rPr>
            </w:pPr>
            <w:r>
              <w:rPr>
                <w:rFonts w:hint="eastAsia" w:asciiTheme="minorEastAsia" w:hAnsiTheme="minorEastAsia" w:eastAsiaTheme="minorEastAsia"/>
                <w:szCs w:val="21"/>
                <w:lang w:eastAsia="zh-CN"/>
              </w:rPr>
              <w:t>22</w:t>
            </w:r>
          </w:p>
        </w:tc>
        <w:tc>
          <w:tcPr>
            <w:tcW w:w="1477" w:type="dxa"/>
          </w:tcPr>
          <w:p w14:paraId="4C6D8043">
            <w:pPr>
              <w:pStyle w:val="518"/>
              <w:rPr>
                <w:rFonts w:asciiTheme="minorEastAsia" w:hAnsiTheme="minorEastAsia" w:eastAsiaTheme="minorEastAsia"/>
                <w:szCs w:val="21"/>
                <w:lang w:eastAsia="zh-CN"/>
              </w:rPr>
            </w:pPr>
            <w:r>
              <w:rPr>
                <w:rFonts w:hint="eastAsia" w:asciiTheme="minorEastAsia" w:hAnsiTheme="minorEastAsia" w:eastAsiaTheme="minorEastAsia"/>
                <w:szCs w:val="21"/>
                <w:lang w:eastAsia="zh-CN"/>
              </w:rPr>
              <w:t>16</w:t>
            </w:r>
          </w:p>
        </w:tc>
        <w:tc>
          <w:tcPr>
            <w:tcW w:w="1329" w:type="dxa"/>
            <w:vAlign w:val="center"/>
          </w:tcPr>
          <w:p w14:paraId="055BDAB7">
            <w:pPr>
              <w:pStyle w:val="518"/>
              <w:rPr>
                <w:rFonts w:asciiTheme="minorEastAsia" w:hAnsiTheme="minorEastAsia" w:eastAsiaTheme="minorEastAsia"/>
                <w:szCs w:val="21"/>
                <w:lang w:eastAsia="zh-CN"/>
              </w:rPr>
            </w:pPr>
            <w:r>
              <w:rPr>
                <w:rFonts w:hint="eastAsia" w:asciiTheme="minorEastAsia" w:hAnsiTheme="minorEastAsia" w:eastAsiaTheme="minorEastAsia"/>
                <w:szCs w:val="21"/>
                <w:lang w:eastAsia="zh-CN"/>
              </w:rPr>
              <w:t>5</w:t>
            </w:r>
          </w:p>
        </w:tc>
        <w:tc>
          <w:tcPr>
            <w:tcW w:w="1329" w:type="dxa"/>
          </w:tcPr>
          <w:p w14:paraId="74F056ED">
            <w:pPr>
              <w:pStyle w:val="518"/>
              <w:rPr>
                <w:rFonts w:asciiTheme="minorEastAsia" w:hAnsiTheme="minorEastAsia" w:eastAsiaTheme="minorEastAsia"/>
                <w:szCs w:val="21"/>
                <w:lang w:eastAsia="zh-CN"/>
              </w:rPr>
            </w:pPr>
            <w:r>
              <w:rPr>
                <w:rFonts w:hint="eastAsia" w:asciiTheme="minorEastAsia" w:hAnsiTheme="minorEastAsia" w:eastAsiaTheme="minorEastAsia"/>
                <w:szCs w:val="21"/>
                <w:lang w:eastAsia="zh-CN"/>
              </w:rPr>
              <w:t>4</w:t>
            </w:r>
          </w:p>
        </w:tc>
      </w:tr>
      <w:tr w14:paraId="6CF1D8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1185" w:type="dxa"/>
            <w:vAlign w:val="center"/>
          </w:tcPr>
          <w:p w14:paraId="6DC56ADB">
            <w:pPr>
              <w:pStyle w:val="518"/>
              <w:rPr>
                <w:rFonts w:asciiTheme="minorEastAsia" w:hAnsiTheme="minorEastAsia" w:eastAsiaTheme="minorEastAsia"/>
                <w:szCs w:val="21"/>
                <w:lang w:eastAsia="zh-CN"/>
              </w:rPr>
            </w:pPr>
            <w:r>
              <w:rPr>
                <w:rFonts w:hint="eastAsia" w:asciiTheme="minorEastAsia" w:hAnsiTheme="minorEastAsia" w:eastAsiaTheme="minorEastAsia"/>
                <w:szCs w:val="21"/>
                <w:lang w:eastAsia="zh-CN"/>
              </w:rPr>
              <w:t>太27</w:t>
            </w:r>
          </w:p>
        </w:tc>
        <w:tc>
          <w:tcPr>
            <w:tcW w:w="1329" w:type="dxa"/>
            <w:vAlign w:val="center"/>
          </w:tcPr>
          <w:p w14:paraId="4F87B7A8">
            <w:pPr>
              <w:pStyle w:val="518"/>
              <w:rPr>
                <w:rFonts w:asciiTheme="minorEastAsia" w:hAnsiTheme="minorEastAsia" w:eastAsiaTheme="minorEastAsia"/>
                <w:szCs w:val="21"/>
                <w:lang w:eastAsia="zh-CN"/>
              </w:rPr>
            </w:pPr>
            <w:r>
              <w:rPr>
                <w:rFonts w:hint="eastAsia" w:asciiTheme="minorEastAsia" w:hAnsiTheme="minorEastAsia" w:eastAsiaTheme="minorEastAsia"/>
                <w:szCs w:val="21"/>
                <w:lang w:eastAsia="zh-CN"/>
              </w:rPr>
              <w:t>42</w:t>
            </w:r>
          </w:p>
        </w:tc>
        <w:tc>
          <w:tcPr>
            <w:tcW w:w="1772" w:type="dxa"/>
            <w:vAlign w:val="center"/>
          </w:tcPr>
          <w:p w14:paraId="638DEB1E">
            <w:pPr>
              <w:pStyle w:val="518"/>
              <w:rPr>
                <w:rFonts w:asciiTheme="minorEastAsia" w:hAnsiTheme="minorEastAsia" w:eastAsiaTheme="minorEastAsia"/>
                <w:szCs w:val="21"/>
                <w:lang w:eastAsia="zh-CN"/>
              </w:rPr>
            </w:pPr>
            <w:r>
              <w:rPr>
                <w:rFonts w:hint="eastAsia" w:asciiTheme="minorEastAsia" w:hAnsiTheme="minorEastAsia" w:eastAsiaTheme="minorEastAsia"/>
                <w:szCs w:val="21"/>
                <w:lang w:eastAsia="zh-CN"/>
              </w:rPr>
              <w:t>26</w:t>
            </w:r>
          </w:p>
        </w:tc>
        <w:tc>
          <w:tcPr>
            <w:tcW w:w="1477" w:type="dxa"/>
          </w:tcPr>
          <w:p w14:paraId="6A27813D">
            <w:pPr>
              <w:pStyle w:val="518"/>
              <w:rPr>
                <w:rFonts w:asciiTheme="minorEastAsia" w:hAnsiTheme="minorEastAsia" w:eastAsiaTheme="minorEastAsia"/>
                <w:szCs w:val="21"/>
                <w:lang w:eastAsia="zh-CN"/>
              </w:rPr>
            </w:pPr>
            <w:r>
              <w:rPr>
                <w:rFonts w:hint="eastAsia" w:asciiTheme="minorEastAsia" w:hAnsiTheme="minorEastAsia" w:eastAsiaTheme="minorEastAsia"/>
                <w:szCs w:val="21"/>
                <w:lang w:eastAsia="zh-CN"/>
              </w:rPr>
              <w:t>26</w:t>
            </w:r>
          </w:p>
        </w:tc>
        <w:tc>
          <w:tcPr>
            <w:tcW w:w="1329" w:type="dxa"/>
            <w:vAlign w:val="center"/>
          </w:tcPr>
          <w:p w14:paraId="4C643B9B">
            <w:pPr>
              <w:pStyle w:val="518"/>
              <w:rPr>
                <w:rFonts w:asciiTheme="minorEastAsia" w:hAnsiTheme="minorEastAsia" w:eastAsiaTheme="minorEastAsia"/>
                <w:szCs w:val="21"/>
                <w:lang w:eastAsia="zh-CN"/>
              </w:rPr>
            </w:pPr>
            <w:r>
              <w:rPr>
                <w:rFonts w:hint="eastAsia" w:asciiTheme="minorEastAsia" w:hAnsiTheme="minorEastAsia" w:eastAsiaTheme="minorEastAsia"/>
                <w:szCs w:val="21"/>
                <w:lang w:eastAsia="zh-CN"/>
              </w:rPr>
              <w:t>16</w:t>
            </w:r>
          </w:p>
        </w:tc>
        <w:tc>
          <w:tcPr>
            <w:tcW w:w="1329" w:type="dxa"/>
          </w:tcPr>
          <w:p w14:paraId="5ED9E0AC">
            <w:pPr>
              <w:pStyle w:val="518"/>
              <w:rPr>
                <w:rFonts w:asciiTheme="minorEastAsia" w:hAnsiTheme="minorEastAsia" w:eastAsiaTheme="minorEastAsia"/>
                <w:szCs w:val="21"/>
                <w:lang w:eastAsia="zh-CN"/>
              </w:rPr>
            </w:pPr>
            <w:r>
              <w:rPr>
                <w:rFonts w:hint="eastAsia" w:asciiTheme="minorEastAsia" w:hAnsiTheme="minorEastAsia" w:eastAsiaTheme="minorEastAsia"/>
                <w:szCs w:val="21"/>
                <w:lang w:eastAsia="zh-CN"/>
              </w:rPr>
              <w:t>13</w:t>
            </w:r>
          </w:p>
        </w:tc>
      </w:tr>
      <w:tr w14:paraId="3C070A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1185" w:type="dxa"/>
            <w:tcBorders>
              <w:right w:val="single" w:color="auto" w:sz="4" w:space="0"/>
            </w:tcBorders>
            <w:vAlign w:val="center"/>
          </w:tcPr>
          <w:p w14:paraId="6CB42374">
            <w:pPr>
              <w:pStyle w:val="518"/>
              <w:rPr>
                <w:rFonts w:asciiTheme="minorEastAsia" w:hAnsiTheme="minorEastAsia" w:eastAsiaTheme="minorEastAsia"/>
                <w:szCs w:val="21"/>
                <w:lang w:eastAsia="zh-CN"/>
              </w:rPr>
            </w:pPr>
            <w:r>
              <w:rPr>
                <w:rFonts w:asciiTheme="minorEastAsia" w:hAnsiTheme="minorEastAsia" w:eastAsiaTheme="minorEastAsia"/>
                <w:szCs w:val="21"/>
                <w:lang w:eastAsia="zh-CN"/>
              </w:rPr>
              <w:t>合计</w:t>
            </w:r>
          </w:p>
        </w:tc>
        <w:tc>
          <w:tcPr>
            <w:tcW w:w="1329" w:type="dxa"/>
            <w:vAlign w:val="center"/>
          </w:tcPr>
          <w:p w14:paraId="75F72B7E">
            <w:pPr>
              <w:pStyle w:val="518"/>
              <w:rPr>
                <w:rFonts w:asciiTheme="minorEastAsia" w:hAnsiTheme="minorEastAsia" w:eastAsiaTheme="minorEastAsia"/>
                <w:szCs w:val="21"/>
                <w:lang w:eastAsia="zh-CN"/>
              </w:rPr>
            </w:pPr>
            <w:r>
              <w:rPr>
                <w:rFonts w:hint="eastAsia" w:asciiTheme="minorEastAsia" w:hAnsiTheme="minorEastAsia" w:eastAsiaTheme="minorEastAsia"/>
                <w:szCs w:val="21"/>
                <w:lang w:eastAsia="zh-CN"/>
              </w:rPr>
              <w:t>69</w:t>
            </w:r>
          </w:p>
        </w:tc>
        <w:tc>
          <w:tcPr>
            <w:tcW w:w="1772" w:type="dxa"/>
            <w:vAlign w:val="center"/>
          </w:tcPr>
          <w:p w14:paraId="03C4C95D">
            <w:pPr>
              <w:pStyle w:val="518"/>
              <w:rPr>
                <w:rFonts w:asciiTheme="minorEastAsia" w:hAnsiTheme="minorEastAsia" w:eastAsiaTheme="minorEastAsia"/>
                <w:szCs w:val="21"/>
              </w:rPr>
            </w:pPr>
            <w:r>
              <w:rPr>
                <w:rFonts w:hint="eastAsia" w:asciiTheme="minorEastAsia" w:hAnsiTheme="minorEastAsia" w:eastAsiaTheme="minorEastAsia"/>
                <w:szCs w:val="21"/>
                <w:lang w:eastAsia="zh-CN"/>
              </w:rPr>
              <w:t>48</w:t>
            </w:r>
          </w:p>
        </w:tc>
        <w:tc>
          <w:tcPr>
            <w:tcW w:w="1477" w:type="dxa"/>
          </w:tcPr>
          <w:p w14:paraId="422A8772">
            <w:pPr>
              <w:pStyle w:val="518"/>
              <w:rPr>
                <w:rFonts w:asciiTheme="minorEastAsia" w:hAnsiTheme="minorEastAsia" w:eastAsiaTheme="minorEastAsia"/>
                <w:szCs w:val="21"/>
                <w:lang w:eastAsia="zh-CN"/>
              </w:rPr>
            </w:pPr>
            <w:r>
              <w:rPr>
                <w:rFonts w:hint="eastAsia" w:asciiTheme="minorEastAsia" w:hAnsiTheme="minorEastAsia" w:eastAsiaTheme="minorEastAsia"/>
                <w:szCs w:val="21"/>
                <w:lang w:eastAsia="zh-CN"/>
              </w:rPr>
              <w:t>42</w:t>
            </w:r>
          </w:p>
        </w:tc>
        <w:tc>
          <w:tcPr>
            <w:tcW w:w="1329" w:type="dxa"/>
            <w:vAlign w:val="center"/>
          </w:tcPr>
          <w:p w14:paraId="55448670">
            <w:pPr>
              <w:pStyle w:val="518"/>
              <w:rPr>
                <w:rFonts w:asciiTheme="minorEastAsia" w:hAnsiTheme="minorEastAsia" w:eastAsiaTheme="minorEastAsia"/>
                <w:szCs w:val="21"/>
                <w:lang w:eastAsia="zh-CN"/>
              </w:rPr>
            </w:pPr>
            <w:r>
              <w:rPr>
                <w:rFonts w:hint="eastAsia" w:asciiTheme="minorEastAsia" w:hAnsiTheme="minorEastAsia" w:eastAsiaTheme="minorEastAsia"/>
                <w:szCs w:val="21"/>
                <w:lang w:eastAsia="zh-CN"/>
              </w:rPr>
              <w:t>21</w:t>
            </w:r>
          </w:p>
        </w:tc>
        <w:tc>
          <w:tcPr>
            <w:tcW w:w="1329" w:type="dxa"/>
          </w:tcPr>
          <w:p w14:paraId="1FC4FB9F">
            <w:pPr>
              <w:pStyle w:val="518"/>
              <w:rPr>
                <w:rFonts w:asciiTheme="minorEastAsia" w:hAnsiTheme="minorEastAsia" w:eastAsiaTheme="minorEastAsia"/>
                <w:szCs w:val="21"/>
                <w:lang w:eastAsia="zh-CN"/>
              </w:rPr>
            </w:pPr>
            <w:r>
              <w:rPr>
                <w:rFonts w:hint="eastAsia" w:asciiTheme="minorEastAsia" w:hAnsiTheme="minorEastAsia" w:eastAsiaTheme="minorEastAsia"/>
                <w:szCs w:val="21"/>
                <w:lang w:eastAsia="zh-CN"/>
              </w:rPr>
              <w:t>17</w:t>
            </w:r>
          </w:p>
        </w:tc>
      </w:tr>
    </w:tbl>
    <w:p w14:paraId="6E424CEF">
      <w:pPr>
        <w:spacing w:line="240" w:lineRule="auto"/>
        <w:ind w:firstLine="561" w:firstLineChars="233"/>
        <w:rPr>
          <w:b/>
          <w:lang w:eastAsia="zh-CN"/>
        </w:rPr>
      </w:pPr>
    </w:p>
    <w:p w14:paraId="663DC2EA">
      <w:pPr>
        <w:spacing w:line="240" w:lineRule="auto"/>
        <w:ind w:firstLine="561" w:firstLineChars="233"/>
        <w:rPr>
          <w:b/>
          <w:lang w:eastAsia="zh-CN"/>
        </w:rPr>
      </w:pPr>
    </w:p>
    <w:p w14:paraId="6BE46196">
      <w:pPr>
        <w:spacing w:line="240" w:lineRule="auto"/>
        <w:ind w:firstLine="561" w:firstLineChars="233"/>
        <w:rPr>
          <w:b/>
          <w:lang w:eastAsia="zh-CN"/>
        </w:rPr>
      </w:pPr>
    </w:p>
    <w:p w14:paraId="71E0536B">
      <w:pPr>
        <w:spacing w:line="240" w:lineRule="auto"/>
        <w:ind w:firstLine="561" w:firstLineChars="233"/>
        <w:rPr>
          <w:b/>
          <w:lang w:eastAsia="zh-CN"/>
        </w:rPr>
      </w:pPr>
    </w:p>
    <w:p w14:paraId="22A5A6E2">
      <w:pPr>
        <w:spacing w:line="240" w:lineRule="auto"/>
        <w:ind w:firstLine="561" w:firstLineChars="233"/>
        <w:rPr>
          <w:b/>
          <w:lang w:eastAsia="zh-CN"/>
        </w:rPr>
      </w:pPr>
    </w:p>
    <w:p w14:paraId="575078DF">
      <w:pPr>
        <w:spacing w:line="240" w:lineRule="auto"/>
        <w:ind w:firstLine="561" w:firstLineChars="233"/>
        <w:rPr>
          <w:b/>
          <w:lang w:eastAsia="zh-CN"/>
        </w:rPr>
      </w:pPr>
    </w:p>
    <w:p w14:paraId="7D3528AC">
      <w:pPr>
        <w:spacing w:line="240" w:lineRule="auto"/>
        <w:ind w:firstLine="561" w:firstLineChars="233"/>
        <w:rPr>
          <w:b/>
          <w:lang w:eastAsia="zh-CN"/>
        </w:rPr>
      </w:pPr>
    </w:p>
    <w:p w14:paraId="26C5C2F9">
      <w:pPr>
        <w:spacing w:line="240" w:lineRule="auto"/>
        <w:ind w:firstLine="561" w:firstLineChars="233"/>
        <w:rPr>
          <w:b/>
          <w:lang w:eastAsia="zh-CN"/>
        </w:rPr>
      </w:pPr>
    </w:p>
    <w:p w14:paraId="32E68B77">
      <w:pPr>
        <w:spacing w:line="240" w:lineRule="auto"/>
        <w:ind w:firstLine="561" w:firstLineChars="233"/>
        <w:rPr>
          <w:b/>
          <w:lang w:eastAsia="zh-CN"/>
        </w:rPr>
      </w:pPr>
      <w:r>
        <w:rPr>
          <w:rFonts w:hint="eastAsia"/>
          <w:b/>
          <w:lang w:eastAsia="zh-CN"/>
        </w:rPr>
        <w:t>表2.2-2       雅—站现有</w:t>
      </w:r>
      <w:r>
        <w:rPr>
          <w:rFonts w:hint="eastAsia" w:ascii="宋体" w:hAnsi="宋体"/>
          <w:b/>
          <w:lang w:eastAsia="zh-CN"/>
        </w:rPr>
        <w:t>建设规模表</w:t>
      </w:r>
    </w:p>
    <w:tbl>
      <w:tblPr>
        <w:tblStyle w:val="76"/>
        <w:tblW w:w="81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7"/>
        <w:gridCol w:w="1984"/>
        <w:gridCol w:w="3557"/>
      </w:tblGrid>
      <w:tr w14:paraId="26209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617" w:type="dxa"/>
            <w:tcBorders>
              <w:top w:val="single" w:color="auto" w:sz="12" w:space="0"/>
              <w:left w:val="single" w:color="auto" w:sz="12" w:space="0"/>
            </w:tcBorders>
            <w:vAlign w:val="center"/>
          </w:tcPr>
          <w:p w14:paraId="478BE326">
            <w:pPr>
              <w:widowControl/>
              <w:adjustRightInd w:val="0"/>
              <w:snapToGrid w:val="0"/>
              <w:spacing w:line="240" w:lineRule="auto"/>
              <w:ind w:firstLine="0" w:firstLineChars="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项目</w:t>
            </w:r>
          </w:p>
        </w:tc>
        <w:tc>
          <w:tcPr>
            <w:tcW w:w="1984" w:type="dxa"/>
            <w:tcBorders>
              <w:top w:val="single" w:color="auto" w:sz="12" w:space="0"/>
            </w:tcBorders>
            <w:vAlign w:val="center"/>
          </w:tcPr>
          <w:p w14:paraId="4F5829C4">
            <w:pPr>
              <w:widowControl/>
              <w:adjustRightInd w:val="0"/>
              <w:snapToGrid w:val="0"/>
              <w:spacing w:line="240" w:lineRule="auto"/>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建设规模</w:t>
            </w:r>
          </w:p>
        </w:tc>
        <w:tc>
          <w:tcPr>
            <w:tcW w:w="3557" w:type="dxa"/>
            <w:tcBorders>
              <w:top w:val="single" w:color="auto" w:sz="12" w:space="0"/>
              <w:right w:val="single" w:color="auto" w:sz="12" w:space="0"/>
            </w:tcBorders>
            <w:vAlign w:val="center"/>
          </w:tcPr>
          <w:p w14:paraId="1C6DB644">
            <w:pPr>
              <w:widowControl/>
              <w:adjustRightInd w:val="0"/>
              <w:snapToGrid w:val="0"/>
              <w:spacing w:line="240" w:lineRule="auto"/>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备注</w:t>
            </w:r>
          </w:p>
        </w:tc>
      </w:tr>
      <w:tr w14:paraId="73350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617" w:type="dxa"/>
            <w:tcBorders>
              <w:left w:val="single" w:color="auto" w:sz="12" w:space="0"/>
            </w:tcBorders>
            <w:vAlign w:val="center"/>
          </w:tcPr>
          <w:p w14:paraId="6327634C">
            <w:pPr>
              <w:widowControl/>
              <w:adjustRightInd w:val="0"/>
              <w:snapToGrid w:val="0"/>
              <w:spacing w:line="240" w:lineRule="auto"/>
              <w:ind w:firstLine="0" w:firstLineChars="0"/>
              <w:jc w:val="center"/>
              <w:rPr>
                <w:rFonts w:asciiTheme="minorEastAsia" w:hAnsiTheme="minorEastAsia" w:eastAsiaTheme="minorEastAsia"/>
                <w:sz w:val="21"/>
                <w:szCs w:val="21"/>
                <w:lang w:eastAsia="zh-CN"/>
              </w:rPr>
            </w:pPr>
            <w:r>
              <w:rPr>
                <w:rFonts w:asciiTheme="minorEastAsia" w:hAnsiTheme="minorEastAsia" w:eastAsiaTheme="minorEastAsia"/>
                <w:sz w:val="21"/>
                <w:szCs w:val="21"/>
              </w:rPr>
              <w:t>原油处理</w:t>
            </w:r>
            <w:r>
              <w:rPr>
                <w:rFonts w:hint="eastAsia" w:asciiTheme="minorEastAsia" w:hAnsiTheme="minorEastAsia" w:eastAsiaTheme="minorEastAsia"/>
                <w:sz w:val="21"/>
                <w:szCs w:val="21"/>
                <w:lang w:eastAsia="zh-CN"/>
              </w:rPr>
              <w:t>（</w:t>
            </w:r>
            <w:r>
              <w:rPr>
                <w:rFonts w:asciiTheme="minorEastAsia" w:hAnsiTheme="minorEastAsia" w:eastAsiaTheme="minorEastAsia"/>
                <w:sz w:val="21"/>
                <w:szCs w:val="21"/>
              </w:rPr>
              <w:t xml:space="preserve"> 10</w:t>
            </w:r>
            <w:r>
              <w:rPr>
                <w:rFonts w:asciiTheme="minorEastAsia" w:hAnsiTheme="minorEastAsia" w:eastAsiaTheme="minorEastAsia"/>
                <w:sz w:val="21"/>
                <w:szCs w:val="21"/>
                <w:vertAlign w:val="superscript"/>
              </w:rPr>
              <w:t>4</w:t>
            </w:r>
            <w:r>
              <w:rPr>
                <w:rFonts w:asciiTheme="minorEastAsia" w:hAnsiTheme="minorEastAsia" w:eastAsiaTheme="minorEastAsia"/>
                <w:sz w:val="21"/>
                <w:szCs w:val="21"/>
              </w:rPr>
              <w:t>t/a</w:t>
            </w:r>
            <w:r>
              <w:rPr>
                <w:rFonts w:hint="eastAsia" w:asciiTheme="minorEastAsia" w:hAnsiTheme="minorEastAsia" w:eastAsiaTheme="minorEastAsia"/>
                <w:sz w:val="21"/>
                <w:szCs w:val="21"/>
                <w:lang w:eastAsia="zh-CN"/>
              </w:rPr>
              <w:t>）</w:t>
            </w:r>
          </w:p>
        </w:tc>
        <w:tc>
          <w:tcPr>
            <w:tcW w:w="1984" w:type="dxa"/>
            <w:vAlign w:val="center"/>
          </w:tcPr>
          <w:p w14:paraId="017E7CC7">
            <w:pPr>
              <w:widowControl/>
              <w:adjustRightInd w:val="0"/>
              <w:snapToGrid w:val="0"/>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lang w:eastAsia="zh-CN"/>
              </w:rPr>
              <w:t>3.0</w:t>
            </w:r>
          </w:p>
        </w:tc>
        <w:tc>
          <w:tcPr>
            <w:tcW w:w="3557" w:type="dxa"/>
            <w:tcBorders>
              <w:right w:val="single" w:color="auto" w:sz="12" w:space="0"/>
            </w:tcBorders>
            <w:vAlign w:val="center"/>
          </w:tcPr>
          <w:p w14:paraId="3183817F">
            <w:pPr>
              <w:widowControl/>
              <w:adjustRightInd w:val="0"/>
              <w:snapToGrid w:val="0"/>
              <w:spacing w:line="240" w:lineRule="auto"/>
              <w:ind w:firstLine="0" w:firstLineChars="0"/>
              <w:jc w:val="center"/>
              <w:rPr>
                <w:rFonts w:asciiTheme="minorEastAsia" w:hAnsiTheme="minorEastAsia" w:eastAsiaTheme="minorEastAsia"/>
                <w:sz w:val="21"/>
                <w:szCs w:val="21"/>
              </w:rPr>
            </w:pPr>
          </w:p>
        </w:tc>
      </w:tr>
      <w:tr w14:paraId="087B6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617" w:type="dxa"/>
            <w:tcBorders>
              <w:left w:val="single" w:color="auto" w:sz="12" w:space="0"/>
            </w:tcBorders>
            <w:vAlign w:val="center"/>
          </w:tcPr>
          <w:p w14:paraId="20585D91">
            <w:pPr>
              <w:widowControl/>
              <w:adjustRightInd w:val="0"/>
              <w:snapToGrid w:val="0"/>
              <w:spacing w:line="240" w:lineRule="auto"/>
              <w:ind w:firstLine="0" w:firstLineChars="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伴生气</w:t>
            </w:r>
            <w:r>
              <w:rPr>
                <w:rFonts w:asciiTheme="minorEastAsia" w:hAnsiTheme="minorEastAsia" w:eastAsiaTheme="minorEastAsia"/>
                <w:sz w:val="21"/>
                <w:szCs w:val="21"/>
              </w:rPr>
              <w:t>处理</w:t>
            </w:r>
            <w:r>
              <w:rPr>
                <w:rFonts w:hint="eastAsia" w:asciiTheme="minorEastAsia" w:hAnsiTheme="minorEastAsia" w:eastAsiaTheme="minorEastAsia"/>
                <w:sz w:val="21"/>
                <w:szCs w:val="21"/>
                <w:lang w:eastAsia="zh-CN"/>
              </w:rPr>
              <w:t>（</w:t>
            </w:r>
            <w:r>
              <w:rPr>
                <w:rFonts w:asciiTheme="minorEastAsia" w:hAnsiTheme="minorEastAsia" w:eastAsiaTheme="minorEastAsia"/>
                <w:sz w:val="21"/>
                <w:szCs w:val="21"/>
              </w:rPr>
              <w:t xml:space="preserve"> 10</w:t>
            </w:r>
            <w:r>
              <w:rPr>
                <w:rFonts w:asciiTheme="minorEastAsia" w:hAnsiTheme="minorEastAsia" w:eastAsiaTheme="minorEastAsia"/>
                <w:sz w:val="21"/>
                <w:szCs w:val="21"/>
                <w:vertAlign w:val="superscript"/>
              </w:rPr>
              <w:t>4</w:t>
            </w:r>
            <w:r>
              <w:rPr>
                <w:rFonts w:asciiTheme="minorEastAsia" w:hAnsiTheme="minorEastAsia" w:eastAsiaTheme="minorEastAsia"/>
                <w:sz w:val="21"/>
                <w:szCs w:val="21"/>
              </w:rPr>
              <w:t>Nm</w:t>
            </w:r>
            <w:r>
              <w:rPr>
                <w:rFonts w:asciiTheme="minorEastAsia" w:hAnsiTheme="minorEastAsia" w:eastAsiaTheme="minorEastAsia"/>
                <w:sz w:val="21"/>
                <w:szCs w:val="21"/>
                <w:vertAlign w:val="superscript"/>
              </w:rPr>
              <w:t>3</w:t>
            </w:r>
            <w:r>
              <w:rPr>
                <w:rFonts w:asciiTheme="minorEastAsia" w:hAnsiTheme="minorEastAsia" w:eastAsiaTheme="minorEastAsia"/>
                <w:sz w:val="21"/>
                <w:szCs w:val="21"/>
              </w:rPr>
              <w:t>/d</w:t>
            </w:r>
            <w:r>
              <w:rPr>
                <w:rFonts w:hint="eastAsia" w:asciiTheme="minorEastAsia" w:hAnsiTheme="minorEastAsia" w:eastAsiaTheme="minorEastAsia"/>
                <w:sz w:val="21"/>
                <w:szCs w:val="21"/>
                <w:lang w:eastAsia="zh-CN"/>
              </w:rPr>
              <w:t>）</w:t>
            </w:r>
          </w:p>
        </w:tc>
        <w:tc>
          <w:tcPr>
            <w:tcW w:w="1984" w:type="dxa"/>
            <w:vAlign w:val="center"/>
          </w:tcPr>
          <w:p w14:paraId="5BF8CF30">
            <w:pPr>
              <w:widowControl/>
              <w:adjustRightInd w:val="0"/>
              <w:snapToGrid w:val="0"/>
              <w:spacing w:line="240" w:lineRule="auto"/>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1.68</w:t>
            </w:r>
          </w:p>
        </w:tc>
        <w:tc>
          <w:tcPr>
            <w:tcW w:w="3557" w:type="dxa"/>
            <w:tcBorders>
              <w:right w:val="single" w:color="auto" w:sz="12" w:space="0"/>
            </w:tcBorders>
            <w:vAlign w:val="center"/>
          </w:tcPr>
          <w:p w14:paraId="3BF6FF98">
            <w:pPr>
              <w:widowControl/>
              <w:adjustRightInd w:val="0"/>
              <w:snapToGrid w:val="0"/>
              <w:spacing w:line="240" w:lineRule="auto"/>
              <w:ind w:firstLine="0" w:firstLineChars="0"/>
              <w:jc w:val="center"/>
              <w:rPr>
                <w:rFonts w:asciiTheme="minorEastAsia" w:hAnsiTheme="minorEastAsia" w:eastAsiaTheme="minorEastAsia"/>
                <w:sz w:val="21"/>
                <w:szCs w:val="21"/>
              </w:rPr>
            </w:pPr>
          </w:p>
        </w:tc>
      </w:tr>
      <w:tr w14:paraId="428AB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exact"/>
          <w:jc w:val="center"/>
        </w:trPr>
        <w:tc>
          <w:tcPr>
            <w:tcW w:w="2617" w:type="dxa"/>
            <w:tcBorders>
              <w:left w:val="single" w:color="auto" w:sz="12" w:space="0"/>
            </w:tcBorders>
            <w:vAlign w:val="center"/>
          </w:tcPr>
          <w:p w14:paraId="7027A6FB">
            <w:pPr>
              <w:widowControl/>
              <w:adjustRightInd w:val="0"/>
              <w:snapToGrid w:val="0"/>
              <w:spacing w:line="240" w:lineRule="auto"/>
              <w:ind w:firstLine="0" w:firstLineChars="0"/>
              <w:jc w:val="center"/>
              <w:rPr>
                <w:rFonts w:asciiTheme="minorEastAsia" w:hAnsiTheme="minorEastAsia" w:eastAsiaTheme="minorEastAsia"/>
                <w:sz w:val="21"/>
                <w:szCs w:val="21"/>
                <w:lang w:eastAsia="zh-CN"/>
              </w:rPr>
            </w:pPr>
            <w:r>
              <w:rPr>
                <w:rFonts w:asciiTheme="minorEastAsia" w:hAnsiTheme="minorEastAsia" w:eastAsiaTheme="minorEastAsia"/>
                <w:sz w:val="21"/>
                <w:szCs w:val="21"/>
              </w:rPr>
              <w:t>余热回收</w:t>
            </w:r>
            <w:r>
              <w:rPr>
                <w:rFonts w:hint="eastAsia" w:asciiTheme="minorEastAsia" w:hAnsiTheme="minorEastAsia" w:eastAsiaTheme="minorEastAsia"/>
                <w:sz w:val="21"/>
                <w:szCs w:val="21"/>
                <w:lang w:eastAsia="zh-CN"/>
              </w:rPr>
              <w:t>（</w:t>
            </w:r>
            <w:r>
              <w:rPr>
                <w:rFonts w:asciiTheme="minorEastAsia" w:hAnsiTheme="minorEastAsia" w:eastAsiaTheme="minorEastAsia"/>
                <w:sz w:val="21"/>
                <w:szCs w:val="21"/>
              </w:rPr>
              <w:t xml:space="preserve"> kW</w:t>
            </w:r>
            <w:r>
              <w:rPr>
                <w:rFonts w:hint="eastAsia" w:asciiTheme="minorEastAsia" w:hAnsiTheme="minorEastAsia" w:eastAsiaTheme="minorEastAsia"/>
                <w:sz w:val="21"/>
                <w:szCs w:val="21"/>
                <w:lang w:eastAsia="zh-CN"/>
              </w:rPr>
              <w:t>）</w:t>
            </w:r>
          </w:p>
        </w:tc>
        <w:tc>
          <w:tcPr>
            <w:tcW w:w="1984" w:type="dxa"/>
            <w:vAlign w:val="center"/>
          </w:tcPr>
          <w:p w14:paraId="3F2DEA7B">
            <w:pPr>
              <w:widowControl/>
              <w:adjustRightInd w:val="0"/>
              <w:snapToGrid w:val="0"/>
              <w:spacing w:line="240" w:lineRule="auto"/>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1900</w:t>
            </w:r>
          </w:p>
        </w:tc>
        <w:tc>
          <w:tcPr>
            <w:tcW w:w="3557" w:type="dxa"/>
            <w:tcBorders>
              <w:right w:val="single" w:color="auto" w:sz="12" w:space="0"/>
            </w:tcBorders>
            <w:vAlign w:val="center"/>
          </w:tcPr>
          <w:p w14:paraId="4FA98F31">
            <w:pPr>
              <w:widowControl/>
              <w:adjustRightInd w:val="0"/>
              <w:snapToGrid w:val="0"/>
              <w:spacing w:line="240" w:lineRule="auto"/>
              <w:ind w:firstLine="0" w:firstLineChars="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回收的余热与加热炉共同供生产生活用热</w:t>
            </w:r>
          </w:p>
        </w:tc>
      </w:tr>
      <w:tr w14:paraId="57C3C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exact"/>
          <w:jc w:val="center"/>
        </w:trPr>
        <w:tc>
          <w:tcPr>
            <w:tcW w:w="2617" w:type="dxa"/>
            <w:tcBorders>
              <w:left w:val="single" w:color="auto" w:sz="12" w:space="0"/>
              <w:bottom w:val="single" w:color="auto" w:sz="12" w:space="0"/>
            </w:tcBorders>
            <w:vAlign w:val="center"/>
          </w:tcPr>
          <w:p w14:paraId="24D15F4F">
            <w:pPr>
              <w:widowControl/>
              <w:adjustRightInd w:val="0"/>
              <w:snapToGrid w:val="0"/>
              <w:spacing w:line="240" w:lineRule="auto"/>
              <w:ind w:firstLine="0" w:firstLineChars="0"/>
              <w:jc w:val="center"/>
              <w:rPr>
                <w:rFonts w:asciiTheme="minorEastAsia" w:hAnsiTheme="minorEastAsia" w:eastAsiaTheme="minorEastAsia"/>
                <w:sz w:val="21"/>
                <w:szCs w:val="21"/>
                <w:lang w:eastAsia="zh-CN"/>
              </w:rPr>
            </w:pPr>
            <w:r>
              <w:rPr>
                <w:rFonts w:asciiTheme="minorEastAsia" w:hAnsiTheme="minorEastAsia" w:eastAsiaTheme="minorEastAsia"/>
                <w:sz w:val="21"/>
                <w:szCs w:val="21"/>
              </w:rPr>
              <w:t xml:space="preserve">天然气发电 </w:t>
            </w:r>
            <w:r>
              <w:rPr>
                <w:rFonts w:hint="eastAsia" w:asciiTheme="minorEastAsia" w:hAnsiTheme="minorEastAsia" w:eastAsiaTheme="minorEastAsia"/>
                <w:sz w:val="21"/>
                <w:szCs w:val="21"/>
                <w:lang w:eastAsia="zh-CN"/>
              </w:rPr>
              <w:t>（</w:t>
            </w:r>
            <w:r>
              <w:rPr>
                <w:rFonts w:asciiTheme="minorEastAsia" w:hAnsiTheme="minorEastAsia" w:eastAsiaTheme="minorEastAsia"/>
                <w:sz w:val="21"/>
                <w:szCs w:val="21"/>
              </w:rPr>
              <w:t xml:space="preserve"> kW</w:t>
            </w:r>
            <w:r>
              <w:rPr>
                <w:rFonts w:hint="eastAsia" w:asciiTheme="minorEastAsia" w:hAnsiTheme="minorEastAsia" w:eastAsiaTheme="minorEastAsia"/>
                <w:sz w:val="21"/>
                <w:szCs w:val="21"/>
                <w:lang w:eastAsia="zh-CN"/>
              </w:rPr>
              <w:t>）</w:t>
            </w:r>
          </w:p>
        </w:tc>
        <w:tc>
          <w:tcPr>
            <w:tcW w:w="1984" w:type="dxa"/>
            <w:tcBorders>
              <w:bottom w:val="single" w:color="auto" w:sz="12" w:space="0"/>
            </w:tcBorders>
            <w:vAlign w:val="center"/>
          </w:tcPr>
          <w:p w14:paraId="164BE512">
            <w:pPr>
              <w:widowControl/>
              <w:adjustRightInd w:val="0"/>
              <w:snapToGrid w:val="0"/>
              <w:spacing w:line="240" w:lineRule="auto"/>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1900</w:t>
            </w:r>
          </w:p>
        </w:tc>
        <w:tc>
          <w:tcPr>
            <w:tcW w:w="3557" w:type="dxa"/>
            <w:tcBorders>
              <w:bottom w:val="single" w:color="auto" w:sz="12" w:space="0"/>
              <w:right w:val="single" w:color="auto" w:sz="12" w:space="0"/>
            </w:tcBorders>
            <w:vAlign w:val="center"/>
          </w:tcPr>
          <w:p w14:paraId="2C251A45">
            <w:pPr>
              <w:widowControl/>
              <w:adjustRightInd w:val="0"/>
              <w:snapToGrid w:val="0"/>
              <w:spacing w:line="240" w:lineRule="auto"/>
              <w:ind w:firstLine="0" w:firstLineChars="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供生产生活用电，110kv变电站作为备用电源</w:t>
            </w:r>
          </w:p>
        </w:tc>
      </w:tr>
    </w:tbl>
    <w:p w14:paraId="3337A962">
      <w:pPr>
        <w:spacing w:line="240" w:lineRule="auto"/>
        <w:ind w:firstLine="1024" w:firstLineChars="425"/>
        <w:rPr>
          <w:b/>
          <w:lang w:eastAsia="zh-CN"/>
        </w:rPr>
      </w:pPr>
      <w:r>
        <w:rPr>
          <w:rFonts w:hint="eastAsia"/>
          <w:b/>
          <w:lang w:eastAsia="zh-CN"/>
        </w:rPr>
        <w:t>表2.2-3    雅—站现有生产设备情况表</w:t>
      </w:r>
    </w:p>
    <w:tbl>
      <w:tblPr>
        <w:tblStyle w:val="76"/>
        <w:tblW w:w="84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904"/>
        <w:gridCol w:w="1931"/>
        <w:gridCol w:w="2551"/>
        <w:gridCol w:w="799"/>
        <w:gridCol w:w="1381"/>
      </w:tblGrid>
      <w:tr w14:paraId="3BEF7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1" w:type="dxa"/>
            <w:tcBorders>
              <w:top w:val="single" w:color="auto" w:sz="12" w:space="0"/>
              <w:left w:val="single" w:color="auto" w:sz="12" w:space="0"/>
            </w:tcBorders>
            <w:vAlign w:val="center"/>
          </w:tcPr>
          <w:p w14:paraId="0D1EE026">
            <w:pPr>
              <w:widowControl/>
              <w:spacing w:line="240" w:lineRule="auto"/>
              <w:ind w:firstLine="0" w:firstLineChars="0"/>
              <w:jc w:val="center"/>
              <w:rPr>
                <w:rFonts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rPr>
              <w:t>序号</w:t>
            </w:r>
          </w:p>
        </w:tc>
        <w:tc>
          <w:tcPr>
            <w:tcW w:w="904" w:type="dxa"/>
            <w:tcBorders>
              <w:top w:val="single" w:color="auto" w:sz="12" w:space="0"/>
            </w:tcBorders>
            <w:vAlign w:val="center"/>
          </w:tcPr>
          <w:p w14:paraId="76F4AF02">
            <w:pPr>
              <w:widowControl/>
              <w:spacing w:line="240" w:lineRule="auto"/>
              <w:ind w:firstLine="0" w:firstLineChars="0"/>
              <w:jc w:val="center"/>
              <w:rPr>
                <w:rFonts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单元</w:t>
            </w:r>
          </w:p>
        </w:tc>
        <w:tc>
          <w:tcPr>
            <w:tcW w:w="1931" w:type="dxa"/>
            <w:tcBorders>
              <w:top w:val="single" w:color="auto" w:sz="12" w:space="0"/>
            </w:tcBorders>
            <w:vAlign w:val="center"/>
          </w:tcPr>
          <w:p w14:paraId="39E42BF2">
            <w:pPr>
              <w:widowControl/>
              <w:spacing w:line="240" w:lineRule="auto"/>
              <w:ind w:firstLine="0" w:firstLineChars="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lang w:eastAsia="zh-CN"/>
              </w:rPr>
              <w:t>名称</w:t>
            </w:r>
          </w:p>
        </w:tc>
        <w:tc>
          <w:tcPr>
            <w:tcW w:w="2551" w:type="dxa"/>
            <w:tcBorders>
              <w:top w:val="single" w:color="auto" w:sz="12" w:space="0"/>
            </w:tcBorders>
            <w:vAlign w:val="center"/>
          </w:tcPr>
          <w:p w14:paraId="2CAE9BF5">
            <w:pPr>
              <w:ind w:firstLine="42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型号</w:t>
            </w:r>
          </w:p>
        </w:tc>
        <w:tc>
          <w:tcPr>
            <w:tcW w:w="799" w:type="dxa"/>
            <w:tcBorders>
              <w:top w:val="single" w:color="auto" w:sz="12" w:space="0"/>
            </w:tcBorders>
            <w:vAlign w:val="center"/>
          </w:tcPr>
          <w:p w14:paraId="40DFD104">
            <w:pPr>
              <w:widowControl/>
              <w:spacing w:line="240" w:lineRule="auto"/>
              <w:ind w:firstLine="0" w:firstLineChars="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单位</w:t>
            </w:r>
          </w:p>
        </w:tc>
        <w:tc>
          <w:tcPr>
            <w:tcW w:w="1381" w:type="dxa"/>
            <w:tcBorders>
              <w:top w:val="single" w:color="auto" w:sz="12" w:space="0"/>
              <w:right w:val="single" w:color="auto" w:sz="12" w:space="0"/>
            </w:tcBorders>
            <w:vAlign w:val="center"/>
          </w:tcPr>
          <w:p w14:paraId="1B2C4B12">
            <w:pPr>
              <w:widowControl/>
              <w:spacing w:line="240" w:lineRule="auto"/>
              <w:ind w:firstLine="0" w:firstLineChars="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数量</w:t>
            </w:r>
          </w:p>
        </w:tc>
      </w:tr>
      <w:tr w14:paraId="33C1F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exact"/>
          <w:jc w:val="center"/>
        </w:trPr>
        <w:tc>
          <w:tcPr>
            <w:tcW w:w="851" w:type="dxa"/>
            <w:tcBorders>
              <w:left w:val="single" w:color="auto" w:sz="12" w:space="0"/>
            </w:tcBorders>
            <w:vAlign w:val="center"/>
          </w:tcPr>
          <w:p w14:paraId="39AD0C94">
            <w:pPr>
              <w:widowControl/>
              <w:spacing w:line="240" w:lineRule="auto"/>
              <w:ind w:firstLine="0" w:firstLineChars="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w:t>
            </w:r>
          </w:p>
        </w:tc>
        <w:tc>
          <w:tcPr>
            <w:tcW w:w="904" w:type="dxa"/>
            <w:vMerge w:val="restart"/>
            <w:vAlign w:val="center"/>
          </w:tcPr>
          <w:p w14:paraId="086A283D">
            <w:pPr>
              <w:widowControl/>
              <w:spacing w:line="240" w:lineRule="auto"/>
              <w:ind w:firstLine="0" w:firstLineChars="0"/>
              <w:jc w:val="center"/>
              <w:rPr>
                <w:rFonts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生产</w:t>
            </w:r>
          </w:p>
          <w:p w14:paraId="13EA640E">
            <w:pPr>
              <w:widowControl/>
              <w:spacing w:line="240" w:lineRule="auto"/>
              <w:ind w:firstLine="0" w:firstLineChars="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lang w:eastAsia="zh-CN"/>
              </w:rPr>
              <w:t>系统</w:t>
            </w:r>
          </w:p>
        </w:tc>
        <w:tc>
          <w:tcPr>
            <w:tcW w:w="1931" w:type="dxa"/>
            <w:vAlign w:val="center"/>
          </w:tcPr>
          <w:p w14:paraId="68E063E4">
            <w:pPr>
              <w:widowControl/>
              <w:spacing w:line="240" w:lineRule="auto"/>
              <w:ind w:firstLine="0" w:firstLineChars="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一级分离器</w:t>
            </w:r>
          </w:p>
        </w:tc>
        <w:tc>
          <w:tcPr>
            <w:tcW w:w="2551" w:type="dxa"/>
            <w:vAlign w:val="center"/>
          </w:tcPr>
          <w:p w14:paraId="1062F500">
            <w:pPr>
              <w:ind w:firstLine="0" w:firstLineChars="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Φ2400×7200mm</w:t>
            </w:r>
          </w:p>
        </w:tc>
        <w:tc>
          <w:tcPr>
            <w:tcW w:w="799" w:type="dxa"/>
            <w:vAlign w:val="center"/>
          </w:tcPr>
          <w:p w14:paraId="4BB7804C">
            <w:pPr>
              <w:widowControl/>
              <w:spacing w:line="240" w:lineRule="auto"/>
              <w:ind w:firstLine="0" w:firstLineChars="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具</w:t>
            </w:r>
          </w:p>
        </w:tc>
        <w:tc>
          <w:tcPr>
            <w:tcW w:w="1381" w:type="dxa"/>
            <w:tcBorders>
              <w:right w:val="single" w:color="auto" w:sz="12" w:space="0"/>
            </w:tcBorders>
            <w:vAlign w:val="center"/>
          </w:tcPr>
          <w:p w14:paraId="1FC77BB7">
            <w:pPr>
              <w:widowControl/>
              <w:spacing w:line="240" w:lineRule="auto"/>
              <w:ind w:firstLine="0" w:firstLineChars="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w:t>
            </w:r>
          </w:p>
        </w:tc>
      </w:tr>
      <w:tr w14:paraId="49D26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51" w:type="dxa"/>
            <w:tcBorders>
              <w:left w:val="single" w:color="auto" w:sz="12" w:space="0"/>
            </w:tcBorders>
            <w:vAlign w:val="center"/>
          </w:tcPr>
          <w:p w14:paraId="3EAE78B4">
            <w:pPr>
              <w:widowControl/>
              <w:spacing w:line="240" w:lineRule="auto"/>
              <w:ind w:firstLine="0" w:firstLineChars="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w:t>
            </w:r>
          </w:p>
        </w:tc>
        <w:tc>
          <w:tcPr>
            <w:tcW w:w="904" w:type="dxa"/>
            <w:vMerge w:val="continue"/>
            <w:vAlign w:val="center"/>
          </w:tcPr>
          <w:p w14:paraId="0B456794">
            <w:pPr>
              <w:widowControl/>
              <w:spacing w:line="240" w:lineRule="auto"/>
              <w:ind w:firstLine="0" w:firstLineChars="0"/>
              <w:jc w:val="center"/>
              <w:rPr>
                <w:rFonts w:cs="宋体" w:asciiTheme="minorEastAsia" w:hAnsiTheme="minorEastAsia" w:eastAsiaTheme="minorEastAsia"/>
                <w:sz w:val="21"/>
                <w:szCs w:val="21"/>
              </w:rPr>
            </w:pPr>
          </w:p>
        </w:tc>
        <w:tc>
          <w:tcPr>
            <w:tcW w:w="1931" w:type="dxa"/>
            <w:vAlign w:val="center"/>
          </w:tcPr>
          <w:p w14:paraId="381A3C67">
            <w:pPr>
              <w:widowControl/>
              <w:spacing w:line="240" w:lineRule="auto"/>
              <w:ind w:firstLine="0" w:firstLineChars="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二级分离器</w:t>
            </w:r>
          </w:p>
        </w:tc>
        <w:tc>
          <w:tcPr>
            <w:tcW w:w="2551" w:type="dxa"/>
            <w:vAlign w:val="center"/>
          </w:tcPr>
          <w:p w14:paraId="3A0A1D6C">
            <w:pPr>
              <w:ind w:firstLine="0" w:firstLineChars="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Φ2000×6500mm</w:t>
            </w:r>
          </w:p>
        </w:tc>
        <w:tc>
          <w:tcPr>
            <w:tcW w:w="799" w:type="dxa"/>
            <w:vAlign w:val="center"/>
          </w:tcPr>
          <w:p w14:paraId="3DB961C1">
            <w:pPr>
              <w:widowControl/>
              <w:spacing w:line="240" w:lineRule="auto"/>
              <w:ind w:firstLine="0" w:firstLineChars="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具</w:t>
            </w:r>
          </w:p>
        </w:tc>
        <w:tc>
          <w:tcPr>
            <w:tcW w:w="1381" w:type="dxa"/>
            <w:tcBorders>
              <w:right w:val="single" w:color="auto" w:sz="12" w:space="0"/>
            </w:tcBorders>
            <w:vAlign w:val="center"/>
          </w:tcPr>
          <w:p w14:paraId="33E17C74">
            <w:pPr>
              <w:widowControl/>
              <w:spacing w:line="240" w:lineRule="auto"/>
              <w:ind w:firstLine="0" w:firstLineChars="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w:t>
            </w:r>
          </w:p>
        </w:tc>
      </w:tr>
      <w:tr w14:paraId="6B81B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51" w:type="dxa"/>
            <w:tcBorders>
              <w:left w:val="single" w:color="auto" w:sz="12" w:space="0"/>
            </w:tcBorders>
            <w:vAlign w:val="center"/>
          </w:tcPr>
          <w:p w14:paraId="3473B8D5">
            <w:pPr>
              <w:widowControl/>
              <w:spacing w:line="240" w:lineRule="auto"/>
              <w:ind w:firstLine="0" w:firstLineChars="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3</w:t>
            </w:r>
          </w:p>
        </w:tc>
        <w:tc>
          <w:tcPr>
            <w:tcW w:w="904" w:type="dxa"/>
            <w:vMerge w:val="continue"/>
            <w:vAlign w:val="center"/>
          </w:tcPr>
          <w:p w14:paraId="0DB276D7">
            <w:pPr>
              <w:widowControl/>
              <w:spacing w:line="240" w:lineRule="auto"/>
              <w:ind w:firstLine="0" w:firstLineChars="0"/>
              <w:jc w:val="center"/>
              <w:rPr>
                <w:rFonts w:cs="宋体" w:asciiTheme="minorEastAsia" w:hAnsiTheme="minorEastAsia" w:eastAsiaTheme="minorEastAsia"/>
                <w:sz w:val="21"/>
                <w:szCs w:val="21"/>
              </w:rPr>
            </w:pPr>
          </w:p>
        </w:tc>
        <w:tc>
          <w:tcPr>
            <w:tcW w:w="1931" w:type="dxa"/>
            <w:vAlign w:val="center"/>
          </w:tcPr>
          <w:p w14:paraId="7E638E91">
            <w:pPr>
              <w:widowControl/>
              <w:spacing w:line="240" w:lineRule="auto"/>
              <w:ind w:firstLine="0" w:firstLineChars="0"/>
              <w:jc w:val="center"/>
              <w:rPr>
                <w:rFonts w:cs="宋体" w:asciiTheme="minorEastAsia" w:hAnsiTheme="minorEastAsia" w:eastAsiaTheme="minorEastAsia"/>
                <w:sz w:val="21"/>
                <w:szCs w:val="21"/>
                <w:lang w:val="pt-BR"/>
              </w:rPr>
            </w:pPr>
            <w:r>
              <w:rPr>
                <w:rFonts w:hint="eastAsia" w:cs="宋体" w:asciiTheme="minorEastAsia" w:hAnsiTheme="minorEastAsia" w:eastAsiaTheme="minorEastAsia"/>
                <w:sz w:val="21"/>
                <w:szCs w:val="21"/>
              </w:rPr>
              <w:t>立式除油器</w:t>
            </w:r>
          </w:p>
        </w:tc>
        <w:tc>
          <w:tcPr>
            <w:tcW w:w="2551" w:type="dxa"/>
            <w:vAlign w:val="center"/>
          </w:tcPr>
          <w:p w14:paraId="5C29D119">
            <w:pPr>
              <w:ind w:firstLine="0" w:firstLineChars="0"/>
              <w:jc w:val="center"/>
              <w:rPr>
                <w:rFonts w:cs="宋体" w:asciiTheme="minorEastAsia" w:hAnsiTheme="minorEastAsia" w:eastAsiaTheme="minorEastAsia"/>
                <w:sz w:val="21"/>
                <w:szCs w:val="21"/>
                <w:lang w:val="pt-BR"/>
              </w:rPr>
            </w:pPr>
            <w:r>
              <w:rPr>
                <w:rFonts w:hint="eastAsia" w:cs="宋体" w:asciiTheme="minorEastAsia" w:hAnsiTheme="minorEastAsia" w:eastAsiaTheme="minorEastAsia"/>
                <w:sz w:val="21"/>
                <w:szCs w:val="21"/>
              </w:rPr>
              <w:t>Φ</w:t>
            </w:r>
            <w:r>
              <w:rPr>
                <w:rFonts w:hint="eastAsia" w:cs="宋体" w:asciiTheme="minorEastAsia" w:hAnsiTheme="minorEastAsia" w:eastAsiaTheme="minorEastAsia"/>
                <w:sz w:val="21"/>
                <w:szCs w:val="21"/>
                <w:lang w:val="pt-BR"/>
              </w:rPr>
              <w:t>800mm h3180mm</w:t>
            </w:r>
          </w:p>
        </w:tc>
        <w:tc>
          <w:tcPr>
            <w:tcW w:w="799" w:type="dxa"/>
            <w:vAlign w:val="center"/>
          </w:tcPr>
          <w:p w14:paraId="3BA21050">
            <w:pPr>
              <w:widowControl/>
              <w:spacing w:line="240" w:lineRule="auto"/>
              <w:ind w:firstLine="0" w:firstLineChars="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具</w:t>
            </w:r>
          </w:p>
        </w:tc>
        <w:tc>
          <w:tcPr>
            <w:tcW w:w="1381" w:type="dxa"/>
            <w:tcBorders>
              <w:right w:val="single" w:color="auto" w:sz="12" w:space="0"/>
            </w:tcBorders>
            <w:vAlign w:val="center"/>
          </w:tcPr>
          <w:p w14:paraId="6AC47577">
            <w:pPr>
              <w:widowControl/>
              <w:spacing w:line="240" w:lineRule="auto"/>
              <w:ind w:firstLine="0" w:firstLineChars="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w:t>
            </w:r>
          </w:p>
        </w:tc>
      </w:tr>
      <w:tr w14:paraId="07B05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51" w:type="dxa"/>
            <w:tcBorders>
              <w:left w:val="single" w:color="auto" w:sz="12" w:space="0"/>
            </w:tcBorders>
            <w:vAlign w:val="center"/>
          </w:tcPr>
          <w:p w14:paraId="00DD6DA2">
            <w:pPr>
              <w:widowControl/>
              <w:spacing w:line="240" w:lineRule="auto"/>
              <w:ind w:firstLine="0" w:firstLineChars="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4</w:t>
            </w:r>
          </w:p>
        </w:tc>
        <w:tc>
          <w:tcPr>
            <w:tcW w:w="904" w:type="dxa"/>
            <w:vMerge w:val="continue"/>
            <w:vAlign w:val="center"/>
          </w:tcPr>
          <w:p w14:paraId="66051FD6">
            <w:pPr>
              <w:widowControl/>
              <w:spacing w:line="240" w:lineRule="auto"/>
              <w:ind w:firstLine="0" w:firstLineChars="0"/>
              <w:jc w:val="center"/>
              <w:rPr>
                <w:rFonts w:cs="宋体" w:asciiTheme="minorEastAsia" w:hAnsiTheme="minorEastAsia" w:eastAsiaTheme="minorEastAsia"/>
                <w:sz w:val="21"/>
                <w:szCs w:val="21"/>
              </w:rPr>
            </w:pPr>
          </w:p>
        </w:tc>
        <w:tc>
          <w:tcPr>
            <w:tcW w:w="1931" w:type="dxa"/>
            <w:vAlign w:val="center"/>
          </w:tcPr>
          <w:p w14:paraId="36FF8B39">
            <w:pPr>
              <w:widowControl/>
              <w:spacing w:line="240" w:lineRule="auto"/>
              <w:ind w:firstLine="0" w:firstLineChars="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空冷器</w:t>
            </w:r>
          </w:p>
        </w:tc>
        <w:tc>
          <w:tcPr>
            <w:tcW w:w="2551" w:type="dxa"/>
            <w:vAlign w:val="center"/>
          </w:tcPr>
          <w:p w14:paraId="53DBFF7F">
            <w:pPr>
              <w:ind w:firstLine="0" w:firstLineChars="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F=30m</w:t>
            </w:r>
            <w:r>
              <w:rPr>
                <w:rFonts w:hint="eastAsia" w:cs="宋体" w:asciiTheme="minorEastAsia" w:hAnsiTheme="minorEastAsia" w:eastAsiaTheme="minorEastAsia"/>
                <w:sz w:val="21"/>
                <w:szCs w:val="21"/>
                <w:vertAlign w:val="superscript"/>
              </w:rPr>
              <w:t xml:space="preserve">3  </w:t>
            </w:r>
            <w:r>
              <w:rPr>
                <w:rFonts w:hint="eastAsia" w:cs="宋体" w:asciiTheme="minorEastAsia" w:hAnsiTheme="minorEastAsia" w:eastAsiaTheme="minorEastAsia"/>
                <w:sz w:val="21"/>
                <w:szCs w:val="21"/>
              </w:rPr>
              <w:t>0.6MPa</w:t>
            </w:r>
          </w:p>
        </w:tc>
        <w:tc>
          <w:tcPr>
            <w:tcW w:w="799" w:type="dxa"/>
            <w:vAlign w:val="center"/>
          </w:tcPr>
          <w:p w14:paraId="2CDBEF90">
            <w:pPr>
              <w:widowControl/>
              <w:spacing w:line="240" w:lineRule="auto"/>
              <w:ind w:firstLine="0" w:firstLineChars="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具</w:t>
            </w:r>
          </w:p>
        </w:tc>
        <w:tc>
          <w:tcPr>
            <w:tcW w:w="1381" w:type="dxa"/>
            <w:tcBorders>
              <w:right w:val="single" w:color="auto" w:sz="12" w:space="0"/>
            </w:tcBorders>
            <w:vAlign w:val="center"/>
          </w:tcPr>
          <w:p w14:paraId="3B71A4B8">
            <w:pPr>
              <w:widowControl/>
              <w:spacing w:line="240" w:lineRule="auto"/>
              <w:ind w:firstLine="0" w:firstLineChars="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w:t>
            </w:r>
          </w:p>
        </w:tc>
      </w:tr>
      <w:tr w14:paraId="36C60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51" w:type="dxa"/>
            <w:tcBorders>
              <w:left w:val="single" w:color="auto" w:sz="12" w:space="0"/>
            </w:tcBorders>
            <w:vAlign w:val="center"/>
          </w:tcPr>
          <w:p w14:paraId="42CBE962">
            <w:pPr>
              <w:widowControl/>
              <w:spacing w:line="240" w:lineRule="auto"/>
              <w:ind w:firstLine="0" w:firstLineChars="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5</w:t>
            </w:r>
          </w:p>
        </w:tc>
        <w:tc>
          <w:tcPr>
            <w:tcW w:w="904" w:type="dxa"/>
            <w:vMerge w:val="continue"/>
            <w:vAlign w:val="center"/>
          </w:tcPr>
          <w:p w14:paraId="201B5C9D">
            <w:pPr>
              <w:widowControl/>
              <w:spacing w:line="240" w:lineRule="auto"/>
              <w:ind w:firstLine="0" w:firstLineChars="0"/>
              <w:jc w:val="center"/>
              <w:rPr>
                <w:rFonts w:cs="宋体" w:asciiTheme="minorEastAsia" w:hAnsiTheme="minorEastAsia" w:eastAsiaTheme="minorEastAsia"/>
                <w:sz w:val="21"/>
                <w:szCs w:val="21"/>
                <w:lang w:eastAsia="zh-CN"/>
              </w:rPr>
            </w:pPr>
          </w:p>
        </w:tc>
        <w:tc>
          <w:tcPr>
            <w:tcW w:w="1931" w:type="dxa"/>
            <w:vAlign w:val="center"/>
          </w:tcPr>
          <w:p w14:paraId="1EFD2576">
            <w:pPr>
              <w:widowControl/>
              <w:spacing w:line="240" w:lineRule="auto"/>
              <w:ind w:firstLine="0" w:firstLineChars="0"/>
              <w:jc w:val="center"/>
              <w:rPr>
                <w:rFonts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回水罐</w:t>
            </w:r>
          </w:p>
        </w:tc>
        <w:tc>
          <w:tcPr>
            <w:tcW w:w="2551" w:type="dxa"/>
            <w:vAlign w:val="center"/>
          </w:tcPr>
          <w:p w14:paraId="10D6E900">
            <w:pPr>
              <w:ind w:firstLine="0" w:firstLineChars="0"/>
              <w:jc w:val="center"/>
              <w:rPr>
                <w:rFonts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rPr>
              <w:t>Φ</w:t>
            </w:r>
            <w:r>
              <w:rPr>
                <w:rFonts w:hint="eastAsia" w:cs="宋体" w:asciiTheme="minorEastAsia" w:hAnsiTheme="minorEastAsia" w:eastAsiaTheme="minorEastAsia"/>
                <w:sz w:val="21"/>
                <w:szCs w:val="21"/>
                <w:lang w:eastAsia="zh-CN"/>
              </w:rPr>
              <w:t>1800×4366mm</w:t>
            </w:r>
          </w:p>
        </w:tc>
        <w:tc>
          <w:tcPr>
            <w:tcW w:w="799" w:type="dxa"/>
            <w:vAlign w:val="center"/>
          </w:tcPr>
          <w:p w14:paraId="3A0B0265">
            <w:pPr>
              <w:widowControl/>
              <w:spacing w:line="240" w:lineRule="auto"/>
              <w:ind w:firstLine="0" w:firstLineChars="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具</w:t>
            </w:r>
          </w:p>
        </w:tc>
        <w:tc>
          <w:tcPr>
            <w:tcW w:w="1381" w:type="dxa"/>
            <w:tcBorders>
              <w:right w:val="single" w:color="auto" w:sz="12" w:space="0"/>
            </w:tcBorders>
            <w:vAlign w:val="center"/>
          </w:tcPr>
          <w:p w14:paraId="3236F5F8">
            <w:pPr>
              <w:widowControl/>
              <w:spacing w:line="240" w:lineRule="auto"/>
              <w:ind w:firstLine="0" w:firstLineChars="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w:t>
            </w:r>
          </w:p>
        </w:tc>
      </w:tr>
      <w:tr w14:paraId="0240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exact"/>
          <w:jc w:val="center"/>
        </w:trPr>
        <w:tc>
          <w:tcPr>
            <w:tcW w:w="851" w:type="dxa"/>
            <w:tcBorders>
              <w:left w:val="single" w:color="auto" w:sz="12" w:space="0"/>
            </w:tcBorders>
            <w:vAlign w:val="center"/>
          </w:tcPr>
          <w:p w14:paraId="2B436007">
            <w:pPr>
              <w:widowControl/>
              <w:spacing w:line="240" w:lineRule="auto"/>
              <w:ind w:firstLine="0" w:firstLineChars="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6</w:t>
            </w:r>
          </w:p>
        </w:tc>
        <w:tc>
          <w:tcPr>
            <w:tcW w:w="904" w:type="dxa"/>
            <w:vMerge w:val="continue"/>
            <w:vAlign w:val="center"/>
          </w:tcPr>
          <w:p w14:paraId="589B5D60">
            <w:pPr>
              <w:widowControl/>
              <w:spacing w:line="240" w:lineRule="auto"/>
              <w:ind w:firstLine="0" w:firstLineChars="0"/>
              <w:jc w:val="center"/>
              <w:rPr>
                <w:rFonts w:cs="宋体" w:asciiTheme="minorEastAsia" w:hAnsiTheme="minorEastAsia" w:eastAsiaTheme="minorEastAsia"/>
                <w:sz w:val="21"/>
                <w:szCs w:val="21"/>
              </w:rPr>
            </w:pPr>
          </w:p>
        </w:tc>
        <w:tc>
          <w:tcPr>
            <w:tcW w:w="1931" w:type="dxa"/>
            <w:vAlign w:val="center"/>
          </w:tcPr>
          <w:p w14:paraId="66583751">
            <w:pPr>
              <w:widowControl/>
              <w:spacing w:line="240" w:lineRule="auto"/>
              <w:ind w:firstLine="0" w:firstLineChars="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热水泵</w:t>
            </w:r>
          </w:p>
        </w:tc>
        <w:tc>
          <w:tcPr>
            <w:tcW w:w="2551" w:type="dxa"/>
            <w:vAlign w:val="center"/>
          </w:tcPr>
          <w:p w14:paraId="3680AA3D">
            <w:pPr>
              <w:ind w:firstLine="0" w:firstLineChars="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DG46-50×3</w:t>
            </w:r>
          </w:p>
        </w:tc>
        <w:tc>
          <w:tcPr>
            <w:tcW w:w="799" w:type="dxa"/>
            <w:vAlign w:val="center"/>
          </w:tcPr>
          <w:p w14:paraId="2280B5F4">
            <w:pPr>
              <w:widowControl/>
              <w:spacing w:line="240" w:lineRule="auto"/>
              <w:ind w:firstLine="0" w:firstLineChars="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台</w:t>
            </w:r>
          </w:p>
        </w:tc>
        <w:tc>
          <w:tcPr>
            <w:tcW w:w="1381" w:type="dxa"/>
            <w:tcBorders>
              <w:right w:val="single" w:color="auto" w:sz="12" w:space="0"/>
            </w:tcBorders>
            <w:vAlign w:val="center"/>
          </w:tcPr>
          <w:p w14:paraId="03CEC1CF">
            <w:pPr>
              <w:widowControl/>
              <w:spacing w:line="240" w:lineRule="auto"/>
              <w:ind w:firstLine="0" w:firstLineChars="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w:t>
            </w:r>
          </w:p>
        </w:tc>
      </w:tr>
      <w:tr w14:paraId="76D67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51" w:type="dxa"/>
            <w:tcBorders>
              <w:left w:val="single" w:color="auto" w:sz="12" w:space="0"/>
            </w:tcBorders>
            <w:vAlign w:val="center"/>
          </w:tcPr>
          <w:p w14:paraId="71FB54E0">
            <w:pPr>
              <w:widowControl/>
              <w:spacing w:line="240" w:lineRule="auto"/>
              <w:ind w:firstLine="0" w:firstLineChars="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7</w:t>
            </w:r>
          </w:p>
        </w:tc>
        <w:tc>
          <w:tcPr>
            <w:tcW w:w="904" w:type="dxa"/>
            <w:vMerge w:val="continue"/>
            <w:vAlign w:val="center"/>
          </w:tcPr>
          <w:p w14:paraId="5457CD1C">
            <w:pPr>
              <w:widowControl/>
              <w:spacing w:line="240" w:lineRule="auto"/>
              <w:ind w:firstLine="0" w:firstLineChars="0"/>
              <w:jc w:val="center"/>
              <w:rPr>
                <w:rFonts w:cs="宋体" w:asciiTheme="minorEastAsia" w:hAnsiTheme="minorEastAsia" w:eastAsiaTheme="minorEastAsia"/>
                <w:sz w:val="21"/>
                <w:szCs w:val="21"/>
                <w:lang w:eastAsia="zh-CN"/>
              </w:rPr>
            </w:pPr>
          </w:p>
        </w:tc>
        <w:tc>
          <w:tcPr>
            <w:tcW w:w="1931" w:type="dxa"/>
            <w:vAlign w:val="center"/>
          </w:tcPr>
          <w:p w14:paraId="732DA3FA">
            <w:pPr>
              <w:widowControl/>
              <w:spacing w:line="240" w:lineRule="auto"/>
              <w:ind w:firstLine="0" w:firstLineChars="0"/>
              <w:jc w:val="center"/>
              <w:rPr>
                <w:rFonts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软化水装置</w:t>
            </w:r>
          </w:p>
        </w:tc>
        <w:tc>
          <w:tcPr>
            <w:tcW w:w="2551" w:type="dxa"/>
            <w:vAlign w:val="center"/>
          </w:tcPr>
          <w:p w14:paraId="7821B205">
            <w:pPr>
              <w:ind w:firstLine="0" w:firstLineChars="0"/>
              <w:jc w:val="center"/>
              <w:rPr>
                <w:rFonts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DA型</w:t>
            </w:r>
          </w:p>
        </w:tc>
        <w:tc>
          <w:tcPr>
            <w:tcW w:w="799" w:type="dxa"/>
            <w:vAlign w:val="center"/>
          </w:tcPr>
          <w:p w14:paraId="0E0550BC">
            <w:pPr>
              <w:widowControl/>
              <w:spacing w:line="240" w:lineRule="auto"/>
              <w:ind w:firstLine="0" w:firstLineChars="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套</w:t>
            </w:r>
          </w:p>
        </w:tc>
        <w:tc>
          <w:tcPr>
            <w:tcW w:w="1381" w:type="dxa"/>
            <w:tcBorders>
              <w:right w:val="single" w:color="auto" w:sz="12" w:space="0"/>
            </w:tcBorders>
            <w:vAlign w:val="center"/>
          </w:tcPr>
          <w:p w14:paraId="461198A4">
            <w:pPr>
              <w:widowControl/>
              <w:spacing w:line="240" w:lineRule="auto"/>
              <w:ind w:firstLine="0" w:firstLineChars="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w:t>
            </w:r>
          </w:p>
        </w:tc>
      </w:tr>
      <w:tr w14:paraId="21EEC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51" w:type="dxa"/>
            <w:tcBorders>
              <w:left w:val="single" w:color="auto" w:sz="12" w:space="0"/>
            </w:tcBorders>
            <w:vAlign w:val="center"/>
          </w:tcPr>
          <w:p w14:paraId="7198E964">
            <w:pPr>
              <w:widowControl/>
              <w:spacing w:line="240" w:lineRule="auto"/>
              <w:ind w:firstLine="0" w:firstLineChars="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8</w:t>
            </w:r>
          </w:p>
        </w:tc>
        <w:tc>
          <w:tcPr>
            <w:tcW w:w="904" w:type="dxa"/>
            <w:vMerge w:val="continue"/>
            <w:vAlign w:val="center"/>
          </w:tcPr>
          <w:p w14:paraId="22DE7FD7">
            <w:pPr>
              <w:widowControl/>
              <w:spacing w:line="240" w:lineRule="auto"/>
              <w:ind w:firstLine="0" w:firstLineChars="0"/>
              <w:jc w:val="center"/>
              <w:rPr>
                <w:rFonts w:cs="宋体" w:asciiTheme="minorEastAsia" w:hAnsiTheme="minorEastAsia" w:eastAsiaTheme="minorEastAsia"/>
                <w:sz w:val="21"/>
                <w:szCs w:val="21"/>
                <w:lang w:eastAsia="zh-CN"/>
              </w:rPr>
            </w:pPr>
          </w:p>
        </w:tc>
        <w:tc>
          <w:tcPr>
            <w:tcW w:w="1931" w:type="dxa"/>
            <w:vAlign w:val="center"/>
          </w:tcPr>
          <w:p w14:paraId="260AD565">
            <w:pPr>
              <w:widowControl/>
              <w:spacing w:line="240" w:lineRule="auto"/>
              <w:ind w:firstLine="0" w:firstLineChars="0"/>
              <w:jc w:val="center"/>
              <w:rPr>
                <w:rFonts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计量撬</w:t>
            </w:r>
          </w:p>
        </w:tc>
        <w:tc>
          <w:tcPr>
            <w:tcW w:w="2551" w:type="dxa"/>
            <w:vAlign w:val="center"/>
          </w:tcPr>
          <w:p w14:paraId="2F622A81">
            <w:pPr>
              <w:ind w:firstLine="0" w:firstLineChars="0"/>
              <w:jc w:val="center"/>
              <w:rPr>
                <w:rFonts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DFM-5/SM  9井式</w:t>
            </w:r>
          </w:p>
        </w:tc>
        <w:tc>
          <w:tcPr>
            <w:tcW w:w="799" w:type="dxa"/>
            <w:vAlign w:val="center"/>
          </w:tcPr>
          <w:p w14:paraId="1654AEE8">
            <w:pPr>
              <w:widowControl/>
              <w:spacing w:line="240" w:lineRule="auto"/>
              <w:ind w:firstLine="0" w:firstLineChars="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套</w:t>
            </w:r>
          </w:p>
        </w:tc>
        <w:tc>
          <w:tcPr>
            <w:tcW w:w="1381" w:type="dxa"/>
            <w:tcBorders>
              <w:right w:val="single" w:color="auto" w:sz="12" w:space="0"/>
            </w:tcBorders>
            <w:vAlign w:val="center"/>
          </w:tcPr>
          <w:p w14:paraId="5668EE79">
            <w:pPr>
              <w:widowControl/>
              <w:spacing w:line="240" w:lineRule="auto"/>
              <w:ind w:firstLine="0" w:firstLineChars="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w:t>
            </w:r>
          </w:p>
        </w:tc>
      </w:tr>
      <w:tr w14:paraId="5FDFD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exact"/>
          <w:jc w:val="center"/>
        </w:trPr>
        <w:tc>
          <w:tcPr>
            <w:tcW w:w="851" w:type="dxa"/>
            <w:tcBorders>
              <w:left w:val="single" w:color="auto" w:sz="12" w:space="0"/>
            </w:tcBorders>
            <w:vAlign w:val="center"/>
          </w:tcPr>
          <w:p w14:paraId="72421456">
            <w:pPr>
              <w:widowControl/>
              <w:spacing w:line="240" w:lineRule="auto"/>
              <w:ind w:firstLine="0" w:firstLineChars="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9</w:t>
            </w:r>
          </w:p>
        </w:tc>
        <w:tc>
          <w:tcPr>
            <w:tcW w:w="904" w:type="dxa"/>
            <w:vMerge w:val="continue"/>
            <w:vAlign w:val="center"/>
          </w:tcPr>
          <w:p w14:paraId="0B964786">
            <w:pPr>
              <w:widowControl/>
              <w:spacing w:line="240" w:lineRule="auto"/>
              <w:ind w:firstLine="0" w:firstLineChars="0"/>
              <w:jc w:val="center"/>
              <w:rPr>
                <w:rFonts w:cs="宋体" w:asciiTheme="minorEastAsia" w:hAnsiTheme="minorEastAsia" w:eastAsiaTheme="minorEastAsia"/>
                <w:sz w:val="21"/>
                <w:szCs w:val="21"/>
              </w:rPr>
            </w:pPr>
          </w:p>
        </w:tc>
        <w:tc>
          <w:tcPr>
            <w:tcW w:w="1931" w:type="dxa"/>
            <w:vAlign w:val="center"/>
          </w:tcPr>
          <w:p w14:paraId="3F4A6EAF">
            <w:pPr>
              <w:widowControl/>
              <w:spacing w:line="240" w:lineRule="auto"/>
              <w:ind w:firstLine="0" w:firstLineChars="0"/>
              <w:jc w:val="center"/>
              <w:rPr>
                <w:rFonts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rPr>
              <w:t>浮头式换热器</w:t>
            </w:r>
          </w:p>
        </w:tc>
        <w:tc>
          <w:tcPr>
            <w:tcW w:w="2551" w:type="dxa"/>
            <w:vAlign w:val="center"/>
          </w:tcPr>
          <w:p w14:paraId="4519F75E">
            <w:pPr>
              <w:widowControl/>
              <w:spacing w:line="240" w:lineRule="auto"/>
              <w:ind w:firstLine="0" w:firstLineChars="0"/>
              <w:rPr>
                <w:rFonts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rPr>
              <w:t>BES600-2.5-75-6/25-Ⅱ</w:t>
            </w:r>
          </w:p>
        </w:tc>
        <w:tc>
          <w:tcPr>
            <w:tcW w:w="799" w:type="dxa"/>
            <w:vAlign w:val="center"/>
          </w:tcPr>
          <w:p w14:paraId="2882F86E">
            <w:pPr>
              <w:widowControl/>
              <w:spacing w:line="240" w:lineRule="auto"/>
              <w:ind w:firstLine="0" w:firstLineChars="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台</w:t>
            </w:r>
          </w:p>
        </w:tc>
        <w:tc>
          <w:tcPr>
            <w:tcW w:w="1381" w:type="dxa"/>
            <w:tcBorders>
              <w:right w:val="single" w:color="auto" w:sz="12" w:space="0"/>
            </w:tcBorders>
            <w:vAlign w:val="center"/>
          </w:tcPr>
          <w:p w14:paraId="5F445229">
            <w:pPr>
              <w:widowControl/>
              <w:spacing w:line="240" w:lineRule="auto"/>
              <w:ind w:firstLine="0" w:firstLineChars="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2</w:t>
            </w:r>
          </w:p>
        </w:tc>
      </w:tr>
      <w:tr w14:paraId="787F0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51" w:type="dxa"/>
            <w:tcBorders>
              <w:left w:val="single" w:color="auto" w:sz="12" w:space="0"/>
            </w:tcBorders>
            <w:vAlign w:val="center"/>
          </w:tcPr>
          <w:p w14:paraId="2BE9E60C">
            <w:pPr>
              <w:widowControl/>
              <w:spacing w:line="240" w:lineRule="auto"/>
              <w:ind w:firstLine="0" w:firstLineChars="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10</w:t>
            </w:r>
          </w:p>
        </w:tc>
        <w:tc>
          <w:tcPr>
            <w:tcW w:w="904" w:type="dxa"/>
            <w:vMerge w:val="continue"/>
            <w:vAlign w:val="center"/>
          </w:tcPr>
          <w:p w14:paraId="39EBED43">
            <w:pPr>
              <w:widowControl/>
              <w:spacing w:line="240" w:lineRule="auto"/>
              <w:ind w:firstLine="0" w:firstLineChars="0"/>
              <w:jc w:val="center"/>
              <w:rPr>
                <w:rFonts w:cs="宋体" w:asciiTheme="minorEastAsia" w:hAnsiTheme="minorEastAsia" w:eastAsiaTheme="minorEastAsia"/>
                <w:sz w:val="21"/>
                <w:szCs w:val="21"/>
              </w:rPr>
            </w:pPr>
          </w:p>
        </w:tc>
        <w:tc>
          <w:tcPr>
            <w:tcW w:w="1931" w:type="dxa"/>
            <w:vAlign w:val="center"/>
          </w:tcPr>
          <w:p w14:paraId="7AF30ACE">
            <w:pPr>
              <w:widowControl/>
              <w:spacing w:line="240" w:lineRule="auto"/>
              <w:ind w:firstLine="0" w:firstLineChars="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管式加热炉</w:t>
            </w:r>
          </w:p>
        </w:tc>
        <w:tc>
          <w:tcPr>
            <w:tcW w:w="2551" w:type="dxa"/>
            <w:vAlign w:val="center"/>
          </w:tcPr>
          <w:p w14:paraId="03B5CEAC">
            <w:pPr>
              <w:ind w:left="207" w:firstLine="0" w:firstLineChars="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Q=1000kW</w:t>
            </w:r>
          </w:p>
        </w:tc>
        <w:tc>
          <w:tcPr>
            <w:tcW w:w="799" w:type="dxa"/>
            <w:vAlign w:val="center"/>
          </w:tcPr>
          <w:p w14:paraId="65D18F00">
            <w:pPr>
              <w:widowControl/>
              <w:spacing w:line="240" w:lineRule="auto"/>
              <w:ind w:firstLine="0" w:firstLineChars="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台</w:t>
            </w:r>
          </w:p>
        </w:tc>
        <w:tc>
          <w:tcPr>
            <w:tcW w:w="1381" w:type="dxa"/>
            <w:tcBorders>
              <w:right w:val="single" w:color="auto" w:sz="12" w:space="0"/>
            </w:tcBorders>
            <w:vAlign w:val="center"/>
          </w:tcPr>
          <w:p w14:paraId="694A4D00">
            <w:pPr>
              <w:widowControl/>
              <w:spacing w:line="240" w:lineRule="auto"/>
              <w:ind w:firstLine="0" w:firstLineChars="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1</w:t>
            </w:r>
          </w:p>
        </w:tc>
      </w:tr>
      <w:tr w14:paraId="3F626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exact"/>
          <w:jc w:val="center"/>
        </w:trPr>
        <w:tc>
          <w:tcPr>
            <w:tcW w:w="851" w:type="dxa"/>
            <w:tcBorders>
              <w:left w:val="single" w:color="auto" w:sz="12" w:space="0"/>
            </w:tcBorders>
            <w:vAlign w:val="center"/>
          </w:tcPr>
          <w:p w14:paraId="7A46D3E1">
            <w:pPr>
              <w:widowControl/>
              <w:spacing w:line="240" w:lineRule="auto"/>
              <w:ind w:firstLine="0" w:firstLineChars="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lang w:eastAsia="zh-CN"/>
              </w:rPr>
              <w:t>11</w:t>
            </w:r>
          </w:p>
        </w:tc>
        <w:tc>
          <w:tcPr>
            <w:tcW w:w="904" w:type="dxa"/>
            <w:vAlign w:val="center"/>
          </w:tcPr>
          <w:p w14:paraId="69456AC6">
            <w:pPr>
              <w:widowControl/>
              <w:spacing w:line="240" w:lineRule="auto"/>
              <w:ind w:firstLine="0" w:firstLineChars="0"/>
              <w:jc w:val="center"/>
              <w:rPr>
                <w:rFonts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污水</w:t>
            </w:r>
          </w:p>
          <w:p w14:paraId="30DCD988">
            <w:pPr>
              <w:widowControl/>
              <w:spacing w:line="240" w:lineRule="auto"/>
              <w:ind w:firstLine="0" w:firstLineChars="0"/>
              <w:jc w:val="center"/>
              <w:rPr>
                <w:rFonts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处理系统</w:t>
            </w:r>
          </w:p>
        </w:tc>
        <w:tc>
          <w:tcPr>
            <w:tcW w:w="1931" w:type="dxa"/>
            <w:vAlign w:val="center"/>
          </w:tcPr>
          <w:p w14:paraId="73E6517A">
            <w:pPr>
              <w:widowControl/>
              <w:spacing w:line="240" w:lineRule="auto"/>
              <w:ind w:firstLine="0" w:firstLineChars="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lang w:eastAsia="zh-CN"/>
              </w:rPr>
              <w:t>污水处理系统</w:t>
            </w:r>
          </w:p>
        </w:tc>
        <w:tc>
          <w:tcPr>
            <w:tcW w:w="2551" w:type="dxa"/>
            <w:vAlign w:val="center"/>
          </w:tcPr>
          <w:p w14:paraId="4F65D341">
            <w:pPr>
              <w:widowControl/>
              <w:spacing w:line="240" w:lineRule="auto"/>
              <w:ind w:firstLine="0" w:firstLineChars="0"/>
              <w:jc w:val="center"/>
              <w:rPr>
                <w:rFonts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FA88污水处理一体机，</w:t>
            </w:r>
          </w:p>
          <w:p w14:paraId="59A1A8A0">
            <w:pPr>
              <w:widowControl/>
              <w:spacing w:line="240" w:lineRule="auto"/>
              <w:ind w:firstLine="0" w:firstLineChars="0"/>
              <w:jc w:val="center"/>
              <w:rPr>
                <w:rFonts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处理能力50m</w:t>
            </w:r>
            <w:r>
              <w:rPr>
                <w:rFonts w:hint="eastAsia" w:cs="宋体" w:asciiTheme="minorEastAsia" w:hAnsiTheme="minorEastAsia" w:eastAsiaTheme="minorEastAsia"/>
                <w:sz w:val="21"/>
                <w:szCs w:val="21"/>
                <w:vertAlign w:val="superscript"/>
                <w:lang w:eastAsia="zh-CN"/>
              </w:rPr>
              <w:t>3</w:t>
            </w:r>
            <w:r>
              <w:rPr>
                <w:rFonts w:hint="eastAsia" w:cs="宋体" w:asciiTheme="minorEastAsia" w:hAnsiTheme="minorEastAsia" w:eastAsiaTheme="minorEastAsia"/>
                <w:sz w:val="21"/>
                <w:szCs w:val="21"/>
                <w:lang w:eastAsia="zh-CN"/>
              </w:rPr>
              <w:t>/d</w:t>
            </w:r>
          </w:p>
        </w:tc>
        <w:tc>
          <w:tcPr>
            <w:tcW w:w="799" w:type="dxa"/>
            <w:vAlign w:val="center"/>
          </w:tcPr>
          <w:p w14:paraId="5524690B">
            <w:pPr>
              <w:widowControl/>
              <w:spacing w:line="240" w:lineRule="auto"/>
              <w:ind w:firstLine="0" w:firstLineChars="0"/>
              <w:jc w:val="center"/>
              <w:rPr>
                <w:rFonts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套</w:t>
            </w:r>
          </w:p>
        </w:tc>
        <w:tc>
          <w:tcPr>
            <w:tcW w:w="1381" w:type="dxa"/>
            <w:tcBorders>
              <w:right w:val="single" w:color="auto" w:sz="12" w:space="0"/>
            </w:tcBorders>
            <w:vAlign w:val="center"/>
          </w:tcPr>
          <w:p w14:paraId="05718B9D">
            <w:pPr>
              <w:widowControl/>
              <w:spacing w:line="240" w:lineRule="auto"/>
              <w:ind w:firstLine="0" w:firstLineChars="0"/>
              <w:jc w:val="center"/>
              <w:rPr>
                <w:rFonts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1</w:t>
            </w:r>
          </w:p>
        </w:tc>
      </w:tr>
      <w:tr w14:paraId="630F1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exact"/>
          <w:jc w:val="center"/>
        </w:trPr>
        <w:tc>
          <w:tcPr>
            <w:tcW w:w="851" w:type="dxa"/>
            <w:tcBorders>
              <w:left w:val="single" w:color="auto" w:sz="12" w:space="0"/>
            </w:tcBorders>
            <w:vAlign w:val="center"/>
          </w:tcPr>
          <w:p w14:paraId="57799E42">
            <w:pPr>
              <w:widowControl/>
              <w:spacing w:line="240" w:lineRule="auto"/>
              <w:ind w:firstLine="0" w:firstLineChars="0"/>
              <w:jc w:val="center"/>
              <w:rPr>
                <w:rFonts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12</w:t>
            </w:r>
          </w:p>
        </w:tc>
        <w:tc>
          <w:tcPr>
            <w:tcW w:w="904" w:type="dxa"/>
            <w:vMerge w:val="restart"/>
            <w:vAlign w:val="center"/>
          </w:tcPr>
          <w:p w14:paraId="3FCAD936">
            <w:pPr>
              <w:widowControl/>
              <w:spacing w:line="240" w:lineRule="auto"/>
              <w:ind w:firstLine="0" w:firstLineChars="0"/>
              <w:jc w:val="center"/>
              <w:rPr>
                <w:rFonts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注水</w:t>
            </w:r>
          </w:p>
          <w:p w14:paraId="518A5C98">
            <w:pPr>
              <w:widowControl/>
              <w:spacing w:line="240" w:lineRule="auto"/>
              <w:ind w:firstLine="0" w:firstLineChars="0"/>
              <w:jc w:val="center"/>
              <w:rPr>
                <w:rFonts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系统</w:t>
            </w:r>
          </w:p>
        </w:tc>
        <w:tc>
          <w:tcPr>
            <w:tcW w:w="1931" w:type="dxa"/>
            <w:vAlign w:val="center"/>
          </w:tcPr>
          <w:p w14:paraId="31FBE476">
            <w:pPr>
              <w:widowControl/>
              <w:spacing w:line="240" w:lineRule="auto"/>
              <w:ind w:firstLine="0" w:firstLineChars="0"/>
              <w:jc w:val="center"/>
              <w:rPr>
                <w:rFonts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水源井</w:t>
            </w:r>
          </w:p>
        </w:tc>
        <w:tc>
          <w:tcPr>
            <w:tcW w:w="2551" w:type="dxa"/>
            <w:vAlign w:val="center"/>
          </w:tcPr>
          <w:p w14:paraId="06C9FC0A">
            <w:pPr>
              <w:widowControl/>
              <w:spacing w:line="240" w:lineRule="auto"/>
              <w:ind w:firstLine="0" w:firstLineChars="0"/>
              <w:jc w:val="center"/>
              <w:rPr>
                <w:rFonts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1#水源井供生活、</w:t>
            </w:r>
          </w:p>
          <w:p w14:paraId="4CB0ACE9">
            <w:pPr>
              <w:widowControl/>
              <w:spacing w:line="240" w:lineRule="auto"/>
              <w:ind w:firstLine="0" w:firstLineChars="0"/>
              <w:jc w:val="center"/>
              <w:rPr>
                <w:rFonts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2#、3#水源井供生产</w:t>
            </w:r>
          </w:p>
        </w:tc>
        <w:tc>
          <w:tcPr>
            <w:tcW w:w="799" w:type="dxa"/>
            <w:vAlign w:val="center"/>
          </w:tcPr>
          <w:p w14:paraId="5FA54556">
            <w:pPr>
              <w:widowControl/>
              <w:spacing w:line="240" w:lineRule="auto"/>
              <w:ind w:firstLine="0" w:firstLineChars="0"/>
              <w:jc w:val="center"/>
              <w:rPr>
                <w:rFonts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眼</w:t>
            </w:r>
          </w:p>
        </w:tc>
        <w:tc>
          <w:tcPr>
            <w:tcW w:w="1381" w:type="dxa"/>
            <w:tcBorders>
              <w:right w:val="single" w:color="auto" w:sz="12" w:space="0"/>
            </w:tcBorders>
            <w:vAlign w:val="center"/>
          </w:tcPr>
          <w:p w14:paraId="1CA8A74E">
            <w:pPr>
              <w:widowControl/>
              <w:spacing w:line="240" w:lineRule="auto"/>
              <w:ind w:firstLine="0" w:firstLineChars="0"/>
              <w:jc w:val="center"/>
              <w:rPr>
                <w:rFonts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3</w:t>
            </w:r>
          </w:p>
        </w:tc>
      </w:tr>
      <w:tr w14:paraId="58CDA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exact"/>
          <w:jc w:val="center"/>
        </w:trPr>
        <w:tc>
          <w:tcPr>
            <w:tcW w:w="851" w:type="dxa"/>
            <w:tcBorders>
              <w:left w:val="single" w:color="auto" w:sz="12" w:space="0"/>
            </w:tcBorders>
            <w:vAlign w:val="center"/>
          </w:tcPr>
          <w:p w14:paraId="2D40CC65">
            <w:pPr>
              <w:widowControl/>
              <w:spacing w:line="240" w:lineRule="auto"/>
              <w:ind w:firstLine="0" w:firstLineChars="0"/>
              <w:jc w:val="center"/>
              <w:rPr>
                <w:rFonts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13</w:t>
            </w:r>
          </w:p>
        </w:tc>
        <w:tc>
          <w:tcPr>
            <w:tcW w:w="904" w:type="dxa"/>
            <w:vMerge w:val="continue"/>
            <w:vAlign w:val="center"/>
          </w:tcPr>
          <w:p w14:paraId="337B6A3E">
            <w:pPr>
              <w:widowControl/>
              <w:spacing w:line="240" w:lineRule="auto"/>
              <w:ind w:firstLine="0" w:firstLineChars="0"/>
              <w:jc w:val="center"/>
              <w:rPr>
                <w:rFonts w:cs="宋体" w:asciiTheme="minorEastAsia" w:hAnsiTheme="minorEastAsia" w:eastAsiaTheme="minorEastAsia"/>
                <w:sz w:val="21"/>
                <w:szCs w:val="21"/>
                <w:lang w:eastAsia="zh-CN"/>
              </w:rPr>
            </w:pPr>
          </w:p>
        </w:tc>
        <w:tc>
          <w:tcPr>
            <w:tcW w:w="1931" w:type="dxa"/>
            <w:vAlign w:val="center"/>
          </w:tcPr>
          <w:p w14:paraId="3EFC69CA">
            <w:pPr>
              <w:widowControl/>
              <w:spacing w:line="240" w:lineRule="auto"/>
              <w:ind w:firstLine="0" w:firstLineChars="0"/>
              <w:jc w:val="center"/>
              <w:rPr>
                <w:rFonts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注水泵</w:t>
            </w:r>
          </w:p>
        </w:tc>
        <w:tc>
          <w:tcPr>
            <w:tcW w:w="2551" w:type="dxa"/>
            <w:vAlign w:val="center"/>
          </w:tcPr>
          <w:p w14:paraId="1200F591">
            <w:pPr>
              <w:widowControl/>
              <w:spacing w:line="240" w:lineRule="auto"/>
              <w:ind w:firstLine="0" w:firstLineChars="0"/>
              <w:jc w:val="center"/>
              <w:rPr>
                <w:rFonts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注水泵</w:t>
            </w:r>
          </w:p>
        </w:tc>
        <w:tc>
          <w:tcPr>
            <w:tcW w:w="799" w:type="dxa"/>
            <w:vAlign w:val="center"/>
          </w:tcPr>
          <w:p w14:paraId="61FA9B86">
            <w:pPr>
              <w:widowControl/>
              <w:spacing w:line="240" w:lineRule="auto"/>
              <w:ind w:firstLine="0" w:firstLineChars="0"/>
              <w:jc w:val="center"/>
              <w:rPr>
                <w:rFonts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台</w:t>
            </w:r>
          </w:p>
        </w:tc>
        <w:tc>
          <w:tcPr>
            <w:tcW w:w="1381" w:type="dxa"/>
            <w:tcBorders>
              <w:right w:val="single" w:color="auto" w:sz="12" w:space="0"/>
            </w:tcBorders>
            <w:vAlign w:val="center"/>
          </w:tcPr>
          <w:p w14:paraId="554623FA">
            <w:pPr>
              <w:widowControl/>
              <w:spacing w:line="240" w:lineRule="auto"/>
              <w:ind w:firstLine="0" w:firstLineChars="0"/>
              <w:jc w:val="center"/>
              <w:rPr>
                <w:rFonts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4（各2台）</w:t>
            </w:r>
          </w:p>
        </w:tc>
      </w:tr>
      <w:tr w14:paraId="6F049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851" w:type="dxa"/>
            <w:tcBorders>
              <w:left w:val="single" w:color="auto" w:sz="12" w:space="0"/>
            </w:tcBorders>
            <w:vAlign w:val="center"/>
          </w:tcPr>
          <w:p w14:paraId="1D08CC87">
            <w:pPr>
              <w:widowControl/>
              <w:spacing w:line="240" w:lineRule="auto"/>
              <w:ind w:firstLine="0" w:firstLineChars="0"/>
              <w:jc w:val="center"/>
              <w:rPr>
                <w:rFonts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14</w:t>
            </w:r>
          </w:p>
        </w:tc>
        <w:tc>
          <w:tcPr>
            <w:tcW w:w="904" w:type="dxa"/>
            <w:vMerge w:val="continue"/>
            <w:vAlign w:val="center"/>
          </w:tcPr>
          <w:p w14:paraId="43935B03">
            <w:pPr>
              <w:widowControl/>
              <w:spacing w:line="240" w:lineRule="auto"/>
              <w:ind w:firstLine="0" w:firstLineChars="0"/>
              <w:jc w:val="center"/>
              <w:rPr>
                <w:rFonts w:cs="宋体" w:asciiTheme="minorEastAsia" w:hAnsiTheme="minorEastAsia" w:eastAsiaTheme="minorEastAsia"/>
                <w:sz w:val="21"/>
                <w:szCs w:val="21"/>
                <w:lang w:eastAsia="zh-CN"/>
              </w:rPr>
            </w:pPr>
          </w:p>
        </w:tc>
        <w:tc>
          <w:tcPr>
            <w:tcW w:w="1931" w:type="dxa"/>
            <w:vAlign w:val="center"/>
          </w:tcPr>
          <w:p w14:paraId="0022A2EB">
            <w:pPr>
              <w:widowControl/>
              <w:spacing w:line="240" w:lineRule="auto"/>
              <w:ind w:firstLine="0" w:firstLineChars="0"/>
              <w:jc w:val="center"/>
              <w:rPr>
                <w:rFonts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注水干线</w:t>
            </w:r>
          </w:p>
        </w:tc>
        <w:tc>
          <w:tcPr>
            <w:tcW w:w="2551" w:type="dxa"/>
            <w:vAlign w:val="center"/>
          </w:tcPr>
          <w:p w14:paraId="7C3515D4">
            <w:pPr>
              <w:widowControl/>
              <w:spacing w:line="240" w:lineRule="auto"/>
              <w:ind w:firstLine="0" w:firstLineChars="0"/>
              <w:jc w:val="center"/>
              <w:rPr>
                <w:rFonts w:cs="宋体" w:asciiTheme="minorEastAsia" w:hAnsiTheme="minorEastAsia" w:eastAsiaTheme="minorEastAsia"/>
                <w:sz w:val="21"/>
                <w:szCs w:val="21"/>
                <w:lang w:eastAsia="zh-CN"/>
              </w:rPr>
            </w:pPr>
            <w:r>
              <w:rPr>
                <w:rFonts w:cs="宋体" w:asciiTheme="minorEastAsia" w:hAnsiTheme="minorEastAsia" w:eastAsiaTheme="minorEastAsia"/>
                <w:sz w:val="21"/>
                <w:szCs w:val="21"/>
                <w:lang w:eastAsia="zh-CN"/>
              </w:rPr>
              <w:t>D159×18</w:t>
            </w:r>
          </w:p>
        </w:tc>
        <w:tc>
          <w:tcPr>
            <w:tcW w:w="799" w:type="dxa"/>
            <w:vAlign w:val="center"/>
          </w:tcPr>
          <w:p w14:paraId="3C2422AD">
            <w:pPr>
              <w:widowControl/>
              <w:spacing w:line="240" w:lineRule="auto"/>
              <w:ind w:firstLine="0" w:firstLineChars="0"/>
              <w:jc w:val="center"/>
              <w:rPr>
                <w:rFonts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千米</w:t>
            </w:r>
          </w:p>
        </w:tc>
        <w:tc>
          <w:tcPr>
            <w:tcW w:w="1381" w:type="dxa"/>
            <w:tcBorders>
              <w:right w:val="single" w:color="auto" w:sz="12" w:space="0"/>
            </w:tcBorders>
            <w:vAlign w:val="center"/>
          </w:tcPr>
          <w:p w14:paraId="077F7731">
            <w:pPr>
              <w:widowControl/>
              <w:spacing w:line="240" w:lineRule="auto"/>
              <w:ind w:firstLine="0" w:firstLineChars="0"/>
              <w:jc w:val="center"/>
              <w:rPr>
                <w:rFonts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4.0</w:t>
            </w:r>
          </w:p>
        </w:tc>
      </w:tr>
      <w:tr w14:paraId="3BAF7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exact"/>
          <w:jc w:val="center"/>
        </w:trPr>
        <w:tc>
          <w:tcPr>
            <w:tcW w:w="851" w:type="dxa"/>
            <w:tcBorders>
              <w:left w:val="single" w:color="auto" w:sz="12" w:space="0"/>
            </w:tcBorders>
            <w:vAlign w:val="center"/>
          </w:tcPr>
          <w:p w14:paraId="384E6401">
            <w:pPr>
              <w:widowControl/>
              <w:spacing w:line="240" w:lineRule="auto"/>
              <w:ind w:firstLine="0" w:firstLineChars="0"/>
              <w:jc w:val="center"/>
              <w:rPr>
                <w:rFonts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15</w:t>
            </w:r>
          </w:p>
        </w:tc>
        <w:tc>
          <w:tcPr>
            <w:tcW w:w="904" w:type="dxa"/>
            <w:vAlign w:val="center"/>
          </w:tcPr>
          <w:p w14:paraId="12C9EF31">
            <w:pPr>
              <w:widowControl/>
              <w:spacing w:line="240" w:lineRule="auto"/>
              <w:ind w:firstLine="0" w:firstLineChars="0"/>
              <w:jc w:val="center"/>
              <w:rPr>
                <w:rFonts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供电</w:t>
            </w:r>
          </w:p>
          <w:p w14:paraId="076CB9F2">
            <w:pPr>
              <w:widowControl/>
              <w:spacing w:line="240" w:lineRule="auto"/>
              <w:ind w:firstLine="0" w:firstLineChars="0"/>
              <w:jc w:val="center"/>
              <w:rPr>
                <w:rFonts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系统</w:t>
            </w:r>
          </w:p>
        </w:tc>
        <w:tc>
          <w:tcPr>
            <w:tcW w:w="1931" w:type="dxa"/>
            <w:vAlign w:val="center"/>
          </w:tcPr>
          <w:p w14:paraId="674BA954">
            <w:pPr>
              <w:widowControl/>
              <w:spacing w:line="240" w:lineRule="auto"/>
              <w:ind w:firstLine="0" w:firstLineChars="0"/>
              <w:jc w:val="center"/>
              <w:rPr>
                <w:rFonts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站内</w:t>
            </w:r>
          </w:p>
          <w:p w14:paraId="093BF176">
            <w:pPr>
              <w:widowControl/>
              <w:spacing w:line="240" w:lineRule="auto"/>
              <w:ind w:firstLine="0" w:firstLineChars="0"/>
              <w:jc w:val="center"/>
              <w:rPr>
                <w:rFonts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天然气发电</w:t>
            </w:r>
          </w:p>
        </w:tc>
        <w:tc>
          <w:tcPr>
            <w:tcW w:w="2551" w:type="dxa"/>
            <w:vAlign w:val="center"/>
          </w:tcPr>
          <w:p w14:paraId="44C672E7">
            <w:pPr>
              <w:widowControl/>
              <w:spacing w:line="240" w:lineRule="auto"/>
              <w:ind w:firstLine="0" w:firstLineChars="0"/>
              <w:jc w:val="center"/>
              <w:rPr>
                <w:sz w:val="21"/>
                <w:lang w:eastAsia="zh-CN"/>
              </w:rPr>
            </w:pPr>
            <w:r>
              <w:rPr>
                <w:rFonts w:hint="eastAsia"/>
                <w:sz w:val="21"/>
                <w:lang w:eastAsia="zh-CN"/>
              </w:rPr>
              <w:t>功率分别为300 kW、</w:t>
            </w:r>
          </w:p>
          <w:p w14:paraId="40140DCE">
            <w:pPr>
              <w:widowControl/>
              <w:spacing w:line="240" w:lineRule="auto"/>
              <w:ind w:firstLine="0" w:firstLineChars="0"/>
              <w:jc w:val="center"/>
              <w:rPr>
                <w:rFonts w:cs="宋体" w:asciiTheme="minorEastAsia" w:hAnsiTheme="minorEastAsia" w:eastAsiaTheme="minorEastAsia"/>
                <w:sz w:val="21"/>
                <w:szCs w:val="21"/>
                <w:lang w:eastAsia="zh-CN"/>
              </w:rPr>
            </w:pPr>
            <w:r>
              <w:rPr>
                <w:rFonts w:hint="eastAsia"/>
                <w:sz w:val="21"/>
                <w:lang w:eastAsia="zh-CN"/>
              </w:rPr>
              <w:t>380 kW、650 kW</w:t>
            </w:r>
          </w:p>
        </w:tc>
        <w:tc>
          <w:tcPr>
            <w:tcW w:w="799" w:type="dxa"/>
            <w:vAlign w:val="center"/>
          </w:tcPr>
          <w:p w14:paraId="1BBB90DD">
            <w:pPr>
              <w:widowControl/>
              <w:spacing w:line="240" w:lineRule="auto"/>
              <w:ind w:firstLine="0" w:firstLineChars="0"/>
              <w:jc w:val="center"/>
              <w:rPr>
                <w:rFonts w:cs="宋体" w:asciiTheme="minorEastAsia" w:hAnsiTheme="minorEastAsia" w:eastAsiaTheme="minorEastAsia"/>
                <w:sz w:val="21"/>
                <w:szCs w:val="21"/>
                <w:lang w:eastAsia="zh-CN"/>
              </w:rPr>
            </w:pPr>
          </w:p>
        </w:tc>
        <w:tc>
          <w:tcPr>
            <w:tcW w:w="1381" w:type="dxa"/>
            <w:tcBorders>
              <w:right w:val="single" w:color="auto" w:sz="12" w:space="0"/>
            </w:tcBorders>
            <w:vAlign w:val="center"/>
          </w:tcPr>
          <w:p w14:paraId="0FA564FC">
            <w:pPr>
              <w:widowControl/>
              <w:spacing w:line="240" w:lineRule="auto"/>
              <w:ind w:firstLine="0" w:firstLineChars="0"/>
              <w:jc w:val="center"/>
              <w:rPr>
                <w:rFonts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用于站内及单井用电</w:t>
            </w:r>
          </w:p>
        </w:tc>
      </w:tr>
      <w:tr w14:paraId="5CECD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exact"/>
          <w:jc w:val="center"/>
        </w:trPr>
        <w:tc>
          <w:tcPr>
            <w:tcW w:w="851" w:type="dxa"/>
            <w:tcBorders>
              <w:left w:val="single" w:color="auto" w:sz="12" w:space="0"/>
            </w:tcBorders>
            <w:vAlign w:val="center"/>
          </w:tcPr>
          <w:p w14:paraId="12A4FE1E">
            <w:pPr>
              <w:widowControl/>
              <w:spacing w:line="240" w:lineRule="auto"/>
              <w:ind w:firstLine="0" w:firstLineChars="0"/>
              <w:jc w:val="center"/>
              <w:rPr>
                <w:rFonts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16</w:t>
            </w:r>
          </w:p>
        </w:tc>
        <w:tc>
          <w:tcPr>
            <w:tcW w:w="904" w:type="dxa"/>
            <w:vMerge w:val="restart"/>
            <w:vAlign w:val="center"/>
          </w:tcPr>
          <w:p w14:paraId="706255E0">
            <w:pPr>
              <w:widowControl/>
              <w:spacing w:line="240" w:lineRule="auto"/>
              <w:ind w:firstLine="0" w:firstLineChars="0"/>
              <w:jc w:val="center"/>
              <w:rPr>
                <w:rFonts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供热</w:t>
            </w:r>
          </w:p>
          <w:p w14:paraId="392C95AF">
            <w:pPr>
              <w:widowControl/>
              <w:spacing w:line="240" w:lineRule="auto"/>
              <w:ind w:firstLine="0" w:firstLineChars="0"/>
              <w:jc w:val="center"/>
              <w:rPr>
                <w:rFonts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系统</w:t>
            </w:r>
          </w:p>
        </w:tc>
        <w:tc>
          <w:tcPr>
            <w:tcW w:w="1931" w:type="dxa"/>
            <w:vAlign w:val="center"/>
          </w:tcPr>
          <w:p w14:paraId="185944CB">
            <w:pPr>
              <w:widowControl/>
              <w:spacing w:line="240" w:lineRule="auto"/>
              <w:ind w:firstLine="0" w:firstLineChars="0"/>
              <w:jc w:val="center"/>
              <w:rPr>
                <w:rFonts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站内天然气发电</w:t>
            </w:r>
          </w:p>
          <w:p w14:paraId="37707935">
            <w:pPr>
              <w:widowControl/>
              <w:spacing w:line="240" w:lineRule="auto"/>
              <w:ind w:firstLine="0" w:firstLineChars="0"/>
              <w:jc w:val="center"/>
              <w:rPr>
                <w:rFonts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余热回收</w:t>
            </w:r>
          </w:p>
        </w:tc>
        <w:tc>
          <w:tcPr>
            <w:tcW w:w="2551" w:type="dxa"/>
            <w:vAlign w:val="center"/>
          </w:tcPr>
          <w:p w14:paraId="7F602269">
            <w:pPr>
              <w:widowControl/>
              <w:spacing w:line="240" w:lineRule="auto"/>
              <w:ind w:firstLine="0" w:firstLineChars="0"/>
              <w:jc w:val="center"/>
              <w:rPr>
                <w:rFonts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用于站内、单井供热</w:t>
            </w:r>
          </w:p>
        </w:tc>
        <w:tc>
          <w:tcPr>
            <w:tcW w:w="799" w:type="dxa"/>
            <w:vAlign w:val="center"/>
          </w:tcPr>
          <w:p w14:paraId="640836B1">
            <w:pPr>
              <w:widowControl/>
              <w:spacing w:line="240" w:lineRule="auto"/>
              <w:ind w:firstLine="0" w:firstLineChars="0"/>
              <w:jc w:val="center"/>
              <w:rPr>
                <w:rFonts w:cs="宋体" w:asciiTheme="minorEastAsia" w:hAnsiTheme="minorEastAsia" w:eastAsiaTheme="minorEastAsia"/>
                <w:sz w:val="21"/>
                <w:szCs w:val="21"/>
                <w:lang w:eastAsia="zh-CN"/>
              </w:rPr>
            </w:pPr>
          </w:p>
        </w:tc>
        <w:tc>
          <w:tcPr>
            <w:tcW w:w="1381" w:type="dxa"/>
            <w:tcBorders>
              <w:right w:val="single" w:color="auto" w:sz="12" w:space="0"/>
            </w:tcBorders>
            <w:vAlign w:val="center"/>
          </w:tcPr>
          <w:p w14:paraId="3962B92F">
            <w:pPr>
              <w:widowControl/>
              <w:spacing w:line="240" w:lineRule="auto"/>
              <w:ind w:firstLine="0" w:firstLineChars="0"/>
              <w:jc w:val="center"/>
              <w:rPr>
                <w:rFonts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余热回收</w:t>
            </w:r>
          </w:p>
        </w:tc>
      </w:tr>
      <w:tr w14:paraId="299CF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exact"/>
          <w:jc w:val="center"/>
        </w:trPr>
        <w:tc>
          <w:tcPr>
            <w:tcW w:w="851" w:type="dxa"/>
            <w:tcBorders>
              <w:left w:val="single" w:color="auto" w:sz="12" w:space="0"/>
              <w:bottom w:val="single" w:color="auto" w:sz="12" w:space="0"/>
            </w:tcBorders>
            <w:vAlign w:val="center"/>
          </w:tcPr>
          <w:p w14:paraId="0F3710AC">
            <w:pPr>
              <w:widowControl/>
              <w:spacing w:line="240" w:lineRule="auto"/>
              <w:ind w:firstLine="0" w:firstLineChars="0"/>
              <w:jc w:val="center"/>
              <w:rPr>
                <w:rFonts w:cs="宋体" w:asciiTheme="minorEastAsia" w:hAnsiTheme="minorEastAsia" w:eastAsiaTheme="minorEastAsia"/>
                <w:sz w:val="21"/>
                <w:szCs w:val="21"/>
                <w:lang w:eastAsia="zh-CN"/>
              </w:rPr>
            </w:pPr>
            <w:r>
              <w:rPr>
                <w:rFonts w:hint="eastAsia" w:cs="宋体" w:asciiTheme="minorEastAsia" w:hAnsiTheme="minorEastAsia" w:eastAsiaTheme="minorEastAsia"/>
                <w:sz w:val="21"/>
                <w:szCs w:val="21"/>
                <w:lang w:eastAsia="zh-CN"/>
              </w:rPr>
              <w:t>17</w:t>
            </w:r>
          </w:p>
        </w:tc>
        <w:tc>
          <w:tcPr>
            <w:tcW w:w="904" w:type="dxa"/>
            <w:vMerge w:val="continue"/>
            <w:tcBorders>
              <w:bottom w:val="single" w:color="auto" w:sz="12" w:space="0"/>
            </w:tcBorders>
            <w:vAlign w:val="center"/>
          </w:tcPr>
          <w:p w14:paraId="46CE6035">
            <w:pPr>
              <w:widowControl/>
              <w:spacing w:line="240" w:lineRule="auto"/>
              <w:ind w:firstLine="0" w:firstLineChars="0"/>
              <w:jc w:val="center"/>
              <w:rPr>
                <w:rFonts w:cs="宋体" w:asciiTheme="minorEastAsia" w:hAnsiTheme="minorEastAsia" w:eastAsiaTheme="minorEastAsia"/>
                <w:sz w:val="21"/>
                <w:szCs w:val="21"/>
                <w:lang w:eastAsia="zh-CN"/>
              </w:rPr>
            </w:pPr>
          </w:p>
        </w:tc>
        <w:tc>
          <w:tcPr>
            <w:tcW w:w="1931" w:type="dxa"/>
            <w:tcBorders>
              <w:bottom w:val="single" w:color="auto" w:sz="12" w:space="0"/>
            </w:tcBorders>
            <w:vAlign w:val="center"/>
          </w:tcPr>
          <w:p w14:paraId="02263AD1">
            <w:pPr>
              <w:widowControl/>
              <w:spacing w:line="240" w:lineRule="auto"/>
              <w:ind w:firstLine="0" w:firstLineChars="0"/>
              <w:jc w:val="center"/>
              <w:rPr>
                <w:rFonts w:cs="宋体" w:asciiTheme="minorEastAsia" w:hAnsiTheme="minorEastAsia" w:eastAsiaTheme="minorEastAsia"/>
                <w:sz w:val="21"/>
                <w:szCs w:val="21"/>
                <w:lang w:eastAsia="zh-CN"/>
              </w:rPr>
            </w:pPr>
            <w:r>
              <w:rPr>
                <w:rFonts w:hint="eastAsia"/>
                <w:sz w:val="21"/>
                <w:lang w:eastAsia="zh-CN"/>
              </w:rPr>
              <w:t>1000 kW</w:t>
            </w:r>
            <w:r>
              <w:rPr>
                <w:rFonts w:hint="eastAsia" w:cs="宋体" w:asciiTheme="minorEastAsia" w:hAnsiTheme="minorEastAsia" w:eastAsiaTheme="minorEastAsia"/>
                <w:sz w:val="21"/>
                <w:szCs w:val="21"/>
                <w:lang w:eastAsia="zh-CN"/>
              </w:rPr>
              <w:t>加热炉</w:t>
            </w:r>
          </w:p>
        </w:tc>
        <w:tc>
          <w:tcPr>
            <w:tcW w:w="2551" w:type="dxa"/>
            <w:tcBorders>
              <w:bottom w:val="single" w:color="auto" w:sz="12" w:space="0"/>
            </w:tcBorders>
            <w:vAlign w:val="center"/>
          </w:tcPr>
          <w:p w14:paraId="080F16B3">
            <w:pPr>
              <w:widowControl/>
              <w:spacing w:line="240" w:lineRule="auto"/>
              <w:ind w:firstLine="0" w:firstLineChars="0"/>
              <w:jc w:val="center"/>
              <w:rPr>
                <w:rFonts w:cs="宋体" w:asciiTheme="minorEastAsia" w:hAnsiTheme="minorEastAsia" w:eastAsiaTheme="minorEastAsia"/>
                <w:sz w:val="21"/>
                <w:szCs w:val="21"/>
                <w:lang w:eastAsia="zh-CN"/>
              </w:rPr>
            </w:pPr>
            <w:r>
              <w:rPr>
                <w:rFonts w:hint="eastAsia"/>
                <w:sz w:val="21"/>
                <w:lang w:eastAsia="zh-CN"/>
              </w:rPr>
              <w:t>1000 kW</w:t>
            </w:r>
          </w:p>
        </w:tc>
        <w:tc>
          <w:tcPr>
            <w:tcW w:w="799" w:type="dxa"/>
            <w:tcBorders>
              <w:bottom w:val="single" w:color="auto" w:sz="12" w:space="0"/>
            </w:tcBorders>
            <w:vAlign w:val="center"/>
          </w:tcPr>
          <w:p w14:paraId="574CE44B">
            <w:pPr>
              <w:widowControl/>
              <w:spacing w:line="240" w:lineRule="auto"/>
              <w:ind w:firstLine="0" w:firstLineChars="0"/>
              <w:jc w:val="center"/>
              <w:rPr>
                <w:rFonts w:cs="宋体" w:asciiTheme="minorEastAsia" w:hAnsiTheme="minorEastAsia" w:eastAsiaTheme="minorEastAsia"/>
                <w:sz w:val="21"/>
                <w:szCs w:val="21"/>
                <w:lang w:eastAsia="zh-CN"/>
              </w:rPr>
            </w:pPr>
          </w:p>
        </w:tc>
        <w:tc>
          <w:tcPr>
            <w:tcW w:w="1381" w:type="dxa"/>
            <w:tcBorders>
              <w:bottom w:val="single" w:color="auto" w:sz="12" w:space="0"/>
              <w:right w:val="single" w:color="auto" w:sz="12" w:space="0"/>
            </w:tcBorders>
            <w:vAlign w:val="center"/>
          </w:tcPr>
          <w:p w14:paraId="06912950">
            <w:pPr>
              <w:widowControl/>
              <w:spacing w:line="240" w:lineRule="auto"/>
              <w:ind w:firstLine="0" w:firstLineChars="0"/>
              <w:jc w:val="center"/>
              <w:rPr>
                <w:rFonts w:cs="宋体" w:asciiTheme="minorEastAsia" w:hAnsiTheme="minorEastAsia" w:eastAsiaTheme="minorEastAsia"/>
                <w:sz w:val="21"/>
                <w:szCs w:val="21"/>
                <w:lang w:eastAsia="zh-CN"/>
              </w:rPr>
            </w:pPr>
          </w:p>
        </w:tc>
      </w:tr>
    </w:tbl>
    <w:p w14:paraId="7B516AE4">
      <w:pPr>
        <w:pStyle w:val="4"/>
        <w:rPr>
          <w:lang w:eastAsia="zh-CN"/>
        </w:rPr>
      </w:pPr>
      <w:bookmarkStart w:id="118" w:name="_Toc408413906"/>
      <w:r>
        <w:rPr>
          <w:lang w:eastAsia="zh-CN"/>
        </w:rPr>
        <w:t>2.</w:t>
      </w:r>
      <w:r>
        <w:rPr>
          <w:rFonts w:hint="eastAsia"/>
          <w:lang w:eastAsia="zh-CN"/>
        </w:rPr>
        <w:t>2</w:t>
      </w:r>
      <w:r>
        <w:rPr>
          <w:lang w:eastAsia="zh-CN"/>
        </w:rPr>
        <w:t>.</w:t>
      </w:r>
      <w:r>
        <w:rPr>
          <w:rFonts w:hint="eastAsia"/>
          <w:lang w:eastAsia="zh-CN"/>
        </w:rPr>
        <w:t>2现有</w:t>
      </w:r>
      <w:r>
        <w:rPr>
          <w:lang w:eastAsia="zh-CN"/>
        </w:rPr>
        <w:t>工程</w:t>
      </w:r>
      <w:r>
        <w:rPr>
          <w:rFonts w:hint="eastAsia"/>
          <w:lang w:eastAsia="zh-CN"/>
        </w:rPr>
        <w:t>环评</w:t>
      </w:r>
      <w:r>
        <w:rPr>
          <w:lang w:eastAsia="zh-CN"/>
        </w:rPr>
        <w:t>验收情况</w:t>
      </w:r>
      <w:bookmarkEnd w:id="118"/>
    </w:p>
    <w:p w14:paraId="19AC79EC">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1、现有工程环评验收手续履行情况</w:t>
      </w:r>
    </w:p>
    <w:p w14:paraId="082F4C4A">
      <w:pPr>
        <w:ind w:firstLine="480"/>
        <w:rPr>
          <w:rFonts w:asciiTheme="minorEastAsia" w:hAnsiTheme="minorEastAsia" w:eastAsiaTheme="minorEastAsia"/>
          <w:lang w:eastAsia="zh-CN"/>
        </w:rPr>
      </w:pPr>
      <w:r>
        <w:rPr>
          <w:rFonts w:asciiTheme="minorEastAsia" w:hAnsiTheme="minorEastAsia" w:eastAsiaTheme="minorEastAsia"/>
          <w:lang w:eastAsia="zh-CN"/>
        </w:rPr>
        <w:t>乌里雅斯太油田</w:t>
      </w:r>
      <w:r>
        <w:rPr>
          <w:rFonts w:hint="eastAsia" w:asciiTheme="minorEastAsia" w:hAnsiTheme="minorEastAsia" w:eastAsiaTheme="minorEastAsia"/>
          <w:lang w:eastAsia="zh-CN"/>
        </w:rPr>
        <w:t>现有工程环境影响评价报告表《华北油田二连分公司乌里雅斯太油田开发项目环境影响报告表》，由锡盟环保局于2006年批复（锡署环审表[2006]68号），《乌里雅斯太油田开发项目验收申请报告》，2007年由锡盟环保局组织验收（锡环验[2007]015号）。</w:t>
      </w:r>
    </w:p>
    <w:p w14:paraId="65CB0413">
      <w:pPr>
        <w:ind w:firstLine="480"/>
        <w:outlineLvl w:val="0"/>
        <w:rPr>
          <w:rFonts w:asciiTheme="minorEastAsia" w:hAnsiTheme="minorEastAsia" w:eastAsiaTheme="minorEastAsia"/>
          <w:lang w:eastAsia="zh-CN"/>
        </w:rPr>
      </w:pPr>
      <w:r>
        <w:rPr>
          <w:rFonts w:hint="eastAsia" w:asciiTheme="minorEastAsia" w:hAnsiTheme="minorEastAsia" w:eastAsiaTheme="minorEastAsia"/>
          <w:lang w:eastAsia="zh-CN"/>
        </w:rPr>
        <w:t>2、现有工程验收要求</w:t>
      </w:r>
    </w:p>
    <w:p w14:paraId="10FC60DC">
      <w:pPr>
        <w:ind w:firstLine="480"/>
        <w:rPr>
          <w:rFonts w:asciiTheme="minorEastAsia" w:hAnsiTheme="minorEastAsia" w:eastAsiaTheme="minorEastAsia"/>
          <w:lang w:eastAsia="zh-CN"/>
        </w:rPr>
      </w:pPr>
      <w:r>
        <w:rPr>
          <w:rFonts w:asciiTheme="minorEastAsia" w:hAnsiTheme="minorEastAsia" w:eastAsiaTheme="minorEastAsia"/>
          <w:lang w:eastAsia="zh-CN"/>
        </w:rPr>
        <w:t>乌里雅斯太油田</w:t>
      </w:r>
      <w:r>
        <w:rPr>
          <w:rFonts w:hint="eastAsia" w:asciiTheme="minorEastAsia" w:hAnsiTheme="minorEastAsia" w:eastAsiaTheme="minorEastAsia"/>
          <w:lang w:eastAsia="zh-CN"/>
        </w:rPr>
        <w:t>现有工程验收组验收意见主要要求：</w:t>
      </w:r>
    </w:p>
    <w:p w14:paraId="31A6FCF9">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（1）项目在建设中各项环境保护设施与主体工程做到了同时设计、同时施工、同时投入运行，经验收监测各类污染物排放达到了国家规定的排放标准，生态破坏在可控范围内。</w:t>
      </w:r>
    </w:p>
    <w:p w14:paraId="17CECECC">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（2）进一步完成作业区硬化和绿化工作。</w:t>
      </w:r>
    </w:p>
    <w:p w14:paraId="384AEDC9">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（3）鉴于项目区采油区部分地段和输油管线部分管段植被恢复效果不理想，建议应进一步加强管理，在上述地段采取必要的工程措施恢复植被，确保达到恢复治理效果。</w:t>
      </w:r>
    </w:p>
    <w:p w14:paraId="04EFA691">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（4）作业区至主干道要采取硬化措施，减少运输扬尘污染。</w:t>
      </w:r>
    </w:p>
    <w:p w14:paraId="05F0C9F7">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（5）加强污染防治设施的维护和日常监管，保证治污设施正常运行，确保各类污染物稳定达标排放。</w:t>
      </w:r>
    </w:p>
    <w:p w14:paraId="330B5A20">
      <w:pPr>
        <w:ind w:firstLine="480"/>
        <w:outlineLvl w:val="0"/>
        <w:rPr>
          <w:rFonts w:asciiTheme="minorEastAsia" w:hAnsiTheme="minorEastAsia" w:eastAsiaTheme="minorEastAsia"/>
          <w:lang w:eastAsia="zh-CN"/>
        </w:rPr>
      </w:pPr>
      <w:r>
        <w:rPr>
          <w:rFonts w:hint="eastAsia" w:asciiTheme="minorEastAsia" w:hAnsiTheme="minorEastAsia" w:eastAsiaTheme="minorEastAsia"/>
          <w:lang w:eastAsia="zh-CN"/>
        </w:rPr>
        <w:t>3、现有工程存在的主要环境问题及整改要求</w:t>
      </w:r>
    </w:p>
    <w:p w14:paraId="520E3098">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本工程是在已探明并开发的油田断块上滚动开发的项目，通过现场调查及根据项目验收要求，</w:t>
      </w:r>
      <w:r>
        <w:rPr>
          <w:rFonts w:asciiTheme="minorEastAsia" w:hAnsiTheme="minorEastAsia" w:eastAsiaTheme="minorEastAsia"/>
          <w:lang w:eastAsia="zh-CN"/>
        </w:rPr>
        <w:t>目前本项目建设现存的</w:t>
      </w:r>
      <w:r>
        <w:rPr>
          <w:rFonts w:hint="eastAsia" w:asciiTheme="minorEastAsia" w:hAnsiTheme="minorEastAsia" w:eastAsiaTheme="minorEastAsia"/>
          <w:lang w:eastAsia="zh-CN"/>
        </w:rPr>
        <w:t>主要</w:t>
      </w:r>
      <w:r>
        <w:rPr>
          <w:rFonts w:asciiTheme="minorEastAsia" w:hAnsiTheme="minorEastAsia" w:eastAsiaTheme="minorEastAsia"/>
          <w:lang w:eastAsia="zh-CN"/>
        </w:rPr>
        <w:t>环境问题</w:t>
      </w:r>
      <w:r>
        <w:rPr>
          <w:rFonts w:hint="eastAsia" w:asciiTheme="minorEastAsia" w:hAnsiTheme="minorEastAsia" w:eastAsiaTheme="minorEastAsia"/>
          <w:lang w:eastAsia="zh-CN"/>
        </w:rPr>
        <w:t>主要为以下几方面：</w:t>
      </w:r>
    </w:p>
    <w:p w14:paraId="5A810EC9">
      <w:pPr>
        <w:ind w:firstLine="480"/>
        <w:outlineLvl w:val="0"/>
        <w:rPr>
          <w:rFonts w:asciiTheme="minorEastAsia" w:hAnsiTheme="minorEastAsia" w:eastAsiaTheme="minorEastAsia"/>
          <w:lang w:eastAsia="zh-CN"/>
        </w:rPr>
      </w:pPr>
      <w:r>
        <w:rPr>
          <w:rFonts w:hint="eastAsia" w:asciiTheme="minorEastAsia" w:hAnsiTheme="minorEastAsia" w:eastAsiaTheme="minorEastAsia"/>
          <w:lang w:eastAsia="zh-CN"/>
        </w:rPr>
        <w:t>（1）</w:t>
      </w:r>
      <w:r>
        <w:rPr>
          <w:rFonts w:asciiTheme="minorEastAsia" w:hAnsiTheme="minorEastAsia" w:eastAsiaTheme="minorEastAsia"/>
          <w:lang w:eastAsia="zh-CN"/>
        </w:rPr>
        <w:t>现有</w:t>
      </w:r>
      <w:r>
        <w:rPr>
          <w:rFonts w:hint="eastAsia" w:asciiTheme="minorEastAsia" w:hAnsiTheme="minorEastAsia" w:eastAsiaTheme="minorEastAsia"/>
          <w:lang w:eastAsia="zh-CN"/>
        </w:rPr>
        <w:t>部分井间联系道路未设置围栏等设施；</w:t>
      </w:r>
    </w:p>
    <w:p w14:paraId="0009214E">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（2）部分采井施工影响区域植被未恢复到扰动前；</w:t>
      </w:r>
    </w:p>
    <w:p w14:paraId="627C2F05">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（3）雅一接转站生活污水经化粪池处理后排至站场西南侧的蒸发池内，蒸发池约300m</w:t>
      </w:r>
      <w:r>
        <w:rPr>
          <w:rFonts w:hint="eastAsia" w:asciiTheme="minorEastAsia" w:hAnsiTheme="minorEastAsia" w:eastAsiaTheme="minorEastAsia"/>
          <w:vertAlign w:val="superscript"/>
          <w:lang w:eastAsia="zh-CN"/>
        </w:rPr>
        <w:t>3</w:t>
      </w:r>
      <w:r>
        <w:rPr>
          <w:rFonts w:hint="eastAsia" w:asciiTheme="minorEastAsia" w:hAnsiTheme="minorEastAsia" w:eastAsiaTheme="minorEastAsia"/>
          <w:lang w:eastAsia="zh-CN"/>
        </w:rPr>
        <w:t>，底部防渗，生活污水处理设施不完善；</w:t>
      </w:r>
    </w:p>
    <w:p w14:paraId="484C0863">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（4）雅斯站在建设过程中开挖产生的土石等未合理处置，开挖面未及时平整，大风天极易产生扬尘。</w:t>
      </w:r>
    </w:p>
    <w:p w14:paraId="2FEA68A8">
      <w:pPr>
        <w:ind w:firstLine="480"/>
        <w:outlineLvl w:val="0"/>
        <w:rPr>
          <w:rFonts w:asciiTheme="minorEastAsia" w:hAnsiTheme="minorEastAsia" w:eastAsiaTheme="minorEastAsia"/>
          <w:lang w:eastAsia="zh-CN"/>
        </w:rPr>
      </w:pPr>
      <w:r>
        <w:rPr>
          <w:rFonts w:hint="eastAsia" w:asciiTheme="minorEastAsia" w:hAnsiTheme="minorEastAsia" w:eastAsiaTheme="minorEastAsia"/>
          <w:lang w:eastAsia="zh-CN"/>
        </w:rPr>
        <w:t>4、</w:t>
      </w:r>
      <w:r>
        <w:rPr>
          <w:rFonts w:asciiTheme="minorEastAsia" w:hAnsiTheme="minorEastAsia" w:eastAsiaTheme="minorEastAsia"/>
          <w:lang w:eastAsia="zh-CN"/>
        </w:rPr>
        <w:t>建议整改措施</w:t>
      </w:r>
    </w:p>
    <w:p w14:paraId="484144EF">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（1）对没有设置围栏等设施的井间道路，设置标识，防止车辆随意碾压草地；</w:t>
      </w:r>
    </w:p>
    <w:p w14:paraId="4701FA11">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（2）</w:t>
      </w:r>
      <w:r>
        <w:rPr>
          <w:rFonts w:asciiTheme="minorEastAsia" w:hAnsiTheme="minorEastAsia" w:eastAsiaTheme="minorEastAsia"/>
          <w:lang w:eastAsia="zh-CN"/>
        </w:rPr>
        <w:t>对于</w:t>
      </w:r>
      <w:r>
        <w:rPr>
          <w:rFonts w:hint="eastAsia" w:asciiTheme="minorEastAsia" w:hAnsiTheme="minorEastAsia" w:eastAsiaTheme="minorEastAsia"/>
          <w:lang w:eastAsia="zh-CN"/>
        </w:rPr>
        <w:t>部分采井施工区没有达到</w:t>
      </w:r>
      <w:r>
        <w:rPr>
          <w:rFonts w:asciiTheme="minorEastAsia" w:hAnsiTheme="minorEastAsia" w:eastAsiaTheme="minorEastAsia"/>
          <w:lang w:eastAsia="zh-CN"/>
        </w:rPr>
        <w:t>植被</w:t>
      </w:r>
      <w:r>
        <w:rPr>
          <w:rFonts w:hint="eastAsia" w:asciiTheme="minorEastAsia" w:hAnsiTheme="minorEastAsia" w:eastAsiaTheme="minorEastAsia"/>
          <w:lang w:eastAsia="zh-CN"/>
        </w:rPr>
        <w:t>恢复要求的，</w:t>
      </w:r>
      <w:r>
        <w:rPr>
          <w:rFonts w:asciiTheme="minorEastAsia" w:hAnsiTheme="minorEastAsia" w:eastAsiaTheme="minorEastAsia"/>
          <w:lang w:eastAsia="zh-CN"/>
        </w:rPr>
        <w:t>补种适合当地气候、土壤条件的草籽，并进行养护，保证植被</w:t>
      </w:r>
      <w:r>
        <w:rPr>
          <w:rFonts w:hint="eastAsia" w:asciiTheme="minorEastAsia" w:hAnsiTheme="minorEastAsia" w:eastAsiaTheme="minorEastAsia"/>
          <w:lang w:eastAsia="zh-CN"/>
        </w:rPr>
        <w:t>盖度</w:t>
      </w:r>
      <w:r>
        <w:rPr>
          <w:rFonts w:asciiTheme="minorEastAsia" w:hAnsiTheme="minorEastAsia" w:eastAsiaTheme="minorEastAsia"/>
          <w:lang w:eastAsia="zh-CN"/>
        </w:rPr>
        <w:t>达到</w:t>
      </w:r>
      <w:r>
        <w:rPr>
          <w:rFonts w:hint="eastAsia" w:asciiTheme="minorEastAsia" w:hAnsiTheme="minorEastAsia" w:eastAsiaTheme="minorEastAsia"/>
          <w:lang w:eastAsia="zh-CN"/>
        </w:rPr>
        <w:t>40</w:t>
      </w:r>
      <w:r>
        <w:rPr>
          <w:rFonts w:asciiTheme="minorEastAsia" w:hAnsiTheme="minorEastAsia" w:eastAsiaTheme="minorEastAsia"/>
          <w:lang w:eastAsia="zh-CN"/>
        </w:rPr>
        <w:t>%以上。</w:t>
      </w:r>
    </w:p>
    <w:p w14:paraId="33CE8A5E">
      <w:pPr>
        <w:ind w:firstLine="480"/>
        <w:outlineLvl w:val="0"/>
        <w:rPr>
          <w:rFonts w:asciiTheme="minorEastAsia" w:hAnsiTheme="minorEastAsia" w:eastAsiaTheme="minorEastAsia"/>
          <w:lang w:eastAsia="zh-CN"/>
        </w:rPr>
      </w:pPr>
      <w:r>
        <w:rPr>
          <w:rFonts w:hint="eastAsia" w:asciiTheme="minorEastAsia" w:hAnsiTheme="minorEastAsia" w:eastAsiaTheme="minorEastAsia"/>
          <w:lang w:eastAsia="zh-CN"/>
        </w:rPr>
        <w:t>（3）建设地埋式一体化的生活污水处置设施；</w:t>
      </w:r>
    </w:p>
    <w:p w14:paraId="0AD2D25F">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（4）对原油气分离出的固态物、管道清管作业清出的氧化物、含油污水处理过程中产生的污泥等危险废物，设置暂存池，交由有资质单位综合利用或者安全处置。</w:t>
      </w:r>
      <w:bookmarkEnd w:id="116"/>
      <w:bookmarkStart w:id="119" w:name="_Toc248649412"/>
    </w:p>
    <w:p w14:paraId="558B3991">
      <w:pPr>
        <w:pStyle w:val="3"/>
        <w:rPr>
          <w:lang w:eastAsia="zh-CN"/>
        </w:rPr>
      </w:pPr>
      <w:bookmarkStart w:id="120" w:name="_Toc408413907"/>
      <w:r>
        <w:rPr>
          <w:lang w:eastAsia="zh-CN"/>
        </w:rPr>
        <w:t>2.</w:t>
      </w:r>
      <w:r>
        <w:rPr>
          <w:rFonts w:hint="eastAsia"/>
          <w:lang w:eastAsia="zh-CN"/>
        </w:rPr>
        <w:t>3</w:t>
      </w:r>
      <w:r>
        <w:rPr>
          <w:lang w:eastAsia="zh-CN"/>
        </w:rPr>
        <w:t>项目概况</w:t>
      </w:r>
      <w:bookmarkEnd w:id="120"/>
    </w:p>
    <w:p w14:paraId="4809AE0C">
      <w:pPr>
        <w:pStyle w:val="4"/>
        <w:rPr>
          <w:snapToGrid w:val="0"/>
          <w:lang w:eastAsia="zh-CN"/>
        </w:rPr>
      </w:pPr>
      <w:bookmarkStart w:id="121" w:name="_Toc408413908"/>
      <w:r>
        <w:rPr>
          <w:snapToGrid w:val="0"/>
          <w:lang w:eastAsia="zh-CN"/>
        </w:rPr>
        <w:t>2.</w:t>
      </w:r>
      <w:r>
        <w:rPr>
          <w:rFonts w:hint="eastAsia"/>
          <w:snapToGrid w:val="0"/>
          <w:lang w:eastAsia="zh-CN"/>
        </w:rPr>
        <w:t>3</w:t>
      </w:r>
      <w:r>
        <w:rPr>
          <w:snapToGrid w:val="0"/>
          <w:lang w:eastAsia="zh-CN"/>
        </w:rPr>
        <w:t>.1项目</w:t>
      </w:r>
      <w:bookmarkEnd w:id="119"/>
      <w:r>
        <w:rPr>
          <w:snapToGrid w:val="0"/>
          <w:lang w:eastAsia="zh-CN"/>
        </w:rPr>
        <w:t>基本情况</w:t>
      </w:r>
      <w:bookmarkEnd w:id="121"/>
    </w:p>
    <w:p w14:paraId="5D766E68">
      <w:pPr>
        <w:ind w:firstLine="480"/>
        <w:rPr>
          <w:rFonts w:asciiTheme="minorEastAsia" w:hAnsiTheme="minorEastAsia" w:eastAsiaTheme="minorEastAsia"/>
          <w:snapToGrid w:val="0"/>
          <w:lang w:eastAsia="zh-CN"/>
        </w:rPr>
      </w:pPr>
      <w:r>
        <w:rPr>
          <w:rFonts w:asciiTheme="minorEastAsia" w:hAnsiTheme="minorEastAsia" w:eastAsiaTheme="minorEastAsia"/>
          <w:snapToGrid w:val="0"/>
          <w:lang w:eastAsia="zh-CN"/>
        </w:rPr>
        <w:t>项目名称：</w:t>
      </w:r>
      <w:r>
        <w:rPr>
          <w:rFonts w:hint="eastAsia" w:asciiTheme="minorEastAsia" w:hAnsiTheme="minorEastAsia" w:eastAsiaTheme="minorEastAsia"/>
          <w:snapToGrid w:val="0"/>
          <w:lang w:eastAsia="zh-CN"/>
        </w:rPr>
        <w:t>乌里雅斯太</w:t>
      </w:r>
      <w:r>
        <w:rPr>
          <w:rFonts w:asciiTheme="minorEastAsia" w:hAnsiTheme="minorEastAsia" w:eastAsiaTheme="minorEastAsia"/>
          <w:snapToGrid w:val="0"/>
          <w:lang w:eastAsia="zh-CN"/>
        </w:rPr>
        <w:t>油田</w:t>
      </w:r>
      <w:r>
        <w:rPr>
          <w:rFonts w:hint="eastAsia" w:asciiTheme="minorEastAsia" w:hAnsiTheme="minorEastAsia" w:eastAsiaTheme="minorEastAsia"/>
          <w:snapToGrid w:val="0"/>
          <w:lang w:eastAsia="zh-CN"/>
        </w:rPr>
        <w:t>地面</w:t>
      </w:r>
      <w:r>
        <w:rPr>
          <w:rFonts w:asciiTheme="minorEastAsia" w:hAnsiTheme="minorEastAsia" w:eastAsiaTheme="minorEastAsia"/>
          <w:snapToGrid w:val="0"/>
          <w:lang w:eastAsia="zh-CN"/>
        </w:rPr>
        <w:t>产能</w:t>
      </w:r>
      <w:r>
        <w:rPr>
          <w:rFonts w:hint="eastAsia" w:asciiTheme="minorEastAsia" w:hAnsiTheme="minorEastAsia" w:eastAsiaTheme="minorEastAsia"/>
          <w:snapToGrid w:val="0"/>
          <w:lang w:eastAsia="zh-CN"/>
        </w:rPr>
        <w:t>开发</w:t>
      </w:r>
      <w:r>
        <w:rPr>
          <w:rFonts w:asciiTheme="minorEastAsia" w:hAnsiTheme="minorEastAsia" w:eastAsiaTheme="minorEastAsia"/>
          <w:snapToGrid w:val="0"/>
          <w:lang w:eastAsia="zh-CN"/>
        </w:rPr>
        <w:t>建设项目</w:t>
      </w:r>
    </w:p>
    <w:p w14:paraId="114FD597">
      <w:pPr>
        <w:ind w:firstLine="480"/>
        <w:rPr>
          <w:rFonts w:asciiTheme="minorEastAsia" w:hAnsiTheme="minorEastAsia" w:eastAsiaTheme="minorEastAsia"/>
          <w:snapToGrid w:val="0"/>
          <w:lang w:eastAsia="zh-CN"/>
        </w:rPr>
      </w:pPr>
      <w:r>
        <w:rPr>
          <w:rFonts w:asciiTheme="minorEastAsia" w:hAnsiTheme="minorEastAsia" w:eastAsiaTheme="minorEastAsia"/>
          <w:snapToGrid w:val="0"/>
          <w:lang w:eastAsia="zh-CN"/>
        </w:rPr>
        <w:t>建设单位：中国石油华北油田公司二连分公司</w:t>
      </w:r>
    </w:p>
    <w:p w14:paraId="04D7B21B">
      <w:pPr>
        <w:ind w:firstLine="480"/>
        <w:rPr>
          <w:rFonts w:asciiTheme="minorEastAsia" w:hAnsiTheme="minorEastAsia" w:eastAsiaTheme="minorEastAsia"/>
          <w:snapToGrid w:val="0"/>
          <w:lang w:eastAsia="zh-CN"/>
        </w:rPr>
      </w:pPr>
      <w:r>
        <w:rPr>
          <w:rFonts w:asciiTheme="minorEastAsia" w:hAnsiTheme="minorEastAsia" w:eastAsiaTheme="minorEastAsia"/>
          <w:snapToGrid w:val="0"/>
          <w:lang w:eastAsia="zh-CN"/>
        </w:rPr>
        <w:t>建设性质：扩建、滚动开发</w:t>
      </w:r>
    </w:p>
    <w:p w14:paraId="265CB3D1">
      <w:pPr>
        <w:ind w:firstLine="480"/>
        <w:rPr>
          <w:rFonts w:asciiTheme="minorEastAsia" w:hAnsiTheme="minorEastAsia" w:eastAsiaTheme="minorEastAsia"/>
          <w:snapToGrid w:val="0"/>
          <w:lang w:eastAsia="zh-CN"/>
        </w:rPr>
      </w:pPr>
      <w:r>
        <w:rPr>
          <w:rFonts w:asciiTheme="minorEastAsia" w:hAnsiTheme="minorEastAsia" w:eastAsiaTheme="minorEastAsia"/>
          <w:snapToGrid w:val="0"/>
          <w:lang w:eastAsia="zh-CN"/>
        </w:rPr>
        <w:t>建设地点：内蒙古锡林郭勒盟东乌珠穆沁旗</w:t>
      </w:r>
    </w:p>
    <w:p w14:paraId="4187DE9C">
      <w:pPr>
        <w:ind w:firstLine="480"/>
        <w:rPr>
          <w:rFonts w:asciiTheme="minorEastAsia" w:hAnsiTheme="minorEastAsia" w:eastAsiaTheme="minorEastAsia"/>
          <w:snapToGrid w:val="0"/>
          <w:lang w:eastAsia="zh-CN"/>
        </w:rPr>
      </w:pPr>
      <w:r>
        <w:rPr>
          <w:rFonts w:hint="eastAsia" w:asciiTheme="minorEastAsia" w:hAnsiTheme="minorEastAsia" w:eastAsiaTheme="minorEastAsia"/>
          <w:snapToGrid w:val="0"/>
          <w:lang w:eastAsia="zh-CN"/>
        </w:rPr>
        <w:t>建设</w:t>
      </w:r>
      <w:r>
        <w:rPr>
          <w:rFonts w:asciiTheme="minorEastAsia" w:hAnsiTheme="minorEastAsia" w:eastAsiaTheme="minorEastAsia"/>
          <w:snapToGrid w:val="0"/>
          <w:lang w:eastAsia="zh-CN"/>
        </w:rPr>
        <w:t>规模：</w:t>
      </w:r>
      <w:r>
        <w:rPr>
          <w:rFonts w:hint="eastAsia" w:asciiTheme="minorEastAsia" w:hAnsiTheme="minorEastAsia" w:eastAsiaTheme="minorEastAsia"/>
          <w:lang w:eastAsia="zh-CN"/>
        </w:rPr>
        <w:t>扩建雅一站接转站为雅斯联合站，设计</w:t>
      </w:r>
      <w:r>
        <w:rPr>
          <w:rFonts w:hint="eastAsia" w:asciiTheme="minorEastAsia" w:hAnsiTheme="minorEastAsia" w:eastAsiaTheme="minorEastAsia"/>
          <w:kern w:val="2"/>
          <w:szCs w:val="24"/>
          <w:lang w:eastAsia="zh-CN" w:bidi="ar-SA"/>
        </w:rPr>
        <w:t>规模</w:t>
      </w:r>
      <w:r>
        <w:rPr>
          <w:rFonts w:hint="eastAsia" w:asciiTheme="minorEastAsia" w:hAnsiTheme="minorEastAsia" w:eastAsiaTheme="minorEastAsia"/>
          <w:lang w:eastAsia="zh-CN"/>
        </w:rPr>
        <w:t>产能8×10</w:t>
      </w:r>
      <w:r>
        <w:rPr>
          <w:rFonts w:hint="eastAsia" w:asciiTheme="minorEastAsia" w:hAnsiTheme="minorEastAsia" w:eastAsiaTheme="minorEastAsia"/>
          <w:vertAlign w:val="superscript"/>
          <w:lang w:eastAsia="zh-CN"/>
        </w:rPr>
        <w:t>4</w:t>
      </w:r>
      <w:r>
        <w:rPr>
          <w:rFonts w:hint="eastAsia" w:asciiTheme="minorEastAsia" w:hAnsiTheme="minorEastAsia" w:eastAsiaTheme="minorEastAsia"/>
          <w:lang w:eastAsia="zh-CN"/>
        </w:rPr>
        <w:t>t/a，功能包括集油、分离、沉降脱水、加热、掺水、伴生气处理、天然气发电、装卸车、注水、污水处理、变配电等，扩建后的雅斯联合站，处理合格的原油通过阿乌宝线进入宝力格联合站，单井集油采用掺水流程，单井计量采用示功图计量，不建计量站，实现一级布站。新钻油水井93口，其中，油井74口，注水井19口。</w:t>
      </w:r>
    </w:p>
    <w:p w14:paraId="6BB107E2">
      <w:pPr>
        <w:pStyle w:val="4"/>
        <w:rPr>
          <w:snapToGrid w:val="0"/>
          <w:lang w:eastAsia="zh-CN"/>
        </w:rPr>
      </w:pPr>
      <w:bookmarkStart w:id="122" w:name="_Toc408413909"/>
      <w:r>
        <w:rPr>
          <w:snapToGrid w:val="0"/>
          <w:lang w:eastAsia="zh-CN"/>
        </w:rPr>
        <w:t>2.</w:t>
      </w:r>
      <w:r>
        <w:rPr>
          <w:rFonts w:hint="eastAsia"/>
          <w:snapToGrid w:val="0"/>
          <w:lang w:eastAsia="zh-CN"/>
        </w:rPr>
        <w:t>3</w:t>
      </w:r>
      <w:r>
        <w:rPr>
          <w:snapToGrid w:val="0"/>
          <w:lang w:eastAsia="zh-CN"/>
        </w:rPr>
        <w:t>.2地理位置</w:t>
      </w:r>
      <w:bookmarkEnd w:id="122"/>
    </w:p>
    <w:p w14:paraId="5FD1B7BE">
      <w:pPr>
        <w:ind w:firstLine="480"/>
        <w:rPr>
          <w:rFonts w:asciiTheme="minorEastAsia" w:hAnsiTheme="minorEastAsia" w:eastAsiaTheme="minorEastAsia"/>
          <w:snapToGrid w:val="0"/>
          <w:lang w:eastAsia="zh-CN"/>
        </w:rPr>
      </w:pPr>
      <w:r>
        <w:rPr>
          <w:rFonts w:hint="eastAsia" w:asciiTheme="minorEastAsia" w:hAnsiTheme="minorEastAsia" w:eastAsiaTheme="minorEastAsia"/>
          <w:snapToGrid w:val="0"/>
          <w:lang w:eastAsia="zh-CN"/>
        </w:rPr>
        <w:t>乌里雅斯太</w:t>
      </w:r>
      <w:r>
        <w:rPr>
          <w:rFonts w:asciiTheme="minorEastAsia" w:hAnsiTheme="minorEastAsia" w:eastAsiaTheme="minorEastAsia"/>
          <w:snapToGrid w:val="0"/>
          <w:lang w:eastAsia="zh-CN"/>
        </w:rPr>
        <w:t>油田</w:t>
      </w:r>
      <w:r>
        <w:rPr>
          <w:rFonts w:hint="eastAsia" w:asciiTheme="minorEastAsia" w:hAnsiTheme="minorEastAsia" w:eastAsiaTheme="minorEastAsia"/>
          <w:snapToGrid w:val="0"/>
          <w:lang w:eastAsia="zh-CN"/>
        </w:rPr>
        <w:t>地面</w:t>
      </w:r>
      <w:r>
        <w:rPr>
          <w:rFonts w:asciiTheme="minorEastAsia" w:hAnsiTheme="minorEastAsia" w:eastAsiaTheme="minorEastAsia"/>
          <w:snapToGrid w:val="0"/>
          <w:lang w:eastAsia="zh-CN"/>
        </w:rPr>
        <w:t>产能</w:t>
      </w:r>
      <w:r>
        <w:rPr>
          <w:rFonts w:hint="eastAsia" w:asciiTheme="minorEastAsia" w:hAnsiTheme="minorEastAsia" w:eastAsiaTheme="minorEastAsia"/>
          <w:snapToGrid w:val="0"/>
          <w:lang w:eastAsia="zh-CN"/>
        </w:rPr>
        <w:t>开发</w:t>
      </w:r>
      <w:r>
        <w:rPr>
          <w:rFonts w:asciiTheme="minorEastAsia" w:hAnsiTheme="minorEastAsia" w:eastAsiaTheme="minorEastAsia"/>
          <w:snapToGrid w:val="0"/>
          <w:lang w:eastAsia="zh-CN"/>
        </w:rPr>
        <w:t>建设项目</w:t>
      </w:r>
      <w:r>
        <w:rPr>
          <w:rFonts w:hint="eastAsia" w:asciiTheme="minorEastAsia" w:hAnsiTheme="minorEastAsia" w:eastAsiaTheme="minorEastAsia"/>
          <w:snapToGrid w:val="0"/>
          <w:lang w:eastAsia="zh-CN"/>
        </w:rPr>
        <w:t>在现有工程的基础上进行改扩建，矿区范围不变。</w:t>
      </w:r>
      <w:r>
        <w:rPr>
          <w:rFonts w:asciiTheme="minorEastAsia" w:hAnsiTheme="minorEastAsia" w:eastAsiaTheme="minorEastAsia"/>
          <w:lang w:eastAsia="zh-CN"/>
        </w:rPr>
        <w:t>该项目的地理位置图详见图2</w:t>
      </w:r>
      <w:r>
        <w:rPr>
          <w:rFonts w:hint="eastAsia" w:asciiTheme="minorEastAsia" w:hAnsiTheme="minorEastAsia" w:eastAsiaTheme="minorEastAsia"/>
          <w:lang w:eastAsia="zh-CN"/>
        </w:rPr>
        <w:t>.3</w:t>
      </w:r>
      <w:r>
        <w:rPr>
          <w:rFonts w:asciiTheme="minorEastAsia" w:hAnsiTheme="minorEastAsia" w:eastAsiaTheme="minorEastAsia"/>
          <w:lang w:eastAsia="zh-CN"/>
        </w:rPr>
        <w:t>-1。</w:t>
      </w:r>
    </w:p>
    <w:p w14:paraId="15B1448E">
      <w:pPr>
        <w:pStyle w:val="4"/>
        <w:rPr>
          <w:snapToGrid w:val="0"/>
          <w:lang w:eastAsia="zh-CN"/>
        </w:rPr>
      </w:pPr>
      <w:bookmarkStart w:id="123" w:name="_Toc408413910"/>
      <w:bookmarkStart w:id="124" w:name="_Toc338663457"/>
      <w:r>
        <w:rPr>
          <w:snapToGrid w:val="0"/>
          <w:lang w:eastAsia="zh-CN"/>
        </w:rPr>
        <w:t>2.</w:t>
      </w:r>
      <w:r>
        <w:rPr>
          <w:rFonts w:hint="eastAsia"/>
          <w:snapToGrid w:val="0"/>
          <w:lang w:eastAsia="zh-CN"/>
        </w:rPr>
        <w:t>3</w:t>
      </w:r>
      <w:r>
        <w:rPr>
          <w:snapToGrid w:val="0"/>
          <w:lang w:eastAsia="zh-CN"/>
        </w:rPr>
        <w:t>.3油田境界</w:t>
      </w:r>
      <w:bookmarkEnd w:id="123"/>
      <w:bookmarkEnd w:id="124"/>
    </w:p>
    <w:p w14:paraId="5B542A42">
      <w:pPr>
        <w:ind w:firstLine="480"/>
        <w:rPr>
          <w:rFonts w:asciiTheme="minorEastAsia" w:hAnsiTheme="minorEastAsia" w:eastAsiaTheme="minorEastAsia"/>
          <w:lang w:eastAsia="zh-CN"/>
        </w:rPr>
      </w:pPr>
      <w:r>
        <w:rPr>
          <w:rFonts w:hint="eastAsia" w:asciiTheme="minorEastAsia" w:hAnsiTheme="minorEastAsia" w:eastAsiaTheme="minorEastAsia"/>
          <w:snapToGrid w:val="0"/>
          <w:lang w:eastAsia="zh-CN"/>
        </w:rPr>
        <w:t>乌里雅斯太</w:t>
      </w:r>
      <w:r>
        <w:rPr>
          <w:rFonts w:asciiTheme="minorEastAsia" w:hAnsiTheme="minorEastAsia" w:eastAsiaTheme="minorEastAsia"/>
          <w:lang w:eastAsia="zh-CN"/>
        </w:rPr>
        <w:t>油田属于二连盆地马尼特坳陷，根据国土资源部为中国石油天然气股份有限公司颁发的油田采矿许可证（登记证号0200000</w:t>
      </w:r>
      <w:r>
        <w:rPr>
          <w:rFonts w:hint="eastAsia" w:asciiTheme="minorEastAsia" w:hAnsiTheme="minorEastAsia" w:eastAsiaTheme="minorEastAsia"/>
          <w:lang w:eastAsia="zh-CN"/>
        </w:rPr>
        <w:t>810004</w:t>
      </w:r>
      <w:r>
        <w:rPr>
          <w:rFonts w:asciiTheme="minorEastAsia" w:hAnsiTheme="minorEastAsia" w:eastAsiaTheme="minorEastAsia"/>
          <w:lang w:eastAsia="zh-CN"/>
        </w:rPr>
        <w:t>），</w:t>
      </w:r>
      <w:r>
        <w:rPr>
          <w:rFonts w:hint="eastAsia" w:asciiTheme="minorEastAsia" w:hAnsiTheme="minorEastAsia" w:eastAsiaTheme="minorEastAsia"/>
          <w:snapToGrid w:val="0"/>
          <w:lang w:eastAsia="zh-CN"/>
        </w:rPr>
        <w:t>乌里雅斯太</w:t>
      </w:r>
      <w:r>
        <w:rPr>
          <w:rFonts w:asciiTheme="minorEastAsia" w:hAnsiTheme="minorEastAsia" w:eastAsiaTheme="minorEastAsia"/>
          <w:lang w:eastAsia="zh-CN"/>
        </w:rPr>
        <w:t>油田开采矿区面积</w:t>
      </w:r>
      <w:r>
        <w:rPr>
          <w:rFonts w:hint="eastAsia" w:asciiTheme="minorEastAsia" w:hAnsiTheme="minorEastAsia" w:eastAsiaTheme="minorEastAsia"/>
          <w:lang w:eastAsia="zh-CN"/>
        </w:rPr>
        <w:t>131.375</w:t>
      </w:r>
      <w:r>
        <w:rPr>
          <w:rFonts w:asciiTheme="minorEastAsia" w:hAnsiTheme="minorEastAsia" w:eastAsiaTheme="minorEastAsia"/>
          <w:lang w:eastAsia="zh-CN"/>
        </w:rPr>
        <w:t>km</w:t>
      </w:r>
      <w:r>
        <w:rPr>
          <w:rFonts w:asciiTheme="minorEastAsia" w:hAnsiTheme="minorEastAsia" w:eastAsiaTheme="minorEastAsia"/>
          <w:vertAlign w:val="superscript"/>
          <w:lang w:eastAsia="zh-CN"/>
        </w:rPr>
        <w:t>2</w:t>
      </w:r>
      <w:r>
        <w:rPr>
          <w:rFonts w:asciiTheme="minorEastAsia" w:hAnsiTheme="minorEastAsia" w:eastAsiaTheme="minorEastAsia"/>
          <w:lang w:eastAsia="zh-CN"/>
        </w:rPr>
        <w:t>，油田矿区范围由</w:t>
      </w:r>
      <w:r>
        <w:rPr>
          <w:rFonts w:hint="eastAsia" w:asciiTheme="minorEastAsia" w:hAnsiTheme="minorEastAsia" w:eastAsiaTheme="minorEastAsia"/>
          <w:lang w:eastAsia="zh-CN"/>
        </w:rPr>
        <w:t>10</w:t>
      </w:r>
      <w:r>
        <w:rPr>
          <w:rFonts w:asciiTheme="minorEastAsia" w:hAnsiTheme="minorEastAsia" w:eastAsiaTheme="minorEastAsia"/>
          <w:lang w:eastAsia="zh-CN"/>
        </w:rPr>
        <w:t>个拐点圈定，油田范围拐点坐标见</w:t>
      </w:r>
      <w:r>
        <w:rPr>
          <w:rFonts w:hint="eastAsia" w:asciiTheme="minorEastAsia" w:hAnsiTheme="minorEastAsia" w:eastAsiaTheme="minorEastAsia"/>
          <w:lang w:eastAsia="zh-CN"/>
        </w:rPr>
        <w:t>表</w:t>
      </w:r>
      <w:r>
        <w:rPr>
          <w:rFonts w:asciiTheme="minorEastAsia" w:hAnsiTheme="minorEastAsia" w:eastAsiaTheme="minorEastAsia"/>
          <w:lang w:eastAsia="zh-CN"/>
        </w:rPr>
        <w:t>2.</w:t>
      </w:r>
      <w:r>
        <w:rPr>
          <w:rFonts w:hint="eastAsia" w:asciiTheme="minorEastAsia" w:hAnsiTheme="minorEastAsia" w:eastAsiaTheme="minorEastAsia"/>
          <w:lang w:eastAsia="zh-CN"/>
        </w:rPr>
        <w:t>3</w:t>
      </w:r>
      <w:r>
        <w:rPr>
          <w:rFonts w:asciiTheme="minorEastAsia" w:hAnsiTheme="minorEastAsia" w:eastAsiaTheme="minorEastAsia"/>
          <w:lang w:eastAsia="zh-CN"/>
        </w:rPr>
        <w:t>-</w:t>
      </w:r>
      <w:r>
        <w:rPr>
          <w:rFonts w:hint="eastAsia" w:asciiTheme="minorEastAsia" w:hAnsiTheme="minorEastAsia" w:eastAsiaTheme="minorEastAsia"/>
          <w:lang w:eastAsia="zh-CN"/>
        </w:rPr>
        <w:t>1</w:t>
      </w:r>
      <w:r>
        <w:rPr>
          <w:rFonts w:asciiTheme="minorEastAsia" w:hAnsiTheme="minorEastAsia" w:eastAsiaTheme="minorEastAsia"/>
          <w:lang w:eastAsia="zh-CN"/>
        </w:rPr>
        <w:t>。</w:t>
      </w:r>
    </w:p>
    <w:p w14:paraId="1DDAA2DE">
      <w:pPr>
        <w:spacing w:line="240" w:lineRule="auto"/>
        <w:ind w:firstLine="590" w:firstLineChars="245"/>
        <w:rPr>
          <w:b/>
          <w:bCs/>
          <w:lang w:eastAsia="zh-CN"/>
        </w:rPr>
      </w:pPr>
      <w:r>
        <w:rPr>
          <w:b/>
          <w:bCs/>
          <w:lang w:eastAsia="zh-CN"/>
        </w:rPr>
        <w:t>表2.</w:t>
      </w:r>
      <w:r>
        <w:rPr>
          <w:rFonts w:hint="eastAsia"/>
          <w:b/>
          <w:bCs/>
          <w:lang w:eastAsia="zh-CN"/>
        </w:rPr>
        <w:t>3</w:t>
      </w:r>
      <w:r>
        <w:rPr>
          <w:rFonts w:hint="eastAsia"/>
          <w:b/>
          <w:lang w:eastAsia="zh-CN"/>
        </w:rPr>
        <w:t>-1</w:t>
      </w:r>
      <w:r>
        <w:rPr>
          <w:b/>
          <w:bCs/>
          <w:lang w:eastAsia="zh-CN"/>
        </w:rPr>
        <w:t xml:space="preserve">  </w:t>
      </w:r>
      <w:r>
        <w:rPr>
          <w:rFonts w:hint="eastAsia"/>
          <w:b/>
          <w:bCs/>
          <w:lang w:eastAsia="zh-CN"/>
        </w:rPr>
        <w:t xml:space="preserve">         </w:t>
      </w:r>
      <w:r>
        <w:rPr>
          <w:b/>
          <w:bCs/>
          <w:lang w:eastAsia="zh-CN"/>
        </w:rPr>
        <w:t>油田范围拐点坐标</w:t>
      </w:r>
    </w:p>
    <w:tbl>
      <w:tblPr>
        <w:tblStyle w:val="76"/>
        <w:tblW w:w="0" w:type="auto"/>
        <w:tblInd w:w="25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2593"/>
        <w:gridCol w:w="2843"/>
        <w:gridCol w:w="2843"/>
      </w:tblGrid>
      <w:tr w14:paraId="5AEE43F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593" w:type="dxa"/>
            <w:vAlign w:val="center"/>
          </w:tcPr>
          <w:p w14:paraId="53A8071F">
            <w:pPr>
              <w:spacing w:line="240" w:lineRule="auto"/>
              <w:ind w:firstLine="0" w:firstLineChars="0"/>
              <w:jc w:val="center"/>
              <w:rPr>
                <w:bCs/>
                <w:lang w:eastAsia="zh-CN"/>
              </w:rPr>
            </w:pPr>
            <w:r>
              <w:rPr>
                <w:rFonts w:hint="eastAsia"/>
                <w:bCs/>
                <w:lang w:eastAsia="zh-CN"/>
              </w:rPr>
              <w:t>拐点编号</w:t>
            </w:r>
          </w:p>
        </w:tc>
        <w:tc>
          <w:tcPr>
            <w:tcW w:w="2843" w:type="dxa"/>
            <w:vAlign w:val="center"/>
          </w:tcPr>
          <w:p w14:paraId="6A631D4D">
            <w:pPr>
              <w:autoSpaceDE w:val="0"/>
              <w:autoSpaceDN w:val="0"/>
              <w:adjustRightInd w:val="0"/>
              <w:snapToGrid w:val="0"/>
              <w:spacing w:line="240" w:lineRule="auto"/>
              <w:ind w:firstLine="0" w:firstLineChars="0"/>
              <w:jc w:val="center"/>
              <w:rPr>
                <w:sz w:val="21"/>
                <w:szCs w:val="21"/>
              </w:rPr>
            </w:pPr>
            <w:r>
              <w:rPr>
                <w:sz w:val="21"/>
                <w:szCs w:val="21"/>
              </w:rPr>
              <w:t>东经</w:t>
            </w:r>
          </w:p>
        </w:tc>
        <w:tc>
          <w:tcPr>
            <w:tcW w:w="2843" w:type="dxa"/>
            <w:vAlign w:val="center"/>
          </w:tcPr>
          <w:p w14:paraId="600292E5">
            <w:pPr>
              <w:autoSpaceDE w:val="0"/>
              <w:autoSpaceDN w:val="0"/>
              <w:adjustRightInd w:val="0"/>
              <w:snapToGrid w:val="0"/>
              <w:spacing w:line="240" w:lineRule="auto"/>
              <w:ind w:firstLine="0" w:firstLineChars="0"/>
              <w:jc w:val="center"/>
              <w:rPr>
                <w:sz w:val="21"/>
                <w:szCs w:val="21"/>
              </w:rPr>
            </w:pPr>
            <w:r>
              <w:rPr>
                <w:sz w:val="21"/>
                <w:szCs w:val="21"/>
              </w:rPr>
              <w:t>北纬</w:t>
            </w:r>
          </w:p>
        </w:tc>
      </w:tr>
      <w:tr w14:paraId="408097F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593" w:type="dxa"/>
            <w:vAlign w:val="center"/>
          </w:tcPr>
          <w:p w14:paraId="7DD3B4DB">
            <w:pPr>
              <w:spacing w:line="240" w:lineRule="auto"/>
              <w:ind w:firstLine="0" w:firstLineChars="0"/>
              <w:jc w:val="center"/>
              <w:rPr>
                <w:sz w:val="21"/>
                <w:szCs w:val="21"/>
              </w:rPr>
            </w:pPr>
            <w:r>
              <w:rPr>
                <w:sz w:val="21"/>
                <w:szCs w:val="21"/>
              </w:rPr>
              <w:t>1</w:t>
            </w:r>
          </w:p>
        </w:tc>
        <w:tc>
          <w:tcPr>
            <w:tcW w:w="2843" w:type="dxa"/>
            <w:vAlign w:val="center"/>
          </w:tcPr>
          <w:p w14:paraId="4C5AF604">
            <w:pPr>
              <w:spacing w:line="240" w:lineRule="auto"/>
              <w:ind w:firstLine="0" w:firstLineChars="0"/>
              <w:jc w:val="center"/>
              <w:rPr>
                <w:sz w:val="21"/>
                <w:szCs w:val="21"/>
              </w:rPr>
            </w:pPr>
            <w:r>
              <w:rPr>
                <w:sz w:val="21"/>
                <w:szCs w:val="21"/>
              </w:rPr>
              <w:t>116°</w:t>
            </w:r>
            <w:r>
              <w:rPr>
                <w:rFonts w:hint="eastAsia"/>
                <w:sz w:val="21"/>
                <w:szCs w:val="21"/>
                <w:lang w:eastAsia="zh-CN"/>
              </w:rPr>
              <w:t>54</w:t>
            </w:r>
            <w:r>
              <w:rPr>
                <w:sz w:val="21"/>
                <w:szCs w:val="21"/>
              </w:rPr>
              <w:t>′</w:t>
            </w:r>
            <w:r>
              <w:rPr>
                <w:rFonts w:hint="eastAsia"/>
                <w:sz w:val="21"/>
                <w:szCs w:val="21"/>
                <w:lang w:eastAsia="zh-CN"/>
              </w:rPr>
              <w:t>45</w:t>
            </w:r>
            <w:r>
              <w:rPr>
                <w:sz w:val="21"/>
                <w:szCs w:val="21"/>
              </w:rPr>
              <w:t>″</w:t>
            </w:r>
          </w:p>
        </w:tc>
        <w:tc>
          <w:tcPr>
            <w:tcW w:w="2843" w:type="dxa"/>
            <w:vAlign w:val="center"/>
          </w:tcPr>
          <w:p w14:paraId="1F6212FD">
            <w:pPr>
              <w:spacing w:line="240" w:lineRule="auto"/>
              <w:ind w:firstLine="0" w:firstLineChars="0"/>
              <w:jc w:val="center"/>
              <w:rPr>
                <w:sz w:val="21"/>
                <w:szCs w:val="21"/>
              </w:rPr>
            </w:pPr>
            <w:r>
              <w:rPr>
                <w:sz w:val="21"/>
                <w:szCs w:val="21"/>
              </w:rPr>
              <w:t>45°</w:t>
            </w:r>
            <w:r>
              <w:rPr>
                <w:rFonts w:hint="eastAsia"/>
                <w:sz w:val="21"/>
                <w:szCs w:val="21"/>
                <w:lang w:eastAsia="zh-CN"/>
              </w:rPr>
              <w:t>43</w:t>
            </w:r>
            <w:r>
              <w:rPr>
                <w:sz w:val="21"/>
                <w:szCs w:val="21"/>
              </w:rPr>
              <w:t>′00″</w:t>
            </w:r>
          </w:p>
        </w:tc>
      </w:tr>
      <w:tr w14:paraId="3957CC8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593" w:type="dxa"/>
            <w:vAlign w:val="center"/>
          </w:tcPr>
          <w:p w14:paraId="3E37F3DE">
            <w:pPr>
              <w:spacing w:line="240" w:lineRule="auto"/>
              <w:ind w:firstLine="0" w:firstLineChars="0"/>
              <w:jc w:val="center"/>
              <w:rPr>
                <w:sz w:val="21"/>
                <w:szCs w:val="21"/>
              </w:rPr>
            </w:pPr>
            <w:r>
              <w:rPr>
                <w:sz w:val="21"/>
                <w:szCs w:val="21"/>
              </w:rPr>
              <w:t>2</w:t>
            </w:r>
          </w:p>
        </w:tc>
        <w:tc>
          <w:tcPr>
            <w:tcW w:w="2843" w:type="dxa"/>
            <w:vAlign w:val="center"/>
          </w:tcPr>
          <w:p w14:paraId="7DD9F7EF">
            <w:pPr>
              <w:spacing w:line="240" w:lineRule="auto"/>
              <w:ind w:firstLine="0" w:firstLineChars="0"/>
              <w:jc w:val="center"/>
              <w:rPr>
                <w:sz w:val="21"/>
                <w:szCs w:val="21"/>
              </w:rPr>
            </w:pPr>
            <w:r>
              <w:rPr>
                <w:sz w:val="21"/>
                <w:szCs w:val="21"/>
              </w:rPr>
              <w:t>116°</w:t>
            </w:r>
            <w:r>
              <w:rPr>
                <w:rFonts w:hint="eastAsia"/>
                <w:sz w:val="21"/>
                <w:szCs w:val="21"/>
                <w:lang w:eastAsia="zh-CN"/>
              </w:rPr>
              <w:t>57</w:t>
            </w:r>
            <w:r>
              <w:rPr>
                <w:sz w:val="21"/>
                <w:szCs w:val="21"/>
              </w:rPr>
              <w:t>′</w:t>
            </w:r>
            <w:r>
              <w:rPr>
                <w:rFonts w:hint="eastAsia"/>
                <w:sz w:val="21"/>
                <w:szCs w:val="21"/>
                <w:lang w:eastAsia="zh-CN"/>
              </w:rPr>
              <w:t>45</w:t>
            </w:r>
            <w:r>
              <w:rPr>
                <w:sz w:val="21"/>
                <w:szCs w:val="21"/>
              </w:rPr>
              <w:t>″</w:t>
            </w:r>
          </w:p>
        </w:tc>
        <w:tc>
          <w:tcPr>
            <w:tcW w:w="2843" w:type="dxa"/>
            <w:vAlign w:val="center"/>
          </w:tcPr>
          <w:p w14:paraId="07D44F7A">
            <w:pPr>
              <w:spacing w:line="240" w:lineRule="auto"/>
              <w:ind w:firstLine="0" w:firstLineChars="0"/>
              <w:jc w:val="center"/>
              <w:rPr>
                <w:sz w:val="21"/>
                <w:szCs w:val="21"/>
              </w:rPr>
            </w:pPr>
            <w:r>
              <w:rPr>
                <w:sz w:val="21"/>
                <w:szCs w:val="21"/>
              </w:rPr>
              <w:t>45°</w:t>
            </w:r>
            <w:r>
              <w:rPr>
                <w:rFonts w:hint="eastAsia"/>
                <w:sz w:val="21"/>
                <w:szCs w:val="21"/>
                <w:lang w:eastAsia="zh-CN"/>
              </w:rPr>
              <w:t>43</w:t>
            </w:r>
            <w:r>
              <w:rPr>
                <w:sz w:val="21"/>
                <w:szCs w:val="21"/>
              </w:rPr>
              <w:t>′00″</w:t>
            </w:r>
          </w:p>
        </w:tc>
      </w:tr>
      <w:tr w14:paraId="3AE1EF2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593" w:type="dxa"/>
            <w:vAlign w:val="center"/>
          </w:tcPr>
          <w:p w14:paraId="1EC20048">
            <w:pPr>
              <w:spacing w:line="240" w:lineRule="auto"/>
              <w:ind w:firstLine="0" w:firstLineChars="0"/>
              <w:jc w:val="center"/>
              <w:rPr>
                <w:sz w:val="21"/>
                <w:szCs w:val="21"/>
              </w:rPr>
            </w:pPr>
            <w:r>
              <w:rPr>
                <w:sz w:val="21"/>
                <w:szCs w:val="21"/>
              </w:rPr>
              <w:t>3</w:t>
            </w:r>
          </w:p>
        </w:tc>
        <w:tc>
          <w:tcPr>
            <w:tcW w:w="2843" w:type="dxa"/>
            <w:vAlign w:val="center"/>
          </w:tcPr>
          <w:p w14:paraId="38422EC8">
            <w:pPr>
              <w:spacing w:line="240" w:lineRule="auto"/>
              <w:ind w:firstLine="0" w:firstLineChars="0"/>
              <w:jc w:val="center"/>
              <w:rPr>
                <w:sz w:val="21"/>
                <w:szCs w:val="21"/>
              </w:rPr>
            </w:pPr>
            <w:r>
              <w:rPr>
                <w:sz w:val="21"/>
                <w:szCs w:val="21"/>
              </w:rPr>
              <w:t>116°</w:t>
            </w:r>
            <w:r>
              <w:rPr>
                <w:rFonts w:hint="eastAsia"/>
                <w:sz w:val="21"/>
                <w:szCs w:val="21"/>
                <w:lang w:eastAsia="zh-CN"/>
              </w:rPr>
              <w:t>57</w:t>
            </w:r>
            <w:r>
              <w:rPr>
                <w:sz w:val="21"/>
                <w:szCs w:val="21"/>
              </w:rPr>
              <w:t>′</w:t>
            </w:r>
            <w:r>
              <w:rPr>
                <w:rFonts w:hint="eastAsia"/>
                <w:sz w:val="21"/>
                <w:szCs w:val="21"/>
                <w:lang w:eastAsia="zh-CN"/>
              </w:rPr>
              <w:t>45</w:t>
            </w:r>
            <w:r>
              <w:rPr>
                <w:sz w:val="21"/>
                <w:szCs w:val="21"/>
              </w:rPr>
              <w:t>″</w:t>
            </w:r>
          </w:p>
        </w:tc>
        <w:tc>
          <w:tcPr>
            <w:tcW w:w="2843" w:type="dxa"/>
            <w:vAlign w:val="center"/>
          </w:tcPr>
          <w:p w14:paraId="5226F431">
            <w:pPr>
              <w:spacing w:line="240" w:lineRule="auto"/>
              <w:ind w:firstLine="0" w:firstLineChars="0"/>
              <w:jc w:val="center"/>
              <w:rPr>
                <w:sz w:val="21"/>
                <w:szCs w:val="21"/>
              </w:rPr>
            </w:pPr>
            <w:r>
              <w:rPr>
                <w:sz w:val="21"/>
                <w:szCs w:val="21"/>
              </w:rPr>
              <w:t>45°</w:t>
            </w:r>
            <w:r>
              <w:rPr>
                <w:rFonts w:hint="eastAsia"/>
                <w:sz w:val="21"/>
                <w:szCs w:val="21"/>
                <w:lang w:eastAsia="zh-CN"/>
              </w:rPr>
              <w:t>32</w:t>
            </w:r>
            <w:r>
              <w:rPr>
                <w:sz w:val="21"/>
                <w:szCs w:val="21"/>
              </w:rPr>
              <w:t>′</w:t>
            </w:r>
            <w:r>
              <w:rPr>
                <w:rFonts w:hint="eastAsia"/>
                <w:sz w:val="21"/>
                <w:szCs w:val="21"/>
                <w:lang w:eastAsia="zh-CN"/>
              </w:rPr>
              <w:t>30</w:t>
            </w:r>
            <w:r>
              <w:rPr>
                <w:sz w:val="21"/>
                <w:szCs w:val="21"/>
              </w:rPr>
              <w:t>″</w:t>
            </w:r>
          </w:p>
        </w:tc>
      </w:tr>
      <w:tr w14:paraId="22B454C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593" w:type="dxa"/>
            <w:vAlign w:val="center"/>
          </w:tcPr>
          <w:p w14:paraId="091170E4">
            <w:pPr>
              <w:spacing w:line="240" w:lineRule="auto"/>
              <w:ind w:firstLine="0" w:firstLineChars="0"/>
              <w:jc w:val="center"/>
              <w:rPr>
                <w:sz w:val="21"/>
                <w:szCs w:val="21"/>
              </w:rPr>
            </w:pPr>
            <w:r>
              <w:rPr>
                <w:sz w:val="21"/>
                <w:szCs w:val="21"/>
              </w:rPr>
              <w:t>4</w:t>
            </w:r>
          </w:p>
        </w:tc>
        <w:tc>
          <w:tcPr>
            <w:tcW w:w="2843" w:type="dxa"/>
            <w:vAlign w:val="center"/>
          </w:tcPr>
          <w:p w14:paraId="2F2B071F">
            <w:pPr>
              <w:spacing w:line="240" w:lineRule="auto"/>
              <w:ind w:firstLine="0" w:firstLineChars="0"/>
              <w:jc w:val="center"/>
              <w:rPr>
                <w:sz w:val="21"/>
                <w:szCs w:val="21"/>
              </w:rPr>
            </w:pPr>
            <w:r>
              <w:rPr>
                <w:sz w:val="21"/>
                <w:szCs w:val="21"/>
              </w:rPr>
              <w:t>116°</w:t>
            </w:r>
            <w:r>
              <w:rPr>
                <w:rFonts w:hint="eastAsia"/>
                <w:sz w:val="21"/>
                <w:szCs w:val="21"/>
                <w:lang w:eastAsia="zh-CN"/>
              </w:rPr>
              <w:t>50</w:t>
            </w:r>
            <w:r>
              <w:rPr>
                <w:sz w:val="21"/>
                <w:szCs w:val="21"/>
              </w:rPr>
              <w:t>′</w:t>
            </w:r>
            <w:r>
              <w:rPr>
                <w:rFonts w:hint="eastAsia"/>
                <w:sz w:val="21"/>
                <w:szCs w:val="21"/>
                <w:lang w:eastAsia="zh-CN"/>
              </w:rPr>
              <w:t>15</w:t>
            </w:r>
            <w:r>
              <w:rPr>
                <w:sz w:val="21"/>
                <w:szCs w:val="21"/>
              </w:rPr>
              <w:t>″</w:t>
            </w:r>
          </w:p>
        </w:tc>
        <w:tc>
          <w:tcPr>
            <w:tcW w:w="2843" w:type="dxa"/>
            <w:vAlign w:val="center"/>
          </w:tcPr>
          <w:p w14:paraId="51978024">
            <w:pPr>
              <w:spacing w:line="240" w:lineRule="auto"/>
              <w:ind w:firstLine="0" w:firstLineChars="0"/>
              <w:jc w:val="center"/>
              <w:rPr>
                <w:sz w:val="21"/>
                <w:szCs w:val="21"/>
              </w:rPr>
            </w:pPr>
            <w:r>
              <w:rPr>
                <w:sz w:val="21"/>
                <w:szCs w:val="21"/>
              </w:rPr>
              <w:t>45°3</w:t>
            </w:r>
            <w:r>
              <w:rPr>
                <w:rFonts w:hint="eastAsia"/>
                <w:sz w:val="21"/>
                <w:szCs w:val="21"/>
                <w:lang w:eastAsia="zh-CN"/>
              </w:rPr>
              <w:t>2</w:t>
            </w:r>
            <w:r>
              <w:rPr>
                <w:sz w:val="21"/>
                <w:szCs w:val="21"/>
              </w:rPr>
              <w:t>′</w:t>
            </w:r>
            <w:r>
              <w:rPr>
                <w:rFonts w:hint="eastAsia"/>
                <w:sz w:val="21"/>
                <w:szCs w:val="21"/>
                <w:lang w:eastAsia="zh-CN"/>
              </w:rPr>
              <w:t>30</w:t>
            </w:r>
            <w:r>
              <w:rPr>
                <w:sz w:val="21"/>
                <w:szCs w:val="21"/>
              </w:rPr>
              <w:t>″</w:t>
            </w:r>
          </w:p>
        </w:tc>
      </w:tr>
      <w:tr w14:paraId="57B6F45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593" w:type="dxa"/>
            <w:vAlign w:val="center"/>
          </w:tcPr>
          <w:p w14:paraId="52CB1119">
            <w:pPr>
              <w:spacing w:line="240" w:lineRule="auto"/>
              <w:ind w:firstLine="0" w:firstLineChars="0"/>
              <w:jc w:val="center"/>
              <w:rPr>
                <w:sz w:val="21"/>
                <w:szCs w:val="21"/>
              </w:rPr>
            </w:pPr>
            <w:r>
              <w:rPr>
                <w:sz w:val="21"/>
                <w:szCs w:val="21"/>
              </w:rPr>
              <w:t>5</w:t>
            </w:r>
          </w:p>
        </w:tc>
        <w:tc>
          <w:tcPr>
            <w:tcW w:w="2843" w:type="dxa"/>
            <w:vAlign w:val="center"/>
          </w:tcPr>
          <w:p w14:paraId="6C5389FA">
            <w:pPr>
              <w:spacing w:line="240" w:lineRule="auto"/>
              <w:ind w:firstLine="0" w:firstLineChars="0"/>
              <w:jc w:val="center"/>
              <w:rPr>
                <w:sz w:val="21"/>
                <w:szCs w:val="21"/>
              </w:rPr>
            </w:pPr>
            <w:r>
              <w:rPr>
                <w:sz w:val="21"/>
                <w:szCs w:val="21"/>
              </w:rPr>
              <w:t>116°</w:t>
            </w:r>
            <w:r>
              <w:rPr>
                <w:rFonts w:hint="eastAsia"/>
                <w:sz w:val="21"/>
                <w:szCs w:val="21"/>
                <w:lang w:eastAsia="zh-CN"/>
              </w:rPr>
              <w:t>50</w:t>
            </w:r>
            <w:r>
              <w:rPr>
                <w:sz w:val="21"/>
                <w:szCs w:val="21"/>
              </w:rPr>
              <w:t>′</w:t>
            </w:r>
            <w:r>
              <w:rPr>
                <w:rFonts w:hint="eastAsia"/>
                <w:sz w:val="21"/>
                <w:szCs w:val="21"/>
                <w:lang w:eastAsia="zh-CN"/>
              </w:rPr>
              <w:t>15</w:t>
            </w:r>
            <w:r>
              <w:rPr>
                <w:sz w:val="21"/>
                <w:szCs w:val="21"/>
              </w:rPr>
              <w:t>″</w:t>
            </w:r>
          </w:p>
        </w:tc>
        <w:tc>
          <w:tcPr>
            <w:tcW w:w="2843" w:type="dxa"/>
            <w:vAlign w:val="center"/>
          </w:tcPr>
          <w:p w14:paraId="366FFFF2">
            <w:pPr>
              <w:spacing w:line="240" w:lineRule="auto"/>
              <w:ind w:firstLine="0" w:firstLineChars="0"/>
              <w:jc w:val="center"/>
              <w:rPr>
                <w:sz w:val="21"/>
                <w:szCs w:val="21"/>
              </w:rPr>
            </w:pPr>
            <w:r>
              <w:rPr>
                <w:sz w:val="21"/>
                <w:szCs w:val="21"/>
              </w:rPr>
              <w:t>45°</w:t>
            </w:r>
            <w:r>
              <w:rPr>
                <w:rFonts w:hint="eastAsia"/>
                <w:sz w:val="21"/>
                <w:szCs w:val="21"/>
                <w:lang w:eastAsia="zh-CN"/>
              </w:rPr>
              <w:t>35</w:t>
            </w:r>
            <w:r>
              <w:rPr>
                <w:sz w:val="21"/>
                <w:szCs w:val="21"/>
              </w:rPr>
              <w:t>′</w:t>
            </w:r>
            <w:r>
              <w:rPr>
                <w:rFonts w:hint="eastAsia"/>
                <w:sz w:val="21"/>
                <w:szCs w:val="21"/>
                <w:lang w:eastAsia="zh-CN"/>
              </w:rPr>
              <w:t>3</w:t>
            </w:r>
            <w:r>
              <w:rPr>
                <w:sz w:val="21"/>
                <w:szCs w:val="21"/>
              </w:rPr>
              <w:t>0″</w:t>
            </w:r>
          </w:p>
        </w:tc>
      </w:tr>
      <w:tr w14:paraId="7DD982A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593" w:type="dxa"/>
            <w:vAlign w:val="center"/>
          </w:tcPr>
          <w:p w14:paraId="45B7B824">
            <w:pPr>
              <w:spacing w:line="240" w:lineRule="auto"/>
              <w:ind w:firstLine="0" w:firstLineChars="0"/>
              <w:jc w:val="center"/>
              <w:rPr>
                <w:sz w:val="21"/>
                <w:szCs w:val="21"/>
              </w:rPr>
            </w:pPr>
            <w:r>
              <w:rPr>
                <w:sz w:val="21"/>
                <w:szCs w:val="21"/>
              </w:rPr>
              <w:t>6</w:t>
            </w:r>
          </w:p>
        </w:tc>
        <w:tc>
          <w:tcPr>
            <w:tcW w:w="2843" w:type="dxa"/>
            <w:vAlign w:val="center"/>
          </w:tcPr>
          <w:p w14:paraId="40DA78C5">
            <w:pPr>
              <w:spacing w:line="240" w:lineRule="auto"/>
              <w:ind w:firstLine="0" w:firstLineChars="0"/>
              <w:jc w:val="center"/>
              <w:rPr>
                <w:sz w:val="21"/>
                <w:szCs w:val="21"/>
              </w:rPr>
            </w:pPr>
            <w:r>
              <w:rPr>
                <w:sz w:val="21"/>
                <w:szCs w:val="21"/>
              </w:rPr>
              <w:t>116°</w:t>
            </w:r>
            <w:r>
              <w:rPr>
                <w:rFonts w:hint="eastAsia"/>
                <w:sz w:val="21"/>
                <w:szCs w:val="21"/>
                <w:lang w:eastAsia="zh-CN"/>
              </w:rPr>
              <w:t>52</w:t>
            </w:r>
            <w:r>
              <w:rPr>
                <w:sz w:val="21"/>
                <w:szCs w:val="21"/>
              </w:rPr>
              <w:t>′</w:t>
            </w:r>
            <w:r>
              <w:rPr>
                <w:rFonts w:hint="eastAsia"/>
                <w:sz w:val="21"/>
                <w:szCs w:val="21"/>
                <w:lang w:eastAsia="zh-CN"/>
              </w:rPr>
              <w:t>15</w:t>
            </w:r>
            <w:r>
              <w:rPr>
                <w:sz w:val="21"/>
                <w:szCs w:val="21"/>
              </w:rPr>
              <w:t>″</w:t>
            </w:r>
          </w:p>
        </w:tc>
        <w:tc>
          <w:tcPr>
            <w:tcW w:w="2843" w:type="dxa"/>
            <w:vAlign w:val="center"/>
          </w:tcPr>
          <w:p w14:paraId="5606B042">
            <w:pPr>
              <w:spacing w:line="240" w:lineRule="auto"/>
              <w:ind w:firstLine="0" w:firstLineChars="0"/>
              <w:jc w:val="center"/>
              <w:rPr>
                <w:sz w:val="21"/>
                <w:szCs w:val="21"/>
              </w:rPr>
            </w:pPr>
            <w:r>
              <w:rPr>
                <w:sz w:val="21"/>
                <w:szCs w:val="21"/>
              </w:rPr>
              <w:t>45°3</w:t>
            </w:r>
            <w:r>
              <w:rPr>
                <w:rFonts w:hint="eastAsia"/>
                <w:sz w:val="21"/>
                <w:szCs w:val="21"/>
                <w:lang w:eastAsia="zh-CN"/>
              </w:rPr>
              <w:t>5</w:t>
            </w:r>
            <w:r>
              <w:rPr>
                <w:sz w:val="21"/>
                <w:szCs w:val="21"/>
              </w:rPr>
              <w:t>′</w:t>
            </w:r>
            <w:r>
              <w:rPr>
                <w:rFonts w:hint="eastAsia"/>
                <w:sz w:val="21"/>
                <w:szCs w:val="21"/>
                <w:lang w:eastAsia="zh-CN"/>
              </w:rPr>
              <w:t>3</w:t>
            </w:r>
            <w:r>
              <w:rPr>
                <w:sz w:val="21"/>
                <w:szCs w:val="21"/>
              </w:rPr>
              <w:t>0″</w:t>
            </w:r>
          </w:p>
        </w:tc>
      </w:tr>
      <w:tr w14:paraId="5E40ECA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593" w:type="dxa"/>
            <w:vAlign w:val="center"/>
          </w:tcPr>
          <w:p w14:paraId="19BFEAC3">
            <w:pPr>
              <w:spacing w:line="240" w:lineRule="auto"/>
              <w:ind w:firstLine="0" w:firstLineChars="0"/>
              <w:jc w:val="center"/>
              <w:rPr>
                <w:sz w:val="21"/>
                <w:szCs w:val="21"/>
              </w:rPr>
            </w:pPr>
            <w:r>
              <w:rPr>
                <w:sz w:val="21"/>
                <w:szCs w:val="21"/>
              </w:rPr>
              <w:t>7</w:t>
            </w:r>
          </w:p>
        </w:tc>
        <w:tc>
          <w:tcPr>
            <w:tcW w:w="2843" w:type="dxa"/>
            <w:vAlign w:val="center"/>
          </w:tcPr>
          <w:p w14:paraId="7CCBA33F">
            <w:pPr>
              <w:spacing w:line="240" w:lineRule="auto"/>
              <w:ind w:firstLine="0" w:firstLineChars="0"/>
              <w:jc w:val="center"/>
              <w:rPr>
                <w:sz w:val="21"/>
                <w:szCs w:val="21"/>
              </w:rPr>
            </w:pPr>
            <w:r>
              <w:rPr>
                <w:sz w:val="21"/>
                <w:szCs w:val="21"/>
              </w:rPr>
              <w:t>116°</w:t>
            </w:r>
            <w:r>
              <w:rPr>
                <w:rFonts w:hint="eastAsia"/>
                <w:sz w:val="21"/>
                <w:szCs w:val="21"/>
                <w:lang w:eastAsia="zh-CN"/>
              </w:rPr>
              <w:t>52</w:t>
            </w:r>
            <w:r>
              <w:rPr>
                <w:sz w:val="21"/>
                <w:szCs w:val="21"/>
              </w:rPr>
              <w:t>′</w:t>
            </w:r>
            <w:r>
              <w:rPr>
                <w:rFonts w:hint="eastAsia"/>
                <w:sz w:val="21"/>
                <w:szCs w:val="21"/>
                <w:lang w:eastAsia="zh-CN"/>
              </w:rPr>
              <w:t>15</w:t>
            </w:r>
            <w:r>
              <w:rPr>
                <w:sz w:val="21"/>
                <w:szCs w:val="21"/>
              </w:rPr>
              <w:t>″</w:t>
            </w:r>
          </w:p>
        </w:tc>
        <w:tc>
          <w:tcPr>
            <w:tcW w:w="2843" w:type="dxa"/>
            <w:vAlign w:val="center"/>
          </w:tcPr>
          <w:p w14:paraId="153B69E9">
            <w:pPr>
              <w:spacing w:line="240" w:lineRule="auto"/>
              <w:ind w:firstLine="0" w:firstLineChars="0"/>
              <w:jc w:val="center"/>
              <w:rPr>
                <w:sz w:val="21"/>
                <w:szCs w:val="21"/>
              </w:rPr>
            </w:pPr>
            <w:r>
              <w:rPr>
                <w:sz w:val="21"/>
                <w:szCs w:val="21"/>
              </w:rPr>
              <w:t>45°</w:t>
            </w:r>
            <w:r>
              <w:rPr>
                <w:rFonts w:hint="eastAsia"/>
                <w:sz w:val="21"/>
                <w:szCs w:val="21"/>
                <w:lang w:eastAsia="zh-CN"/>
              </w:rPr>
              <w:t>38</w:t>
            </w:r>
            <w:r>
              <w:rPr>
                <w:sz w:val="21"/>
                <w:szCs w:val="21"/>
              </w:rPr>
              <w:t>′00″</w:t>
            </w:r>
          </w:p>
        </w:tc>
      </w:tr>
      <w:tr w14:paraId="261B121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593" w:type="dxa"/>
            <w:vAlign w:val="center"/>
          </w:tcPr>
          <w:p w14:paraId="150C7C4B">
            <w:pPr>
              <w:spacing w:line="240" w:lineRule="auto"/>
              <w:ind w:firstLine="0" w:firstLineChars="0"/>
              <w:jc w:val="center"/>
              <w:rPr>
                <w:sz w:val="21"/>
                <w:szCs w:val="21"/>
              </w:rPr>
            </w:pPr>
            <w:r>
              <w:rPr>
                <w:sz w:val="21"/>
                <w:szCs w:val="21"/>
              </w:rPr>
              <w:t>8</w:t>
            </w:r>
          </w:p>
        </w:tc>
        <w:tc>
          <w:tcPr>
            <w:tcW w:w="2843" w:type="dxa"/>
            <w:vAlign w:val="center"/>
          </w:tcPr>
          <w:p w14:paraId="2BBC07FF">
            <w:pPr>
              <w:spacing w:line="240" w:lineRule="auto"/>
              <w:ind w:firstLine="0" w:firstLineChars="0"/>
              <w:jc w:val="center"/>
              <w:rPr>
                <w:sz w:val="21"/>
                <w:szCs w:val="21"/>
              </w:rPr>
            </w:pPr>
            <w:r>
              <w:rPr>
                <w:sz w:val="21"/>
                <w:szCs w:val="21"/>
              </w:rPr>
              <w:t>116°</w:t>
            </w:r>
            <w:r>
              <w:rPr>
                <w:rFonts w:hint="eastAsia"/>
                <w:sz w:val="21"/>
                <w:szCs w:val="21"/>
                <w:lang w:eastAsia="zh-CN"/>
              </w:rPr>
              <w:t>53</w:t>
            </w:r>
            <w:r>
              <w:rPr>
                <w:sz w:val="21"/>
                <w:szCs w:val="21"/>
              </w:rPr>
              <w:t>′</w:t>
            </w:r>
            <w:r>
              <w:rPr>
                <w:rFonts w:hint="eastAsia"/>
                <w:sz w:val="21"/>
                <w:szCs w:val="21"/>
                <w:lang w:eastAsia="zh-CN"/>
              </w:rPr>
              <w:t>30</w:t>
            </w:r>
            <w:r>
              <w:rPr>
                <w:sz w:val="21"/>
                <w:szCs w:val="21"/>
              </w:rPr>
              <w:t>″</w:t>
            </w:r>
          </w:p>
        </w:tc>
        <w:tc>
          <w:tcPr>
            <w:tcW w:w="2843" w:type="dxa"/>
            <w:vAlign w:val="center"/>
          </w:tcPr>
          <w:p w14:paraId="5C15C6FE">
            <w:pPr>
              <w:spacing w:line="240" w:lineRule="auto"/>
              <w:ind w:firstLine="0" w:firstLineChars="0"/>
              <w:jc w:val="center"/>
              <w:rPr>
                <w:sz w:val="21"/>
                <w:szCs w:val="21"/>
              </w:rPr>
            </w:pPr>
            <w:r>
              <w:rPr>
                <w:sz w:val="21"/>
                <w:szCs w:val="21"/>
              </w:rPr>
              <w:t>45°</w:t>
            </w:r>
            <w:r>
              <w:rPr>
                <w:rFonts w:hint="eastAsia"/>
                <w:sz w:val="21"/>
                <w:szCs w:val="21"/>
                <w:lang w:eastAsia="zh-CN"/>
              </w:rPr>
              <w:t>38</w:t>
            </w:r>
            <w:r>
              <w:rPr>
                <w:sz w:val="21"/>
                <w:szCs w:val="21"/>
              </w:rPr>
              <w:t>′00″</w:t>
            </w:r>
          </w:p>
        </w:tc>
      </w:tr>
      <w:tr w14:paraId="4224B7E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593" w:type="dxa"/>
            <w:vAlign w:val="center"/>
          </w:tcPr>
          <w:p w14:paraId="73EA2555">
            <w:pPr>
              <w:spacing w:line="240" w:lineRule="auto"/>
              <w:ind w:firstLine="0" w:firstLineChars="0"/>
              <w:jc w:val="center"/>
              <w:rPr>
                <w:sz w:val="21"/>
                <w:szCs w:val="21"/>
              </w:rPr>
            </w:pPr>
            <w:r>
              <w:rPr>
                <w:sz w:val="21"/>
                <w:szCs w:val="21"/>
              </w:rPr>
              <w:t>9</w:t>
            </w:r>
          </w:p>
        </w:tc>
        <w:tc>
          <w:tcPr>
            <w:tcW w:w="2843" w:type="dxa"/>
            <w:vAlign w:val="center"/>
          </w:tcPr>
          <w:p w14:paraId="19B8F226">
            <w:pPr>
              <w:spacing w:line="240" w:lineRule="auto"/>
              <w:ind w:firstLine="0" w:firstLineChars="0"/>
              <w:jc w:val="center"/>
              <w:rPr>
                <w:sz w:val="21"/>
                <w:szCs w:val="21"/>
              </w:rPr>
            </w:pPr>
            <w:r>
              <w:rPr>
                <w:sz w:val="21"/>
                <w:szCs w:val="21"/>
              </w:rPr>
              <w:t>116°</w:t>
            </w:r>
            <w:r>
              <w:rPr>
                <w:rFonts w:hint="eastAsia"/>
                <w:sz w:val="21"/>
                <w:szCs w:val="21"/>
                <w:lang w:eastAsia="zh-CN"/>
              </w:rPr>
              <w:t>53</w:t>
            </w:r>
            <w:r>
              <w:rPr>
                <w:sz w:val="21"/>
                <w:szCs w:val="21"/>
              </w:rPr>
              <w:t>′</w:t>
            </w:r>
            <w:r>
              <w:rPr>
                <w:rFonts w:hint="eastAsia"/>
                <w:sz w:val="21"/>
                <w:szCs w:val="21"/>
                <w:lang w:eastAsia="zh-CN"/>
              </w:rPr>
              <w:t>3</w:t>
            </w:r>
            <w:r>
              <w:rPr>
                <w:sz w:val="21"/>
                <w:szCs w:val="21"/>
              </w:rPr>
              <w:t>0″</w:t>
            </w:r>
          </w:p>
        </w:tc>
        <w:tc>
          <w:tcPr>
            <w:tcW w:w="2843" w:type="dxa"/>
            <w:vAlign w:val="center"/>
          </w:tcPr>
          <w:p w14:paraId="24BA1C00">
            <w:pPr>
              <w:spacing w:line="240" w:lineRule="auto"/>
              <w:ind w:firstLine="0" w:firstLineChars="0"/>
              <w:jc w:val="center"/>
              <w:rPr>
                <w:sz w:val="21"/>
                <w:szCs w:val="21"/>
              </w:rPr>
            </w:pPr>
            <w:r>
              <w:rPr>
                <w:sz w:val="21"/>
                <w:szCs w:val="21"/>
              </w:rPr>
              <w:t>45°</w:t>
            </w:r>
            <w:r>
              <w:rPr>
                <w:rFonts w:hint="eastAsia"/>
                <w:sz w:val="21"/>
                <w:szCs w:val="21"/>
                <w:lang w:eastAsia="zh-CN"/>
              </w:rPr>
              <w:t>40</w:t>
            </w:r>
            <w:r>
              <w:rPr>
                <w:sz w:val="21"/>
                <w:szCs w:val="21"/>
              </w:rPr>
              <w:t>′</w:t>
            </w:r>
            <w:r>
              <w:rPr>
                <w:rFonts w:hint="eastAsia"/>
                <w:sz w:val="21"/>
                <w:szCs w:val="21"/>
                <w:lang w:eastAsia="zh-CN"/>
              </w:rPr>
              <w:t>45</w:t>
            </w:r>
            <w:r>
              <w:rPr>
                <w:sz w:val="21"/>
                <w:szCs w:val="21"/>
              </w:rPr>
              <w:t>″</w:t>
            </w:r>
          </w:p>
        </w:tc>
      </w:tr>
      <w:tr w14:paraId="2351B89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2593" w:type="dxa"/>
            <w:vAlign w:val="center"/>
          </w:tcPr>
          <w:p w14:paraId="20520E5D">
            <w:pPr>
              <w:spacing w:line="240" w:lineRule="auto"/>
              <w:ind w:firstLine="0" w:firstLineChars="0"/>
              <w:jc w:val="center"/>
              <w:rPr>
                <w:sz w:val="21"/>
                <w:szCs w:val="21"/>
              </w:rPr>
            </w:pPr>
            <w:r>
              <w:rPr>
                <w:sz w:val="21"/>
                <w:szCs w:val="21"/>
              </w:rPr>
              <w:t>10</w:t>
            </w:r>
          </w:p>
        </w:tc>
        <w:tc>
          <w:tcPr>
            <w:tcW w:w="2843" w:type="dxa"/>
            <w:vAlign w:val="center"/>
          </w:tcPr>
          <w:p w14:paraId="16BD9012">
            <w:pPr>
              <w:spacing w:line="240" w:lineRule="auto"/>
              <w:ind w:firstLine="0" w:firstLineChars="0"/>
              <w:jc w:val="center"/>
              <w:rPr>
                <w:sz w:val="21"/>
                <w:szCs w:val="21"/>
              </w:rPr>
            </w:pPr>
            <w:r>
              <w:rPr>
                <w:sz w:val="21"/>
                <w:szCs w:val="21"/>
              </w:rPr>
              <w:t>116°</w:t>
            </w:r>
            <w:r>
              <w:rPr>
                <w:rFonts w:hint="eastAsia"/>
                <w:sz w:val="21"/>
                <w:szCs w:val="21"/>
                <w:lang w:eastAsia="zh-CN"/>
              </w:rPr>
              <w:t>5</w:t>
            </w:r>
            <w:r>
              <w:rPr>
                <w:sz w:val="21"/>
                <w:szCs w:val="21"/>
              </w:rPr>
              <w:t>4′</w:t>
            </w:r>
            <w:r>
              <w:rPr>
                <w:rFonts w:hint="eastAsia"/>
                <w:sz w:val="21"/>
                <w:szCs w:val="21"/>
                <w:lang w:eastAsia="zh-CN"/>
              </w:rPr>
              <w:t>45</w:t>
            </w:r>
            <w:r>
              <w:rPr>
                <w:sz w:val="21"/>
                <w:szCs w:val="21"/>
              </w:rPr>
              <w:t>″</w:t>
            </w:r>
          </w:p>
        </w:tc>
        <w:tc>
          <w:tcPr>
            <w:tcW w:w="2843" w:type="dxa"/>
            <w:vAlign w:val="center"/>
          </w:tcPr>
          <w:p w14:paraId="2ED68EEF">
            <w:pPr>
              <w:spacing w:line="240" w:lineRule="auto"/>
              <w:ind w:firstLine="0" w:firstLineChars="0"/>
              <w:jc w:val="center"/>
              <w:rPr>
                <w:sz w:val="21"/>
                <w:szCs w:val="21"/>
              </w:rPr>
            </w:pPr>
            <w:r>
              <w:rPr>
                <w:sz w:val="21"/>
                <w:szCs w:val="21"/>
              </w:rPr>
              <w:t>45°</w:t>
            </w:r>
            <w:r>
              <w:rPr>
                <w:rFonts w:hint="eastAsia"/>
                <w:sz w:val="21"/>
                <w:szCs w:val="21"/>
                <w:lang w:eastAsia="zh-CN"/>
              </w:rPr>
              <w:t>40</w:t>
            </w:r>
            <w:r>
              <w:rPr>
                <w:sz w:val="21"/>
                <w:szCs w:val="21"/>
              </w:rPr>
              <w:t>′</w:t>
            </w:r>
            <w:r>
              <w:rPr>
                <w:rFonts w:hint="eastAsia"/>
                <w:sz w:val="21"/>
                <w:szCs w:val="21"/>
                <w:lang w:eastAsia="zh-CN"/>
              </w:rPr>
              <w:t>45</w:t>
            </w:r>
            <w:r>
              <w:rPr>
                <w:sz w:val="21"/>
                <w:szCs w:val="21"/>
              </w:rPr>
              <w:t>″</w:t>
            </w:r>
          </w:p>
        </w:tc>
      </w:tr>
    </w:tbl>
    <w:p w14:paraId="1833D1FE">
      <w:pPr>
        <w:pStyle w:val="4"/>
        <w:rPr>
          <w:snapToGrid w:val="0"/>
          <w:lang w:eastAsia="zh-CN"/>
        </w:rPr>
      </w:pPr>
      <w:bookmarkStart w:id="125" w:name="_Toc408413911"/>
      <w:bookmarkStart w:id="126" w:name="_Toc248649413"/>
      <w:r>
        <w:rPr>
          <w:snapToGrid w:val="0"/>
        </w:rPr>
        <w:t>2.</w:t>
      </w:r>
      <w:r>
        <w:rPr>
          <w:rFonts w:hint="eastAsia"/>
          <w:snapToGrid w:val="0"/>
          <w:lang w:eastAsia="zh-CN"/>
        </w:rPr>
        <w:t>3</w:t>
      </w:r>
      <w:r>
        <w:rPr>
          <w:snapToGrid w:val="0"/>
        </w:rPr>
        <w:t>.4油田</w:t>
      </w:r>
      <w:r>
        <w:rPr>
          <w:rFonts w:hint="eastAsia"/>
          <w:snapToGrid w:val="0"/>
          <w:lang w:eastAsia="zh-CN"/>
        </w:rPr>
        <w:t>构造特征</w:t>
      </w:r>
      <w:bookmarkEnd w:id="125"/>
    </w:p>
    <w:p w14:paraId="09AFF5A7">
      <w:pPr>
        <w:overflowPunct w:val="0"/>
        <w:autoSpaceDE w:val="0"/>
        <w:ind w:firstLine="480"/>
        <w:rPr>
          <w:rFonts w:asciiTheme="minorEastAsia" w:hAnsiTheme="minorEastAsia" w:eastAsiaTheme="minorEastAsia"/>
          <w:lang w:eastAsia="zh-CN"/>
        </w:rPr>
      </w:pPr>
      <w:r>
        <w:rPr>
          <w:rFonts w:hint="eastAsia" w:asciiTheme="minorEastAsia" w:hAnsiTheme="minorEastAsia" w:eastAsiaTheme="minorEastAsia"/>
          <w:lang w:eastAsia="zh-CN"/>
        </w:rPr>
        <w:t>乌里雅斯太油田</w:t>
      </w:r>
      <w:r>
        <w:rPr>
          <w:rFonts w:asciiTheme="minorEastAsia" w:hAnsiTheme="minorEastAsia" w:eastAsiaTheme="minorEastAsia"/>
          <w:lang w:eastAsia="zh-CN"/>
        </w:rPr>
        <w:t>构造上隶属于二连盆地马尼特坳陷东北端，整体呈北东向长条型展布，为一西北断东南超的半地堑，基岩最大埋深4500m，凹陷长约220km，宽16～20km，面积近3000km</w:t>
      </w:r>
      <w:r>
        <w:rPr>
          <w:rFonts w:asciiTheme="minorEastAsia" w:hAnsiTheme="minorEastAsia" w:eastAsiaTheme="minorEastAsia"/>
          <w:vertAlign w:val="superscript"/>
          <w:lang w:eastAsia="zh-CN"/>
        </w:rPr>
        <w:t>2</w:t>
      </w:r>
      <w:r>
        <w:rPr>
          <w:rFonts w:asciiTheme="minorEastAsia" w:hAnsiTheme="minorEastAsia" w:eastAsiaTheme="minorEastAsia"/>
          <w:lang w:eastAsia="zh-CN"/>
        </w:rPr>
        <w:t>，分为南、中、北三个次级洼槽，目前油气勘探主要集中在南洼槽</w:t>
      </w:r>
      <w:r>
        <w:rPr>
          <w:rFonts w:hint="eastAsia" w:asciiTheme="minorEastAsia" w:hAnsiTheme="minorEastAsia" w:eastAsiaTheme="minorEastAsia"/>
          <w:lang w:eastAsia="zh-CN"/>
        </w:rPr>
        <w:t>，</w:t>
      </w:r>
      <w:r>
        <w:rPr>
          <w:rFonts w:asciiTheme="minorEastAsia" w:hAnsiTheme="minorEastAsia" w:eastAsiaTheme="minorEastAsia"/>
          <w:lang w:eastAsia="zh-CN"/>
        </w:rPr>
        <w:t>南洼槽位于乌里雅斯太凹陷南端。</w:t>
      </w:r>
    </w:p>
    <w:p w14:paraId="5107A0FF">
      <w:pPr>
        <w:overflowPunct w:val="0"/>
        <w:autoSpaceDE w:val="0"/>
        <w:ind w:firstLine="480"/>
        <w:rPr>
          <w:rFonts w:asciiTheme="minorEastAsia" w:hAnsiTheme="minorEastAsia" w:eastAsiaTheme="minorEastAsia"/>
          <w:lang w:eastAsia="zh-CN"/>
        </w:rPr>
      </w:pPr>
      <w:r>
        <w:rPr>
          <w:rFonts w:hint="eastAsia" w:asciiTheme="minorEastAsia" w:hAnsiTheme="minorEastAsia" w:eastAsiaTheme="minorEastAsia"/>
          <w:lang w:eastAsia="zh-CN"/>
        </w:rPr>
        <w:t>乌里雅斯太凹陷基底构造为一个复式背斜——东乌旗复背斜东缘。总体上具有西北断、东南超的半地堑结构，但不同部位结构有所差别：北部地区具有似双断结构，中部为单断半地堑结构，南部具有似中央隆起的断槽结构。</w:t>
      </w:r>
    </w:p>
    <w:p w14:paraId="05991229">
      <w:pPr>
        <w:overflowPunct w:val="0"/>
        <w:autoSpaceDE w:val="0"/>
        <w:ind w:firstLine="480"/>
        <w:rPr>
          <w:rFonts w:asciiTheme="minorEastAsia" w:hAnsiTheme="minorEastAsia" w:eastAsiaTheme="minorEastAsia"/>
          <w:lang w:eastAsia="zh-CN"/>
        </w:rPr>
      </w:pPr>
      <w:r>
        <w:rPr>
          <w:rFonts w:hint="eastAsia" w:asciiTheme="minorEastAsia" w:hAnsiTheme="minorEastAsia" w:eastAsiaTheme="minorEastAsia"/>
          <w:lang w:eastAsia="zh-CN"/>
        </w:rPr>
        <w:t>平面上具有南北分区、东西分带的基本构造格局。由于受古梁子存在的影响，由北往南发育了三大构造：北部的苏布构造、中部的木日格构造、南部的超尔金构造。由西向东分别为西部陡带、中部洼槽带、东部斜坡带，而斜坡带又可分为斜坡内带、中带和外带。目前发现的油藏主要集中分布在斜坡中带。</w:t>
      </w:r>
    </w:p>
    <w:p w14:paraId="09E3FDD9">
      <w:pPr>
        <w:overflowPunct w:val="0"/>
        <w:autoSpaceDE w:val="0"/>
        <w:ind w:firstLine="480"/>
        <w:rPr>
          <w:rFonts w:asciiTheme="minorEastAsia" w:hAnsiTheme="minorEastAsia" w:eastAsiaTheme="minorEastAsia"/>
          <w:lang w:eastAsia="zh-CN"/>
        </w:rPr>
      </w:pPr>
      <w:r>
        <w:rPr>
          <w:rFonts w:hint="eastAsia" w:asciiTheme="minorEastAsia" w:hAnsiTheme="minorEastAsia" w:eastAsiaTheme="minorEastAsia"/>
          <w:lang w:eastAsia="zh-CN"/>
        </w:rPr>
        <w:t>太53区块位于乌里雅斯太凹陷南洼槽北部，太参1断层的下降盘。太参1断层将其与南部太27区块分隔开，并与东部边界断层共同形成太53区块。其K</w:t>
      </w:r>
      <w:r>
        <w:rPr>
          <w:rFonts w:hint="eastAsia" w:asciiTheme="minorEastAsia" w:hAnsiTheme="minorEastAsia" w:eastAsiaTheme="minorEastAsia"/>
          <w:vertAlign w:val="subscript"/>
          <w:lang w:eastAsia="zh-CN"/>
        </w:rPr>
        <w:t>1</w:t>
      </w:r>
      <w:r>
        <w:rPr>
          <w:rFonts w:hint="eastAsia" w:asciiTheme="minorEastAsia" w:hAnsiTheme="minorEastAsia" w:eastAsiaTheme="minorEastAsia"/>
          <w:lang w:eastAsia="zh-CN"/>
        </w:rPr>
        <w:t>bt</w:t>
      </w:r>
      <w:r>
        <w:rPr>
          <w:rFonts w:hint="eastAsia" w:asciiTheme="minorEastAsia" w:hAnsiTheme="minorEastAsia" w:eastAsiaTheme="minorEastAsia"/>
          <w:vertAlign w:val="superscript"/>
          <w:lang w:eastAsia="zh-CN"/>
        </w:rPr>
        <w:t>1</w:t>
      </w:r>
      <w:r>
        <w:rPr>
          <w:rFonts w:hint="eastAsia" w:asciiTheme="minorEastAsia" w:hAnsiTheme="minorEastAsia" w:eastAsiaTheme="minorEastAsia"/>
          <w:lang w:eastAsia="zh-CN"/>
        </w:rPr>
        <w:t>与K</w:t>
      </w:r>
      <w:r>
        <w:rPr>
          <w:rFonts w:hint="eastAsia" w:asciiTheme="minorEastAsia" w:hAnsiTheme="minorEastAsia" w:eastAsiaTheme="minorEastAsia"/>
          <w:vertAlign w:val="subscript"/>
          <w:lang w:eastAsia="zh-CN"/>
        </w:rPr>
        <w:t>1</w:t>
      </w:r>
      <w:r>
        <w:rPr>
          <w:rFonts w:hint="eastAsia" w:asciiTheme="minorEastAsia" w:hAnsiTheme="minorEastAsia" w:eastAsiaTheme="minorEastAsia"/>
          <w:lang w:eastAsia="zh-CN"/>
        </w:rPr>
        <w:t>ba</w:t>
      </w:r>
      <w:r>
        <w:rPr>
          <w:rFonts w:hint="eastAsia" w:asciiTheme="minorEastAsia" w:hAnsiTheme="minorEastAsia" w:eastAsiaTheme="minorEastAsia"/>
          <w:vertAlign w:val="superscript"/>
          <w:lang w:eastAsia="zh-CN"/>
        </w:rPr>
        <w:t>4</w:t>
      </w:r>
      <w:r>
        <w:rPr>
          <w:rFonts w:hint="eastAsia" w:asciiTheme="minorEastAsia" w:hAnsiTheme="minorEastAsia" w:eastAsiaTheme="minorEastAsia"/>
          <w:lang w:eastAsia="zh-CN"/>
        </w:rPr>
        <w:t>为两套不同的断裂系统。K</w:t>
      </w:r>
      <w:r>
        <w:rPr>
          <w:rFonts w:hint="eastAsia" w:asciiTheme="minorEastAsia" w:hAnsiTheme="minorEastAsia" w:eastAsiaTheme="minorEastAsia"/>
          <w:vertAlign w:val="subscript"/>
          <w:lang w:eastAsia="zh-CN"/>
        </w:rPr>
        <w:t>1</w:t>
      </w:r>
      <w:r>
        <w:rPr>
          <w:rFonts w:hint="eastAsia" w:asciiTheme="minorEastAsia" w:hAnsiTheme="minorEastAsia" w:eastAsiaTheme="minorEastAsia"/>
          <w:lang w:eastAsia="zh-CN"/>
        </w:rPr>
        <w:t>bt</w:t>
      </w:r>
      <w:r>
        <w:rPr>
          <w:rFonts w:hint="eastAsia" w:asciiTheme="minorEastAsia" w:hAnsiTheme="minorEastAsia" w:eastAsiaTheme="minorEastAsia"/>
          <w:vertAlign w:val="superscript"/>
          <w:lang w:eastAsia="zh-CN"/>
        </w:rPr>
        <w:t>1</w:t>
      </w:r>
      <w:r>
        <w:rPr>
          <w:rFonts w:hint="eastAsia" w:asciiTheme="minorEastAsia" w:hAnsiTheme="minorEastAsia" w:eastAsiaTheme="minorEastAsia"/>
          <w:lang w:eastAsia="zh-CN"/>
        </w:rPr>
        <w:t>段断层较少，油藏主要受岩性制约，而K</w:t>
      </w:r>
      <w:r>
        <w:rPr>
          <w:rFonts w:hint="eastAsia" w:asciiTheme="minorEastAsia" w:hAnsiTheme="minorEastAsia" w:eastAsiaTheme="minorEastAsia"/>
          <w:vertAlign w:val="subscript"/>
          <w:lang w:eastAsia="zh-CN"/>
        </w:rPr>
        <w:t>1</w:t>
      </w:r>
      <w:r>
        <w:rPr>
          <w:rFonts w:hint="eastAsia" w:asciiTheme="minorEastAsia" w:hAnsiTheme="minorEastAsia" w:eastAsiaTheme="minorEastAsia"/>
          <w:lang w:eastAsia="zh-CN"/>
        </w:rPr>
        <w:t>ba</w:t>
      </w:r>
      <w:r>
        <w:rPr>
          <w:rFonts w:hint="eastAsia" w:asciiTheme="minorEastAsia" w:hAnsiTheme="minorEastAsia" w:eastAsiaTheme="minorEastAsia"/>
          <w:vertAlign w:val="superscript"/>
          <w:lang w:eastAsia="zh-CN"/>
        </w:rPr>
        <w:t>4</w:t>
      </w:r>
      <w:r>
        <w:rPr>
          <w:rFonts w:hint="eastAsia" w:asciiTheme="minorEastAsia" w:hAnsiTheme="minorEastAsia" w:eastAsiaTheme="minorEastAsia"/>
          <w:lang w:eastAsia="zh-CN"/>
        </w:rPr>
        <w:t>相对断层增加，区块内被多条断层分割，形成多个井区。如中部的太53井区和东部的太55井区等。断层展布方向为北东向，形成北东向展布的断块，东西向垒、堑、阶平行分布。</w:t>
      </w:r>
    </w:p>
    <w:p w14:paraId="21D8EF61">
      <w:pPr>
        <w:pStyle w:val="4"/>
        <w:rPr>
          <w:snapToGrid w:val="0"/>
          <w:lang w:eastAsia="zh-CN"/>
        </w:rPr>
      </w:pPr>
      <w:bookmarkStart w:id="127" w:name="_Toc408413912"/>
      <w:r>
        <w:rPr>
          <w:rFonts w:hint="eastAsia"/>
          <w:snapToGrid w:val="0"/>
          <w:lang w:eastAsia="zh-CN"/>
        </w:rPr>
        <w:t>2.3.5地层特征</w:t>
      </w:r>
      <w:bookmarkEnd w:id="127"/>
    </w:p>
    <w:p w14:paraId="12BDB8C9">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乌里雅斯太凹陷南洼槽钻井揭示地层自下而上有基底、中下侏罗统、下白垩统阿尔善组、腾格尔组、赛汉塔拉组以及新生界第三系和第四系。由斜坡内带—中带—外带地层逐渐变老，埋藏变浅。目前仅有北部的太5井和太7井钻遇基底地层，揭开厚度为15～180m。基底岩性为古生界花岗岩。主要含油目的层K</w:t>
      </w:r>
      <w:r>
        <w:rPr>
          <w:rFonts w:hint="eastAsia" w:asciiTheme="minorEastAsia" w:hAnsiTheme="minorEastAsia" w:eastAsiaTheme="minorEastAsia"/>
          <w:kern w:val="2"/>
          <w:szCs w:val="24"/>
          <w:vertAlign w:val="subscript"/>
          <w:lang w:eastAsia="zh-CN" w:bidi="ar-SA"/>
        </w:rPr>
        <w:t>1</w:t>
      </w:r>
      <w:r>
        <w:rPr>
          <w:rFonts w:hint="eastAsia" w:asciiTheme="minorEastAsia" w:hAnsiTheme="minorEastAsia" w:eastAsiaTheme="minorEastAsia"/>
          <w:kern w:val="2"/>
          <w:szCs w:val="24"/>
          <w:lang w:eastAsia="zh-CN" w:bidi="ar-SA"/>
        </w:rPr>
        <w:t>bt</w:t>
      </w:r>
      <w:r>
        <w:rPr>
          <w:rFonts w:hint="eastAsia" w:asciiTheme="minorEastAsia" w:hAnsiTheme="minorEastAsia" w:eastAsiaTheme="minorEastAsia"/>
          <w:kern w:val="2"/>
          <w:szCs w:val="24"/>
          <w:vertAlign w:val="superscript"/>
          <w:lang w:eastAsia="zh-CN" w:bidi="ar-SA"/>
        </w:rPr>
        <w:t>1</w:t>
      </w:r>
      <w:r>
        <w:rPr>
          <w:rFonts w:hint="eastAsia" w:asciiTheme="minorEastAsia" w:hAnsiTheme="minorEastAsia" w:eastAsiaTheme="minorEastAsia"/>
          <w:kern w:val="2"/>
          <w:szCs w:val="24"/>
          <w:lang w:eastAsia="zh-CN" w:bidi="ar-SA"/>
        </w:rPr>
        <w:t>和K</w:t>
      </w:r>
      <w:r>
        <w:rPr>
          <w:rFonts w:hint="eastAsia" w:asciiTheme="minorEastAsia" w:hAnsiTheme="minorEastAsia" w:eastAsiaTheme="minorEastAsia"/>
          <w:kern w:val="2"/>
          <w:szCs w:val="24"/>
          <w:vertAlign w:val="subscript"/>
          <w:lang w:eastAsia="zh-CN" w:bidi="ar-SA"/>
        </w:rPr>
        <w:t>1</w:t>
      </w:r>
      <w:r>
        <w:rPr>
          <w:rFonts w:hint="eastAsia" w:asciiTheme="minorEastAsia" w:hAnsiTheme="minorEastAsia" w:eastAsiaTheme="minorEastAsia"/>
          <w:kern w:val="2"/>
          <w:szCs w:val="24"/>
          <w:lang w:eastAsia="zh-CN" w:bidi="ar-SA"/>
        </w:rPr>
        <w:t>ba</w:t>
      </w:r>
      <w:r>
        <w:rPr>
          <w:rFonts w:hint="eastAsia" w:asciiTheme="minorEastAsia" w:hAnsiTheme="minorEastAsia" w:eastAsiaTheme="minorEastAsia"/>
          <w:kern w:val="2"/>
          <w:szCs w:val="24"/>
          <w:vertAlign w:val="superscript"/>
          <w:lang w:eastAsia="zh-CN" w:bidi="ar-SA"/>
        </w:rPr>
        <w:t>4</w:t>
      </w:r>
      <w:r>
        <w:rPr>
          <w:rFonts w:hint="eastAsia" w:asciiTheme="minorEastAsia" w:hAnsiTheme="minorEastAsia" w:eastAsiaTheme="minorEastAsia"/>
          <w:kern w:val="2"/>
          <w:szCs w:val="24"/>
          <w:lang w:eastAsia="zh-CN" w:bidi="ar-SA"/>
        </w:rPr>
        <w:t>地层在全区分布广泛，埋深-500～-1500m。乌里雅斯太油田地层特征见图2.3-1，钻孔柱状图。</w:t>
      </w:r>
    </w:p>
    <w:p w14:paraId="5FE03677">
      <w:pPr>
        <w:ind w:firstLine="480"/>
        <w:outlineLvl w:val="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（1）中下侏罗统</w:t>
      </w:r>
    </w:p>
    <w:p w14:paraId="25C7644E">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钻井揭开厚度34～400m，为一套灰、深灰色泥岩、杂色砂砾岩夹煤层、安山岩地层。在地震反射结构上，与上下反射层序比较，呈角度不整合接触并自身构成一个构造层。</w:t>
      </w:r>
    </w:p>
    <w:p w14:paraId="4D6653F0">
      <w:pPr>
        <w:ind w:firstLine="480"/>
        <w:outlineLvl w:val="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（2） 阿尔善组</w:t>
      </w:r>
    </w:p>
    <w:p w14:paraId="41897B0D">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目前钻井钻遇地层均为K</w:t>
      </w:r>
      <w:r>
        <w:rPr>
          <w:rFonts w:hint="eastAsia" w:asciiTheme="minorEastAsia" w:hAnsiTheme="minorEastAsia" w:eastAsiaTheme="minorEastAsia"/>
          <w:kern w:val="2"/>
          <w:szCs w:val="24"/>
          <w:vertAlign w:val="subscript"/>
          <w:lang w:eastAsia="zh-CN" w:bidi="ar-SA"/>
        </w:rPr>
        <w:t>1</w:t>
      </w:r>
      <w:r>
        <w:rPr>
          <w:rFonts w:hint="eastAsia" w:asciiTheme="minorEastAsia" w:hAnsiTheme="minorEastAsia" w:eastAsiaTheme="minorEastAsia"/>
          <w:kern w:val="2"/>
          <w:szCs w:val="24"/>
          <w:lang w:eastAsia="zh-CN" w:bidi="ar-SA"/>
        </w:rPr>
        <w:t>ba</w:t>
      </w:r>
      <w:r>
        <w:rPr>
          <w:rFonts w:hint="eastAsia" w:asciiTheme="minorEastAsia" w:hAnsiTheme="minorEastAsia" w:eastAsiaTheme="minorEastAsia"/>
          <w:kern w:val="2"/>
          <w:szCs w:val="24"/>
          <w:vertAlign w:val="superscript"/>
          <w:lang w:eastAsia="zh-CN" w:bidi="ar-SA"/>
        </w:rPr>
        <w:t>4</w:t>
      </w:r>
      <w:r>
        <w:rPr>
          <w:rFonts w:hint="eastAsia" w:asciiTheme="minorEastAsia" w:hAnsiTheme="minorEastAsia" w:eastAsiaTheme="minorEastAsia"/>
          <w:kern w:val="2"/>
          <w:szCs w:val="24"/>
          <w:lang w:eastAsia="zh-CN" w:bidi="ar-SA"/>
        </w:rPr>
        <w:t>，揭开最大厚度为634m。该层岩性为灰、深灰色泥岩、粉砂质泥岩与灰、绿灰色砂砾岩、砾状砂岩、泥质粉砂岩略等厚互层，下部为一套褐灰色泥岩。2.5m电阻率曲线呈尖峰状中～高阻，自然电位曲线在储层段呈低幅度负异常，泥岩段近平直。</w:t>
      </w:r>
    </w:p>
    <w:p w14:paraId="2794032B">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（3）腾格尔组</w:t>
      </w:r>
    </w:p>
    <w:p w14:paraId="584F0955">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根据其岩性及电性特征，可分为上下两段。</w:t>
      </w:r>
    </w:p>
    <w:p w14:paraId="6D2B36DB">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腾一段：</w:t>
      </w:r>
    </w:p>
    <w:p w14:paraId="46F83FE6">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最大厚度2100m，由灰、深灰色泥岩、粉砂质泥岩与灰色细砾岩、砂砾岩、砾状砂岩、粉砂岩组成的粗—细～粗—细复韵律剖面。腾一段上部较粗，为细砾岩、砂砾岩、砾状砂岩、粉砂岩夹中薄层泥岩段；腾一段下部为细—粗—细段，细段为泥岩夹砂砾岩、砾状砂岩、粉砂岩段或泥岩夹砂岩段，粗段岩性组合同腾一段上部。粗段2.5m电阻率曲线特征表现为块状、尖峰状高阻～特高阻；自然电位曲线为箱状、三角状、不规则钟乳状低~中幅度负异常。细段2.5m电阻率曲线表现为齿状低～中阻，自然电位曲线表现为近平直～低幅度负异常。</w:t>
      </w:r>
    </w:p>
    <w:p w14:paraId="5F5156DB">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②腾二段：</w:t>
      </w:r>
    </w:p>
    <w:p w14:paraId="7F47C99A">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最大厚度1600m，是一个由粗到细的正旋回剖面。上部为灰色、深灰色泥岩，局部夹泥质粉砂岩、粉砂岩段；下部为灰、深灰色泥岩、白云质泥岩与细砾岩、砂砾岩、砾状砂岩、粉砂岩、白云质粉砂岩略等厚互层段。2.5m电阻率曲线在泥岩段呈齿状、微齿状低阻，储层段呈峰状中阻；自然电位曲线泥岩段平直无异常，储层段见小幅度负异常。</w:t>
      </w:r>
    </w:p>
    <w:p w14:paraId="2A62C27D">
      <w:pPr>
        <w:ind w:firstLine="480"/>
        <w:outlineLvl w:val="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（4）赛汉塔拉组</w:t>
      </w:r>
    </w:p>
    <w:p w14:paraId="0EAE2883">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以灰色泥岩为主，夹灰色砾状砂岩、砂砾岩，与下伏腾格尔地层呈不整合接触。2.5m电阻率曲线由尖峰状中阻突变为小锯齿状低阻；自然电位曲线由小幅度负异常变为平直无异常。</w:t>
      </w:r>
    </w:p>
    <w:p w14:paraId="40D75BC6">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（5）第三系和第四系</w:t>
      </w:r>
    </w:p>
    <w:p w14:paraId="6693AA83">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厚度小于60m，为一套灰黄色粘土与砂砾层。</w:t>
      </w:r>
    </w:p>
    <w:p w14:paraId="3317F966">
      <w:pPr>
        <w:ind w:firstLine="1325" w:firstLineChars="550"/>
        <w:rPr>
          <w:rFonts w:asciiTheme="minorEastAsia" w:hAnsiTheme="minorEastAsia" w:eastAsiaTheme="minorEastAsia"/>
          <w:b/>
          <w:kern w:val="2"/>
          <w:szCs w:val="24"/>
          <w:lang w:eastAsia="zh-CN" w:bidi="ar-SA"/>
        </w:rPr>
      </w:pPr>
    </w:p>
    <w:p w14:paraId="068144F7">
      <w:pPr>
        <w:ind w:firstLine="1325" w:firstLineChars="550"/>
        <w:rPr>
          <w:rFonts w:asciiTheme="minorEastAsia" w:hAnsiTheme="minorEastAsia" w:eastAsiaTheme="minorEastAsia"/>
          <w:b/>
          <w:kern w:val="2"/>
          <w:szCs w:val="24"/>
          <w:lang w:eastAsia="zh-CN" w:bidi="ar-SA"/>
        </w:rPr>
      </w:pPr>
    </w:p>
    <w:p w14:paraId="0A1FC615">
      <w:pPr>
        <w:ind w:firstLine="1325" w:firstLineChars="550"/>
        <w:rPr>
          <w:rFonts w:asciiTheme="minorEastAsia" w:hAnsiTheme="minorEastAsia" w:eastAsiaTheme="minorEastAsia"/>
          <w:b/>
          <w:kern w:val="2"/>
          <w:szCs w:val="24"/>
          <w:lang w:eastAsia="zh-CN" w:bidi="ar-SA"/>
        </w:rPr>
      </w:pPr>
      <w:r>
        <w:rPr>
          <w:rFonts w:hint="eastAsia" w:asciiTheme="minorEastAsia" w:hAnsiTheme="minorEastAsia" w:eastAsiaTheme="minorEastAsia"/>
          <w:b/>
          <w:kern w:val="2"/>
          <w:szCs w:val="24"/>
          <w:lang w:eastAsia="zh-CN" w:bidi="ar-SA"/>
        </w:rPr>
        <w:t>图2.3-1       综合柱状图</w:t>
      </w:r>
    </w:p>
    <w:p w14:paraId="7361A20E">
      <w:pPr>
        <w:ind w:firstLine="480"/>
        <w:rPr>
          <w:rFonts w:asciiTheme="minorEastAsia" w:hAnsiTheme="minorEastAsia" w:eastAsiaTheme="minorEastAsia"/>
          <w:kern w:val="2"/>
          <w:szCs w:val="24"/>
          <w:lang w:eastAsia="zh-CN" w:bidi="ar-SA"/>
        </w:rPr>
      </w:pPr>
      <w:r>
        <w:rPr>
          <w:rFonts w:asciiTheme="minorEastAsia" w:hAnsiTheme="minorEastAsia" w:eastAsiaTheme="minorEastAsia"/>
          <w:kern w:val="2"/>
          <w:szCs w:val="24"/>
          <w:lang w:eastAsia="zh-CN" w:bidi="ar-SA"/>
        </w:rPr>
        <w:drawing>
          <wp:inline distT="0" distB="0" distL="0" distR="0">
            <wp:extent cx="4038600" cy="8315325"/>
            <wp:effectExtent l="19050" t="0" r="0" b="0"/>
            <wp:docPr id="4" name="图片 8" descr="钻孔柱状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钻孔柱状图.JPG"/>
                    <pic:cNvPicPr>
                      <a:picLocks noChangeAspect="1" noChangeArrowheads="1"/>
                    </pic:cNvPicPr>
                  </pic:nvPicPr>
                  <pic:blipFill>
                    <a:blip r:embed="rId20"/>
                    <a:srcRect l="1190" t="3349" r="2528"/>
                    <a:stretch>
                      <a:fillRect/>
                    </a:stretch>
                  </pic:blipFill>
                  <pic:spPr>
                    <a:xfrm>
                      <a:off x="0" y="0"/>
                      <a:ext cx="4038600" cy="8315325"/>
                    </a:xfrm>
                    <a:prstGeom prst="rect">
                      <a:avLst/>
                    </a:prstGeom>
                    <a:noFill/>
                    <a:ln w="9525">
                      <a:noFill/>
                      <a:miter lim="800000"/>
                      <a:headEnd/>
                      <a:tailEnd/>
                    </a:ln>
                  </pic:spPr>
                </pic:pic>
              </a:graphicData>
            </a:graphic>
          </wp:inline>
        </w:drawing>
      </w:r>
    </w:p>
    <w:p w14:paraId="35253ED0">
      <w:pPr>
        <w:pStyle w:val="4"/>
        <w:rPr>
          <w:snapToGrid w:val="0"/>
          <w:lang w:eastAsia="zh-CN"/>
        </w:rPr>
      </w:pPr>
      <w:bookmarkStart w:id="128" w:name="_Toc408413913"/>
      <w:r>
        <w:rPr>
          <w:snapToGrid w:val="0"/>
          <w:lang w:eastAsia="zh-CN"/>
        </w:rPr>
        <w:t>2.</w:t>
      </w:r>
      <w:r>
        <w:rPr>
          <w:rFonts w:hint="eastAsia"/>
          <w:snapToGrid w:val="0"/>
          <w:lang w:eastAsia="zh-CN"/>
        </w:rPr>
        <w:t>3</w:t>
      </w:r>
      <w:r>
        <w:rPr>
          <w:snapToGrid w:val="0"/>
          <w:lang w:eastAsia="zh-CN"/>
        </w:rPr>
        <w:t>.</w:t>
      </w:r>
      <w:r>
        <w:rPr>
          <w:rFonts w:hint="eastAsia"/>
          <w:snapToGrid w:val="0"/>
          <w:lang w:eastAsia="zh-CN"/>
        </w:rPr>
        <w:t>6</w:t>
      </w:r>
      <w:r>
        <w:rPr>
          <w:snapToGrid w:val="0"/>
          <w:lang w:eastAsia="zh-CN"/>
        </w:rPr>
        <w:t>储层特征</w:t>
      </w:r>
      <w:bookmarkEnd w:id="128"/>
    </w:p>
    <w:p w14:paraId="35EF6BED">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1、砂体成因类型</w:t>
      </w:r>
    </w:p>
    <w:p w14:paraId="2EFF2D9E">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乌里雅斯太凹陷为一典型的山间凹陷。中生代沉积时期，凹陷具有多物源、近物源、短水流、窄相带的沉积特点。通过单井相和测井相分析，主要目的层砂体沉积类型以扇三角洲前缘、扇三角洲平原和湖底扇为主。扇三角洲相主要发育于阿尔善时期，腾一段早期北部陡带亦有发育，但规模较小。</w:t>
      </w:r>
    </w:p>
    <w:p w14:paraId="3EFB8E19">
      <w:pPr>
        <w:ind w:firstLine="480"/>
        <w:outlineLvl w:val="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2、储集层基本特征</w:t>
      </w:r>
    </w:p>
    <w:p w14:paraId="3BA8E8C7">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乌里雅斯太凹陷储集层在纵向上主要分布在腾格尔和阿尔善组，其岩性为砾岩、砂砾岩、中粗砂岩、粉细砂岩等多种类型，但以砾岩、砂砾岩为主。</w:t>
      </w:r>
    </w:p>
    <w:p w14:paraId="0AB01660">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（1）腾一段储集层：</w:t>
      </w:r>
    </w:p>
    <w:p w14:paraId="60D2C3BA">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腾一段中下部：储集岩主要为粗碎屑的砾状砂岩、砂砾岩、砾岩等。一般厚100～300m，单层厚0.5～60m。岩石类型有：长石砂岩、岩屑长石砂岩、长石岩屑砂岩、混合砂岩、砂砾岩等类型。碎屑颗粒磨圆度为次棱角—次圆状。分选多为中、差，少量分选好。颗粒接触关系多为点线接触，部分为凹凸和缝合线接触，胶结类型以孔隙式、孔隙—接触式为主。石英含量16～48.9%，平均35%，长石含量9.8～50.8%，平均30%，岩屑含量9.5～74.2%，平均37%。</w:t>
      </w:r>
    </w:p>
    <w:p w14:paraId="6B47FA26">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腾一段上部：本段储层以砾状砂岩、砂砾岩和粉砂岩为主。累计厚度97～427m，占地层总厚度的7～54%，单层厚度0.5～15.5m，一般1~7m。岩石类型有：砂砾岩、长石砂岩、岩屑长石砂岩、长石岩屑砂岩、混合砂岩等。分选多为中等。颗粒次棱角状，少量次圆状。颗粒接触关系以点接触、点线接触为主。胶结类型以孔隙式、孔隙-接触式为主，个别基底式。石英含量23～45.4%，平均33%，长石含量25.5～48%，平均35%，岩屑含量9.0～52.3%，平均33%。</w:t>
      </w:r>
    </w:p>
    <w:p w14:paraId="1EA0F351">
      <w:pPr>
        <w:ind w:firstLine="480"/>
        <w:outlineLvl w:val="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（2）阿尔善组储集层</w:t>
      </w:r>
    </w:p>
    <w:p w14:paraId="6A85BD03">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阿尔善组储层累计厚度为200～470m，占地层总厚度的62～81%，单层厚度0.5～40m，一般1～30m，主要为砂砾岩、砾状砂岩、粉砂岩、砾岩等。其分选差，磨圆度为次棱角状—次圆状；颗粒多点—线接触，少量缝合线接触，胶结类型为孔隙—接触式，个别基底式。石英含量19.4～46.5%，平均33%，长石含量13.7～45.6%，平均18%，岩屑含量19.5～44.0%，平均39%。</w:t>
      </w:r>
    </w:p>
    <w:p w14:paraId="6A0356AC">
      <w:pPr>
        <w:pStyle w:val="4"/>
        <w:rPr>
          <w:snapToGrid w:val="0"/>
          <w:lang w:eastAsia="zh-CN"/>
        </w:rPr>
      </w:pPr>
      <w:bookmarkStart w:id="129" w:name="_Toc408413914"/>
      <w:r>
        <w:rPr>
          <w:snapToGrid w:val="0"/>
          <w:lang w:eastAsia="zh-CN"/>
        </w:rPr>
        <w:t>2.</w:t>
      </w:r>
      <w:r>
        <w:rPr>
          <w:rFonts w:hint="eastAsia"/>
          <w:snapToGrid w:val="0"/>
          <w:lang w:eastAsia="zh-CN"/>
        </w:rPr>
        <w:t>3</w:t>
      </w:r>
      <w:r>
        <w:rPr>
          <w:snapToGrid w:val="0"/>
          <w:lang w:eastAsia="zh-CN"/>
        </w:rPr>
        <w:t>.</w:t>
      </w:r>
      <w:r>
        <w:rPr>
          <w:rFonts w:hint="eastAsia"/>
          <w:snapToGrid w:val="0"/>
          <w:lang w:eastAsia="zh-CN"/>
        </w:rPr>
        <w:t>7</w:t>
      </w:r>
      <w:r>
        <w:rPr>
          <w:snapToGrid w:val="0"/>
          <w:lang w:eastAsia="zh-CN"/>
        </w:rPr>
        <w:t>地质储量</w:t>
      </w:r>
      <w:bookmarkEnd w:id="129"/>
    </w:p>
    <w:p w14:paraId="4F1B6639">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油田所在区域海拔900～1300m，属于内蒙古高原缓丘及平原微丘地貌。</w:t>
      </w:r>
      <w:r>
        <w:rPr>
          <w:rFonts w:asciiTheme="minorEastAsia" w:hAnsiTheme="minorEastAsia" w:eastAsiaTheme="minorEastAsia"/>
          <w:kern w:val="2"/>
          <w:szCs w:val="24"/>
          <w:lang w:eastAsia="zh-CN" w:bidi="ar-SA"/>
        </w:rPr>
        <w:t>乌里雅斯太油田地面产能开发建设项目</w:t>
      </w:r>
      <w:r>
        <w:rPr>
          <w:rFonts w:hint="eastAsia" w:asciiTheme="minorEastAsia" w:hAnsiTheme="minorEastAsia" w:eastAsiaTheme="minorEastAsia"/>
          <w:kern w:val="2"/>
          <w:szCs w:val="24"/>
          <w:lang w:eastAsia="zh-CN" w:bidi="ar-SA"/>
        </w:rPr>
        <w:t xml:space="preserve">，开发太53 </w:t>
      </w:r>
      <w:r>
        <w:rPr>
          <w:rFonts w:asciiTheme="minorEastAsia" w:hAnsiTheme="minorEastAsia" w:eastAsiaTheme="minorEastAsia"/>
          <w:kern w:val="2"/>
          <w:szCs w:val="24"/>
          <w:lang w:eastAsia="zh-CN" w:bidi="ar-SA"/>
        </w:rPr>
        <w:t>断块</w:t>
      </w:r>
      <w:r>
        <w:rPr>
          <w:rFonts w:hint="eastAsia" w:asciiTheme="minorEastAsia" w:hAnsiTheme="minorEastAsia" w:eastAsiaTheme="minorEastAsia"/>
          <w:kern w:val="2"/>
          <w:szCs w:val="24"/>
          <w:lang w:eastAsia="zh-CN" w:bidi="ar-SA"/>
        </w:rPr>
        <w:t xml:space="preserve">和太27 </w:t>
      </w:r>
      <w:r>
        <w:rPr>
          <w:rFonts w:asciiTheme="minorEastAsia" w:hAnsiTheme="minorEastAsia" w:eastAsiaTheme="minorEastAsia"/>
          <w:kern w:val="2"/>
          <w:szCs w:val="24"/>
          <w:lang w:eastAsia="zh-CN" w:bidi="ar-SA"/>
        </w:rPr>
        <w:t>断块</w:t>
      </w:r>
      <w:r>
        <w:rPr>
          <w:rFonts w:hint="eastAsia" w:asciiTheme="minorEastAsia" w:hAnsiTheme="minorEastAsia" w:eastAsiaTheme="minorEastAsia"/>
          <w:kern w:val="2"/>
          <w:szCs w:val="24"/>
          <w:lang w:eastAsia="zh-CN" w:bidi="ar-SA"/>
        </w:rPr>
        <w:t xml:space="preserve">，太53 </w:t>
      </w:r>
      <w:r>
        <w:rPr>
          <w:rFonts w:asciiTheme="minorEastAsia" w:hAnsiTheme="minorEastAsia" w:eastAsiaTheme="minorEastAsia"/>
          <w:kern w:val="2"/>
          <w:szCs w:val="24"/>
          <w:lang w:eastAsia="zh-CN" w:bidi="ar-SA"/>
        </w:rPr>
        <w:t>断块</w:t>
      </w:r>
      <w:r>
        <w:rPr>
          <w:rFonts w:hint="eastAsia" w:asciiTheme="minorEastAsia" w:hAnsiTheme="minorEastAsia" w:eastAsiaTheme="minorEastAsia"/>
          <w:kern w:val="2"/>
          <w:szCs w:val="24"/>
          <w:lang w:eastAsia="zh-CN" w:bidi="ar-SA"/>
        </w:rPr>
        <w:t>探明含油面积12.95km</w:t>
      </w:r>
      <w:r>
        <w:rPr>
          <w:rFonts w:hint="eastAsia" w:asciiTheme="minorEastAsia" w:hAnsiTheme="minorEastAsia" w:eastAsiaTheme="minorEastAsia"/>
          <w:kern w:val="2"/>
          <w:szCs w:val="24"/>
          <w:vertAlign w:val="superscript"/>
          <w:lang w:eastAsia="zh-CN" w:bidi="ar-SA"/>
        </w:rPr>
        <w:t>2</w:t>
      </w:r>
      <w:r>
        <w:rPr>
          <w:rFonts w:hint="eastAsia" w:asciiTheme="minorEastAsia" w:hAnsiTheme="minorEastAsia" w:eastAsiaTheme="minorEastAsia"/>
          <w:kern w:val="2"/>
          <w:szCs w:val="24"/>
          <w:lang w:eastAsia="zh-CN" w:bidi="ar-SA"/>
        </w:rPr>
        <w:t>，地质储量1060.54×10</w:t>
      </w:r>
      <w:r>
        <w:rPr>
          <w:rFonts w:hint="eastAsia" w:asciiTheme="minorEastAsia" w:hAnsiTheme="minorEastAsia" w:eastAsiaTheme="minorEastAsia"/>
          <w:kern w:val="2"/>
          <w:szCs w:val="24"/>
          <w:vertAlign w:val="superscript"/>
          <w:lang w:eastAsia="zh-CN" w:bidi="ar-SA"/>
        </w:rPr>
        <w:t>4</w:t>
      </w:r>
      <w:r>
        <w:rPr>
          <w:rFonts w:hint="eastAsia" w:asciiTheme="minorEastAsia" w:hAnsiTheme="minorEastAsia" w:eastAsiaTheme="minorEastAsia"/>
          <w:kern w:val="2"/>
          <w:szCs w:val="24"/>
          <w:lang w:eastAsia="zh-CN" w:bidi="ar-SA"/>
        </w:rPr>
        <w:t>t。太27断块探明含油面积11.27km</w:t>
      </w:r>
      <w:r>
        <w:rPr>
          <w:rFonts w:hint="eastAsia" w:asciiTheme="minorEastAsia" w:hAnsiTheme="minorEastAsia" w:eastAsiaTheme="minorEastAsia"/>
          <w:kern w:val="2"/>
          <w:szCs w:val="24"/>
          <w:vertAlign w:val="superscript"/>
          <w:lang w:eastAsia="zh-CN" w:bidi="ar-SA"/>
        </w:rPr>
        <w:t>2</w:t>
      </w:r>
      <w:r>
        <w:rPr>
          <w:rFonts w:hint="eastAsia" w:asciiTheme="minorEastAsia" w:hAnsiTheme="minorEastAsia" w:eastAsiaTheme="minorEastAsia"/>
          <w:kern w:val="2"/>
          <w:szCs w:val="24"/>
          <w:lang w:eastAsia="zh-CN" w:bidi="ar-SA"/>
        </w:rPr>
        <w:t>，地质储量1226.91×10</w:t>
      </w:r>
      <w:r>
        <w:rPr>
          <w:rFonts w:hint="eastAsia" w:asciiTheme="minorEastAsia" w:hAnsiTheme="minorEastAsia" w:eastAsiaTheme="minorEastAsia"/>
          <w:kern w:val="2"/>
          <w:szCs w:val="24"/>
          <w:vertAlign w:val="superscript"/>
          <w:lang w:eastAsia="zh-CN" w:bidi="ar-SA"/>
        </w:rPr>
        <w:t>4</w:t>
      </w:r>
      <w:r>
        <w:rPr>
          <w:rFonts w:hint="eastAsia" w:asciiTheme="minorEastAsia" w:hAnsiTheme="minorEastAsia" w:eastAsiaTheme="minorEastAsia"/>
          <w:kern w:val="2"/>
          <w:szCs w:val="24"/>
          <w:lang w:eastAsia="zh-CN" w:bidi="ar-SA"/>
        </w:rPr>
        <w:t>t。 油田</w:t>
      </w:r>
      <w:r>
        <w:rPr>
          <w:rFonts w:asciiTheme="minorEastAsia" w:hAnsiTheme="minorEastAsia" w:eastAsiaTheme="minorEastAsia"/>
          <w:kern w:val="2"/>
          <w:szCs w:val="24"/>
          <w:lang w:eastAsia="zh-CN" w:bidi="ar-SA"/>
        </w:rPr>
        <w:t>滚动开发按照</w:t>
      </w:r>
      <w:r>
        <w:rPr>
          <w:rFonts w:hint="eastAsia" w:asciiTheme="minorEastAsia" w:hAnsiTheme="minorEastAsia" w:eastAsiaTheme="minorEastAsia"/>
          <w:kern w:val="2"/>
          <w:szCs w:val="24"/>
          <w:lang w:eastAsia="zh-CN" w:bidi="ar-SA"/>
        </w:rPr>
        <w:t>10</w:t>
      </w:r>
      <w:r>
        <w:rPr>
          <w:rFonts w:asciiTheme="minorEastAsia" w:hAnsiTheme="minorEastAsia" w:eastAsiaTheme="minorEastAsia"/>
          <w:kern w:val="2"/>
          <w:szCs w:val="24"/>
          <w:lang w:eastAsia="zh-CN" w:bidi="ar-SA"/>
        </w:rPr>
        <w:t>年预测，设计</w:t>
      </w:r>
      <w:r>
        <w:rPr>
          <w:rFonts w:hint="eastAsia" w:asciiTheme="minorEastAsia" w:hAnsiTheme="minorEastAsia" w:eastAsiaTheme="minorEastAsia"/>
          <w:kern w:val="2"/>
          <w:szCs w:val="24"/>
          <w:lang w:eastAsia="zh-CN" w:bidi="ar-SA"/>
        </w:rPr>
        <w:t>最大</w:t>
      </w:r>
      <w:r>
        <w:rPr>
          <w:rFonts w:asciiTheme="minorEastAsia" w:hAnsiTheme="minorEastAsia" w:eastAsiaTheme="minorEastAsia"/>
          <w:kern w:val="2"/>
          <w:szCs w:val="24"/>
          <w:lang w:eastAsia="zh-CN" w:bidi="ar-SA"/>
        </w:rPr>
        <w:t>年产油量为</w:t>
      </w:r>
      <w:r>
        <w:rPr>
          <w:rFonts w:hint="eastAsia" w:asciiTheme="minorEastAsia" w:hAnsiTheme="minorEastAsia" w:eastAsiaTheme="minorEastAsia"/>
          <w:kern w:val="2"/>
          <w:szCs w:val="24"/>
          <w:lang w:eastAsia="zh-CN" w:bidi="ar-SA"/>
        </w:rPr>
        <w:t>8</w:t>
      </w:r>
      <w:r>
        <w:rPr>
          <w:rFonts w:asciiTheme="minorEastAsia" w:hAnsiTheme="minorEastAsia" w:eastAsiaTheme="minorEastAsia"/>
          <w:kern w:val="2"/>
          <w:szCs w:val="24"/>
          <w:lang w:eastAsia="zh-CN" w:bidi="ar-SA"/>
        </w:rPr>
        <w:t>×10</w:t>
      </w:r>
      <w:r>
        <w:rPr>
          <w:rFonts w:asciiTheme="minorEastAsia" w:hAnsiTheme="minorEastAsia" w:eastAsiaTheme="minorEastAsia"/>
          <w:kern w:val="2"/>
          <w:szCs w:val="24"/>
          <w:vertAlign w:val="superscript"/>
          <w:lang w:eastAsia="zh-CN" w:bidi="ar-SA"/>
        </w:rPr>
        <w:t>4</w:t>
      </w:r>
      <w:r>
        <w:rPr>
          <w:rFonts w:asciiTheme="minorEastAsia" w:hAnsiTheme="minorEastAsia" w:eastAsiaTheme="minorEastAsia"/>
          <w:kern w:val="2"/>
          <w:szCs w:val="24"/>
          <w:lang w:eastAsia="zh-CN" w:bidi="ar-SA"/>
        </w:rPr>
        <w:t>t。</w:t>
      </w:r>
      <w:r>
        <w:rPr>
          <w:rFonts w:hint="eastAsia" w:asciiTheme="minorEastAsia" w:hAnsiTheme="minorEastAsia" w:eastAsiaTheme="minorEastAsia"/>
          <w:kern w:val="2"/>
          <w:szCs w:val="24"/>
          <w:lang w:eastAsia="zh-CN" w:bidi="ar-SA"/>
        </w:rPr>
        <w:t>乌里雅斯太凹陷</w:t>
      </w:r>
      <w:r>
        <w:rPr>
          <w:rFonts w:asciiTheme="minorEastAsia" w:hAnsiTheme="minorEastAsia" w:eastAsiaTheme="minorEastAsia"/>
          <w:kern w:val="2"/>
          <w:szCs w:val="24"/>
          <w:lang w:eastAsia="zh-CN" w:bidi="ar-SA"/>
        </w:rPr>
        <w:t>自下而上发育腾一段和腾二段两套重要的区域性盖层，其中以腾一段最为重要，已探明石油地质储量主要集中于腾一段之下的阿尔善组。</w:t>
      </w:r>
    </w:p>
    <w:bookmarkEnd w:id="126"/>
    <w:p w14:paraId="60D26006">
      <w:pPr>
        <w:pStyle w:val="4"/>
        <w:rPr>
          <w:snapToGrid w:val="0"/>
          <w:lang w:eastAsia="zh-CN"/>
        </w:rPr>
      </w:pPr>
      <w:bookmarkStart w:id="130" w:name="_Toc408413915"/>
      <w:bookmarkStart w:id="131" w:name="_Toc248649414"/>
      <w:r>
        <w:rPr>
          <w:snapToGrid w:val="0"/>
          <w:lang w:eastAsia="zh-CN"/>
        </w:rPr>
        <w:t>2.</w:t>
      </w:r>
      <w:r>
        <w:rPr>
          <w:rFonts w:hint="eastAsia"/>
          <w:snapToGrid w:val="0"/>
          <w:lang w:eastAsia="zh-CN"/>
        </w:rPr>
        <w:t>3</w:t>
      </w:r>
      <w:r>
        <w:rPr>
          <w:snapToGrid w:val="0"/>
          <w:lang w:eastAsia="zh-CN"/>
        </w:rPr>
        <w:t>.</w:t>
      </w:r>
      <w:r>
        <w:rPr>
          <w:rFonts w:hint="eastAsia"/>
          <w:snapToGrid w:val="0"/>
          <w:lang w:eastAsia="zh-CN"/>
        </w:rPr>
        <w:t>8</w:t>
      </w:r>
      <w:r>
        <w:rPr>
          <w:snapToGrid w:val="0"/>
          <w:lang w:eastAsia="zh-CN"/>
        </w:rPr>
        <w:t>产能规划部署</w:t>
      </w:r>
      <w:bookmarkEnd w:id="130"/>
    </w:p>
    <w:p w14:paraId="39C99DD8">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乌里雅斯太油田地面产能开发建设项目开发太53、太27断块，现有油水井48口，其中油井48口，注水井21口；新部署油水井93口，其中油井74 口，注水井19 口；油田滚动式开发，根据各井的产量随时调节开井数量。预测到2022年共部署油水井147口，其中油井104口，注水井43口，累计产液量达到97.39×10</w:t>
      </w:r>
      <w:r>
        <w:rPr>
          <w:rFonts w:hint="eastAsia" w:asciiTheme="minorEastAsia" w:hAnsiTheme="minorEastAsia" w:eastAsiaTheme="minorEastAsia"/>
          <w:kern w:val="2"/>
          <w:szCs w:val="24"/>
          <w:vertAlign w:val="superscript"/>
          <w:lang w:eastAsia="zh-CN" w:bidi="ar-SA"/>
        </w:rPr>
        <w:t>4</w:t>
      </w:r>
      <w:r>
        <w:rPr>
          <w:rFonts w:hint="eastAsia" w:asciiTheme="minorEastAsia" w:hAnsiTheme="minorEastAsia" w:eastAsiaTheme="minorEastAsia"/>
          <w:kern w:val="2"/>
          <w:szCs w:val="24"/>
          <w:lang w:eastAsia="zh-CN" w:bidi="ar-SA"/>
        </w:rPr>
        <w:t>t，累计产油量达到46.27×10</w:t>
      </w:r>
      <w:r>
        <w:rPr>
          <w:rFonts w:hint="eastAsia" w:asciiTheme="minorEastAsia" w:hAnsiTheme="minorEastAsia" w:eastAsiaTheme="minorEastAsia"/>
          <w:kern w:val="2"/>
          <w:szCs w:val="24"/>
          <w:vertAlign w:val="superscript"/>
          <w:lang w:eastAsia="zh-CN" w:bidi="ar-SA"/>
        </w:rPr>
        <w:t>4</w:t>
      </w:r>
      <w:r>
        <w:rPr>
          <w:rFonts w:hint="eastAsia" w:asciiTheme="minorEastAsia" w:hAnsiTheme="minorEastAsia" w:eastAsiaTheme="minorEastAsia"/>
          <w:kern w:val="2"/>
          <w:szCs w:val="24"/>
          <w:lang w:eastAsia="zh-CN" w:bidi="ar-SA"/>
        </w:rPr>
        <w:t>t。</w:t>
      </w:r>
    </w:p>
    <w:p w14:paraId="4E50FBA6">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乌里雅斯太油田至2022年油水井部署见表2.3-2，油田产量预测见表2.3-3 ，</w:t>
      </w:r>
      <w:r>
        <w:rPr>
          <w:rFonts w:asciiTheme="minorEastAsia" w:hAnsiTheme="minorEastAsia" w:eastAsiaTheme="minorEastAsia"/>
          <w:kern w:val="2"/>
          <w:szCs w:val="24"/>
          <w:lang w:eastAsia="zh-CN" w:bidi="ar-SA"/>
        </w:rPr>
        <w:t>油田产量、注水、</w:t>
      </w:r>
      <w:r>
        <w:rPr>
          <w:rFonts w:hint="eastAsia" w:asciiTheme="minorEastAsia" w:hAnsiTheme="minorEastAsia" w:eastAsiaTheme="minorEastAsia"/>
          <w:kern w:val="2"/>
          <w:szCs w:val="24"/>
          <w:lang w:eastAsia="zh-CN" w:bidi="ar-SA"/>
        </w:rPr>
        <w:t>补</w:t>
      </w:r>
      <w:r>
        <w:rPr>
          <w:rFonts w:asciiTheme="minorEastAsia" w:hAnsiTheme="minorEastAsia" w:eastAsiaTheme="minorEastAsia"/>
          <w:kern w:val="2"/>
          <w:szCs w:val="24"/>
          <w:lang w:eastAsia="zh-CN" w:bidi="ar-SA"/>
        </w:rPr>
        <w:t>水量统计见表2.</w:t>
      </w:r>
      <w:r>
        <w:rPr>
          <w:rFonts w:hint="eastAsia" w:asciiTheme="minorEastAsia" w:hAnsiTheme="minorEastAsia" w:eastAsiaTheme="minorEastAsia"/>
          <w:kern w:val="2"/>
          <w:szCs w:val="24"/>
          <w:lang w:eastAsia="zh-CN" w:bidi="ar-SA"/>
        </w:rPr>
        <w:t>3-4。</w:t>
      </w:r>
    </w:p>
    <w:p w14:paraId="4BE6893D">
      <w:pPr>
        <w:spacing w:line="240" w:lineRule="auto"/>
        <w:ind w:firstLine="472" w:firstLineChars="196"/>
        <w:rPr>
          <w:b/>
          <w:lang w:eastAsia="zh-CN"/>
        </w:rPr>
      </w:pPr>
      <w:r>
        <w:rPr>
          <w:b/>
          <w:lang w:eastAsia="zh-CN"/>
        </w:rPr>
        <w:t>表2.</w:t>
      </w:r>
      <w:r>
        <w:rPr>
          <w:rFonts w:hint="eastAsia"/>
          <w:b/>
          <w:lang w:eastAsia="zh-CN"/>
        </w:rPr>
        <w:t>3</w:t>
      </w:r>
      <w:r>
        <w:rPr>
          <w:b/>
          <w:lang w:eastAsia="zh-CN"/>
        </w:rPr>
        <w:t>-</w:t>
      </w:r>
      <w:r>
        <w:rPr>
          <w:rFonts w:hint="eastAsia"/>
          <w:b/>
          <w:lang w:eastAsia="zh-CN"/>
        </w:rPr>
        <w:t>2</w:t>
      </w:r>
      <w:r>
        <w:rPr>
          <w:b/>
          <w:lang w:eastAsia="zh-CN"/>
        </w:rPr>
        <w:t xml:space="preserve"> </w:t>
      </w:r>
      <w:r>
        <w:rPr>
          <w:rFonts w:hint="eastAsia"/>
          <w:b/>
          <w:lang w:eastAsia="zh-CN"/>
        </w:rPr>
        <w:t xml:space="preserve">     乌里雅斯太油田至2022年</w:t>
      </w:r>
      <w:r>
        <w:rPr>
          <w:b/>
          <w:lang w:eastAsia="zh-CN"/>
        </w:rPr>
        <w:t>油水井部署</w:t>
      </w:r>
      <w:r>
        <w:rPr>
          <w:rFonts w:hint="eastAsia"/>
          <w:b/>
          <w:lang w:eastAsia="zh-CN"/>
        </w:rPr>
        <w:t>表</w:t>
      </w:r>
    </w:p>
    <w:tbl>
      <w:tblPr>
        <w:tblStyle w:val="76"/>
        <w:tblW w:w="8675" w:type="dxa"/>
        <w:tblInd w:w="0" w:type="dxa"/>
        <w:tblLayout w:type="fixed"/>
        <w:tblCellMar>
          <w:top w:w="15" w:type="dxa"/>
          <w:left w:w="15" w:type="dxa"/>
          <w:bottom w:w="15" w:type="dxa"/>
          <w:right w:w="15" w:type="dxa"/>
        </w:tblCellMar>
      </w:tblPr>
      <w:tblGrid>
        <w:gridCol w:w="1748"/>
        <w:gridCol w:w="2886"/>
        <w:gridCol w:w="2021"/>
        <w:gridCol w:w="2020"/>
      </w:tblGrid>
      <w:tr w14:paraId="378E65A4">
        <w:tblPrEx>
          <w:tblCellMar>
            <w:top w:w="15" w:type="dxa"/>
            <w:left w:w="15" w:type="dxa"/>
            <w:bottom w:w="15" w:type="dxa"/>
            <w:right w:w="15" w:type="dxa"/>
          </w:tblCellMar>
        </w:tblPrEx>
        <w:trPr>
          <w:trHeight w:val="362" w:hRule="atLeast"/>
        </w:trPr>
        <w:tc>
          <w:tcPr>
            <w:tcW w:w="1748" w:type="dxa"/>
            <w:tcBorders>
              <w:top w:val="single" w:color="auto" w:sz="12" w:space="0"/>
              <w:left w:val="single" w:color="auto" w:sz="12" w:space="0"/>
              <w:right w:val="single" w:color="000000" w:sz="4" w:space="0"/>
            </w:tcBorders>
            <w:vAlign w:val="center"/>
          </w:tcPr>
          <w:p w14:paraId="388AA2C4">
            <w:pPr>
              <w:widowControl/>
              <w:spacing w:line="240"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lang w:eastAsia="zh-CN"/>
              </w:rPr>
              <w:t>年份</w:t>
            </w:r>
          </w:p>
        </w:tc>
        <w:tc>
          <w:tcPr>
            <w:tcW w:w="2886" w:type="dxa"/>
            <w:tcBorders>
              <w:top w:val="single" w:color="auto" w:sz="12" w:space="0"/>
              <w:left w:val="single" w:color="000000" w:sz="4" w:space="0"/>
              <w:bottom w:val="single" w:color="000000" w:sz="4" w:space="0"/>
              <w:right w:val="single" w:color="000000" w:sz="4" w:space="0"/>
            </w:tcBorders>
            <w:vAlign w:val="center"/>
          </w:tcPr>
          <w:p w14:paraId="447B441A">
            <w:pPr>
              <w:widowControl/>
              <w:spacing w:line="240"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油井数（口）</w:t>
            </w:r>
          </w:p>
        </w:tc>
        <w:tc>
          <w:tcPr>
            <w:tcW w:w="2021" w:type="dxa"/>
            <w:tcBorders>
              <w:top w:val="single" w:color="auto" w:sz="12" w:space="0"/>
              <w:left w:val="single" w:color="000000" w:sz="4" w:space="0"/>
              <w:bottom w:val="single" w:color="000000" w:sz="4" w:space="0"/>
              <w:right w:val="single" w:color="000000" w:sz="4" w:space="0"/>
            </w:tcBorders>
            <w:vAlign w:val="center"/>
          </w:tcPr>
          <w:p w14:paraId="5E03BBCC">
            <w:pPr>
              <w:widowControl/>
              <w:spacing w:line="240"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水井数（口）</w:t>
            </w:r>
          </w:p>
        </w:tc>
        <w:tc>
          <w:tcPr>
            <w:tcW w:w="2020" w:type="dxa"/>
            <w:tcBorders>
              <w:top w:val="single" w:color="auto" w:sz="12" w:space="0"/>
              <w:left w:val="single" w:color="000000" w:sz="4" w:space="0"/>
              <w:bottom w:val="single" w:color="000000" w:sz="4" w:space="0"/>
              <w:right w:val="single" w:color="auto" w:sz="12" w:space="0"/>
            </w:tcBorders>
            <w:vAlign w:val="center"/>
          </w:tcPr>
          <w:p w14:paraId="4E153E53">
            <w:pPr>
              <w:widowControl/>
              <w:spacing w:line="240"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总井数（口）</w:t>
            </w:r>
          </w:p>
        </w:tc>
      </w:tr>
      <w:tr w14:paraId="68522D47">
        <w:tblPrEx>
          <w:tblCellMar>
            <w:top w:w="15" w:type="dxa"/>
            <w:left w:w="15" w:type="dxa"/>
            <w:bottom w:w="15" w:type="dxa"/>
            <w:right w:w="15" w:type="dxa"/>
          </w:tblCellMar>
        </w:tblPrEx>
        <w:trPr>
          <w:trHeight w:val="215" w:hRule="atLeast"/>
        </w:trPr>
        <w:tc>
          <w:tcPr>
            <w:tcW w:w="1748" w:type="dxa"/>
            <w:tcBorders>
              <w:top w:val="single" w:color="000000" w:sz="4" w:space="0"/>
              <w:left w:val="single" w:color="auto" w:sz="12" w:space="0"/>
              <w:right w:val="single" w:color="000000" w:sz="4" w:space="0"/>
            </w:tcBorders>
            <w:vAlign w:val="center"/>
          </w:tcPr>
          <w:p w14:paraId="5CB95E92">
            <w:pPr>
              <w:widowControl/>
              <w:spacing w:line="240"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2013年</w:t>
            </w:r>
          </w:p>
        </w:tc>
        <w:tc>
          <w:tcPr>
            <w:tcW w:w="2886" w:type="dxa"/>
            <w:tcBorders>
              <w:top w:val="single" w:color="000000" w:sz="4" w:space="0"/>
              <w:left w:val="single" w:color="000000" w:sz="4" w:space="0"/>
              <w:bottom w:val="single" w:color="000000" w:sz="4" w:space="0"/>
              <w:right w:val="single" w:color="000000" w:sz="4" w:space="0"/>
            </w:tcBorders>
            <w:vAlign w:val="center"/>
          </w:tcPr>
          <w:p w14:paraId="1D4BB825">
            <w:pPr>
              <w:widowControl/>
              <w:spacing w:line="240"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4</w:t>
            </w:r>
            <w:r>
              <w:rPr>
                <w:rFonts w:hint="eastAsia" w:cs="Tahoma" w:asciiTheme="minorEastAsia" w:hAnsiTheme="minorEastAsia" w:eastAsiaTheme="minorEastAsia"/>
                <w:sz w:val="21"/>
                <w:szCs w:val="21"/>
                <w:lang w:eastAsia="zh-CN"/>
              </w:rPr>
              <w:t>8</w:t>
            </w:r>
          </w:p>
        </w:tc>
        <w:tc>
          <w:tcPr>
            <w:tcW w:w="2021" w:type="dxa"/>
            <w:tcBorders>
              <w:top w:val="single" w:color="000000" w:sz="4" w:space="0"/>
              <w:left w:val="single" w:color="000000" w:sz="4" w:space="0"/>
              <w:bottom w:val="single" w:color="000000" w:sz="4" w:space="0"/>
              <w:right w:val="single" w:color="000000" w:sz="4" w:space="0"/>
            </w:tcBorders>
            <w:vAlign w:val="center"/>
          </w:tcPr>
          <w:p w14:paraId="4EA85249">
            <w:pPr>
              <w:widowControl/>
              <w:spacing w:line="240"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21</w:t>
            </w:r>
          </w:p>
        </w:tc>
        <w:tc>
          <w:tcPr>
            <w:tcW w:w="2020" w:type="dxa"/>
            <w:tcBorders>
              <w:top w:val="single" w:color="000000" w:sz="4" w:space="0"/>
              <w:left w:val="single" w:color="000000" w:sz="4" w:space="0"/>
              <w:bottom w:val="single" w:color="000000" w:sz="4" w:space="0"/>
              <w:right w:val="single" w:color="auto" w:sz="12" w:space="0"/>
            </w:tcBorders>
            <w:vAlign w:val="center"/>
          </w:tcPr>
          <w:p w14:paraId="54130FE5">
            <w:pPr>
              <w:widowControl/>
              <w:spacing w:line="240"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6</w:t>
            </w:r>
            <w:r>
              <w:rPr>
                <w:rFonts w:hint="eastAsia" w:cs="Tahoma" w:asciiTheme="minorEastAsia" w:hAnsiTheme="minorEastAsia" w:eastAsiaTheme="minorEastAsia"/>
                <w:sz w:val="21"/>
                <w:szCs w:val="21"/>
                <w:lang w:eastAsia="zh-CN"/>
              </w:rPr>
              <w:t>9</w:t>
            </w:r>
          </w:p>
        </w:tc>
      </w:tr>
      <w:tr w14:paraId="0A51E497">
        <w:tblPrEx>
          <w:tblCellMar>
            <w:top w:w="15" w:type="dxa"/>
            <w:left w:w="15" w:type="dxa"/>
            <w:bottom w:w="15" w:type="dxa"/>
            <w:right w:w="15" w:type="dxa"/>
          </w:tblCellMar>
        </w:tblPrEx>
        <w:trPr>
          <w:trHeight w:val="243" w:hRule="atLeast"/>
        </w:trPr>
        <w:tc>
          <w:tcPr>
            <w:tcW w:w="1748" w:type="dxa"/>
            <w:tcBorders>
              <w:top w:val="single" w:color="000000" w:sz="4" w:space="0"/>
              <w:left w:val="single" w:color="auto" w:sz="12" w:space="0"/>
              <w:bottom w:val="single" w:color="000000" w:sz="4" w:space="0"/>
              <w:right w:val="single" w:color="000000" w:sz="4" w:space="0"/>
            </w:tcBorders>
            <w:vAlign w:val="center"/>
          </w:tcPr>
          <w:p w14:paraId="5CE79DCE">
            <w:pPr>
              <w:widowControl/>
              <w:spacing w:line="240"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2014年</w:t>
            </w:r>
          </w:p>
        </w:tc>
        <w:tc>
          <w:tcPr>
            <w:tcW w:w="2886" w:type="dxa"/>
            <w:tcBorders>
              <w:top w:val="single" w:color="000000" w:sz="4" w:space="0"/>
              <w:left w:val="single" w:color="000000" w:sz="4" w:space="0"/>
              <w:bottom w:val="single" w:color="000000" w:sz="4" w:space="0"/>
              <w:right w:val="single" w:color="000000" w:sz="4" w:space="0"/>
            </w:tcBorders>
            <w:vAlign w:val="center"/>
          </w:tcPr>
          <w:p w14:paraId="2B4082D8">
            <w:pPr>
              <w:widowControl/>
              <w:spacing w:line="240" w:lineRule="auto"/>
              <w:ind w:firstLine="0" w:firstLineChars="0"/>
              <w:jc w:val="center"/>
              <w:rPr>
                <w:rFonts w:cs="Tahoma" w:asciiTheme="minorEastAsia" w:hAnsiTheme="minorEastAsia" w:eastAsiaTheme="minorEastAsia"/>
                <w:sz w:val="21"/>
                <w:szCs w:val="21"/>
              </w:rPr>
            </w:pPr>
            <w:r>
              <w:rPr>
                <w:rFonts w:cs="Tahoma" w:asciiTheme="minorEastAsia" w:hAnsiTheme="minorEastAsia" w:eastAsiaTheme="minorEastAsia"/>
                <w:sz w:val="21"/>
                <w:szCs w:val="21"/>
              </w:rPr>
              <w:t xml:space="preserve">63 </w:t>
            </w:r>
          </w:p>
        </w:tc>
        <w:tc>
          <w:tcPr>
            <w:tcW w:w="2021" w:type="dxa"/>
            <w:tcBorders>
              <w:top w:val="single" w:color="000000" w:sz="4" w:space="0"/>
              <w:left w:val="single" w:color="000000" w:sz="4" w:space="0"/>
              <w:bottom w:val="single" w:color="000000" w:sz="4" w:space="0"/>
              <w:right w:val="single" w:color="000000" w:sz="4" w:space="0"/>
            </w:tcBorders>
            <w:vAlign w:val="center"/>
          </w:tcPr>
          <w:p w14:paraId="464B51F9">
            <w:pPr>
              <w:widowControl/>
              <w:spacing w:line="240" w:lineRule="auto"/>
              <w:ind w:firstLine="0" w:firstLineChars="0"/>
              <w:jc w:val="center"/>
              <w:rPr>
                <w:rFonts w:cs="Tahoma" w:asciiTheme="minorEastAsia" w:hAnsiTheme="minorEastAsia" w:eastAsiaTheme="minorEastAsia"/>
                <w:sz w:val="21"/>
                <w:szCs w:val="21"/>
              </w:rPr>
            </w:pPr>
            <w:r>
              <w:rPr>
                <w:rFonts w:cs="Tahoma" w:asciiTheme="minorEastAsia" w:hAnsiTheme="minorEastAsia" w:eastAsiaTheme="minorEastAsia"/>
                <w:sz w:val="21"/>
                <w:szCs w:val="21"/>
              </w:rPr>
              <w:t>29</w:t>
            </w:r>
          </w:p>
        </w:tc>
        <w:tc>
          <w:tcPr>
            <w:tcW w:w="2020" w:type="dxa"/>
            <w:tcBorders>
              <w:top w:val="single" w:color="000000" w:sz="4" w:space="0"/>
              <w:left w:val="single" w:color="000000" w:sz="4" w:space="0"/>
              <w:bottom w:val="single" w:color="000000" w:sz="4" w:space="0"/>
              <w:right w:val="single" w:color="auto" w:sz="12" w:space="0"/>
            </w:tcBorders>
            <w:vAlign w:val="center"/>
          </w:tcPr>
          <w:p w14:paraId="3A5994B0">
            <w:pPr>
              <w:widowControl/>
              <w:spacing w:line="240" w:lineRule="auto"/>
              <w:ind w:firstLine="0" w:firstLineChars="0"/>
              <w:jc w:val="center"/>
              <w:rPr>
                <w:rFonts w:cs="Tahoma" w:asciiTheme="minorEastAsia" w:hAnsiTheme="minorEastAsia" w:eastAsiaTheme="minorEastAsia"/>
                <w:sz w:val="21"/>
                <w:szCs w:val="21"/>
              </w:rPr>
            </w:pPr>
            <w:r>
              <w:rPr>
                <w:rFonts w:cs="Tahoma" w:asciiTheme="minorEastAsia" w:hAnsiTheme="minorEastAsia" w:eastAsiaTheme="minorEastAsia"/>
                <w:sz w:val="21"/>
                <w:szCs w:val="21"/>
              </w:rPr>
              <w:t xml:space="preserve">92 </w:t>
            </w:r>
          </w:p>
        </w:tc>
      </w:tr>
      <w:tr w14:paraId="60B631E5">
        <w:tblPrEx>
          <w:tblCellMar>
            <w:top w:w="15" w:type="dxa"/>
            <w:left w:w="15" w:type="dxa"/>
            <w:bottom w:w="15" w:type="dxa"/>
            <w:right w:w="15" w:type="dxa"/>
          </w:tblCellMar>
        </w:tblPrEx>
        <w:trPr>
          <w:trHeight w:val="243" w:hRule="atLeast"/>
        </w:trPr>
        <w:tc>
          <w:tcPr>
            <w:tcW w:w="1748" w:type="dxa"/>
            <w:tcBorders>
              <w:top w:val="single" w:color="000000" w:sz="4" w:space="0"/>
              <w:left w:val="single" w:color="auto" w:sz="12" w:space="0"/>
              <w:bottom w:val="single" w:color="000000" w:sz="4" w:space="0"/>
              <w:right w:val="single" w:color="000000" w:sz="4" w:space="0"/>
            </w:tcBorders>
            <w:vAlign w:val="center"/>
          </w:tcPr>
          <w:p w14:paraId="1E167A5E">
            <w:pPr>
              <w:widowControl/>
              <w:spacing w:line="240"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2015年</w:t>
            </w:r>
          </w:p>
        </w:tc>
        <w:tc>
          <w:tcPr>
            <w:tcW w:w="2886" w:type="dxa"/>
            <w:tcBorders>
              <w:top w:val="single" w:color="000000" w:sz="4" w:space="0"/>
              <w:bottom w:val="single" w:color="000000" w:sz="4" w:space="0"/>
              <w:right w:val="single" w:color="000000" w:sz="4" w:space="0"/>
            </w:tcBorders>
            <w:vAlign w:val="center"/>
          </w:tcPr>
          <w:p w14:paraId="673A8440">
            <w:pPr>
              <w:widowControl/>
              <w:spacing w:line="240"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 xml:space="preserve">90 </w:t>
            </w:r>
          </w:p>
        </w:tc>
        <w:tc>
          <w:tcPr>
            <w:tcW w:w="2021" w:type="dxa"/>
            <w:tcBorders>
              <w:top w:val="single" w:color="000000" w:sz="4" w:space="0"/>
              <w:bottom w:val="single" w:color="000000" w:sz="4" w:space="0"/>
              <w:right w:val="single" w:color="000000" w:sz="4" w:space="0"/>
            </w:tcBorders>
            <w:vAlign w:val="center"/>
          </w:tcPr>
          <w:p w14:paraId="4F30FBC0">
            <w:pPr>
              <w:widowControl/>
              <w:spacing w:line="240"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 xml:space="preserve">40 </w:t>
            </w:r>
          </w:p>
        </w:tc>
        <w:tc>
          <w:tcPr>
            <w:tcW w:w="2020" w:type="dxa"/>
            <w:tcBorders>
              <w:top w:val="single" w:color="000000" w:sz="4" w:space="0"/>
              <w:bottom w:val="single" w:color="000000" w:sz="4" w:space="0"/>
              <w:right w:val="single" w:color="auto" w:sz="12" w:space="0"/>
            </w:tcBorders>
            <w:vAlign w:val="center"/>
          </w:tcPr>
          <w:p w14:paraId="06E56E7F">
            <w:pPr>
              <w:widowControl/>
              <w:spacing w:line="240"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 xml:space="preserve">130 </w:t>
            </w:r>
          </w:p>
        </w:tc>
      </w:tr>
      <w:tr w14:paraId="6F3104C1">
        <w:tblPrEx>
          <w:tblCellMar>
            <w:top w:w="15" w:type="dxa"/>
            <w:left w:w="15" w:type="dxa"/>
            <w:bottom w:w="15" w:type="dxa"/>
            <w:right w:w="15" w:type="dxa"/>
          </w:tblCellMar>
        </w:tblPrEx>
        <w:trPr>
          <w:trHeight w:val="243" w:hRule="atLeast"/>
        </w:trPr>
        <w:tc>
          <w:tcPr>
            <w:tcW w:w="1748" w:type="dxa"/>
            <w:tcBorders>
              <w:top w:val="single" w:color="000000" w:sz="4" w:space="0"/>
              <w:left w:val="single" w:color="auto" w:sz="12" w:space="0"/>
              <w:bottom w:val="single" w:color="000000" w:sz="4" w:space="0"/>
              <w:right w:val="single" w:color="000000" w:sz="4" w:space="0"/>
            </w:tcBorders>
            <w:vAlign w:val="center"/>
          </w:tcPr>
          <w:p w14:paraId="10F635F2">
            <w:pPr>
              <w:widowControl/>
              <w:spacing w:line="240"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2016年</w:t>
            </w:r>
          </w:p>
        </w:tc>
        <w:tc>
          <w:tcPr>
            <w:tcW w:w="2886" w:type="dxa"/>
            <w:tcBorders>
              <w:top w:val="single" w:color="000000" w:sz="4" w:space="0"/>
              <w:bottom w:val="single" w:color="000000" w:sz="4" w:space="0"/>
              <w:right w:val="single" w:color="000000" w:sz="4" w:space="0"/>
            </w:tcBorders>
            <w:vAlign w:val="center"/>
          </w:tcPr>
          <w:p w14:paraId="0B0907C2">
            <w:pPr>
              <w:widowControl/>
              <w:spacing w:line="240"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 xml:space="preserve">102 </w:t>
            </w:r>
          </w:p>
        </w:tc>
        <w:tc>
          <w:tcPr>
            <w:tcW w:w="2021" w:type="dxa"/>
            <w:tcBorders>
              <w:top w:val="single" w:color="000000" w:sz="4" w:space="0"/>
              <w:bottom w:val="single" w:color="000000" w:sz="4" w:space="0"/>
              <w:right w:val="single" w:color="000000" w:sz="4" w:space="0"/>
            </w:tcBorders>
            <w:vAlign w:val="center"/>
          </w:tcPr>
          <w:p w14:paraId="036FF534">
            <w:pPr>
              <w:widowControl/>
              <w:spacing w:line="240"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 xml:space="preserve">43 </w:t>
            </w:r>
          </w:p>
        </w:tc>
        <w:tc>
          <w:tcPr>
            <w:tcW w:w="2020" w:type="dxa"/>
            <w:tcBorders>
              <w:top w:val="single" w:color="000000" w:sz="4" w:space="0"/>
              <w:bottom w:val="single" w:color="000000" w:sz="4" w:space="0"/>
              <w:right w:val="single" w:color="auto" w:sz="12" w:space="0"/>
            </w:tcBorders>
            <w:vAlign w:val="center"/>
          </w:tcPr>
          <w:p w14:paraId="4CE1FF9E">
            <w:pPr>
              <w:widowControl/>
              <w:spacing w:line="240"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 xml:space="preserve">145 </w:t>
            </w:r>
          </w:p>
        </w:tc>
      </w:tr>
      <w:tr w14:paraId="04E60CE6">
        <w:tblPrEx>
          <w:tblCellMar>
            <w:top w:w="15" w:type="dxa"/>
            <w:left w:w="15" w:type="dxa"/>
            <w:bottom w:w="15" w:type="dxa"/>
            <w:right w:w="15" w:type="dxa"/>
          </w:tblCellMar>
        </w:tblPrEx>
        <w:trPr>
          <w:trHeight w:val="243" w:hRule="atLeast"/>
        </w:trPr>
        <w:tc>
          <w:tcPr>
            <w:tcW w:w="1748" w:type="dxa"/>
            <w:tcBorders>
              <w:top w:val="single" w:color="000000" w:sz="4" w:space="0"/>
              <w:left w:val="single" w:color="auto" w:sz="12" w:space="0"/>
              <w:bottom w:val="single" w:color="000000" w:sz="4" w:space="0"/>
              <w:right w:val="single" w:color="000000" w:sz="4" w:space="0"/>
            </w:tcBorders>
            <w:vAlign w:val="center"/>
          </w:tcPr>
          <w:p w14:paraId="7251876D">
            <w:pPr>
              <w:widowControl/>
              <w:spacing w:line="240"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2017年</w:t>
            </w:r>
          </w:p>
        </w:tc>
        <w:tc>
          <w:tcPr>
            <w:tcW w:w="2886" w:type="dxa"/>
            <w:tcBorders>
              <w:top w:val="single" w:color="000000" w:sz="4" w:space="0"/>
              <w:bottom w:val="single" w:color="000000" w:sz="4" w:space="0"/>
              <w:right w:val="single" w:color="000000" w:sz="4" w:space="0"/>
            </w:tcBorders>
            <w:vAlign w:val="center"/>
          </w:tcPr>
          <w:p w14:paraId="10BD6E4F">
            <w:pPr>
              <w:widowControl/>
              <w:spacing w:line="240"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 xml:space="preserve">104 </w:t>
            </w:r>
          </w:p>
        </w:tc>
        <w:tc>
          <w:tcPr>
            <w:tcW w:w="2021" w:type="dxa"/>
            <w:tcBorders>
              <w:top w:val="single" w:color="000000" w:sz="4" w:space="0"/>
              <w:bottom w:val="single" w:color="000000" w:sz="4" w:space="0"/>
              <w:right w:val="single" w:color="000000" w:sz="4" w:space="0"/>
            </w:tcBorders>
            <w:vAlign w:val="center"/>
          </w:tcPr>
          <w:p w14:paraId="04DDC9AF">
            <w:pPr>
              <w:widowControl/>
              <w:spacing w:line="240"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 xml:space="preserve">43 </w:t>
            </w:r>
          </w:p>
        </w:tc>
        <w:tc>
          <w:tcPr>
            <w:tcW w:w="2020" w:type="dxa"/>
            <w:tcBorders>
              <w:top w:val="single" w:color="000000" w:sz="4" w:space="0"/>
              <w:bottom w:val="single" w:color="000000" w:sz="4" w:space="0"/>
              <w:right w:val="single" w:color="auto" w:sz="12" w:space="0"/>
            </w:tcBorders>
            <w:vAlign w:val="center"/>
          </w:tcPr>
          <w:p w14:paraId="5F8D10F8">
            <w:pPr>
              <w:widowControl/>
              <w:spacing w:line="240"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 xml:space="preserve">147 </w:t>
            </w:r>
          </w:p>
        </w:tc>
      </w:tr>
      <w:tr w14:paraId="0FEB17D1">
        <w:tblPrEx>
          <w:tblCellMar>
            <w:top w:w="15" w:type="dxa"/>
            <w:left w:w="15" w:type="dxa"/>
            <w:bottom w:w="15" w:type="dxa"/>
            <w:right w:w="15" w:type="dxa"/>
          </w:tblCellMar>
        </w:tblPrEx>
        <w:trPr>
          <w:trHeight w:val="243" w:hRule="atLeast"/>
        </w:trPr>
        <w:tc>
          <w:tcPr>
            <w:tcW w:w="1748" w:type="dxa"/>
            <w:tcBorders>
              <w:top w:val="single" w:color="000000" w:sz="4" w:space="0"/>
              <w:left w:val="single" w:color="auto" w:sz="12" w:space="0"/>
              <w:bottom w:val="single" w:color="000000" w:sz="4" w:space="0"/>
              <w:right w:val="single" w:color="000000" w:sz="4" w:space="0"/>
            </w:tcBorders>
            <w:vAlign w:val="center"/>
          </w:tcPr>
          <w:p w14:paraId="498CD206">
            <w:pPr>
              <w:widowControl/>
              <w:spacing w:line="240"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2018年</w:t>
            </w:r>
          </w:p>
        </w:tc>
        <w:tc>
          <w:tcPr>
            <w:tcW w:w="2886" w:type="dxa"/>
            <w:tcBorders>
              <w:top w:val="single" w:color="000000" w:sz="4" w:space="0"/>
              <w:bottom w:val="single" w:color="000000" w:sz="4" w:space="0"/>
              <w:right w:val="single" w:color="000000" w:sz="4" w:space="0"/>
            </w:tcBorders>
            <w:vAlign w:val="center"/>
          </w:tcPr>
          <w:p w14:paraId="71C93D96">
            <w:pPr>
              <w:widowControl/>
              <w:spacing w:line="240"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 xml:space="preserve">104 </w:t>
            </w:r>
          </w:p>
        </w:tc>
        <w:tc>
          <w:tcPr>
            <w:tcW w:w="2021" w:type="dxa"/>
            <w:tcBorders>
              <w:top w:val="single" w:color="000000" w:sz="4" w:space="0"/>
              <w:bottom w:val="single" w:color="000000" w:sz="4" w:space="0"/>
              <w:right w:val="single" w:color="000000" w:sz="4" w:space="0"/>
            </w:tcBorders>
            <w:vAlign w:val="center"/>
          </w:tcPr>
          <w:p w14:paraId="74C3039B">
            <w:pPr>
              <w:widowControl/>
              <w:spacing w:line="240"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 xml:space="preserve">43 </w:t>
            </w:r>
          </w:p>
        </w:tc>
        <w:tc>
          <w:tcPr>
            <w:tcW w:w="2020" w:type="dxa"/>
            <w:tcBorders>
              <w:top w:val="single" w:color="000000" w:sz="4" w:space="0"/>
              <w:bottom w:val="single" w:color="000000" w:sz="4" w:space="0"/>
              <w:right w:val="single" w:color="auto" w:sz="12" w:space="0"/>
            </w:tcBorders>
            <w:vAlign w:val="center"/>
          </w:tcPr>
          <w:p w14:paraId="1FC7CF3E">
            <w:pPr>
              <w:widowControl/>
              <w:spacing w:line="240"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 xml:space="preserve">147 </w:t>
            </w:r>
          </w:p>
        </w:tc>
      </w:tr>
      <w:tr w14:paraId="169486C4">
        <w:tblPrEx>
          <w:tblCellMar>
            <w:top w:w="15" w:type="dxa"/>
            <w:left w:w="15" w:type="dxa"/>
            <w:bottom w:w="15" w:type="dxa"/>
            <w:right w:w="15" w:type="dxa"/>
          </w:tblCellMar>
        </w:tblPrEx>
        <w:trPr>
          <w:trHeight w:val="243" w:hRule="atLeast"/>
        </w:trPr>
        <w:tc>
          <w:tcPr>
            <w:tcW w:w="1748" w:type="dxa"/>
            <w:tcBorders>
              <w:top w:val="single" w:color="000000" w:sz="4" w:space="0"/>
              <w:left w:val="single" w:color="auto" w:sz="12" w:space="0"/>
              <w:bottom w:val="single" w:color="000000" w:sz="4" w:space="0"/>
              <w:right w:val="single" w:color="000000" w:sz="4" w:space="0"/>
            </w:tcBorders>
            <w:vAlign w:val="center"/>
          </w:tcPr>
          <w:p w14:paraId="47CD1254">
            <w:pPr>
              <w:widowControl/>
              <w:spacing w:line="240"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2019年</w:t>
            </w:r>
          </w:p>
        </w:tc>
        <w:tc>
          <w:tcPr>
            <w:tcW w:w="2886" w:type="dxa"/>
            <w:tcBorders>
              <w:top w:val="single" w:color="000000" w:sz="4" w:space="0"/>
              <w:bottom w:val="single" w:color="000000" w:sz="4" w:space="0"/>
              <w:right w:val="single" w:color="000000" w:sz="4" w:space="0"/>
            </w:tcBorders>
            <w:vAlign w:val="center"/>
          </w:tcPr>
          <w:p w14:paraId="6A451686">
            <w:pPr>
              <w:widowControl/>
              <w:spacing w:line="240"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 xml:space="preserve">104 </w:t>
            </w:r>
          </w:p>
        </w:tc>
        <w:tc>
          <w:tcPr>
            <w:tcW w:w="2021" w:type="dxa"/>
            <w:tcBorders>
              <w:top w:val="single" w:color="000000" w:sz="4" w:space="0"/>
              <w:bottom w:val="single" w:color="000000" w:sz="4" w:space="0"/>
              <w:right w:val="single" w:color="000000" w:sz="4" w:space="0"/>
            </w:tcBorders>
            <w:vAlign w:val="center"/>
          </w:tcPr>
          <w:p w14:paraId="3529667C">
            <w:pPr>
              <w:widowControl/>
              <w:spacing w:line="240"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 xml:space="preserve">43 </w:t>
            </w:r>
          </w:p>
        </w:tc>
        <w:tc>
          <w:tcPr>
            <w:tcW w:w="2020" w:type="dxa"/>
            <w:tcBorders>
              <w:top w:val="single" w:color="000000" w:sz="4" w:space="0"/>
              <w:bottom w:val="single" w:color="000000" w:sz="4" w:space="0"/>
              <w:right w:val="single" w:color="auto" w:sz="12" w:space="0"/>
            </w:tcBorders>
            <w:vAlign w:val="center"/>
          </w:tcPr>
          <w:p w14:paraId="11660F59">
            <w:pPr>
              <w:widowControl/>
              <w:spacing w:line="240"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 xml:space="preserve">147 </w:t>
            </w:r>
          </w:p>
        </w:tc>
      </w:tr>
      <w:tr w14:paraId="322A78DA">
        <w:tblPrEx>
          <w:tblCellMar>
            <w:top w:w="15" w:type="dxa"/>
            <w:left w:w="15" w:type="dxa"/>
            <w:bottom w:w="15" w:type="dxa"/>
            <w:right w:w="15" w:type="dxa"/>
          </w:tblCellMar>
        </w:tblPrEx>
        <w:trPr>
          <w:trHeight w:val="243" w:hRule="atLeast"/>
        </w:trPr>
        <w:tc>
          <w:tcPr>
            <w:tcW w:w="1748" w:type="dxa"/>
            <w:tcBorders>
              <w:top w:val="single" w:color="000000" w:sz="4" w:space="0"/>
              <w:left w:val="single" w:color="auto" w:sz="12" w:space="0"/>
              <w:bottom w:val="single" w:color="000000" w:sz="4" w:space="0"/>
              <w:right w:val="single" w:color="000000" w:sz="4" w:space="0"/>
            </w:tcBorders>
            <w:vAlign w:val="center"/>
          </w:tcPr>
          <w:p w14:paraId="4DB1E0D9">
            <w:pPr>
              <w:widowControl/>
              <w:spacing w:line="240"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2020年</w:t>
            </w:r>
          </w:p>
        </w:tc>
        <w:tc>
          <w:tcPr>
            <w:tcW w:w="2886" w:type="dxa"/>
            <w:tcBorders>
              <w:top w:val="single" w:color="000000" w:sz="4" w:space="0"/>
              <w:bottom w:val="single" w:color="000000" w:sz="4" w:space="0"/>
              <w:right w:val="single" w:color="000000" w:sz="4" w:space="0"/>
            </w:tcBorders>
            <w:vAlign w:val="center"/>
          </w:tcPr>
          <w:p w14:paraId="3F466A40">
            <w:pPr>
              <w:widowControl/>
              <w:spacing w:line="240"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 xml:space="preserve">104 </w:t>
            </w:r>
          </w:p>
        </w:tc>
        <w:tc>
          <w:tcPr>
            <w:tcW w:w="2021" w:type="dxa"/>
            <w:tcBorders>
              <w:top w:val="single" w:color="000000" w:sz="4" w:space="0"/>
              <w:bottom w:val="single" w:color="000000" w:sz="4" w:space="0"/>
              <w:right w:val="single" w:color="000000" w:sz="4" w:space="0"/>
            </w:tcBorders>
            <w:vAlign w:val="center"/>
          </w:tcPr>
          <w:p w14:paraId="6D8FE90A">
            <w:pPr>
              <w:widowControl/>
              <w:spacing w:line="240"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 xml:space="preserve">43 </w:t>
            </w:r>
          </w:p>
        </w:tc>
        <w:tc>
          <w:tcPr>
            <w:tcW w:w="2020" w:type="dxa"/>
            <w:tcBorders>
              <w:top w:val="single" w:color="000000" w:sz="4" w:space="0"/>
              <w:bottom w:val="single" w:color="000000" w:sz="4" w:space="0"/>
              <w:right w:val="single" w:color="auto" w:sz="12" w:space="0"/>
            </w:tcBorders>
            <w:vAlign w:val="center"/>
          </w:tcPr>
          <w:p w14:paraId="3B802B7F">
            <w:pPr>
              <w:widowControl/>
              <w:spacing w:line="240"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 xml:space="preserve">147 </w:t>
            </w:r>
          </w:p>
        </w:tc>
      </w:tr>
      <w:tr w14:paraId="69AC8F1A">
        <w:tblPrEx>
          <w:tblCellMar>
            <w:top w:w="15" w:type="dxa"/>
            <w:left w:w="15" w:type="dxa"/>
            <w:bottom w:w="15" w:type="dxa"/>
            <w:right w:w="15" w:type="dxa"/>
          </w:tblCellMar>
        </w:tblPrEx>
        <w:trPr>
          <w:trHeight w:val="243" w:hRule="atLeast"/>
        </w:trPr>
        <w:tc>
          <w:tcPr>
            <w:tcW w:w="1748" w:type="dxa"/>
            <w:tcBorders>
              <w:top w:val="single" w:color="000000" w:sz="4" w:space="0"/>
              <w:left w:val="single" w:color="auto" w:sz="12" w:space="0"/>
              <w:bottom w:val="single" w:color="000000" w:sz="4" w:space="0"/>
              <w:right w:val="single" w:color="000000" w:sz="4" w:space="0"/>
            </w:tcBorders>
            <w:vAlign w:val="center"/>
          </w:tcPr>
          <w:p w14:paraId="6E92D3D8">
            <w:pPr>
              <w:widowControl/>
              <w:spacing w:line="240"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2021年</w:t>
            </w:r>
          </w:p>
        </w:tc>
        <w:tc>
          <w:tcPr>
            <w:tcW w:w="2886" w:type="dxa"/>
            <w:tcBorders>
              <w:top w:val="single" w:color="000000" w:sz="4" w:space="0"/>
              <w:bottom w:val="single" w:color="000000" w:sz="4" w:space="0"/>
              <w:right w:val="single" w:color="000000" w:sz="4" w:space="0"/>
            </w:tcBorders>
            <w:vAlign w:val="center"/>
          </w:tcPr>
          <w:p w14:paraId="3BE134D0">
            <w:pPr>
              <w:widowControl/>
              <w:spacing w:line="240"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 xml:space="preserve">104 </w:t>
            </w:r>
          </w:p>
        </w:tc>
        <w:tc>
          <w:tcPr>
            <w:tcW w:w="2021" w:type="dxa"/>
            <w:tcBorders>
              <w:top w:val="single" w:color="000000" w:sz="4" w:space="0"/>
              <w:bottom w:val="single" w:color="000000" w:sz="4" w:space="0"/>
              <w:right w:val="single" w:color="000000" w:sz="4" w:space="0"/>
            </w:tcBorders>
            <w:vAlign w:val="center"/>
          </w:tcPr>
          <w:p w14:paraId="79E97AAD">
            <w:pPr>
              <w:widowControl/>
              <w:spacing w:line="240"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 xml:space="preserve">43 </w:t>
            </w:r>
          </w:p>
        </w:tc>
        <w:tc>
          <w:tcPr>
            <w:tcW w:w="2020" w:type="dxa"/>
            <w:tcBorders>
              <w:top w:val="single" w:color="000000" w:sz="4" w:space="0"/>
              <w:bottom w:val="single" w:color="000000" w:sz="4" w:space="0"/>
              <w:right w:val="single" w:color="auto" w:sz="12" w:space="0"/>
            </w:tcBorders>
            <w:vAlign w:val="center"/>
          </w:tcPr>
          <w:p w14:paraId="7025900F">
            <w:pPr>
              <w:widowControl/>
              <w:spacing w:line="240"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 xml:space="preserve">147 </w:t>
            </w:r>
          </w:p>
        </w:tc>
      </w:tr>
      <w:tr w14:paraId="16FD72E4">
        <w:tblPrEx>
          <w:tblCellMar>
            <w:top w:w="15" w:type="dxa"/>
            <w:left w:w="15" w:type="dxa"/>
            <w:bottom w:w="15" w:type="dxa"/>
            <w:right w:w="15" w:type="dxa"/>
          </w:tblCellMar>
        </w:tblPrEx>
        <w:trPr>
          <w:trHeight w:val="243" w:hRule="atLeast"/>
        </w:trPr>
        <w:tc>
          <w:tcPr>
            <w:tcW w:w="1748" w:type="dxa"/>
            <w:tcBorders>
              <w:top w:val="single" w:color="000000" w:sz="4" w:space="0"/>
              <w:left w:val="single" w:color="auto" w:sz="12" w:space="0"/>
              <w:bottom w:val="single" w:color="auto" w:sz="12" w:space="0"/>
              <w:right w:val="single" w:color="000000" w:sz="4" w:space="0"/>
            </w:tcBorders>
            <w:vAlign w:val="center"/>
          </w:tcPr>
          <w:p w14:paraId="6E4A7C82">
            <w:pPr>
              <w:widowControl/>
              <w:spacing w:line="240"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2022年</w:t>
            </w:r>
          </w:p>
        </w:tc>
        <w:tc>
          <w:tcPr>
            <w:tcW w:w="2886" w:type="dxa"/>
            <w:tcBorders>
              <w:top w:val="single" w:color="000000" w:sz="4" w:space="0"/>
              <w:left w:val="single" w:color="000000" w:sz="4" w:space="0"/>
              <w:bottom w:val="single" w:color="auto" w:sz="12" w:space="0"/>
              <w:right w:val="single" w:color="000000" w:sz="4" w:space="0"/>
            </w:tcBorders>
            <w:vAlign w:val="center"/>
          </w:tcPr>
          <w:p w14:paraId="649B3126">
            <w:pPr>
              <w:widowControl/>
              <w:spacing w:line="240"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 xml:space="preserve">104 </w:t>
            </w:r>
          </w:p>
        </w:tc>
        <w:tc>
          <w:tcPr>
            <w:tcW w:w="2021" w:type="dxa"/>
            <w:tcBorders>
              <w:top w:val="single" w:color="000000" w:sz="4" w:space="0"/>
              <w:left w:val="single" w:color="000000" w:sz="4" w:space="0"/>
              <w:bottom w:val="single" w:color="auto" w:sz="12" w:space="0"/>
              <w:right w:val="single" w:color="000000" w:sz="4" w:space="0"/>
            </w:tcBorders>
            <w:vAlign w:val="center"/>
          </w:tcPr>
          <w:p w14:paraId="61793B97">
            <w:pPr>
              <w:widowControl/>
              <w:spacing w:line="240"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 xml:space="preserve">43 </w:t>
            </w:r>
          </w:p>
        </w:tc>
        <w:tc>
          <w:tcPr>
            <w:tcW w:w="2020" w:type="dxa"/>
            <w:tcBorders>
              <w:top w:val="single" w:color="000000" w:sz="4" w:space="0"/>
              <w:left w:val="single" w:color="000000" w:sz="4" w:space="0"/>
              <w:bottom w:val="single" w:color="auto" w:sz="12" w:space="0"/>
              <w:right w:val="single" w:color="auto" w:sz="12" w:space="0"/>
            </w:tcBorders>
            <w:vAlign w:val="center"/>
          </w:tcPr>
          <w:p w14:paraId="6EBA7B93">
            <w:pPr>
              <w:widowControl/>
              <w:spacing w:line="240"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 xml:space="preserve">147 </w:t>
            </w:r>
          </w:p>
        </w:tc>
      </w:tr>
    </w:tbl>
    <w:p w14:paraId="1DFF24F8">
      <w:pPr>
        <w:spacing w:line="240" w:lineRule="auto"/>
        <w:ind w:firstLine="593" w:firstLineChars="246"/>
        <w:rPr>
          <w:b/>
          <w:lang w:eastAsia="zh-CN"/>
        </w:rPr>
      </w:pPr>
    </w:p>
    <w:p w14:paraId="4189FF3C">
      <w:pPr>
        <w:spacing w:line="240" w:lineRule="auto"/>
        <w:ind w:firstLine="593" w:firstLineChars="246"/>
        <w:rPr>
          <w:b/>
          <w:lang w:eastAsia="zh-CN"/>
        </w:rPr>
      </w:pPr>
    </w:p>
    <w:p w14:paraId="6938DDEE">
      <w:pPr>
        <w:spacing w:line="240" w:lineRule="auto"/>
        <w:ind w:firstLine="593" w:firstLineChars="246"/>
        <w:rPr>
          <w:b/>
          <w:lang w:eastAsia="zh-CN"/>
        </w:rPr>
      </w:pPr>
    </w:p>
    <w:p w14:paraId="7C00EE94">
      <w:pPr>
        <w:spacing w:line="240" w:lineRule="auto"/>
        <w:ind w:firstLine="593" w:firstLineChars="246"/>
        <w:rPr>
          <w:b/>
          <w:lang w:eastAsia="zh-CN"/>
        </w:rPr>
      </w:pPr>
    </w:p>
    <w:p w14:paraId="07F14D2F">
      <w:pPr>
        <w:spacing w:line="240" w:lineRule="auto"/>
        <w:ind w:firstLine="593" w:firstLineChars="246"/>
        <w:rPr>
          <w:b/>
          <w:lang w:eastAsia="zh-CN"/>
        </w:rPr>
      </w:pPr>
    </w:p>
    <w:p w14:paraId="1EB6D2D2">
      <w:pPr>
        <w:spacing w:line="240" w:lineRule="auto"/>
        <w:ind w:firstLine="593" w:firstLineChars="246"/>
        <w:rPr>
          <w:b/>
          <w:lang w:eastAsia="zh-CN"/>
        </w:rPr>
      </w:pPr>
    </w:p>
    <w:p w14:paraId="3600A3FE">
      <w:pPr>
        <w:spacing w:line="240" w:lineRule="auto"/>
        <w:ind w:firstLine="593" w:firstLineChars="246"/>
        <w:rPr>
          <w:b/>
          <w:lang w:eastAsia="zh-CN"/>
        </w:rPr>
      </w:pPr>
    </w:p>
    <w:p w14:paraId="4D55CA6D">
      <w:pPr>
        <w:spacing w:line="240" w:lineRule="auto"/>
        <w:ind w:firstLine="593" w:firstLineChars="246"/>
        <w:rPr>
          <w:b/>
          <w:lang w:eastAsia="zh-CN"/>
        </w:rPr>
      </w:pPr>
    </w:p>
    <w:p w14:paraId="06CD8937">
      <w:pPr>
        <w:spacing w:line="240" w:lineRule="auto"/>
        <w:ind w:firstLine="593" w:firstLineChars="246"/>
        <w:rPr>
          <w:b/>
          <w:lang w:eastAsia="zh-CN"/>
        </w:rPr>
      </w:pPr>
      <w:r>
        <w:rPr>
          <w:rFonts w:hint="eastAsia"/>
          <w:b/>
          <w:lang w:eastAsia="zh-CN"/>
        </w:rPr>
        <w:t>表2.3-3     乌里雅斯太油田产量预测表</w:t>
      </w:r>
    </w:p>
    <w:tbl>
      <w:tblPr>
        <w:tblStyle w:val="76"/>
        <w:tblW w:w="84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2206"/>
        <w:gridCol w:w="2044"/>
        <w:gridCol w:w="2189"/>
        <w:gridCol w:w="2045"/>
      </w:tblGrid>
      <w:tr w14:paraId="03A1B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61" w:hRule="atLeast"/>
        </w:trPr>
        <w:tc>
          <w:tcPr>
            <w:tcW w:w="2206" w:type="dxa"/>
            <w:tcBorders>
              <w:top w:val="single" w:color="auto" w:sz="12" w:space="0"/>
              <w:left w:val="single" w:color="auto" w:sz="12" w:space="0"/>
            </w:tcBorders>
            <w:vAlign w:val="center"/>
          </w:tcPr>
          <w:p w14:paraId="3A4E36A2">
            <w:pPr>
              <w:widowControl/>
              <w:spacing w:line="324" w:lineRule="auto"/>
              <w:ind w:firstLine="0" w:firstLineChars="0"/>
              <w:jc w:val="center"/>
              <w:rPr>
                <w:rFonts w:cs="Tahoma" w:asciiTheme="minorEastAsia" w:hAnsiTheme="minorEastAsia" w:eastAsiaTheme="minorEastAsia"/>
                <w:sz w:val="21"/>
                <w:szCs w:val="21"/>
                <w:lang w:eastAsia="zh-CN"/>
              </w:rPr>
            </w:pPr>
            <w:r>
              <w:rPr>
                <w:rFonts w:hint="eastAsia" w:cs="Tahoma" w:asciiTheme="minorEastAsia" w:hAnsiTheme="minorEastAsia" w:eastAsiaTheme="minorEastAsia"/>
                <w:sz w:val="21"/>
                <w:szCs w:val="21"/>
                <w:lang w:eastAsia="zh-CN"/>
              </w:rPr>
              <w:t>年份</w:t>
            </w:r>
          </w:p>
        </w:tc>
        <w:tc>
          <w:tcPr>
            <w:tcW w:w="2044" w:type="dxa"/>
            <w:tcBorders>
              <w:top w:val="single" w:color="auto" w:sz="12" w:space="0"/>
            </w:tcBorders>
            <w:vAlign w:val="center"/>
          </w:tcPr>
          <w:p w14:paraId="29769EF1">
            <w:pPr>
              <w:widowControl/>
              <w:spacing w:line="324" w:lineRule="auto"/>
              <w:ind w:firstLine="0" w:firstLineChars="0"/>
              <w:jc w:val="center"/>
              <w:rPr>
                <w:rFonts w:cs="Tahoma" w:asciiTheme="minorEastAsia" w:hAnsiTheme="minorEastAsia" w:eastAsiaTheme="minorEastAsia"/>
                <w:sz w:val="21"/>
                <w:szCs w:val="21"/>
                <w:lang w:eastAsia="zh-CN"/>
              </w:rPr>
            </w:pPr>
            <w:r>
              <w:rPr>
                <w:rFonts w:hint="eastAsia" w:cs="Tahoma" w:asciiTheme="minorEastAsia" w:hAnsiTheme="minorEastAsia" w:eastAsiaTheme="minorEastAsia"/>
                <w:sz w:val="21"/>
                <w:szCs w:val="21"/>
              </w:rPr>
              <w:t>年产液</w:t>
            </w:r>
            <w:r>
              <w:rPr>
                <w:sz w:val="21"/>
                <w:szCs w:val="21"/>
                <w:lang w:eastAsia="zh-CN" w:bidi="ar-SA"/>
              </w:rPr>
              <w:t>（10</w:t>
            </w:r>
            <w:r>
              <w:rPr>
                <w:sz w:val="21"/>
                <w:szCs w:val="21"/>
                <w:vertAlign w:val="superscript"/>
                <w:lang w:eastAsia="zh-CN" w:bidi="ar-SA"/>
              </w:rPr>
              <w:t>4</w:t>
            </w:r>
            <w:r>
              <w:rPr>
                <w:sz w:val="21"/>
                <w:szCs w:val="21"/>
                <w:lang w:eastAsia="zh-CN" w:bidi="ar-SA"/>
              </w:rPr>
              <w:t>t）</w:t>
            </w:r>
          </w:p>
        </w:tc>
        <w:tc>
          <w:tcPr>
            <w:tcW w:w="2189" w:type="dxa"/>
            <w:tcBorders>
              <w:top w:val="single" w:color="auto" w:sz="12" w:space="0"/>
            </w:tcBorders>
            <w:vAlign w:val="center"/>
          </w:tcPr>
          <w:p w14:paraId="0A9FDDB8">
            <w:pPr>
              <w:widowControl/>
              <w:spacing w:line="324" w:lineRule="auto"/>
              <w:ind w:firstLine="0" w:firstLineChars="0"/>
              <w:jc w:val="center"/>
              <w:rPr>
                <w:rFonts w:cs="Tahoma" w:asciiTheme="minorEastAsia" w:hAnsiTheme="minorEastAsia" w:eastAsiaTheme="minorEastAsia"/>
                <w:sz w:val="21"/>
                <w:szCs w:val="21"/>
                <w:lang w:eastAsia="zh-CN"/>
              </w:rPr>
            </w:pPr>
            <w:r>
              <w:rPr>
                <w:rFonts w:hint="eastAsia" w:cs="Tahoma" w:asciiTheme="minorEastAsia" w:hAnsiTheme="minorEastAsia" w:eastAsiaTheme="minorEastAsia"/>
                <w:sz w:val="21"/>
                <w:szCs w:val="21"/>
              </w:rPr>
              <w:t>年产油</w:t>
            </w:r>
            <w:r>
              <w:rPr>
                <w:sz w:val="21"/>
                <w:szCs w:val="21"/>
                <w:lang w:eastAsia="zh-CN" w:bidi="ar-SA"/>
              </w:rPr>
              <w:t>（10</w:t>
            </w:r>
            <w:r>
              <w:rPr>
                <w:sz w:val="21"/>
                <w:szCs w:val="21"/>
                <w:vertAlign w:val="superscript"/>
                <w:lang w:eastAsia="zh-CN" w:bidi="ar-SA"/>
              </w:rPr>
              <w:t>4</w:t>
            </w:r>
            <w:r>
              <w:rPr>
                <w:sz w:val="21"/>
                <w:szCs w:val="21"/>
                <w:lang w:eastAsia="zh-CN" w:bidi="ar-SA"/>
              </w:rPr>
              <w:t>t）</w:t>
            </w:r>
          </w:p>
        </w:tc>
        <w:tc>
          <w:tcPr>
            <w:tcW w:w="2045" w:type="dxa"/>
            <w:tcBorders>
              <w:top w:val="single" w:color="auto" w:sz="12" w:space="0"/>
              <w:right w:val="single" w:color="auto" w:sz="12" w:space="0"/>
            </w:tcBorders>
            <w:vAlign w:val="center"/>
          </w:tcPr>
          <w:p w14:paraId="3A0EF670">
            <w:pPr>
              <w:widowControl/>
              <w:spacing w:line="324" w:lineRule="auto"/>
              <w:ind w:firstLine="0" w:firstLineChars="0"/>
              <w:jc w:val="center"/>
              <w:rPr>
                <w:rFonts w:cs="Tahoma" w:asciiTheme="minorEastAsia" w:hAnsiTheme="minorEastAsia" w:eastAsiaTheme="minorEastAsia"/>
                <w:sz w:val="21"/>
                <w:szCs w:val="21"/>
                <w:lang w:eastAsia="zh-CN"/>
              </w:rPr>
            </w:pPr>
            <w:r>
              <w:rPr>
                <w:rFonts w:hint="eastAsia" w:cs="Tahoma" w:asciiTheme="minorEastAsia" w:hAnsiTheme="minorEastAsia" w:eastAsiaTheme="minorEastAsia"/>
                <w:sz w:val="21"/>
                <w:szCs w:val="21"/>
                <w:lang w:eastAsia="zh-CN"/>
              </w:rPr>
              <w:t>年均含水</w:t>
            </w:r>
          </w:p>
        </w:tc>
      </w:tr>
      <w:tr w14:paraId="5B898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0" w:hRule="atLeast"/>
        </w:trPr>
        <w:tc>
          <w:tcPr>
            <w:tcW w:w="2206" w:type="dxa"/>
            <w:tcBorders>
              <w:left w:val="single" w:color="auto" w:sz="12" w:space="0"/>
            </w:tcBorders>
            <w:vAlign w:val="center"/>
          </w:tcPr>
          <w:p w14:paraId="251DAE46">
            <w:pPr>
              <w:widowControl/>
              <w:spacing w:line="324"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2013年</w:t>
            </w:r>
          </w:p>
        </w:tc>
        <w:tc>
          <w:tcPr>
            <w:tcW w:w="2044" w:type="dxa"/>
            <w:vAlign w:val="center"/>
          </w:tcPr>
          <w:p w14:paraId="1B0A5379">
            <w:pPr>
              <w:widowControl/>
              <w:spacing w:line="324"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3.65</w:t>
            </w:r>
          </w:p>
        </w:tc>
        <w:tc>
          <w:tcPr>
            <w:tcW w:w="2189" w:type="dxa"/>
            <w:vAlign w:val="center"/>
          </w:tcPr>
          <w:p w14:paraId="711D58F3">
            <w:pPr>
              <w:widowControl/>
              <w:spacing w:line="324"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2.08</w:t>
            </w:r>
          </w:p>
        </w:tc>
        <w:tc>
          <w:tcPr>
            <w:tcW w:w="2045" w:type="dxa"/>
            <w:tcBorders>
              <w:right w:val="single" w:color="auto" w:sz="12" w:space="0"/>
            </w:tcBorders>
            <w:vAlign w:val="center"/>
          </w:tcPr>
          <w:p w14:paraId="29F5185B">
            <w:pPr>
              <w:widowControl/>
              <w:spacing w:line="324"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13.14</w:t>
            </w:r>
          </w:p>
        </w:tc>
      </w:tr>
      <w:tr w14:paraId="2C858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2" w:hRule="atLeast"/>
        </w:trPr>
        <w:tc>
          <w:tcPr>
            <w:tcW w:w="2206" w:type="dxa"/>
            <w:tcBorders>
              <w:left w:val="single" w:color="auto" w:sz="12" w:space="0"/>
            </w:tcBorders>
            <w:vAlign w:val="center"/>
          </w:tcPr>
          <w:p w14:paraId="3C166B57">
            <w:pPr>
              <w:widowControl/>
              <w:spacing w:line="324"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2014年</w:t>
            </w:r>
          </w:p>
        </w:tc>
        <w:tc>
          <w:tcPr>
            <w:tcW w:w="2044" w:type="dxa"/>
            <w:vAlign w:val="center"/>
          </w:tcPr>
          <w:p w14:paraId="208CBF7D">
            <w:pPr>
              <w:widowControl/>
              <w:spacing w:line="324"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5.76</w:t>
            </w:r>
          </w:p>
        </w:tc>
        <w:tc>
          <w:tcPr>
            <w:tcW w:w="2189" w:type="dxa"/>
            <w:vAlign w:val="center"/>
          </w:tcPr>
          <w:p w14:paraId="23C3D829">
            <w:pPr>
              <w:widowControl/>
              <w:spacing w:line="324"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3.51</w:t>
            </w:r>
          </w:p>
        </w:tc>
        <w:tc>
          <w:tcPr>
            <w:tcW w:w="2045" w:type="dxa"/>
            <w:tcBorders>
              <w:right w:val="single" w:color="auto" w:sz="12" w:space="0"/>
            </w:tcBorders>
            <w:vAlign w:val="center"/>
          </w:tcPr>
          <w:p w14:paraId="55690738">
            <w:pPr>
              <w:widowControl/>
              <w:spacing w:line="324"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39.12</w:t>
            </w:r>
          </w:p>
        </w:tc>
      </w:tr>
      <w:tr w14:paraId="50012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5" w:hRule="atLeast"/>
        </w:trPr>
        <w:tc>
          <w:tcPr>
            <w:tcW w:w="2206" w:type="dxa"/>
            <w:tcBorders>
              <w:left w:val="single" w:color="auto" w:sz="12" w:space="0"/>
            </w:tcBorders>
            <w:vAlign w:val="center"/>
          </w:tcPr>
          <w:p w14:paraId="59985EC5">
            <w:pPr>
              <w:widowControl/>
              <w:spacing w:line="324"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2015年</w:t>
            </w:r>
          </w:p>
        </w:tc>
        <w:tc>
          <w:tcPr>
            <w:tcW w:w="2044" w:type="dxa"/>
            <w:vAlign w:val="center"/>
          </w:tcPr>
          <w:p w14:paraId="0C7DA3B4">
            <w:pPr>
              <w:widowControl/>
              <w:spacing w:line="324"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9.43</w:t>
            </w:r>
          </w:p>
        </w:tc>
        <w:tc>
          <w:tcPr>
            <w:tcW w:w="2189" w:type="dxa"/>
            <w:vAlign w:val="center"/>
          </w:tcPr>
          <w:p w14:paraId="19A848F4">
            <w:pPr>
              <w:widowControl/>
              <w:spacing w:line="324"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5.81</w:t>
            </w:r>
          </w:p>
        </w:tc>
        <w:tc>
          <w:tcPr>
            <w:tcW w:w="2045" w:type="dxa"/>
            <w:tcBorders>
              <w:right w:val="single" w:color="auto" w:sz="12" w:space="0"/>
            </w:tcBorders>
            <w:vAlign w:val="center"/>
          </w:tcPr>
          <w:p w14:paraId="349CA0CF">
            <w:pPr>
              <w:widowControl/>
              <w:spacing w:line="324"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38.35</w:t>
            </w:r>
          </w:p>
        </w:tc>
      </w:tr>
      <w:tr w14:paraId="4DF9A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2" w:hRule="atLeast"/>
        </w:trPr>
        <w:tc>
          <w:tcPr>
            <w:tcW w:w="2206" w:type="dxa"/>
            <w:tcBorders>
              <w:left w:val="single" w:color="auto" w:sz="12" w:space="0"/>
            </w:tcBorders>
            <w:vAlign w:val="center"/>
          </w:tcPr>
          <w:p w14:paraId="245E82FF">
            <w:pPr>
              <w:widowControl/>
              <w:spacing w:line="324"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2016年</w:t>
            </w:r>
          </w:p>
        </w:tc>
        <w:tc>
          <w:tcPr>
            <w:tcW w:w="2044" w:type="dxa"/>
            <w:vAlign w:val="center"/>
          </w:tcPr>
          <w:p w14:paraId="622F83C2">
            <w:pPr>
              <w:widowControl/>
              <w:spacing w:line="324"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11.29</w:t>
            </w:r>
          </w:p>
        </w:tc>
        <w:tc>
          <w:tcPr>
            <w:tcW w:w="2189" w:type="dxa"/>
            <w:vAlign w:val="center"/>
          </w:tcPr>
          <w:p w14:paraId="54620087">
            <w:pPr>
              <w:widowControl/>
              <w:spacing w:line="324"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6.52</w:t>
            </w:r>
          </w:p>
        </w:tc>
        <w:tc>
          <w:tcPr>
            <w:tcW w:w="2045" w:type="dxa"/>
            <w:tcBorders>
              <w:right w:val="single" w:color="auto" w:sz="12" w:space="0"/>
            </w:tcBorders>
            <w:vAlign w:val="center"/>
          </w:tcPr>
          <w:p w14:paraId="0A431292">
            <w:pPr>
              <w:widowControl/>
              <w:spacing w:line="324"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42.26</w:t>
            </w:r>
          </w:p>
        </w:tc>
      </w:tr>
      <w:tr w14:paraId="3F221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2" w:hRule="atLeast"/>
        </w:trPr>
        <w:tc>
          <w:tcPr>
            <w:tcW w:w="2206" w:type="dxa"/>
            <w:tcBorders>
              <w:left w:val="single" w:color="auto" w:sz="12" w:space="0"/>
            </w:tcBorders>
            <w:vAlign w:val="center"/>
          </w:tcPr>
          <w:p w14:paraId="5308153A">
            <w:pPr>
              <w:widowControl/>
              <w:spacing w:line="324"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2017年</w:t>
            </w:r>
          </w:p>
        </w:tc>
        <w:tc>
          <w:tcPr>
            <w:tcW w:w="2044" w:type="dxa"/>
            <w:vAlign w:val="center"/>
          </w:tcPr>
          <w:p w14:paraId="0F859595">
            <w:pPr>
              <w:widowControl/>
              <w:spacing w:line="324"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11.62</w:t>
            </w:r>
          </w:p>
        </w:tc>
        <w:tc>
          <w:tcPr>
            <w:tcW w:w="2189" w:type="dxa"/>
            <w:vAlign w:val="center"/>
          </w:tcPr>
          <w:p w14:paraId="5CDCCA97">
            <w:pPr>
              <w:widowControl/>
              <w:spacing w:line="324"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6.18</w:t>
            </w:r>
          </w:p>
        </w:tc>
        <w:tc>
          <w:tcPr>
            <w:tcW w:w="2045" w:type="dxa"/>
            <w:tcBorders>
              <w:right w:val="single" w:color="auto" w:sz="12" w:space="0"/>
            </w:tcBorders>
            <w:vAlign w:val="center"/>
          </w:tcPr>
          <w:p w14:paraId="3C4EC3FD">
            <w:pPr>
              <w:widowControl/>
              <w:spacing w:line="324"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46.80</w:t>
            </w:r>
          </w:p>
        </w:tc>
      </w:tr>
      <w:tr w14:paraId="1AD72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2" w:hRule="atLeast"/>
        </w:trPr>
        <w:tc>
          <w:tcPr>
            <w:tcW w:w="2206" w:type="dxa"/>
            <w:tcBorders>
              <w:left w:val="single" w:color="auto" w:sz="12" w:space="0"/>
            </w:tcBorders>
            <w:vAlign w:val="center"/>
          </w:tcPr>
          <w:p w14:paraId="3A6E2442">
            <w:pPr>
              <w:widowControl/>
              <w:spacing w:line="324"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2018年</w:t>
            </w:r>
          </w:p>
        </w:tc>
        <w:tc>
          <w:tcPr>
            <w:tcW w:w="2044" w:type="dxa"/>
            <w:vAlign w:val="center"/>
          </w:tcPr>
          <w:p w14:paraId="4F791DC3">
            <w:pPr>
              <w:widowControl/>
              <w:spacing w:line="324"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11.26</w:t>
            </w:r>
          </w:p>
        </w:tc>
        <w:tc>
          <w:tcPr>
            <w:tcW w:w="2189" w:type="dxa"/>
            <w:vAlign w:val="center"/>
          </w:tcPr>
          <w:p w14:paraId="4DBDB784">
            <w:pPr>
              <w:widowControl/>
              <w:spacing w:line="324"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5.41</w:t>
            </w:r>
          </w:p>
        </w:tc>
        <w:tc>
          <w:tcPr>
            <w:tcW w:w="2045" w:type="dxa"/>
            <w:tcBorders>
              <w:right w:val="single" w:color="auto" w:sz="12" w:space="0"/>
            </w:tcBorders>
            <w:vAlign w:val="center"/>
          </w:tcPr>
          <w:p w14:paraId="183A2049">
            <w:pPr>
              <w:widowControl/>
              <w:spacing w:line="324"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52.01</w:t>
            </w:r>
          </w:p>
        </w:tc>
      </w:tr>
      <w:tr w14:paraId="093AB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2" w:hRule="atLeast"/>
        </w:trPr>
        <w:tc>
          <w:tcPr>
            <w:tcW w:w="2206" w:type="dxa"/>
            <w:tcBorders>
              <w:left w:val="single" w:color="auto" w:sz="12" w:space="0"/>
            </w:tcBorders>
            <w:vAlign w:val="center"/>
          </w:tcPr>
          <w:p w14:paraId="7405418A">
            <w:pPr>
              <w:widowControl/>
              <w:spacing w:line="324"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2019年</w:t>
            </w:r>
          </w:p>
        </w:tc>
        <w:tc>
          <w:tcPr>
            <w:tcW w:w="2044" w:type="dxa"/>
            <w:vAlign w:val="center"/>
          </w:tcPr>
          <w:p w14:paraId="0BF199CE">
            <w:pPr>
              <w:widowControl/>
              <w:spacing w:line="324"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11.06</w:t>
            </w:r>
          </w:p>
        </w:tc>
        <w:tc>
          <w:tcPr>
            <w:tcW w:w="2189" w:type="dxa"/>
            <w:vAlign w:val="center"/>
          </w:tcPr>
          <w:p w14:paraId="0D50CA4F">
            <w:pPr>
              <w:widowControl/>
              <w:spacing w:line="324"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4.81</w:t>
            </w:r>
          </w:p>
        </w:tc>
        <w:tc>
          <w:tcPr>
            <w:tcW w:w="2045" w:type="dxa"/>
            <w:tcBorders>
              <w:right w:val="single" w:color="auto" w:sz="12" w:space="0"/>
            </w:tcBorders>
            <w:vAlign w:val="center"/>
          </w:tcPr>
          <w:p w14:paraId="137A2F42">
            <w:pPr>
              <w:widowControl/>
              <w:spacing w:line="324"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56.51</w:t>
            </w:r>
          </w:p>
        </w:tc>
      </w:tr>
      <w:tr w14:paraId="711C9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2" w:hRule="atLeast"/>
        </w:trPr>
        <w:tc>
          <w:tcPr>
            <w:tcW w:w="2206" w:type="dxa"/>
            <w:tcBorders>
              <w:left w:val="single" w:color="auto" w:sz="12" w:space="0"/>
            </w:tcBorders>
            <w:vAlign w:val="center"/>
          </w:tcPr>
          <w:p w14:paraId="3DC01011">
            <w:pPr>
              <w:widowControl/>
              <w:spacing w:line="324"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2020年</w:t>
            </w:r>
          </w:p>
        </w:tc>
        <w:tc>
          <w:tcPr>
            <w:tcW w:w="2044" w:type="dxa"/>
            <w:vAlign w:val="center"/>
          </w:tcPr>
          <w:p w14:paraId="75C8348A">
            <w:pPr>
              <w:widowControl/>
              <w:spacing w:line="324"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10.92</w:t>
            </w:r>
          </w:p>
        </w:tc>
        <w:tc>
          <w:tcPr>
            <w:tcW w:w="2189" w:type="dxa"/>
            <w:vAlign w:val="center"/>
          </w:tcPr>
          <w:p w14:paraId="703B9017">
            <w:pPr>
              <w:widowControl/>
              <w:spacing w:line="324"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4.34</w:t>
            </w:r>
          </w:p>
        </w:tc>
        <w:tc>
          <w:tcPr>
            <w:tcW w:w="2045" w:type="dxa"/>
            <w:tcBorders>
              <w:right w:val="single" w:color="auto" w:sz="12" w:space="0"/>
            </w:tcBorders>
            <w:vAlign w:val="center"/>
          </w:tcPr>
          <w:p w14:paraId="1FB226A6">
            <w:pPr>
              <w:widowControl/>
              <w:spacing w:line="324"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60.24</w:t>
            </w:r>
          </w:p>
        </w:tc>
      </w:tr>
      <w:tr w14:paraId="2036A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2" w:hRule="atLeast"/>
        </w:trPr>
        <w:tc>
          <w:tcPr>
            <w:tcW w:w="2206" w:type="dxa"/>
            <w:tcBorders>
              <w:left w:val="single" w:color="auto" w:sz="12" w:space="0"/>
            </w:tcBorders>
            <w:vAlign w:val="center"/>
          </w:tcPr>
          <w:p w14:paraId="48652409">
            <w:pPr>
              <w:widowControl/>
              <w:spacing w:line="324"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2021年</w:t>
            </w:r>
          </w:p>
        </w:tc>
        <w:tc>
          <w:tcPr>
            <w:tcW w:w="2044" w:type="dxa"/>
            <w:vAlign w:val="center"/>
          </w:tcPr>
          <w:p w14:paraId="7BD0670C">
            <w:pPr>
              <w:widowControl/>
              <w:spacing w:line="324"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11.12</w:t>
            </w:r>
          </w:p>
        </w:tc>
        <w:tc>
          <w:tcPr>
            <w:tcW w:w="2189" w:type="dxa"/>
            <w:vAlign w:val="center"/>
          </w:tcPr>
          <w:p w14:paraId="0ADABDD0">
            <w:pPr>
              <w:widowControl/>
              <w:spacing w:line="324"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3.97</w:t>
            </w:r>
          </w:p>
        </w:tc>
        <w:tc>
          <w:tcPr>
            <w:tcW w:w="2045" w:type="dxa"/>
            <w:tcBorders>
              <w:right w:val="single" w:color="auto" w:sz="12" w:space="0"/>
            </w:tcBorders>
            <w:vAlign w:val="center"/>
          </w:tcPr>
          <w:p w14:paraId="32D62AE3">
            <w:pPr>
              <w:widowControl/>
              <w:spacing w:line="324"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64.34</w:t>
            </w:r>
          </w:p>
        </w:tc>
      </w:tr>
      <w:tr w14:paraId="41930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52" w:hRule="atLeast"/>
        </w:trPr>
        <w:tc>
          <w:tcPr>
            <w:tcW w:w="2206" w:type="dxa"/>
            <w:tcBorders>
              <w:left w:val="single" w:color="auto" w:sz="12" w:space="0"/>
              <w:bottom w:val="single" w:color="auto" w:sz="12" w:space="0"/>
            </w:tcBorders>
            <w:vAlign w:val="center"/>
          </w:tcPr>
          <w:p w14:paraId="27413F4F">
            <w:pPr>
              <w:widowControl/>
              <w:spacing w:line="324"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2022年</w:t>
            </w:r>
          </w:p>
        </w:tc>
        <w:tc>
          <w:tcPr>
            <w:tcW w:w="2044" w:type="dxa"/>
            <w:tcBorders>
              <w:bottom w:val="single" w:color="auto" w:sz="12" w:space="0"/>
            </w:tcBorders>
            <w:vAlign w:val="center"/>
          </w:tcPr>
          <w:p w14:paraId="2CF7EABD">
            <w:pPr>
              <w:widowControl/>
              <w:spacing w:line="324"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11.28</w:t>
            </w:r>
          </w:p>
        </w:tc>
        <w:tc>
          <w:tcPr>
            <w:tcW w:w="2189" w:type="dxa"/>
            <w:tcBorders>
              <w:bottom w:val="single" w:color="auto" w:sz="12" w:space="0"/>
            </w:tcBorders>
            <w:vAlign w:val="center"/>
          </w:tcPr>
          <w:p w14:paraId="1DEB4178">
            <w:pPr>
              <w:widowControl/>
              <w:spacing w:line="324"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3.64</w:t>
            </w:r>
          </w:p>
        </w:tc>
        <w:tc>
          <w:tcPr>
            <w:tcW w:w="2045" w:type="dxa"/>
            <w:tcBorders>
              <w:bottom w:val="single" w:color="auto" w:sz="12" w:space="0"/>
              <w:right w:val="single" w:color="auto" w:sz="12" w:space="0"/>
            </w:tcBorders>
            <w:vAlign w:val="center"/>
          </w:tcPr>
          <w:p w14:paraId="1244EEBE">
            <w:pPr>
              <w:widowControl/>
              <w:spacing w:line="324" w:lineRule="auto"/>
              <w:ind w:firstLine="0" w:firstLineChars="0"/>
              <w:jc w:val="center"/>
              <w:rPr>
                <w:rFonts w:cs="Tahoma" w:asciiTheme="minorEastAsia" w:hAnsiTheme="minorEastAsia" w:eastAsiaTheme="minorEastAsia"/>
                <w:sz w:val="21"/>
                <w:szCs w:val="21"/>
              </w:rPr>
            </w:pPr>
            <w:r>
              <w:rPr>
                <w:rFonts w:hint="eastAsia" w:cs="Tahoma" w:asciiTheme="minorEastAsia" w:hAnsiTheme="minorEastAsia" w:eastAsiaTheme="minorEastAsia"/>
                <w:sz w:val="21"/>
                <w:szCs w:val="21"/>
              </w:rPr>
              <w:t>67.70</w:t>
            </w:r>
          </w:p>
        </w:tc>
      </w:tr>
    </w:tbl>
    <w:p w14:paraId="03EC7CAF">
      <w:pPr>
        <w:shd w:val="clear" w:color="auto" w:fill="FFFFFF"/>
        <w:topLinePunct/>
        <w:adjustRightInd w:val="0"/>
        <w:snapToGrid w:val="0"/>
        <w:spacing w:line="240" w:lineRule="auto"/>
        <w:ind w:firstLine="475" w:firstLineChars="197"/>
        <w:rPr>
          <w:b/>
          <w:sz w:val="21"/>
          <w:szCs w:val="21"/>
          <w:lang w:eastAsia="zh-CN"/>
        </w:rPr>
      </w:pPr>
      <w:r>
        <w:rPr>
          <w:b/>
          <w:lang w:eastAsia="zh-CN"/>
        </w:rPr>
        <w:t>表2.</w:t>
      </w:r>
      <w:r>
        <w:rPr>
          <w:rFonts w:hint="eastAsia"/>
          <w:b/>
          <w:lang w:eastAsia="zh-CN"/>
        </w:rPr>
        <w:t>3</w:t>
      </w:r>
      <w:r>
        <w:rPr>
          <w:b/>
          <w:lang w:eastAsia="zh-CN"/>
        </w:rPr>
        <w:t>-</w:t>
      </w:r>
      <w:r>
        <w:rPr>
          <w:rFonts w:hint="eastAsia"/>
          <w:b/>
          <w:lang w:eastAsia="zh-CN"/>
        </w:rPr>
        <w:t>4</w:t>
      </w:r>
      <w:r>
        <w:rPr>
          <w:b/>
          <w:lang w:eastAsia="zh-CN"/>
        </w:rPr>
        <w:t xml:space="preserve">  </w:t>
      </w:r>
      <w:r>
        <w:rPr>
          <w:rFonts w:hint="eastAsia"/>
          <w:b/>
          <w:lang w:eastAsia="zh-CN"/>
        </w:rPr>
        <w:t xml:space="preserve">   乌里雅斯太</w:t>
      </w:r>
      <w:r>
        <w:rPr>
          <w:b/>
          <w:lang w:eastAsia="zh-CN"/>
        </w:rPr>
        <w:t>油田</w:t>
      </w:r>
      <w:r>
        <w:rPr>
          <w:rFonts w:hint="eastAsia" w:ascii="黑体" w:eastAsia="黑体"/>
          <w:snapToGrid w:val="0"/>
          <w:lang w:eastAsia="zh-CN"/>
        </w:rPr>
        <w:t>产量、污水量及注水量预测</w:t>
      </w:r>
      <w:r>
        <w:rPr>
          <w:rFonts w:hint="eastAsia"/>
          <w:szCs w:val="20"/>
          <w:lang w:eastAsia="zh-CN"/>
        </w:rPr>
        <w:t xml:space="preserve">     </w:t>
      </w:r>
    </w:p>
    <w:tbl>
      <w:tblPr>
        <w:tblStyle w:val="76"/>
        <w:tblW w:w="0" w:type="auto"/>
        <w:tblInd w:w="0" w:type="dxa"/>
        <w:tblLayout w:type="fixed"/>
        <w:tblCellMar>
          <w:top w:w="0" w:type="dxa"/>
          <w:left w:w="108" w:type="dxa"/>
          <w:bottom w:w="0" w:type="dxa"/>
          <w:right w:w="108" w:type="dxa"/>
        </w:tblCellMar>
      </w:tblPr>
      <w:tblGrid>
        <w:gridCol w:w="959"/>
        <w:gridCol w:w="904"/>
        <w:gridCol w:w="1338"/>
        <w:gridCol w:w="1069"/>
        <w:gridCol w:w="1457"/>
        <w:gridCol w:w="1331"/>
        <w:gridCol w:w="1331"/>
      </w:tblGrid>
      <w:tr w14:paraId="0B618075">
        <w:tblPrEx>
          <w:tblCellMar>
            <w:top w:w="0" w:type="dxa"/>
            <w:left w:w="108" w:type="dxa"/>
            <w:bottom w:w="0" w:type="dxa"/>
            <w:right w:w="108" w:type="dxa"/>
          </w:tblCellMar>
        </w:tblPrEx>
        <w:trPr>
          <w:trHeight w:val="340" w:hRule="atLeast"/>
        </w:trPr>
        <w:tc>
          <w:tcPr>
            <w:tcW w:w="959" w:type="dxa"/>
            <w:tcBorders>
              <w:top w:val="single" w:color="auto" w:sz="12" w:space="0"/>
              <w:left w:val="single" w:color="auto" w:sz="12" w:space="0"/>
              <w:bottom w:val="nil"/>
              <w:right w:val="single" w:color="auto" w:sz="8" w:space="0"/>
            </w:tcBorders>
            <w:vAlign w:val="center"/>
          </w:tcPr>
          <w:p w14:paraId="377B2869">
            <w:pPr>
              <w:widowControl/>
              <w:snapToGrid w:val="0"/>
              <w:spacing w:line="240" w:lineRule="auto"/>
              <w:ind w:firstLine="420" w:firstLineChars="0"/>
              <w:jc w:val="center"/>
              <w:rPr>
                <w:sz w:val="21"/>
                <w:szCs w:val="21"/>
                <w:lang w:eastAsia="zh-CN" w:bidi="ar-SA"/>
              </w:rPr>
            </w:pPr>
            <w:r>
              <w:rPr>
                <w:sz w:val="21"/>
                <w:szCs w:val="21"/>
                <w:lang w:eastAsia="zh-CN" w:bidi="ar-SA"/>
              </w:rPr>
              <w:t>　</w:t>
            </w:r>
          </w:p>
        </w:tc>
        <w:tc>
          <w:tcPr>
            <w:tcW w:w="904" w:type="dxa"/>
            <w:tcBorders>
              <w:top w:val="single" w:color="auto" w:sz="12" w:space="0"/>
              <w:left w:val="nil"/>
              <w:bottom w:val="nil"/>
              <w:right w:val="single" w:color="auto" w:sz="8" w:space="0"/>
            </w:tcBorders>
            <w:vAlign w:val="center"/>
          </w:tcPr>
          <w:p w14:paraId="49742040">
            <w:pPr>
              <w:widowControl/>
              <w:snapToGrid w:val="0"/>
              <w:spacing w:line="240" w:lineRule="auto"/>
              <w:ind w:firstLine="0" w:firstLineChars="0"/>
              <w:jc w:val="center"/>
              <w:rPr>
                <w:sz w:val="21"/>
                <w:szCs w:val="21"/>
                <w:lang w:eastAsia="zh-CN" w:bidi="ar-SA"/>
              </w:rPr>
            </w:pPr>
            <w:r>
              <w:rPr>
                <w:sz w:val="21"/>
                <w:szCs w:val="21"/>
                <w:lang w:eastAsia="zh-CN" w:bidi="ar-SA"/>
              </w:rPr>
              <w:t>产液量</w:t>
            </w:r>
          </w:p>
        </w:tc>
        <w:tc>
          <w:tcPr>
            <w:tcW w:w="1338" w:type="dxa"/>
            <w:tcBorders>
              <w:top w:val="single" w:color="auto" w:sz="12" w:space="0"/>
              <w:left w:val="nil"/>
              <w:bottom w:val="nil"/>
              <w:right w:val="single" w:color="auto" w:sz="8" w:space="0"/>
            </w:tcBorders>
            <w:vAlign w:val="center"/>
          </w:tcPr>
          <w:p w14:paraId="0C10F670">
            <w:pPr>
              <w:widowControl/>
              <w:snapToGrid w:val="0"/>
              <w:spacing w:line="240" w:lineRule="auto"/>
              <w:ind w:firstLine="0" w:firstLineChars="0"/>
              <w:jc w:val="center"/>
              <w:rPr>
                <w:sz w:val="21"/>
                <w:szCs w:val="21"/>
                <w:lang w:eastAsia="zh-CN" w:bidi="ar-SA"/>
              </w:rPr>
            </w:pPr>
            <w:r>
              <w:rPr>
                <w:sz w:val="21"/>
                <w:szCs w:val="21"/>
                <w:lang w:eastAsia="zh-CN" w:bidi="ar-SA"/>
              </w:rPr>
              <w:t>产油量</w:t>
            </w:r>
          </w:p>
        </w:tc>
        <w:tc>
          <w:tcPr>
            <w:tcW w:w="1069" w:type="dxa"/>
            <w:tcBorders>
              <w:top w:val="single" w:color="auto" w:sz="12" w:space="0"/>
              <w:left w:val="nil"/>
              <w:bottom w:val="nil"/>
              <w:right w:val="single" w:color="auto" w:sz="8" w:space="0"/>
            </w:tcBorders>
            <w:vAlign w:val="center"/>
          </w:tcPr>
          <w:p w14:paraId="6925FD67">
            <w:pPr>
              <w:widowControl/>
              <w:snapToGrid w:val="0"/>
              <w:spacing w:line="240" w:lineRule="auto"/>
              <w:ind w:firstLine="0" w:firstLineChars="0"/>
              <w:jc w:val="center"/>
              <w:rPr>
                <w:sz w:val="21"/>
                <w:szCs w:val="21"/>
                <w:lang w:eastAsia="zh-CN" w:bidi="ar-SA"/>
              </w:rPr>
            </w:pPr>
            <w:r>
              <w:rPr>
                <w:rFonts w:hint="eastAsia"/>
                <w:sz w:val="21"/>
                <w:szCs w:val="21"/>
                <w:lang w:eastAsia="zh-CN" w:bidi="ar-SA"/>
              </w:rPr>
              <w:t>含</w:t>
            </w:r>
            <w:r>
              <w:rPr>
                <w:sz w:val="21"/>
                <w:szCs w:val="21"/>
                <w:lang w:eastAsia="zh-CN" w:bidi="ar-SA"/>
              </w:rPr>
              <w:t>水</w:t>
            </w:r>
          </w:p>
        </w:tc>
        <w:tc>
          <w:tcPr>
            <w:tcW w:w="1457" w:type="dxa"/>
            <w:tcBorders>
              <w:top w:val="single" w:color="auto" w:sz="12" w:space="0"/>
              <w:left w:val="nil"/>
              <w:bottom w:val="nil"/>
              <w:right w:val="single" w:color="auto" w:sz="8" w:space="0"/>
            </w:tcBorders>
            <w:vAlign w:val="center"/>
          </w:tcPr>
          <w:p w14:paraId="6D7F18AC">
            <w:pPr>
              <w:widowControl/>
              <w:snapToGrid w:val="0"/>
              <w:spacing w:line="240" w:lineRule="auto"/>
              <w:ind w:firstLine="0" w:firstLineChars="0"/>
              <w:jc w:val="center"/>
              <w:rPr>
                <w:sz w:val="21"/>
                <w:szCs w:val="21"/>
                <w:lang w:eastAsia="zh-CN" w:bidi="ar-SA"/>
              </w:rPr>
            </w:pPr>
            <w:r>
              <w:rPr>
                <w:sz w:val="21"/>
                <w:szCs w:val="21"/>
                <w:lang w:eastAsia="zh-CN" w:bidi="ar-SA"/>
              </w:rPr>
              <w:t>注水量</w:t>
            </w:r>
          </w:p>
        </w:tc>
        <w:tc>
          <w:tcPr>
            <w:tcW w:w="1331" w:type="dxa"/>
            <w:tcBorders>
              <w:top w:val="single" w:color="auto" w:sz="12" w:space="0"/>
              <w:left w:val="nil"/>
              <w:bottom w:val="nil"/>
              <w:right w:val="single" w:color="auto" w:sz="12" w:space="0"/>
            </w:tcBorders>
            <w:vAlign w:val="center"/>
          </w:tcPr>
          <w:p w14:paraId="27F2D03E">
            <w:pPr>
              <w:widowControl/>
              <w:snapToGrid w:val="0"/>
              <w:spacing w:line="240" w:lineRule="auto"/>
              <w:ind w:firstLine="0" w:firstLineChars="0"/>
              <w:jc w:val="center"/>
              <w:rPr>
                <w:sz w:val="21"/>
                <w:szCs w:val="21"/>
                <w:lang w:eastAsia="zh-CN" w:bidi="ar-SA"/>
              </w:rPr>
            </w:pPr>
            <w:r>
              <w:rPr>
                <w:rFonts w:hint="eastAsia"/>
                <w:sz w:val="21"/>
                <w:szCs w:val="21"/>
                <w:lang w:eastAsia="zh-CN" w:bidi="ar-SA"/>
              </w:rPr>
              <w:t>污</w:t>
            </w:r>
            <w:r>
              <w:rPr>
                <w:sz w:val="21"/>
                <w:szCs w:val="21"/>
                <w:lang w:eastAsia="zh-CN" w:bidi="ar-SA"/>
              </w:rPr>
              <w:t>水量</w:t>
            </w:r>
          </w:p>
        </w:tc>
        <w:tc>
          <w:tcPr>
            <w:tcW w:w="1331" w:type="dxa"/>
            <w:tcBorders>
              <w:top w:val="single" w:color="auto" w:sz="12" w:space="0"/>
              <w:left w:val="nil"/>
              <w:bottom w:val="nil"/>
              <w:right w:val="single" w:color="auto" w:sz="12" w:space="0"/>
            </w:tcBorders>
          </w:tcPr>
          <w:p w14:paraId="4D733495">
            <w:pPr>
              <w:widowControl/>
              <w:snapToGrid w:val="0"/>
              <w:spacing w:line="240" w:lineRule="auto"/>
              <w:ind w:firstLine="0" w:firstLineChars="0"/>
              <w:jc w:val="center"/>
              <w:rPr>
                <w:sz w:val="21"/>
                <w:szCs w:val="21"/>
                <w:lang w:eastAsia="zh-CN" w:bidi="ar-SA"/>
              </w:rPr>
            </w:pPr>
            <w:r>
              <w:rPr>
                <w:rFonts w:hint="eastAsia"/>
                <w:sz w:val="21"/>
                <w:szCs w:val="21"/>
                <w:lang w:eastAsia="zh-CN" w:bidi="ar-SA"/>
              </w:rPr>
              <w:t>补充清水量</w:t>
            </w:r>
          </w:p>
        </w:tc>
      </w:tr>
      <w:tr w14:paraId="76B7967D">
        <w:tblPrEx>
          <w:tblCellMar>
            <w:top w:w="0" w:type="dxa"/>
            <w:left w:w="108" w:type="dxa"/>
            <w:bottom w:w="0" w:type="dxa"/>
            <w:right w:w="108" w:type="dxa"/>
          </w:tblCellMar>
        </w:tblPrEx>
        <w:trPr>
          <w:trHeight w:val="340" w:hRule="atLeast"/>
        </w:trPr>
        <w:tc>
          <w:tcPr>
            <w:tcW w:w="959" w:type="dxa"/>
            <w:tcBorders>
              <w:top w:val="nil"/>
              <w:left w:val="single" w:color="auto" w:sz="12" w:space="0"/>
              <w:bottom w:val="single" w:color="auto" w:sz="8" w:space="0"/>
              <w:right w:val="single" w:color="auto" w:sz="8" w:space="0"/>
            </w:tcBorders>
            <w:vAlign w:val="center"/>
          </w:tcPr>
          <w:p w14:paraId="6AC86E57">
            <w:pPr>
              <w:widowControl/>
              <w:snapToGrid w:val="0"/>
              <w:spacing w:line="240" w:lineRule="auto"/>
              <w:ind w:firstLine="0" w:firstLineChars="0"/>
              <w:jc w:val="center"/>
              <w:rPr>
                <w:sz w:val="21"/>
                <w:szCs w:val="21"/>
                <w:lang w:eastAsia="zh-CN" w:bidi="ar-SA"/>
              </w:rPr>
            </w:pPr>
            <w:r>
              <w:rPr>
                <w:sz w:val="21"/>
                <w:szCs w:val="21"/>
                <w:lang w:eastAsia="zh-CN" w:bidi="ar-SA"/>
              </w:rPr>
              <w:t>年份</w:t>
            </w:r>
          </w:p>
        </w:tc>
        <w:tc>
          <w:tcPr>
            <w:tcW w:w="904" w:type="dxa"/>
            <w:tcBorders>
              <w:top w:val="nil"/>
              <w:left w:val="nil"/>
              <w:bottom w:val="single" w:color="auto" w:sz="8" w:space="0"/>
              <w:right w:val="single" w:color="auto" w:sz="8" w:space="0"/>
            </w:tcBorders>
            <w:vAlign w:val="center"/>
          </w:tcPr>
          <w:p w14:paraId="1FEAA6C8">
            <w:pPr>
              <w:widowControl/>
              <w:snapToGrid w:val="0"/>
              <w:spacing w:line="240" w:lineRule="auto"/>
              <w:ind w:firstLine="0" w:firstLineChars="0"/>
              <w:jc w:val="center"/>
              <w:rPr>
                <w:sz w:val="21"/>
                <w:szCs w:val="21"/>
                <w:lang w:eastAsia="zh-CN" w:bidi="ar-SA"/>
              </w:rPr>
            </w:pPr>
            <w:r>
              <w:rPr>
                <w:sz w:val="21"/>
                <w:szCs w:val="21"/>
                <w:lang w:eastAsia="zh-CN" w:bidi="ar-SA"/>
              </w:rPr>
              <w:t>（10</w:t>
            </w:r>
            <w:r>
              <w:rPr>
                <w:sz w:val="21"/>
                <w:szCs w:val="21"/>
                <w:vertAlign w:val="superscript"/>
                <w:lang w:eastAsia="zh-CN" w:bidi="ar-SA"/>
              </w:rPr>
              <w:t>4</w:t>
            </w:r>
            <w:r>
              <w:rPr>
                <w:sz w:val="21"/>
                <w:szCs w:val="21"/>
                <w:lang w:eastAsia="zh-CN" w:bidi="ar-SA"/>
              </w:rPr>
              <w:t>t）</w:t>
            </w:r>
          </w:p>
        </w:tc>
        <w:tc>
          <w:tcPr>
            <w:tcW w:w="1338" w:type="dxa"/>
            <w:tcBorders>
              <w:top w:val="nil"/>
              <w:left w:val="nil"/>
              <w:bottom w:val="single" w:color="auto" w:sz="8" w:space="0"/>
              <w:right w:val="single" w:color="auto" w:sz="8" w:space="0"/>
            </w:tcBorders>
            <w:vAlign w:val="center"/>
          </w:tcPr>
          <w:p w14:paraId="1FC10B17">
            <w:pPr>
              <w:widowControl/>
              <w:snapToGrid w:val="0"/>
              <w:spacing w:line="240" w:lineRule="auto"/>
              <w:ind w:firstLine="0" w:firstLineChars="0"/>
              <w:jc w:val="center"/>
              <w:rPr>
                <w:sz w:val="21"/>
                <w:szCs w:val="21"/>
                <w:lang w:eastAsia="zh-CN" w:bidi="ar-SA"/>
              </w:rPr>
            </w:pPr>
            <w:r>
              <w:rPr>
                <w:sz w:val="21"/>
                <w:szCs w:val="21"/>
                <w:lang w:eastAsia="zh-CN" w:bidi="ar-SA"/>
              </w:rPr>
              <w:t>（10</w:t>
            </w:r>
            <w:r>
              <w:rPr>
                <w:sz w:val="21"/>
                <w:szCs w:val="21"/>
                <w:vertAlign w:val="superscript"/>
                <w:lang w:eastAsia="zh-CN" w:bidi="ar-SA"/>
              </w:rPr>
              <w:t>4</w:t>
            </w:r>
            <w:r>
              <w:rPr>
                <w:sz w:val="21"/>
                <w:szCs w:val="21"/>
                <w:lang w:eastAsia="zh-CN" w:bidi="ar-SA"/>
              </w:rPr>
              <w:t>t）</w:t>
            </w:r>
          </w:p>
        </w:tc>
        <w:tc>
          <w:tcPr>
            <w:tcW w:w="1069" w:type="dxa"/>
            <w:tcBorders>
              <w:top w:val="nil"/>
              <w:left w:val="nil"/>
              <w:bottom w:val="single" w:color="auto" w:sz="8" w:space="0"/>
              <w:right w:val="single" w:color="auto" w:sz="8" w:space="0"/>
            </w:tcBorders>
            <w:vAlign w:val="center"/>
          </w:tcPr>
          <w:p w14:paraId="5698C0B9">
            <w:pPr>
              <w:widowControl/>
              <w:snapToGrid w:val="0"/>
              <w:spacing w:line="240" w:lineRule="auto"/>
              <w:ind w:firstLine="0" w:firstLineChars="0"/>
              <w:jc w:val="center"/>
              <w:rPr>
                <w:sz w:val="21"/>
                <w:szCs w:val="21"/>
                <w:lang w:eastAsia="zh-CN" w:bidi="ar-SA"/>
              </w:rPr>
            </w:pPr>
            <w:r>
              <w:rPr>
                <w:sz w:val="21"/>
                <w:szCs w:val="21"/>
                <w:lang w:eastAsia="zh-CN" w:bidi="ar-SA"/>
              </w:rPr>
              <w:t>（%）</w:t>
            </w:r>
          </w:p>
        </w:tc>
        <w:tc>
          <w:tcPr>
            <w:tcW w:w="1457" w:type="dxa"/>
            <w:tcBorders>
              <w:top w:val="nil"/>
              <w:left w:val="nil"/>
              <w:bottom w:val="single" w:color="auto" w:sz="8" w:space="0"/>
              <w:right w:val="single" w:color="auto" w:sz="8" w:space="0"/>
            </w:tcBorders>
            <w:vAlign w:val="center"/>
          </w:tcPr>
          <w:p w14:paraId="6D48D46E">
            <w:pPr>
              <w:widowControl/>
              <w:snapToGrid w:val="0"/>
              <w:spacing w:line="240" w:lineRule="auto"/>
              <w:ind w:firstLine="0" w:firstLineChars="0"/>
              <w:jc w:val="center"/>
              <w:rPr>
                <w:sz w:val="21"/>
                <w:szCs w:val="21"/>
                <w:lang w:eastAsia="zh-CN" w:bidi="ar-SA"/>
              </w:rPr>
            </w:pPr>
            <w:r>
              <w:rPr>
                <w:rFonts w:hint="eastAsia"/>
                <w:sz w:val="21"/>
                <w:szCs w:val="21"/>
                <w:lang w:eastAsia="zh-CN" w:bidi="ar-SA"/>
              </w:rPr>
              <w:t>（</w:t>
            </w:r>
            <w:r>
              <w:rPr>
                <w:sz w:val="21"/>
                <w:szCs w:val="21"/>
                <w:lang w:eastAsia="zh-CN" w:bidi="ar-SA"/>
              </w:rPr>
              <w:t>10</w:t>
            </w:r>
            <w:r>
              <w:rPr>
                <w:sz w:val="21"/>
                <w:szCs w:val="21"/>
                <w:vertAlign w:val="superscript"/>
                <w:lang w:eastAsia="zh-CN" w:bidi="ar-SA"/>
              </w:rPr>
              <w:t>4</w:t>
            </w:r>
            <w:r>
              <w:rPr>
                <w:sz w:val="21"/>
                <w:szCs w:val="21"/>
                <w:lang w:eastAsia="zh-CN" w:bidi="ar-SA"/>
              </w:rPr>
              <w:t>m</w:t>
            </w:r>
            <w:r>
              <w:rPr>
                <w:sz w:val="21"/>
                <w:szCs w:val="21"/>
                <w:vertAlign w:val="superscript"/>
                <w:lang w:eastAsia="zh-CN" w:bidi="ar-SA"/>
              </w:rPr>
              <w:t>3</w:t>
            </w:r>
            <w:r>
              <w:rPr>
                <w:sz w:val="21"/>
                <w:szCs w:val="21"/>
                <w:lang w:eastAsia="zh-CN" w:bidi="ar-SA"/>
              </w:rPr>
              <w:t>）</w:t>
            </w:r>
          </w:p>
        </w:tc>
        <w:tc>
          <w:tcPr>
            <w:tcW w:w="1331" w:type="dxa"/>
            <w:tcBorders>
              <w:top w:val="nil"/>
              <w:left w:val="nil"/>
              <w:bottom w:val="single" w:color="auto" w:sz="8" w:space="0"/>
              <w:right w:val="single" w:color="auto" w:sz="12" w:space="0"/>
            </w:tcBorders>
            <w:vAlign w:val="center"/>
          </w:tcPr>
          <w:p w14:paraId="4F0D0561">
            <w:pPr>
              <w:widowControl/>
              <w:snapToGrid w:val="0"/>
              <w:spacing w:line="240" w:lineRule="auto"/>
              <w:ind w:firstLine="0" w:firstLineChars="0"/>
              <w:jc w:val="center"/>
              <w:rPr>
                <w:sz w:val="21"/>
                <w:szCs w:val="21"/>
                <w:lang w:eastAsia="zh-CN" w:bidi="ar-SA"/>
              </w:rPr>
            </w:pPr>
            <w:r>
              <w:rPr>
                <w:sz w:val="21"/>
                <w:szCs w:val="21"/>
                <w:lang w:eastAsia="zh-CN" w:bidi="ar-SA"/>
              </w:rPr>
              <w:t>（10</w:t>
            </w:r>
            <w:r>
              <w:rPr>
                <w:sz w:val="21"/>
                <w:szCs w:val="21"/>
                <w:vertAlign w:val="superscript"/>
                <w:lang w:eastAsia="zh-CN" w:bidi="ar-SA"/>
              </w:rPr>
              <w:t>4</w:t>
            </w:r>
            <w:r>
              <w:rPr>
                <w:sz w:val="21"/>
                <w:szCs w:val="21"/>
                <w:lang w:eastAsia="zh-CN" w:bidi="ar-SA"/>
              </w:rPr>
              <w:t>m</w:t>
            </w:r>
            <w:r>
              <w:rPr>
                <w:sz w:val="21"/>
                <w:szCs w:val="21"/>
                <w:vertAlign w:val="superscript"/>
                <w:lang w:eastAsia="zh-CN" w:bidi="ar-SA"/>
              </w:rPr>
              <w:t>3</w:t>
            </w:r>
            <w:r>
              <w:rPr>
                <w:sz w:val="21"/>
                <w:szCs w:val="21"/>
                <w:lang w:eastAsia="zh-CN" w:bidi="ar-SA"/>
              </w:rPr>
              <w:t>）</w:t>
            </w:r>
          </w:p>
        </w:tc>
        <w:tc>
          <w:tcPr>
            <w:tcW w:w="1331" w:type="dxa"/>
            <w:tcBorders>
              <w:top w:val="nil"/>
              <w:left w:val="nil"/>
              <w:bottom w:val="single" w:color="auto" w:sz="8" w:space="0"/>
              <w:right w:val="single" w:color="auto" w:sz="12" w:space="0"/>
            </w:tcBorders>
          </w:tcPr>
          <w:p w14:paraId="33234FDA">
            <w:pPr>
              <w:widowControl/>
              <w:snapToGrid w:val="0"/>
              <w:spacing w:line="240" w:lineRule="auto"/>
              <w:ind w:firstLine="0" w:firstLineChars="0"/>
              <w:jc w:val="center"/>
              <w:rPr>
                <w:sz w:val="21"/>
                <w:szCs w:val="21"/>
                <w:lang w:eastAsia="zh-CN" w:bidi="ar-SA"/>
              </w:rPr>
            </w:pPr>
            <w:r>
              <w:rPr>
                <w:sz w:val="21"/>
                <w:szCs w:val="21"/>
                <w:lang w:eastAsia="zh-CN" w:bidi="ar-SA"/>
              </w:rPr>
              <w:t>（10</w:t>
            </w:r>
            <w:r>
              <w:rPr>
                <w:sz w:val="21"/>
                <w:szCs w:val="21"/>
                <w:vertAlign w:val="superscript"/>
                <w:lang w:eastAsia="zh-CN" w:bidi="ar-SA"/>
              </w:rPr>
              <w:t>4</w:t>
            </w:r>
            <w:r>
              <w:rPr>
                <w:sz w:val="21"/>
                <w:szCs w:val="21"/>
                <w:lang w:eastAsia="zh-CN" w:bidi="ar-SA"/>
              </w:rPr>
              <w:t>m</w:t>
            </w:r>
            <w:r>
              <w:rPr>
                <w:sz w:val="21"/>
                <w:szCs w:val="21"/>
                <w:vertAlign w:val="superscript"/>
                <w:lang w:eastAsia="zh-CN" w:bidi="ar-SA"/>
              </w:rPr>
              <w:t>3</w:t>
            </w:r>
            <w:r>
              <w:rPr>
                <w:sz w:val="21"/>
                <w:szCs w:val="21"/>
                <w:lang w:eastAsia="zh-CN" w:bidi="ar-SA"/>
              </w:rPr>
              <w:t>）</w:t>
            </w:r>
          </w:p>
        </w:tc>
      </w:tr>
      <w:tr w14:paraId="03B4E8BE">
        <w:tblPrEx>
          <w:tblCellMar>
            <w:top w:w="0" w:type="dxa"/>
            <w:left w:w="108" w:type="dxa"/>
            <w:bottom w:w="0" w:type="dxa"/>
            <w:right w:w="108" w:type="dxa"/>
          </w:tblCellMar>
        </w:tblPrEx>
        <w:trPr>
          <w:trHeight w:val="340" w:hRule="atLeast"/>
        </w:trPr>
        <w:tc>
          <w:tcPr>
            <w:tcW w:w="959" w:type="dxa"/>
            <w:tcBorders>
              <w:top w:val="nil"/>
              <w:left w:val="single" w:color="auto" w:sz="12" w:space="0"/>
              <w:bottom w:val="single" w:color="auto" w:sz="8" w:space="0"/>
              <w:right w:val="single" w:color="auto" w:sz="8" w:space="0"/>
            </w:tcBorders>
            <w:vAlign w:val="center"/>
          </w:tcPr>
          <w:p w14:paraId="671CB93E">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2013年</w:t>
            </w:r>
          </w:p>
        </w:tc>
        <w:tc>
          <w:tcPr>
            <w:tcW w:w="904" w:type="dxa"/>
            <w:tcBorders>
              <w:top w:val="nil"/>
              <w:left w:val="nil"/>
              <w:bottom w:val="single" w:color="auto" w:sz="8" w:space="0"/>
              <w:right w:val="single" w:color="auto" w:sz="8" w:space="0"/>
            </w:tcBorders>
            <w:vAlign w:val="center"/>
          </w:tcPr>
          <w:p w14:paraId="48722770">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3.65</w:t>
            </w:r>
          </w:p>
        </w:tc>
        <w:tc>
          <w:tcPr>
            <w:tcW w:w="1338" w:type="dxa"/>
            <w:tcBorders>
              <w:top w:val="nil"/>
              <w:left w:val="nil"/>
              <w:bottom w:val="single" w:color="auto" w:sz="8" w:space="0"/>
              <w:right w:val="single" w:color="auto" w:sz="8" w:space="0"/>
            </w:tcBorders>
            <w:vAlign w:val="center"/>
          </w:tcPr>
          <w:p w14:paraId="10B936A3">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2.08</w:t>
            </w:r>
          </w:p>
        </w:tc>
        <w:tc>
          <w:tcPr>
            <w:tcW w:w="1069" w:type="dxa"/>
            <w:tcBorders>
              <w:top w:val="nil"/>
              <w:left w:val="nil"/>
              <w:bottom w:val="single" w:color="auto" w:sz="8" w:space="0"/>
              <w:right w:val="single" w:color="auto" w:sz="8" w:space="0"/>
            </w:tcBorders>
            <w:vAlign w:val="center"/>
          </w:tcPr>
          <w:p w14:paraId="4EA17C11">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13.14</w:t>
            </w:r>
          </w:p>
        </w:tc>
        <w:tc>
          <w:tcPr>
            <w:tcW w:w="1457" w:type="dxa"/>
            <w:tcBorders>
              <w:top w:val="nil"/>
              <w:left w:val="nil"/>
              <w:bottom w:val="single" w:color="auto" w:sz="8" w:space="0"/>
              <w:right w:val="single" w:color="auto" w:sz="8" w:space="0"/>
            </w:tcBorders>
            <w:vAlign w:val="center"/>
          </w:tcPr>
          <w:p w14:paraId="58F9697F">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11.68</w:t>
            </w:r>
          </w:p>
        </w:tc>
        <w:tc>
          <w:tcPr>
            <w:tcW w:w="1331" w:type="dxa"/>
            <w:tcBorders>
              <w:top w:val="nil"/>
              <w:left w:val="nil"/>
              <w:bottom w:val="single" w:color="auto" w:sz="8" w:space="0"/>
              <w:right w:val="single" w:color="auto" w:sz="12" w:space="0"/>
            </w:tcBorders>
            <w:vAlign w:val="center"/>
          </w:tcPr>
          <w:p w14:paraId="49502E09">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1.58</w:t>
            </w:r>
          </w:p>
        </w:tc>
        <w:tc>
          <w:tcPr>
            <w:tcW w:w="1331" w:type="dxa"/>
            <w:tcBorders>
              <w:top w:val="nil"/>
              <w:left w:val="nil"/>
              <w:bottom w:val="single" w:color="auto" w:sz="8" w:space="0"/>
              <w:right w:val="single" w:color="auto" w:sz="12" w:space="0"/>
            </w:tcBorders>
          </w:tcPr>
          <w:p w14:paraId="55D6E65C">
            <w:pPr>
              <w:widowControl/>
              <w:spacing w:line="324" w:lineRule="auto"/>
              <w:ind w:firstLine="0" w:firstLineChars="0"/>
              <w:jc w:val="center"/>
              <w:rPr>
                <w:rFonts w:ascii="宋体" w:hAnsi="宋体" w:cs="Tahoma"/>
                <w:sz w:val="21"/>
                <w:szCs w:val="21"/>
              </w:rPr>
            </w:pPr>
            <w:r>
              <w:rPr>
                <w:rFonts w:hint="eastAsia" w:ascii="宋体" w:hAnsi="宋体" w:cs="Tahoma"/>
                <w:sz w:val="21"/>
                <w:szCs w:val="21"/>
                <w:lang w:eastAsia="zh-CN"/>
              </w:rPr>
              <w:t>11.52</w:t>
            </w:r>
          </w:p>
        </w:tc>
      </w:tr>
      <w:tr w14:paraId="5024BF45">
        <w:tblPrEx>
          <w:tblCellMar>
            <w:top w:w="0" w:type="dxa"/>
            <w:left w:w="108" w:type="dxa"/>
            <w:bottom w:w="0" w:type="dxa"/>
            <w:right w:w="108" w:type="dxa"/>
          </w:tblCellMar>
        </w:tblPrEx>
        <w:trPr>
          <w:trHeight w:val="340" w:hRule="atLeast"/>
        </w:trPr>
        <w:tc>
          <w:tcPr>
            <w:tcW w:w="959" w:type="dxa"/>
            <w:tcBorders>
              <w:top w:val="nil"/>
              <w:left w:val="single" w:color="auto" w:sz="12" w:space="0"/>
              <w:bottom w:val="single" w:color="auto" w:sz="8" w:space="0"/>
              <w:right w:val="single" w:color="auto" w:sz="8" w:space="0"/>
            </w:tcBorders>
            <w:vAlign w:val="center"/>
          </w:tcPr>
          <w:p w14:paraId="5AEC5A6D">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2014年</w:t>
            </w:r>
          </w:p>
        </w:tc>
        <w:tc>
          <w:tcPr>
            <w:tcW w:w="904" w:type="dxa"/>
            <w:tcBorders>
              <w:top w:val="nil"/>
              <w:left w:val="nil"/>
              <w:bottom w:val="single" w:color="auto" w:sz="8" w:space="0"/>
              <w:right w:val="single" w:color="auto" w:sz="8" w:space="0"/>
            </w:tcBorders>
            <w:vAlign w:val="center"/>
          </w:tcPr>
          <w:p w14:paraId="6FD2F296">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 xml:space="preserve">5.76 </w:t>
            </w:r>
          </w:p>
        </w:tc>
        <w:tc>
          <w:tcPr>
            <w:tcW w:w="1338" w:type="dxa"/>
            <w:tcBorders>
              <w:top w:val="nil"/>
              <w:left w:val="nil"/>
              <w:bottom w:val="single" w:color="auto" w:sz="8" w:space="0"/>
              <w:right w:val="single" w:color="auto" w:sz="8" w:space="0"/>
            </w:tcBorders>
            <w:vAlign w:val="center"/>
          </w:tcPr>
          <w:p w14:paraId="27B68E93">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 xml:space="preserve">3.51 </w:t>
            </w:r>
          </w:p>
        </w:tc>
        <w:tc>
          <w:tcPr>
            <w:tcW w:w="1069" w:type="dxa"/>
            <w:tcBorders>
              <w:top w:val="nil"/>
              <w:left w:val="nil"/>
              <w:bottom w:val="single" w:color="auto" w:sz="8" w:space="0"/>
              <w:right w:val="single" w:color="auto" w:sz="8" w:space="0"/>
            </w:tcBorders>
            <w:vAlign w:val="center"/>
          </w:tcPr>
          <w:p w14:paraId="4DEA673C">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 xml:space="preserve">39.12 </w:t>
            </w:r>
          </w:p>
        </w:tc>
        <w:tc>
          <w:tcPr>
            <w:tcW w:w="1457" w:type="dxa"/>
            <w:tcBorders>
              <w:top w:val="nil"/>
              <w:left w:val="nil"/>
              <w:bottom w:val="single" w:color="auto" w:sz="8" w:space="0"/>
              <w:right w:val="single" w:color="auto" w:sz="8" w:space="0"/>
            </w:tcBorders>
            <w:vAlign w:val="center"/>
          </w:tcPr>
          <w:p w14:paraId="1B74BFB5">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 xml:space="preserve">11.14 </w:t>
            </w:r>
          </w:p>
        </w:tc>
        <w:tc>
          <w:tcPr>
            <w:tcW w:w="1331" w:type="dxa"/>
            <w:tcBorders>
              <w:top w:val="nil"/>
              <w:left w:val="nil"/>
              <w:bottom w:val="single" w:color="auto" w:sz="8" w:space="0"/>
              <w:right w:val="single" w:color="auto" w:sz="12" w:space="0"/>
            </w:tcBorders>
            <w:vAlign w:val="center"/>
          </w:tcPr>
          <w:p w14:paraId="011C55E2">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 xml:space="preserve">2.25 </w:t>
            </w:r>
          </w:p>
        </w:tc>
        <w:tc>
          <w:tcPr>
            <w:tcW w:w="1331" w:type="dxa"/>
            <w:tcBorders>
              <w:top w:val="nil"/>
              <w:left w:val="nil"/>
              <w:bottom w:val="single" w:color="auto" w:sz="8" w:space="0"/>
              <w:right w:val="single" w:color="auto" w:sz="12" w:space="0"/>
            </w:tcBorders>
          </w:tcPr>
          <w:p w14:paraId="4345A73E">
            <w:pPr>
              <w:widowControl/>
              <w:spacing w:line="324" w:lineRule="auto"/>
              <w:ind w:firstLine="0" w:firstLineChars="0"/>
              <w:jc w:val="center"/>
              <w:rPr>
                <w:rFonts w:ascii="宋体" w:hAnsi="宋体" w:cs="Tahoma"/>
                <w:sz w:val="21"/>
                <w:szCs w:val="21"/>
              </w:rPr>
            </w:pPr>
            <w:r>
              <w:rPr>
                <w:rFonts w:hint="eastAsia" w:ascii="宋体" w:hAnsi="宋体" w:cs="Tahoma"/>
                <w:sz w:val="21"/>
                <w:szCs w:val="21"/>
                <w:lang w:eastAsia="zh-CN"/>
              </w:rPr>
              <w:t>10.31</w:t>
            </w:r>
          </w:p>
        </w:tc>
      </w:tr>
      <w:tr w14:paraId="3526A033">
        <w:tblPrEx>
          <w:tblCellMar>
            <w:top w:w="0" w:type="dxa"/>
            <w:left w:w="108" w:type="dxa"/>
            <w:bottom w:w="0" w:type="dxa"/>
            <w:right w:w="108" w:type="dxa"/>
          </w:tblCellMar>
        </w:tblPrEx>
        <w:trPr>
          <w:trHeight w:val="340" w:hRule="atLeast"/>
        </w:trPr>
        <w:tc>
          <w:tcPr>
            <w:tcW w:w="959" w:type="dxa"/>
            <w:tcBorders>
              <w:top w:val="nil"/>
              <w:left w:val="single" w:color="auto" w:sz="12" w:space="0"/>
              <w:bottom w:val="single" w:color="auto" w:sz="8" w:space="0"/>
              <w:right w:val="single" w:color="auto" w:sz="8" w:space="0"/>
            </w:tcBorders>
            <w:vAlign w:val="center"/>
          </w:tcPr>
          <w:p w14:paraId="30FAEAA3">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2015年</w:t>
            </w:r>
          </w:p>
        </w:tc>
        <w:tc>
          <w:tcPr>
            <w:tcW w:w="904" w:type="dxa"/>
            <w:tcBorders>
              <w:top w:val="nil"/>
              <w:left w:val="nil"/>
              <w:bottom w:val="single" w:color="auto" w:sz="8" w:space="0"/>
              <w:right w:val="single" w:color="auto" w:sz="8" w:space="0"/>
            </w:tcBorders>
            <w:vAlign w:val="center"/>
          </w:tcPr>
          <w:p w14:paraId="13BCE917">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 xml:space="preserve">9.43 </w:t>
            </w:r>
          </w:p>
        </w:tc>
        <w:tc>
          <w:tcPr>
            <w:tcW w:w="1338" w:type="dxa"/>
            <w:tcBorders>
              <w:top w:val="nil"/>
              <w:left w:val="nil"/>
              <w:bottom w:val="single" w:color="auto" w:sz="8" w:space="0"/>
              <w:right w:val="single" w:color="auto" w:sz="8" w:space="0"/>
            </w:tcBorders>
            <w:vAlign w:val="center"/>
          </w:tcPr>
          <w:p w14:paraId="78C2C272">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 xml:space="preserve">5.81 </w:t>
            </w:r>
          </w:p>
        </w:tc>
        <w:tc>
          <w:tcPr>
            <w:tcW w:w="1069" w:type="dxa"/>
            <w:tcBorders>
              <w:top w:val="nil"/>
              <w:left w:val="nil"/>
              <w:bottom w:val="single" w:color="auto" w:sz="8" w:space="0"/>
              <w:right w:val="single" w:color="auto" w:sz="8" w:space="0"/>
            </w:tcBorders>
            <w:vAlign w:val="center"/>
          </w:tcPr>
          <w:p w14:paraId="67531C95">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 xml:space="preserve">38.35 </w:t>
            </w:r>
          </w:p>
        </w:tc>
        <w:tc>
          <w:tcPr>
            <w:tcW w:w="1457" w:type="dxa"/>
            <w:tcBorders>
              <w:top w:val="nil"/>
              <w:left w:val="nil"/>
              <w:bottom w:val="single" w:color="auto" w:sz="8" w:space="0"/>
              <w:right w:val="single" w:color="auto" w:sz="8" w:space="0"/>
            </w:tcBorders>
            <w:vAlign w:val="center"/>
          </w:tcPr>
          <w:p w14:paraId="689C6B4A">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 xml:space="preserve">16.69 </w:t>
            </w:r>
          </w:p>
        </w:tc>
        <w:tc>
          <w:tcPr>
            <w:tcW w:w="1331" w:type="dxa"/>
            <w:tcBorders>
              <w:top w:val="nil"/>
              <w:left w:val="nil"/>
              <w:bottom w:val="single" w:color="auto" w:sz="8" w:space="0"/>
              <w:right w:val="single" w:color="auto" w:sz="12" w:space="0"/>
            </w:tcBorders>
            <w:vAlign w:val="center"/>
          </w:tcPr>
          <w:p w14:paraId="43A5BBAD">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 xml:space="preserve">3.62 </w:t>
            </w:r>
          </w:p>
        </w:tc>
        <w:tc>
          <w:tcPr>
            <w:tcW w:w="1331" w:type="dxa"/>
            <w:tcBorders>
              <w:top w:val="nil"/>
              <w:left w:val="nil"/>
              <w:bottom w:val="single" w:color="auto" w:sz="8" w:space="0"/>
              <w:right w:val="single" w:color="auto" w:sz="12" w:space="0"/>
            </w:tcBorders>
          </w:tcPr>
          <w:p w14:paraId="37D23447">
            <w:pPr>
              <w:widowControl/>
              <w:spacing w:line="324" w:lineRule="auto"/>
              <w:ind w:firstLine="0" w:firstLineChars="0"/>
              <w:jc w:val="center"/>
              <w:rPr>
                <w:rFonts w:ascii="宋体" w:hAnsi="宋体" w:cs="Tahoma"/>
                <w:sz w:val="21"/>
                <w:szCs w:val="21"/>
              </w:rPr>
            </w:pPr>
            <w:r>
              <w:rPr>
                <w:rFonts w:hint="eastAsia" w:ascii="宋体" w:hAnsi="宋体" w:cs="Tahoma"/>
                <w:sz w:val="21"/>
                <w:szCs w:val="21"/>
                <w:lang w:eastAsia="zh-CN"/>
              </w:rPr>
              <w:t>14.49</w:t>
            </w:r>
          </w:p>
        </w:tc>
      </w:tr>
      <w:tr w14:paraId="549D3EAB">
        <w:tblPrEx>
          <w:tblCellMar>
            <w:top w:w="0" w:type="dxa"/>
            <w:left w:w="108" w:type="dxa"/>
            <w:bottom w:w="0" w:type="dxa"/>
            <w:right w:w="108" w:type="dxa"/>
          </w:tblCellMar>
        </w:tblPrEx>
        <w:trPr>
          <w:trHeight w:val="340" w:hRule="atLeast"/>
        </w:trPr>
        <w:tc>
          <w:tcPr>
            <w:tcW w:w="959" w:type="dxa"/>
            <w:tcBorders>
              <w:top w:val="nil"/>
              <w:left w:val="single" w:color="auto" w:sz="12" w:space="0"/>
              <w:bottom w:val="single" w:color="auto" w:sz="8" w:space="0"/>
              <w:right w:val="single" w:color="auto" w:sz="8" w:space="0"/>
            </w:tcBorders>
            <w:vAlign w:val="center"/>
          </w:tcPr>
          <w:p w14:paraId="1CB01927">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2016年</w:t>
            </w:r>
          </w:p>
        </w:tc>
        <w:tc>
          <w:tcPr>
            <w:tcW w:w="904" w:type="dxa"/>
            <w:tcBorders>
              <w:top w:val="nil"/>
              <w:left w:val="nil"/>
              <w:bottom w:val="single" w:color="auto" w:sz="8" w:space="0"/>
              <w:right w:val="single" w:color="auto" w:sz="8" w:space="0"/>
            </w:tcBorders>
            <w:vAlign w:val="center"/>
          </w:tcPr>
          <w:p w14:paraId="6D1C66F9">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 xml:space="preserve">11.29 </w:t>
            </w:r>
          </w:p>
        </w:tc>
        <w:tc>
          <w:tcPr>
            <w:tcW w:w="1338" w:type="dxa"/>
            <w:tcBorders>
              <w:top w:val="nil"/>
              <w:left w:val="nil"/>
              <w:bottom w:val="single" w:color="auto" w:sz="8" w:space="0"/>
              <w:right w:val="single" w:color="auto" w:sz="8" w:space="0"/>
            </w:tcBorders>
            <w:vAlign w:val="center"/>
          </w:tcPr>
          <w:p w14:paraId="44463D16">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 xml:space="preserve">6.52 </w:t>
            </w:r>
          </w:p>
        </w:tc>
        <w:tc>
          <w:tcPr>
            <w:tcW w:w="1069" w:type="dxa"/>
            <w:tcBorders>
              <w:top w:val="nil"/>
              <w:left w:val="nil"/>
              <w:bottom w:val="single" w:color="auto" w:sz="8" w:space="0"/>
              <w:right w:val="single" w:color="auto" w:sz="8" w:space="0"/>
            </w:tcBorders>
            <w:vAlign w:val="center"/>
          </w:tcPr>
          <w:p w14:paraId="06F0662B">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 xml:space="preserve">42.26 </w:t>
            </w:r>
          </w:p>
        </w:tc>
        <w:tc>
          <w:tcPr>
            <w:tcW w:w="1457" w:type="dxa"/>
            <w:tcBorders>
              <w:top w:val="nil"/>
              <w:left w:val="nil"/>
              <w:bottom w:val="single" w:color="auto" w:sz="8" w:space="0"/>
              <w:right w:val="single" w:color="auto" w:sz="8" w:space="0"/>
            </w:tcBorders>
            <w:vAlign w:val="center"/>
          </w:tcPr>
          <w:p w14:paraId="6E2C5F11">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 xml:space="preserve">18.36 </w:t>
            </w:r>
          </w:p>
        </w:tc>
        <w:tc>
          <w:tcPr>
            <w:tcW w:w="1331" w:type="dxa"/>
            <w:tcBorders>
              <w:top w:val="nil"/>
              <w:left w:val="nil"/>
              <w:bottom w:val="single" w:color="auto" w:sz="8" w:space="0"/>
              <w:right w:val="single" w:color="auto" w:sz="12" w:space="0"/>
            </w:tcBorders>
            <w:vAlign w:val="center"/>
          </w:tcPr>
          <w:p w14:paraId="09EE984B">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 xml:space="preserve">4.77 </w:t>
            </w:r>
          </w:p>
        </w:tc>
        <w:tc>
          <w:tcPr>
            <w:tcW w:w="1331" w:type="dxa"/>
            <w:tcBorders>
              <w:top w:val="nil"/>
              <w:left w:val="nil"/>
              <w:bottom w:val="single" w:color="auto" w:sz="8" w:space="0"/>
              <w:right w:val="single" w:color="auto" w:sz="12" w:space="0"/>
            </w:tcBorders>
          </w:tcPr>
          <w:p w14:paraId="1759871F">
            <w:pPr>
              <w:widowControl/>
              <w:spacing w:line="324" w:lineRule="auto"/>
              <w:ind w:firstLine="0" w:firstLineChars="0"/>
              <w:jc w:val="center"/>
              <w:rPr>
                <w:rFonts w:ascii="宋体" w:hAnsi="宋体" w:cs="Tahoma"/>
                <w:sz w:val="21"/>
                <w:szCs w:val="21"/>
              </w:rPr>
            </w:pPr>
            <w:r>
              <w:rPr>
                <w:rFonts w:hint="eastAsia" w:ascii="宋体" w:hAnsi="宋体" w:cs="Tahoma"/>
                <w:sz w:val="21"/>
                <w:szCs w:val="21"/>
                <w:lang w:eastAsia="zh-CN"/>
              </w:rPr>
              <w:t>15.01</w:t>
            </w:r>
          </w:p>
        </w:tc>
      </w:tr>
      <w:tr w14:paraId="5B869D95">
        <w:tblPrEx>
          <w:tblCellMar>
            <w:top w:w="0" w:type="dxa"/>
            <w:left w:w="108" w:type="dxa"/>
            <w:bottom w:w="0" w:type="dxa"/>
            <w:right w:w="108" w:type="dxa"/>
          </w:tblCellMar>
        </w:tblPrEx>
        <w:trPr>
          <w:trHeight w:val="340" w:hRule="atLeast"/>
        </w:trPr>
        <w:tc>
          <w:tcPr>
            <w:tcW w:w="959" w:type="dxa"/>
            <w:tcBorders>
              <w:top w:val="nil"/>
              <w:left w:val="single" w:color="auto" w:sz="12" w:space="0"/>
              <w:bottom w:val="single" w:color="auto" w:sz="8" w:space="0"/>
              <w:right w:val="single" w:color="auto" w:sz="8" w:space="0"/>
            </w:tcBorders>
            <w:vAlign w:val="center"/>
          </w:tcPr>
          <w:p w14:paraId="32CCC552">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2017年</w:t>
            </w:r>
          </w:p>
        </w:tc>
        <w:tc>
          <w:tcPr>
            <w:tcW w:w="904" w:type="dxa"/>
            <w:tcBorders>
              <w:top w:val="nil"/>
              <w:left w:val="nil"/>
              <w:bottom w:val="single" w:color="auto" w:sz="8" w:space="0"/>
              <w:right w:val="single" w:color="auto" w:sz="8" w:space="0"/>
            </w:tcBorders>
            <w:vAlign w:val="center"/>
          </w:tcPr>
          <w:p w14:paraId="63E79737">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 xml:space="preserve">11.62 </w:t>
            </w:r>
          </w:p>
        </w:tc>
        <w:tc>
          <w:tcPr>
            <w:tcW w:w="1338" w:type="dxa"/>
            <w:tcBorders>
              <w:top w:val="nil"/>
              <w:left w:val="nil"/>
              <w:bottom w:val="single" w:color="auto" w:sz="8" w:space="0"/>
              <w:right w:val="single" w:color="auto" w:sz="8" w:space="0"/>
            </w:tcBorders>
            <w:vAlign w:val="center"/>
          </w:tcPr>
          <w:p w14:paraId="5E6FDA30">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 xml:space="preserve">6.18 </w:t>
            </w:r>
          </w:p>
        </w:tc>
        <w:tc>
          <w:tcPr>
            <w:tcW w:w="1069" w:type="dxa"/>
            <w:tcBorders>
              <w:top w:val="nil"/>
              <w:left w:val="nil"/>
              <w:bottom w:val="single" w:color="auto" w:sz="8" w:space="0"/>
              <w:right w:val="single" w:color="auto" w:sz="8" w:space="0"/>
            </w:tcBorders>
            <w:vAlign w:val="center"/>
          </w:tcPr>
          <w:p w14:paraId="157786C5">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 xml:space="preserve">46.80 </w:t>
            </w:r>
          </w:p>
        </w:tc>
        <w:tc>
          <w:tcPr>
            <w:tcW w:w="1457" w:type="dxa"/>
            <w:tcBorders>
              <w:top w:val="nil"/>
              <w:left w:val="nil"/>
              <w:bottom w:val="single" w:color="auto" w:sz="8" w:space="0"/>
              <w:right w:val="single" w:color="auto" w:sz="8" w:space="0"/>
            </w:tcBorders>
            <w:vAlign w:val="center"/>
          </w:tcPr>
          <w:p w14:paraId="6F6355D1">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 xml:space="preserve">17.14 </w:t>
            </w:r>
          </w:p>
        </w:tc>
        <w:tc>
          <w:tcPr>
            <w:tcW w:w="1331" w:type="dxa"/>
            <w:tcBorders>
              <w:top w:val="nil"/>
              <w:left w:val="nil"/>
              <w:bottom w:val="single" w:color="auto" w:sz="8" w:space="0"/>
              <w:right w:val="single" w:color="auto" w:sz="12" w:space="0"/>
            </w:tcBorders>
            <w:vAlign w:val="center"/>
          </w:tcPr>
          <w:p w14:paraId="7479DA1A">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 xml:space="preserve">5.44 </w:t>
            </w:r>
          </w:p>
        </w:tc>
        <w:tc>
          <w:tcPr>
            <w:tcW w:w="1331" w:type="dxa"/>
            <w:tcBorders>
              <w:top w:val="nil"/>
              <w:left w:val="nil"/>
              <w:bottom w:val="single" w:color="auto" w:sz="8" w:space="0"/>
              <w:right w:val="single" w:color="auto" w:sz="12" w:space="0"/>
            </w:tcBorders>
          </w:tcPr>
          <w:p w14:paraId="50592BC1">
            <w:pPr>
              <w:widowControl/>
              <w:spacing w:line="324" w:lineRule="auto"/>
              <w:ind w:firstLine="0" w:firstLineChars="0"/>
              <w:jc w:val="center"/>
              <w:rPr>
                <w:rFonts w:ascii="宋体" w:hAnsi="宋体" w:cs="Tahoma"/>
                <w:sz w:val="21"/>
                <w:szCs w:val="21"/>
              </w:rPr>
            </w:pPr>
            <w:r>
              <w:rPr>
                <w:rFonts w:hint="eastAsia" w:ascii="宋体" w:hAnsi="宋体" w:cs="Tahoma"/>
                <w:sz w:val="21"/>
                <w:szCs w:val="21"/>
                <w:lang w:eastAsia="zh-CN"/>
              </w:rPr>
              <w:t>13.12</w:t>
            </w:r>
          </w:p>
        </w:tc>
      </w:tr>
      <w:tr w14:paraId="1049B04A">
        <w:tblPrEx>
          <w:tblCellMar>
            <w:top w:w="0" w:type="dxa"/>
            <w:left w:w="108" w:type="dxa"/>
            <w:bottom w:w="0" w:type="dxa"/>
            <w:right w:w="108" w:type="dxa"/>
          </w:tblCellMar>
        </w:tblPrEx>
        <w:trPr>
          <w:trHeight w:val="340" w:hRule="atLeast"/>
        </w:trPr>
        <w:tc>
          <w:tcPr>
            <w:tcW w:w="959" w:type="dxa"/>
            <w:tcBorders>
              <w:top w:val="nil"/>
              <w:left w:val="single" w:color="auto" w:sz="12" w:space="0"/>
              <w:bottom w:val="single" w:color="auto" w:sz="8" w:space="0"/>
              <w:right w:val="single" w:color="auto" w:sz="8" w:space="0"/>
            </w:tcBorders>
            <w:vAlign w:val="center"/>
          </w:tcPr>
          <w:p w14:paraId="00D10F4B">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2018年</w:t>
            </w:r>
          </w:p>
        </w:tc>
        <w:tc>
          <w:tcPr>
            <w:tcW w:w="904" w:type="dxa"/>
            <w:tcBorders>
              <w:top w:val="nil"/>
              <w:left w:val="nil"/>
              <w:bottom w:val="single" w:color="auto" w:sz="8" w:space="0"/>
              <w:right w:val="single" w:color="auto" w:sz="8" w:space="0"/>
            </w:tcBorders>
            <w:vAlign w:val="center"/>
          </w:tcPr>
          <w:p w14:paraId="494CABEB">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 xml:space="preserve">11.26 </w:t>
            </w:r>
          </w:p>
        </w:tc>
        <w:tc>
          <w:tcPr>
            <w:tcW w:w="1338" w:type="dxa"/>
            <w:tcBorders>
              <w:top w:val="nil"/>
              <w:left w:val="nil"/>
              <w:bottom w:val="single" w:color="auto" w:sz="8" w:space="0"/>
              <w:right w:val="single" w:color="auto" w:sz="8" w:space="0"/>
            </w:tcBorders>
            <w:vAlign w:val="center"/>
          </w:tcPr>
          <w:p w14:paraId="7A44AE9D">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 xml:space="preserve">5.41 </w:t>
            </w:r>
          </w:p>
        </w:tc>
        <w:tc>
          <w:tcPr>
            <w:tcW w:w="1069" w:type="dxa"/>
            <w:tcBorders>
              <w:top w:val="nil"/>
              <w:left w:val="nil"/>
              <w:bottom w:val="single" w:color="auto" w:sz="8" w:space="0"/>
              <w:right w:val="single" w:color="auto" w:sz="8" w:space="0"/>
            </w:tcBorders>
            <w:vAlign w:val="center"/>
          </w:tcPr>
          <w:p w14:paraId="2B325268">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 xml:space="preserve">52.01 </w:t>
            </w:r>
          </w:p>
        </w:tc>
        <w:tc>
          <w:tcPr>
            <w:tcW w:w="1457" w:type="dxa"/>
            <w:tcBorders>
              <w:top w:val="nil"/>
              <w:left w:val="nil"/>
              <w:bottom w:val="single" w:color="auto" w:sz="8" w:space="0"/>
              <w:right w:val="single" w:color="auto" w:sz="8" w:space="0"/>
            </w:tcBorders>
            <w:vAlign w:val="center"/>
          </w:tcPr>
          <w:p w14:paraId="04E1068B">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 xml:space="preserve">16.51 </w:t>
            </w:r>
          </w:p>
        </w:tc>
        <w:tc>
          <w:tcPr>
            <w:tcW w:w="1331" w:type="dxa"/>
            <w:tcBorders>
              <w:top w:val="nil"/>
              <w:left w:val="nil"/>
              <w:bottom w:val="single" w:color="auto" w:sz="8" w:space="0"/>
              <w:right w:val="single" w:color="auto" w:sz="12" w:space="0"/>
            </w:tcBorders>
            <w:vAlign w:val="center"/>
          </w:tcPr>
          <w:p w14:paraId="3FB74E2F">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 xml:space="preserve">5.86 </w:t>
            </w:r>
          </w:p>
        </w:tc>
        <w:tc>
          <w:tcPr>
            <w:tcW w:w="1331" w:type="dxa"/>
            <w:tcBorders>
              <w:top w:val="nil"/>
              <w:left w:val="nil"/>
              <w:bottom w:val="single" w:color="auto" w:sz="8" w:space="0"/>
              <w:right w:val="single" w:color="auto" w:sz="12" w:space="0"/>
            </w:tcBorders>
          </w:tcPr>
          <w:p w14:paraId="2A5F11AF">
            <w:pPr>
              <w:widowControl/>
              <w:spacing w:line="324" w:lineRule="auto"/>
              <w:ind w:firstLine="0" w:firstLineChars="0"/>
              <w:jc w:val="center"/>
              <w:rPr>
                <w:rFonts w:ascii="宋体" w:hAnsi="宋体" w:cs="Tahoma"/>
                <w:sz w:val="21"/>
                <w:szCs w:val="21"/>
              </w:rPr>
            </w:pPr>
            <w:r>
              <w:rPr>
                <w:rFonts w:hint="eastAsia" w:ascii="宋体" w:hAnsi="宋体" w:cs="Tahoma"/>
                <w:sz w:val="21"/>
                <w:szCs w:val="21"/>
                <w:lang w:eastAsia="zh-CN"/>
              </w:rPr>
              <w:t>12.07</w:t>
            </w:r>
          </w:p>
        </w:tc>
      </w:tr>
      <w:tr w14:paraId="2B5832F0">
        <w:tblPrEx>
          <w:tblCellMar>
            <w:top w:w="0" w:type="dxa"/>
            <w:left w:w="108" w:type="dxa"/>
            <w:bottom w:w="0" w:type="dxa"/>
            <w:right w:w="108" w:type="dxa"/>
          </w:tblCellMar>
        </w:tblPrEx>
        <w:trPr>
          <w:trHeight w:val="340" w:hRule="atLeast"/>
        </w:trPr>
        <w:tc>
          <w:tcPr>
            <w:tcW w:w="959" w:type="dxa"/>
            <w:tcBorders>
              <w:top w:val="nil"/>
              <w:left w:val="single" w:color="auto" w:sz="12" w:space="0"/>
              <w:bottom w:val="single" w:color="auto" w:sz="8" w:space="0"/>
              <w:right w:val="single" w:color="auto" w:sz="8" w:space="0"/>
            </w:tcBorders>
            <w:vAlign w:val="center"/>
          </w:tcPr>
          <w:p w14:paraId="4750157C">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2019年</w:t>
            </w:r>
          </w:p>
        </w:tc>
        <w:tc>
          <w:tcPr>
            <w:tcW w:w="904" w:type="dxa"/>
            <w:tcBorders>
              <w:top w:val="nil"/>
              <w:left w:val="nil"/>
              <w:bottom w:val="single" w:color="auto" w:sz="8" w:space="0"/>
              <w:right w:val="single" w:color="auto" w:sz="8" w:space="0"/>
            </w:tcBorders>
            <w:vAlign w:val="center"/>
          </w:tcPr>
          <w:p w14:paraId="724B7D97">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 xml:space="preserve">11.06 </w:t>
            </w:r>
          </w:p>
        </w:tc>
        <w:tc>
          <w:tcPr>
            <w:tcW w:w="1338" w:type="dxa"/>
            <w:tcBorders>
              <w:top w:val="nil"/>
              <w:left w:val="nil"/>
              <w:bottom w:val="single" w:color="auto" w:sz="8" w:space="0"/>
              <w:right w:val="single" w:color="auto" w:sz="8" w:space="0"/>
            </w:tcBorders>
            <w:vAlign w:val="center"/>
          </w:tcPr>
          <w:p w14:paraId="400F03C5">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 xml:space="preserve">4.81 </w:t>
            </w:r>
          </w:p>
        </w:tc>
        <w:tc>
          <w:tcPr>
            <w:tcW w:w="1069" w:type="dxa"/>
            <w:tcBorders>
              <w:top w:val="nil"/>
              <w:left w:val="nil"/>
              <w:bottom w:val="single" w:color="auto" w:sz="8" w:space="0"/>
              <w:right w:val="single" w:color="auto" w:sz="8" w:space="0"/>
            </w:tcBorders>
            <w:vAlign w:val="center"/>
          </w:tcPr>
          <w:p w14:paraId="5F3BF957">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 xml:space="preserve">56.51 </w:t>
            </w:r>
          </w:p>
        </w:tc>
        <w:tc>
          <w:tcPr>
            <w:tcW w:w="1457" w:type="dxa"/>
            <w:tcBorders>
              <w:top w:val="nil"/>
              <w:left w:val="nil"/>
              <w:bottom w:val="single" w:color="auto" w:sz="8" w:space="0"/>
              <w:right w:val="single" w:color="auto" w:sz="8" w:space="0"/>
            </w:tcBorders>
            <w:vAlign w:val="center"/>
          </w:tcPr>
          <w:p w14:paraId="5245F622">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 xml:space="preserve">16.10 </w:t>
            </w:r>
          </w:p>
        </w:tc>
        <w:tc>
          <w:tcPr>
            <w:tcW w:w="1331" w:type="dxa"/>
            <w:tcBorders>
              <w:top w:val="nil"/>
              <w:left w:val="nil"/>
              <w:bottom w:val="single" w:color="auto" w:sz="8" w:space="0"/>
              <w:right w:val="single" w:color="auto" w:sz="12" w:space="0"/>
            </w:tcBorders>
            <w:vAlign w:val="center"/>
          </w:tcPr>
          <w:p w14:paraId="5281BC49">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 xml:space="preserve">6.25 </w:t>
            </w:r>
          </w:p>
        </w:tc>
        <w:tc>
          <w:tcPr>
            <w:tcW w:w="1331" w:type="dxa"/>
            <w:tcBorders>
              <w:top w:val="nil"/>
              <w:left w:val="nil"/>
              <w:bottom w:val="single" w:color="auto" w:sz="8" w:space="0"/>
              <w:right w:val="single" w:color="auto" w:sz="12" w:space="0"/>
            </w:tcBorders>
          </w:tcPr>
          <w:p w14:paraId="318C408E">
            <w:pPr>
              <w:widowControl/>
              <w:spacing w:line="324" w:lineRule="auto"/>
              <w:ind w:firstLine="0" w:firstLineChars="0"/>
              <w:jc w:val="center"/>
              <w:rPr>
                <w:rFonts w:ascii="宋体" w:hAnsi="宋体" w:cs="Tahoma"/>
                <w:sz w:val="21"/>
                <w:szCs w:val="21"/>
              </w:rPr>
            </w:pPr>
            <w:r>
              <w:rPr>
                <w:rFonts w:hint="eastAsia" w:ascii="宋体" w:hAnsi="宋体" w:cs="Tahoma"/>
                <w:sz w:val="21"/>
                <w:szCs w:val="21"/>
                <w:lang w:eastAsia="zh-CN"/>
              </w:rPr>
              <w:t>11.27</w:t>
            </w:r>
          </w:p>
        </w:tc>
      </w:tr>
      <w:tr w14:paraId="2902B9C3">
        <w:tblPrEx>
          <w:tblCellMar>
            <w:top w:w="0" w:type="dxa"/>
            <w:left w:w="108" w:type="dxa"/>
            <w:bottom w:w="0" w:type="dxa"/>
            <w:right w:w="108" w:type="dxa"/>
          </w:tblCellMar>
        </w:tblPrEx>
        <w:trPr>
          <w:trHeight w:val="340" w:hRule="atLeast"/>
        </w:trPr>
        <w:tc>
          <w:tcPr>
            <w:tcW w:w="959" w:type="dxa"/>
            <w:tcBorders>
              <w:top w:val="nil"/>
              <w:left w:val="single" w:color="auto" w:sz="12" w:space="0"/>
              <w:bottom w:val="single" w:color="auto" w:sz="8" w:space="0"/>
              <w:right w:val="single" w:color="auto" w:sz="8" w:space="0"/>
            </w:tcBorders>
            <w:vAlign w:val="center"/>
          </w:tcPr>
          <w:p w14:paraId="303E8FAA">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2020年</w:t>
            </w:r>
          </w:p>
        </w:tc>
        <w:tc>
          <w:tcPr>
            <w:tcW w:w="904" w:type="dxa"/>
            <w:tcBorders>
              <w:top w:val="nil"/>
              <w:left w:val="nil"/>
              <w:bottom w:val="single" w:color="auto" w:sz="8" w:space="0"/>
              <w:right w:val="single" w:color="auto" w:sz="8" w:space="0"/>
            </w:tcBorders>
            <w:vAlign w:val="center"/>
          </w:tcPr>
          <w:p w14:paraId="10C48865">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 xml:space="preserve">10.92 </w:t>
            </w:r>
          </w:p>
        </w:tc>
        <w:tc>
          <w:tcPr>
            <w:tcW w:w="1338" w:type="dxa"/>
            <w:tcBorders>
              <w:top w:val="nil"/>
              <w:left w:val="nil"/>
              <w:bottom w:val="single" w:color="auto" w:sz="8" w:space="0"/>
              <w:right w:val="single" w:color="auto" w:sz="8" w:space="0"/>
            </w:tcBorders>
            <w:vAlign w:val="center"/>
          </w:tcPr>
          <w:p w14:paraId="2268094F">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 xml:space="preserve">4.34 </w:t>
            </w:r>
          </w:p>
        </w:tc>
        <w:tc>
          <w:tcPr>
            <w:tcW w:w="1069" w:type="dxa"/>
            <w:tcBorders>
              <w:top w:val="nil"/>
              <w:left w:val="nil"/>
              <w:bottom w:val="single" w:color="auto" w:sz="8" w:space="0"/>
              <w:right w:val="single" w:color="auto" w:sz="8" w:space="0"/>
            </w:tcBorders>
            <w:vAlign w:val="center"/>
          </w:tcPr>
          <w:p w14:paraId="2E4BE2C8">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 xml:space="preserve">60.24 </w:t>
            </w:r>
          </w:p>
        </w:tc>
        <w:tc>
          <w:tcPr>
            <w:tcW w:w="1457" w:type="dxa"/>
            <w:tcBorders>
              <w:top w:val="nil"/>
              <w:left w:val="nil"/>
              <w:bottom w:val="single" w:color="auto" w:sz="8" w:space="0"/>
              <w:right w:val="single" w:color="auto" w:sz="8" w:space="0"/>
            </w:tcBorders>
            <w:vAlign w:val="center"/>
          </w:tcPr>
          <w:p w14:paraId="3DF5F897">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 xml:space="preserve">15.80 </w:t>
            </w:r>
          </w:p>
        </w:tc>
        <w:tc>
          <w:tcPr>
            <w:tcW w:w="1331" w:type="dxa"/>
            <w:tcBorders>
              <w:top w:val="nil"/>
              <w:left w:val="nil"/>
              <w:bottom w:val="single" w:color="auto" w:sz="8" w:space="0"/>
              <w:right w:val="single" w:color="auto" w:sz="12" w:space="0"/>
            </w:tcBorders>
            <w:vAlign w:val="center"/>
          </w:tcPr>
          <w:p w14:paraId="6AC08D94">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 xml:space="preserve">6.58 </w:t>
            </w:r>
          </w:p>
        </w:tc>
        <w:tc>
          <w:tcPr>
            <w:tcW w:w="1331" w:type="dxa"/>
            <w:tcBorders>
              <w:top w:val="nil"/>
              <w:left w:val="nil"/>
              <w:bottom w:val="single" w:color="auto" w:sz="8" w:space="0"/>
              <w:right w:val="single" w:color="auto" w:sz="12" w:space="0"/>
            </w:tcBorders>
          </w:tcPr>
          <w:p w14:paraId="411681F8">
            <w:pPr>
              <w:widowControl/>
              <w:spacing w:line="324" w:lineRule="auto"/>
              <w:ind w:firstLine="0" w:firstLineChars="0"/>
              <w:jc w:val="center"/>
              <w:rPr>
                <w:rFonts w:ascii="宋体" w:hAnsi="宋体" w:cs="Tahoma"/>
                <w:sz w:val="21"/>
                <w:szCs w:val="21"/>
              </w:rPr>
            </w:pPr>
            <w:r>
              <w:rPr>
                <w:rFonts w:hint="eastAsia" w:ascii="宋体" w:hAnsi="宋体" w:cs="Tahoma"/>
                <w:sz w:val="21"/>
                <w:szCs w:val="21"/>
                <w:lang w:eastAsia="zh-CN"/>
              </w:rPr>
              <w:t>10.64</w:t>
            </w:r>
          </w:p>
        </w:tc>
      </w:tr>
      <w:tr w14:paraId="17912D67">
        <w:tblPrEx>
          <w:tblCellMar>
            <w:top w:w="0" w:type="dxa"/>
            <w:left w:w="108" w:type="dxa"/>
            <w:bottom w:w="0" w:type="dxa"/>
            <w:right w:w="108" w:type="dxa"/>
          </w:tblCellMar>
        </w:tblPrEx>
        <w:trPr>
          <w:trHeight w:val="340" w:hRule="atLeast"/>
        </w:trPr>
        <w:tc>
          <w:tcPr>
            <w:tcW w:w="959" w:type="dxa"/>
            <w:tcBorders>
              <w:top w:val="nil"/>
              <w:left w:val="single" w:color="auto" w:sz="12" w:space="0"/>
              <w:bottom w:val="single" w:color="auto" w:sz="8" w:space="0"/>
              <w:right w:val="single" w:color="auto" w:sz="8" w:space="0"/>
            </w:tcBorders>
            <w:vAlign w:val="center"/>
          </w:tcPr>
          <w:p w14:paraId="640D0926">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2021年</w:t>
            </w:r>
          </w:p>
        </w:tc>
        <w:tc>
          <w:tcPr>
            <w:tcW w:w="904" w:type="dxa"/>
            <w:tcBorders>
              <w:top w:val="nil"/>
              <w:left w:val="nil"/>
              <w:bottom w:val="single" w:color="auto" w:sz="8" w:space="0"/>
              <w:right w:val="single" w:color="auto" w:sz="8" w:space="0"/>
            </w:tcBorders>
            <w:vAlign w:val="center"/>
          </w:tcPr>
          <w:p w14:paraId="654919AD">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 xml:space="preserve">11.12 </w:t>
            </w:r>
          </w:p>
        </w:tc>
        <w:tc>
          <w:tcPr>
            <w:tcW w:w="1338" w:type="dxa"/>
            <w:tcBorders>
              <w:top w:val="nil"/>
              <w:left w:val="nil"/>
              <w:bottom w:val="single" w:color="auto" w:sz="8" w:space="0"/>
              <w:right w:val="single" w:color="auto" w:sz="8" w:space="0"/>
            </w:tcBorders>
            <w:vAlign w:val="center"/>
          </w:tcPr>
          <w:p w14:paraId="69A306E3">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 xml:space="preserve">3.97 </w:t>
            </w:r>
          </w:p>
        </w:tc>
        <w:tc>
          <w:tcPr>
            <w:tcW w:w="1069" w:type="dxa"/>
            <w:tcBorders>
              <w:top w:val="nil"/>
              <w:left w:val="nil"/>
              <w:bottom w:val="single" w:color="auto" w:sz="8" w:space="0"/>
              <w:right w:val="single" w:color="auto" w:sz="8" w:space="0"/>
            </w:tcBorders>
            <w:vAlign w:val="center"/>
          </w:tcPr>
          <w:p w14:paraId="63853FF6">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 xml:space="preserve">64.34 </w:t>
            </w:r>
          </w:p>
        </w:tc>
        <w:tc>
          <w:tcPr>
            <w:tcW w:w="1457" w:type="dxa"/>
            <w:tcBorders>
              <w:top w:val="nil"/>
              <w:left w:val="nil"/>
              <w:bottom w:val="single" w:color="auto" w:sz="8" w:space="0"/>
              <w:right w:val="single" w:color="auto" w:sz="8" w:space="0"/>
            </w:tcBorders>
            <w:vAlign w:val="center"/>
          </w:tcPr>
          <w:p w14:paraId="6BB8B602">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 xml:space="preserve">15.94 </w:t>
            </w:r>
          </w:p>
        </w:tc>
        <w:tc>
          <w:tcPr>
            <w:tcW w:w="1331" w:type="dxa"/>
            <w:tcBorders>
              <w:top w:val="nil"/>
              <w:left w:val="nil"/>
              <w:bottom w:val="single" w:color="auto" w:sz="8" w:space="0"/>
              <w:right w:val="single" w:color="auto" w:sz="12" w:space="0"/>
            </w:tcBorders>
            <w:vAlign w:val="center"/>
          </w:tcPr>
          <w:p w14:paraId="56030D17">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 xml:space="preserve">7.16 </w:t>
            </w:r>
          </w:p>
        </w:tc>
        <w:tc>
          <w:tcPr>
            <w:tcW w:w="1331" w:type="dxa"/>
            <w:tcBorders>
              <w:top w:val="nil"/>
              <w:left w:val="nil"/>
              <w:bottom w:val="single" w:color="auto" w:sz="8" w:space="0"/>
              <w:right w:val="single" w:color="auto" w:sz="12" w:space="0"/>
            </w:tcBorders>
          </w:tcPr>
          <w:p w14:paraId="456F1580">
            <w:pPr>
              <w:widowControl/>
              <w:spacing w:line="324" w:lineRule="auto"/>
              <w:ind w:firstLine="0" w:firstLineChars="0"/>
              <w:jc w:val="center"/>
              <w:rPr>
                <w:rFonts w:ascii="宋体" w:hAnsi="宋体" w:cs="Tahoma"/>
                <w:sz w:val="21"/>
                <w:szCs w:val="21"/>
              </w:rPr>
            </w:pPr>
            <w:r>
              <w:rPr>
                <w:rFonts w:hint="eastAsia" w:ascii="宋体" w:hAnsi="宋体" w:cs="Tahoma"/>
                <w:sz w:val="21"/>
                <w:szCs w:val="21"/>
                <w:lang w:eastAsia="zh-CN"/>
              </w:rPr>
              <w:t>10.2</w:t>
            </w:r>
          </w:p>
        </w:tc>
      </w:tr>
      <w:tr w14:paraId="5B00505E">
        <w:tblPrEx>
          <w:tblCellMar>
            <w:top w:w="0" w:type="dxa"/>
            <w:left w:w="108" w:type="dxa"/>
            <w:bottom w:w="0" w:type="dxa"/>
            <w:right w:w="108" w:type="dxa"/>
          </w:tblCellMar>
        </w:tblPrEx>
        <w:trPr>
          <w:trHeight w:val="340" w:hRule="atLeast"/>
        </w:trPr>
        <w:tc>
          <w:tcPr>
            <w:tcW w:w="959" w:type="dxa"/>
            <w:tcBorders>
              <w:top w:val="nil"/>
              <w:left w:val="single" w:color="auto" w:sz="12" w:space="0"/>
              <w:bottom w:val="single" w:color="auto" w:sz="8" w:space="0"/>
              <w:right w:val="single" w:color="auto" w:sz="8" w:space="0"/>
            </w:tcBorders>
            <w:vAlign w:val="center"/>
          </w:tcPr>
          <w:p w14:paraId="71619A23">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2022年</w:t>
            </w:r>
          </w:p>
        </w:tc>
        <w:tc>
          <w:tcPr>
            <w:tcW w:w="904" w:type="dxa"/>
            <w:tcBorders>
              <w:top w:val="nil"/>
              <w:left w:val="nil"/>
              <w:bottom w:val="single" w:color="auto" w:sz="8" w:space="0"/>
              <w:right w:val="single" w:color="auto" w:sz="8" w:space="0"/>
            </w:tcBorders>
            <w:vAlign w:val="center"/>
          </w:tcPr>
          <w:p w14:paraId="53B5AEC6">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 xml:space="preserve">11.28 </w:t>
            </w:r>
          </w:p>
        </w:tc>
        <w:tc>
          <w:tcPr>
            <w:tcW w:w="1338" w:type="dxa"/>
            <w:tcBorders>
              <w:top w:val="nil"/>
              <w:left w:val="nil"/>
              <w:bottom w:val="single" w:color="auto" w:sz="8" w:space="0"/>
              <w:right w:val="single" w:color="auto" w:sz="8" w:space="0"/>
            </w:tcBorders>
            <w:vAlign w:val="center"/>
          </w:tcPr>
          <w:p w14:paraId="5B8B57B8">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 xml:space="preserve">3.64 </w:t>
            </w:r>
          </w:p>
        </w:tc>
        <w:tc>
          <w:tcPr>
            <w:tcW w:w="1069" w:type="dxa"/>
            <w:tcBorders>
              <w:top w:val="nil"/>
              <w:left w:val="nil"/>
              <w:bottom w:val="single" w:color="auto" w:sz="8" w:space="0"/>
              <w:right w:val="single" w:color="auto" w:sz="8" w:space="0"/>
            </w:tcBorders>
            <w:vAlign w:val="center"/>
          </w:tcPr>
          <w:p w14:paraId="7C49182F">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 xml:space="preserve">67.70 </w:t>
            </w:r>
          </w:p>
        </w:tc>
        <w:tc>
          <w:tcPr>
            <w:tcW w:w="1457" w:type="dxa"/>
            <w:tcBorders>
              <w:top w:val="nil"/>
              <w:left w:val="nil"/>
              <w:bottom w:val="single" w:color="auto" w:sz="8" w:space="0"/>
              <w:right w:val="single" w:color="auto" w:sz="8" w:space="0"/>
            </w:tcBorders>
            <w:vAlign w:val="center"/>
          </w:tcPr>
          <w:p w14:paraId="15C9BE37">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 xml:space="preserve">16.05 </w:t>
            </w:r>
          </w:p>
        </w:tc>
        <w:tc>
          <w:tcPr>
            <w:tcW w:w="1331" w:type="dxa"/>
            <w:tcBorders>
              <w:top w:val="nil"/>
              <w:left w:val="nil"/>
              <w:bottom w:val="single" w:color="auto" w:sz="8" w:space="0"/>
              <w:right w:val="single" w:color="auto" w:sz="12" w:space="0"/>
            </w:tcBorders>
            <w:vAlign w:val="center"/>
          </w:tcPr>
          <w:p w14:paraId="29A2B8D7">
            <w:pPr>
              <w:widowControl/>
              <w:spacing w:line="324" w:lineRule="auto"/>
              <w:ind w:firstLine="0" w:firstLineChars="0"/>
              <w:jc w:val="center"/>
              <w:rPr>
                <w:rFonts w:ascii="宋体" w:hAnsi="宋体" w:cs="Tahoma"/>
                <w:sz w:val="21"/>
                <w:szCs w:val="21"/>
              </w:rPr>
            </w:pPr>
            <w:r>
              <w:rPr>
                <w:rFonts w:hint="eastAsia" w:ascii="宋体" w:hAnsi="宋体" w:cs="Tahoma"/>
                <w:sz w:val="21"/>
                <w:szCs w:val="21"/>
              </w:rPr>
              <w:t xml:space="preserve">7.64 </w:t>
            </w:r>
          </w:p>
        </w:tc>
        <w:tc>
          <w:tcPr>
            <w:tcW w:w="1331" w:type="dxa"/>
            <w:tcBorders>
              <w:top w:val="nil"/>
              <w:left w:val="nil"/>
              <w:bottom w:val="single" w:color="auto" w:sz="8" w:space="0"/>
              <w:right w:val="single" w:color="auto" w:sz="12" w:space="0"/>
            </w:tcBorders>
          </w:tcPr>
          <w:p w14:paraId="17D51581">
            <w:pPr>
              <w:widowControl/>
              <w:spacing w:line="324" w:lineRule="auto"/>
              <w:ind w:firstLine="0" w:firstLineChars="0"/>
              <w:jc w:val="center"/>
              <w:rPr>
                <w:rFonts w:ascii="宋体" w:hAnsi="宋体" w:cs="Tahoma"/>
                <w:sz w:val="21"/>
                <w:szCs w:val="21"/>
              </w:rPr>
            </w:pPr>
            <w:r>
              <w:rPr>
                <w:rFonts w:hint="eastAsia" w:ascii="宋体" w:hAnsi="宋体" w:cs="Tahoma"/>
                <w:sz w:val="21"/>
                <w:szCs w:val="21"/>
                <w:lang w:eastAsia="zh-CN"/>
              </w:rPr>
              <w:t>9.83</w:t>
            </w:r>
          </w:p>
        </w:tc>
      </w:tr>
    </w:tbl>
    <w:p w14:paraId="6751666E">
      <w:pPr>
        <w:pStyle w:val="4"/>
        <w:rPr>
          <w:snapToGrid w:val="0"/>
          <w:lang w:eastAsia="zh-CN"/>
        </w:rPr>
      </w:pPr>
      <w:bookmarkStart w:id="132" w:name="_Toc408413916"/>
      <w:r>
        <w:rPr>
          <w:snapToGrid w:val="0"/>
          <w:lang w:eastAsia="zh-CN"/>
        </w:rPr>
        <w:t>2.</w:t>
      </w:r>
      <w:r>
        <w:rPr>
          <w:rFonts w:hint="eastAsia"/>
          <w:snapToGrid w:val="0"/>
          <w:lang w:eastAsia="zh-CN"/>
        </w:rPr>
        <w:t>3</w:t>
      </w:r>
      <w:r>
        <w:rPr>
          <w:snapToGrid w:val="0"/>
          <w:lang w:eastAsia="zh-CN"/>
        </w:rPr>
        <w:t>.</w:t>
      </w:r>
      <w:r>
        <w:rPr>
          <w:rFonts w:hint="eastAsia"/>
          <w:snapToGrid w:val="0"/>
          <w:lang w:eastAsia="zh-CN"/>
        </w:rPr>
        <w:t>9</w:t>
      </w:r>
      <w:r>
        <w:rPr>
          <w:snapToGrid w:val="0"/>
          <w:lang w:eastAsia="zh-CN"/>
        </w:rPr>
        <w:t>原油性质</w:t>
      </w:r>
      <w:bookmarkEnd w:id="132"/>
    </w:p>
    <w:p w14:paraId="72E01034">
      <w:pPr>
        <w:autoSpaceDE w:val="0"/>
        <w:autoSpaceDN w:val="0"/>
        <w:adjustRightInd w:val="0"/>
        <w:ind w:firstLine="480"/>
        <w:rPr>
          <w:rFonts w:asciiTheme="minorEastAsia" w:hAnsiTheme="minorEastAsia" w:eastAsiaTheme="minorEastAsia"/>
          <w:bCs/>
          <w:lang w:eastAsia="zh-CN"/>
        </w:rPr>
      </w:pPr>
      <w:r>
        <w:rPr>
          <w:rFonts w:asciiTheme="minorEastAsia" w:hAnsiTheme="minorEastAsia" w:eastAsiaTheme="minorEastAsia"/>
          <w:bCs/>
          <w:lang w:eastAsia="zh-CN"/>
        </w:rPr>
        <w:t>1、 原油物性</w:t>
      </w:r>
    </w:p>
    <w:p w14:paraId="30A43210">
      <w:pPr>
        <w:autoSpaceDE w:val="0"/>
        <w:autoSpaceDN w:val="0"/>
        <w:adjustRightInd w:val="0"/>
        <w:ind w:firstLine="480"/>
        <w:rPr>
          <w:rFonts w:asciiTheme="minorEastAsia" w:hAnsiTheme="minorEastAsia" w:eastAsiaTheme="minorEastAsia"/>
          <w:bCs/>
          <w:lang w:eastAsia="zh-CN"/>
        </w:rPr>
      </w:pPr>
      <w:r>
        <w:rPr>
          <w:rFonts w:asciiTheme="minorEastAsia" w:hAnsiTheme="minorEastAsia" w:eastAsiaTheme="minorEastAsia"/>
          <w:bCs/>
          <w:lang w:eastAsia="zh-CN"/>
        </w:rPr>
        <w:t>根据现场所取</w:t>
      </w:r>
      <w:r>
        <w:rPr>
          <w:rFonts w:hint="eastAsia" w:asciiTheme="minorEastAsia" w:hAnsiTheme="minorEastAsia" w:eastAsiaTheme="minorEastAsia"/>
          <w:bCs/>
          <w:lang w:eastAsia="zh-CN"/>
        </w:rPr>
        <w:t>实验</w:t>
      </w:r>
      <w:r>
        <w:rPr>
          <w:rFonts w:asciiTheme="minorEastAsia" w:hAnsiTheme="minorEastAsia" w:eastAsiaTheme="minorEastAsia"/>
          <w:bCs/>
          <w:lang w:eastAsia="zh-CN"/>
        </w:rPr>
        <w:t>井的油样进行室内实验，得到的</w:t>
      </w:r>
      <w:r>
        <w:rPr>
          <w:rFonts w:hint="eastAsia" w:asciiTheme="minorEastAsia" w:hAnsiTheme="minorEastAsia" w:eastAsiaTheme="minorEastAsia"/>
          <w:bCs/>
          <w:lang w:eastAsia="zh-CN"/>
        </w:rPr>
        <w:t>乌里雅斯太</w:t>
      </w:r>
      <w:r>
        <w:rPr>
          <w:rFonts w:asciiTheme="minorEastAsia" w:hAnsiTheme="minorEastAsia" w:eastAsiaTheme="minorEastAsia"/>
          <w:bCs/>
          <w:lang w:eastAsia="zh-CN"/>
        </w:rPr>
        <w:t>油田原油物性见表2.</w:t>
      </w:r>
      <w:r>
        <w:rPr>
          <w:rFonts w:hint="eastAsia" w:asciiTheme="minorEastAsia" w:hAnsiTheme="minorEastAsia" w:eastAsiaTheme="minorEastAsia"/>
          <w:bCs/>
          <w:lang w:eastAsia="zh-CN"/>
        </w:rPr>
        <w:t>3</w:t>
      </w:r>
      <w:r>
        <w:rPr>
          <w:rFonts w:asciiTheme="minorEastAsia" w:hAnsiTheme="minorEastAsia" w:eastAsiaTheme="minorEastAsia"/>
          <w:bCs/>
          <w:lang w:eastAsia="zh-CN"/>
        </w:rPr>
        <w:t>-</w:t>
      </w:r>
      <w:r>
        <w:rPr>
          <w:rFonts w:hint="eastAsia" w:asciiTheme="minorEastAsia" w:hAnsiTheme="minorEastAsia" w:eastAsiaTheme="minorEastAsia"/>
          <w:bCs/>
          <w:lang w:eastAsia="zh-CN"/>
        </w:rPr>
        <w:t>5</w:t>
      </w:r>
      <w:r>
        <w:rPr>
          <w:rFonts w:asciiTheme="minorEastAsia" w:hAnsiTheme="minorEastAsia" w:eastAsiaTheme="minorEastAsia"/>
          <w:bCs/>
          <w:lang w:eastAsia="zh-CN"/>
        </w:rPr>
        <w:t>。</w:t>
      </w:r>
    </w:p>
    <w:p w14:paraId="312C9F41">
      <w:pPr>
        <w:autoSpaceDE w:val="0"/>
        <w:autoSpaceDN w:val="0"/>
        <w:adjustRightInd w:val="0"/>
        <w:spacing w:line="240" w:lineRule="auto"/>
        <w:ind w:firstLine="836" w:firstLineChars="347"/>
        <w:rPr>
          <w:b/>
          <w:bCs/>
          <w:lang w:eastAsia="zh-CN"/>
        </w:rPr>
      </w:pPr>
    </w:p>
    <w:p w14:paraId="67257C09">
      <w:pPr>
        <w:autoSpaceDE w:val="0"/>
        <w:autoSpaceDN w:val="0"/>
        <w:adjustRightInd w:val="0"/>
        <w:spacing w:line="240" w:lineRule="auto"/>
        <w:ind w:firstLine="836" w:firstLineChars="347"/>
        <w:rPr>
          <w:b/>
          <w:bCs/>
          <w:lang w:eastAsia="zh-CN"/>
        </w:rPr>
      </w:pPr>
    </w:p>
    <w:p w14:paraId="5763D6DD">
      <w:pPr>
        <w:autoSpaceDE w:val="0"/>
        <w:autoSpaceDN w:val="0"/>
        <w:adjustRightInd w:val="0"/>
        <w:spacing w:line="240" w:lineRule="auto"/>
        <w:ind w:firstLine="836" w:firstLineChars="347"/>
        <w:rPr>
          <w:b/>
          <w:bCs/>
          <w:lang w:eastAsia="zh-CN"/>
        </w:rPr>
      </w:pPr>
    </w:p>
    <w:p w14:paraId="418F2851">
      <w:pPr>
        <w:autoSpaceDE w:val="0"/>
        <w:autoSpaceDN w:val="0"/>
        <w:adjustRightInd w:val="0"/>
        <w:spacing w:line="240" w:lineRule="auto"/>
        <w:ind w:firstLine="836" w:firstLineChars="347"/>
        <w:rPr>
          <w:b/>
          <w:bCs/>
          <w:lang w:eastAsia="zh-CN"/>
        </w:rPr>
      </w:pPr>
    </w:p>
    <w:p w14:paraId="3A0BE3BF">
      <w:pPr>
        <w:autoSpaceDE w:val="0"/>
        <w:autoSpaceDN w:val="0"/>
        <w:adjustRightInd w:val="0"/>
        <w:spacing w:line="240" w:lineRule="auto"/>
        <w:ind w:firstLine="836" w:firstLineChars="347"/>
        <w:rPr>
          <w:b/>
          <w:bCs/>
          <w:lang w:eastAsia="zh-CN"/>
        </w:rPr>
      </w:pPr>
    </w:p>
    <w:p w14:paraId="1F8E99C0">
      <w:pPr>
        <w:autoSpaceDE w:val="0"/>
        <w:autoSpaceDN w:val="0"/>
        <w:adjustRightInd w:val="0"/>
        <w:spacing w:line="240" w:lineRule="auto"/>
        <w:ind w:firstLine="836" w:firstLineChars="347"/>
        <w:rPr>
          <w:b/>
          <w:bCs/>
          <w:lang w:eastAsia="zh-CN"/>
        </w:rPr>
      </w:pPr>
    </w:p>
    <w:p w14:paraId="5E1A1E72">
      <w:pPr>
        <w:autoSpaceDE w:val="0"/>
        <w:autoSpaceDN w:val="0"/>
        <w:adjustRightInd w:val="0"/>
        <w:spacing w:line="240" w:lineRule="auto"/>
        <w:ind w:firstLine="836" w:firstLineChars="347"/>
        <w:rPr>
          <w:b/>
          <w:bCs/>
          <w:lang w:eastAsia="zh-CN"/>
        </w:rPr>
      </w:pPr>
    </w:p>
    <w:p w14:paraId="5FDE115B">
      <w:pPr>
        <w:autoSpaceDE w:val="0"/>
        <w:autoSpaceDN w:val="0"/>
        <w:adjustRightInd w:val="0"/>
        <w:spacing w:line="240" w:lineRule="auto"/>
        <w:ind w:firstLine="836" w:firstLineChars="347"/>
        <w:rPr>
          <w:b/>
          <w:bCs/>
          <w:lang w:eastAsia="zh-CN"/>
        </w:rPr>
      </w:pPr>
    </w:p>
    <w:p w14:paraId="748C16A4">
      <w:pPr>
        <w:autoSpaceDE w:val="0"/>
        <w:autoSpaceDN w:val="0"/>
        <w:adjustRightInd w:val="0"/>
        <w:spacing w:line="240" w:lineRule="auto"/>
        <w:ind w:firstLine="836" w:firstLineChars="347"/>
        <w:rPr>
          <w:b/>
          <w:bCs/>
          <w:lang w:eastAsia="zh-CN"/>
        </w:rPr>
      </w:pPr>
      <w:r>
        <w:rPr>
          <w:b/>
          <w:bCs/>
          <w:lang w:eastAsia="zh-CN"/>
        </w:rPr>
        <w:t>表2.</w:t>
      </w:r>
      <w:r>
        <w:rPr>
          <w:rFonts w:hint="eastAsia"/>
          <w:b/>
          <w:bCs/>
          <w:lang w:eastAsia="zh-CN"/>
        </w:rPr>
        <w:t>3</w:t>
      </w:r>
      <w:r>
        <w:rPr>
          <w:b/>
          <w:bCs/>
          <w:lang w:eastAsia="zh-CN"/>
        </w:rPr>
        <w:t>-</w:t>
      </w:r>
      <w:r>
        <w:rPr>
          <w:rFonts w:hint="eastAsia"/>
          <w:b/>
          <w:bCs/>
          <w:lang w:eastAsia="zh-CN"/>
        </w:rPr>
        <w:t>5</w:t>
      </w:r>
      <w:r>
        <w:rPr>
          <w:b/>
          <w:bCs/>
          <w:lang w:eastAsia="zh-CN"/>
        </w:rPr>
        <w:t xml:space="preserve">   </w:t>
      </w:r>
      <w:r>
        <w:rPr>
          <w:rFonts w:hint="eastAsia"/>
          <w:b/>
          <w:bCs/>
          <w:lang w:eastAsia="zh-CN"/>
        </w:rPr>
        <w:t xml:space="preserve">    乌里雅斯太</w:t>
      </w:r>
      <w:r>
        <w:rPr>
          <w:b/>
          <w:bCs/>
          <w:lang w:eastAsia="zh-CN"/>
        </w:rPr>
        <w:t>油田原油物性表</w:t>
      </w:r>
    </w:p>
    <w:tbl>
      <w:tblPr>
        <w:tblStyle w:val="76"/>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6"/>
        <w:gridCol w:w="1134"/>
        <w:gridCol w:w="1134"/>
        <w:gridCol w:w="1284"/>
        <w:gridCol w:w="992"/>
        <w:gridCol w:w="851"/>
        <w:gridCol w:w="1276"/>
        <w:gridCol w:w="782"/>
      </w:tblGrid>
      <w:tr w14:paraId="4E34A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26" w:type="dxa"/>
            <w:tcBorders>
              <w:top w:val="single" w:color="auto" w:sz="12" w:space="0"/>
              <w:left w:val="single" w:color="auto" w:sz="12" w:space="0"/>
            </w:tcBorders>
            <w:vAlign w:val="center"/>
          </w:tcPr>
          <w:p w14:paraId="473BAA4B">
            <w:pPr>
              <w:widowControl/>
              <w:spacing w:before="50" w:line="240" w:lineRule="auto"/>
              <w:ind w:firstLine="0" w:firstLineChars="0"/>
              <w:jc w:val="center"/>
              <w:rPr>
                <w:rFonts w:ascii="宋体" w:hAnsi="宋体" w:cs="宋体"/>
                <w:sz w:val="21"/>
                <w:szCs w:val="21"/>
              </w:rPr>
            </w:pPr>
            <w:r>
              <w:rPr>
                <w:rFonts w:hint="eastAsia" w:ascii="宋体" w:hAnsi="宋体" w:cs="宋体"/>
                <w:sz w:val="21"/>
                <w:szCs w:val="21"/>
              </w:rPr>
              <w:t>原 油</w:t>
            </w:r>
          </w:p>
        </w:tc>
        <w:tc>
          <w:tcPr>
            <w:tcW w:w="1134" w:type="dxa"/>
            <w:tcBorders>
              <w:top w:val="single" w:color="auto" w:sz="12" w:space="0"/>
            </w:tcBorders>
            <w:vAlign w:val="center"/>
          </w:tcPr>
          <w:p w14:paraId="58F8357E">
            <w:pPr>
              <w:widowControl/>
              <w:spacing w:before="50" w:line="240" w:lineRule="auto"/>
              <w:ind w:firstLine="0" w:firstLineChars="0"/>
              <w:jc w:val="center"/>
              <w:rPr>
                <w:rFonts w:ascii="宋体" w:hAnsi="宋体" w:cs="宋体"/>
                <w:sz w:val="21"/>
                <w:szCs w:val="21"/>
                <w:lang w:eastAsia="zh-CN"/>
              </w:rPr>
            </w:pPr>
            <w:r>
              <w:rPr>
                <w:rFonts w:hint="eastAsia" w:ascii="宋体" w:hAnsi="宋体" w:cs="宋体"/>
                <w:sz w:val="21"/>
                <w:szCs w:val="21"/>
              </w:rPr>
              <w:t>20℃</w:t>
            </w:r>
          </w:p>
          <w:p w14:paraId="34F1D79C">
            <w:pPr>
              <w:widowControl/>
              <w:spacing w:before="50" w:line="240" w:lineRule="auto"/>
              <w:ind w:firstLine="0" w:firstLineChars="0"/>
              <w:jc w:val="center"/>
              <w:rPr>
                <w:rFonts w:ascii="宋体" w:hAnsi="宋体" w:cs="宋体"/>
                <w:sz w:val="21"/>
                <w:szCs w:val="21"/>
                <w:lang w:eastAsia="zh-CN"/>
              </w:rPr>
            </w:pPr>
            <w:r>
              <w:rPr>
                <w:rFonts w:hint="eastAsia" w:ascii="宋体" w:hAnsi="宋体" w:cs="宋体"/>
                <w:sz w:val="21"/>
                <w:szCs w:val="21"/>
              </w:rPr>
              <w:t>密度</w:t>
            </w:r>
          </w:p>
          <w:p w14:paraId="6924C037">
            <w:pPr>
              <w:widowControl/>
              <w:spacing w:before="50" w:line="240" w:lineRule="auto"/>
              <w:ind w:firstLine="0" w:firstLineChars="0"/>
              <w:jc w:val="center"/>
              <w:rPr>
                <w:rFonts w:ascii="宋体" w:hAnsi="宋体" w:cs="宋体"/>
                <w:sz w:val="21"/>
                <w:szCs w:val="21"/>
              </w:rPr>
            </w:pPr>
            <w:r>
              <w:rPr>
                <w:rFonts w:hint="eastAsia" w:ascii="宋体" w:hAnsi="宋体" w:cs="宋体"/>
                <w:sz w:val="21"/>
                <w:szCs w:val="21"/>
                <w:lang w:eastAsia="zh-CN"/>
              </w:rPr>
              <w:t>（</w:t>
            </w:r>
            <w:r>
              <w:rPr>
                <w:rFonts w:hint="eastAsia" w:ascii="宋体" w:hAnsi="宋体" w:cs="宋体"/>
                <w:sz w:val="21"/>
                <w:szCs w:val="21"/>
              </w:rPr>
              <w:t>g/cm</w:t>
            </w:r>
            <w:r>
              <w:rPr>
                <w:rFonts w:hint="eastAsia" w:ascii="宋体" w:hAnsi="宋体" w:cs="宋体"/>
                <w:sz w:val="21"/>
                <w:szCs w:val="21"/>
                <w:vertAlign w:val="superscript"/>
              </w:rPr>
              <w:t>3</w:t>
            </w:r>
            <w:r>
              <w:rPr>
                <w:rFonts w:hint="eastAsia" w:ascii="宋体" w:hAnsi="宋体" w:cs="宋体"/>
                <w:sz w:val="21"/>
                <w:szCs w:val="21"/>
                <w:lang w:eastAsia="zh-CN"/>
              </w:rPr>
              <w:t>）</w:t>
            </w:r>
          </w:p>
        </w:tc>
        <w:tc>
          <w:tcPr>
            <w:tcW w:w="1134" w:type="dxa"/>
            <w:tcBorders>
              <w:top w:val="single" w:color="auto" w:sz="12" w:space="0"/>
            </w:tcBorders>
            <w:vAlign w:val="center"/>
          </w:tcPr>
          <w:p w14:paraId="67E001B7">
            <w:pPr>
              <w:widowControl/>
              <w:spacing w:before="50" w:line="240" w:lineRule="auto"/>
              <w:ind w:firstLine="0" w:firstLineChars="0"/>
              <w:rPr>
                <w:rFonts w:ascii="宋体" w:hAnsi="宋体" w:cs="宋体"/>
                <w:sz w:val="21"/>
                <w:szCs w:val="21"/>
                <w:lang w:eastAsia="zh-CN"/>
              </w:rPr>
            </w:pPr>
            <w:r>
              <w:rPr>
                <w:rFonts w:hint="eastAsia" w:ascii="宋体" w:hAnsi="宋体" w:cs="宋体"/>
                <w:sz w:val="21"/>
                <w:szCs w:val="21"/>
              </w:rPr>
              <w:t>50℃</w:t>
            </w:r>
          </w:p>
          <w:p w14:paraId="56B01794">
            <w:pPr>
              <w:widowControl/>
              <w:spacing w:before="50" w:line="240" w:lineRule="auto"/>
              <w:ind w:firstLine="0" w:firstLineChars="0"/>
              <w:rPr>
                <w:rFonts w:ascii="宋体" w:hAnsi="宋体" w:cs="宋体"/>
                <w:sz w:val="21"/>
                <w:szCs w:val="21"/>
                <w:lang w:eastAsia="zh-CN"/>
              </w:rPr>
            </w:pPr>
            <w:r>
              <w:rPr>
                <w:rFonts w:hint="eastAsia" w:ascii="宋体" w:hAnsi="宋体" w:cs="宋体"/>
                <w:sz w:val="21"/>
                <w:szCs w:val="21"/>
              </w:rPr>
              <w:t>密度</w:t>
            </w:r>
          </w:p>
          <w:p w14:paraId="5DD95DF5">
            <w:pPr>
              <w:widowControl/>
              <w:spacing w:before="50" w:line="240" w:lineRule="auto"/>
              <w:ind w:firstLine="0" w:firstLineChars="0"/>
              <w:rPr>
                <w:rFonts w:ascii="宋体" w:hAnsi="宋体" w:cs="宋体"/>
                <w:sz w:val="21"/>
                <w:szCs w:val="21"/>
              </w:rPr>
            </w:pPr>
            <w:r>
              <w:rPr>
                <w:rFonts w:hint="eastAsia" w:ascii="宋体" w:hAnsi="宋体" w:cs="宋体"/>
                <w:sz w:val="21"/>
                <w:szCs w:val="21"/>
                <w:lang w:eastAsia="zh-CN"/>
              </w:rPr>
              <w:t>（</w:t>
            </w:r>
            <w:r>
              <w:rPr>
                <w:rFonts w:hint="eastAsia" w:ascii="宋体" w:hAnsi="宋体" w:cs="宋体"/>
                <w:sz w:val="21"/>
                <w:szCs w:val="21"/>
              </w:rPr>
              <w:t>g/cm</w:t>
            </w:r>
            <w:r>
              <w:rPr>
                <w:rFonts w:hint="eastAsia" w:ascii="宋体" w:hAnsi="宋体" w:cs="宋体"/>
                <w:sz w:val="21"/>
                <w:szCs w:val="21"/>
                <w:vertAlign w:val="superscript"/>
              </w:rPr>
              <w:t>3</w:t>
            </w:r>
            <w:r>
              <w:rPr>
                <w:rFonts w:hint="eastAsia" w:ascii="宋体" w:hAnsi="宋体" w:cs="宋体"/>
                <w:sz w:val="21"/>
                <w:szCs w:val="21"/>
                <w:lang w:eastAsia="zh-CN"/>
              </w:rPr>
              <w:t>）</w:t>
            </w:r>
          </w:p>
        </w:tc>
        <w:tc>
          <w:tcPr>
            <w:tcW w:w="1284" w:type="dxa"/>
            <w:tcBorders>
              <w:top w:val="single" w:color="auto" w:sz="12" w:space="0"/>
            </w:tcBorders>
            <w:vAlign w:val="center"/>
          </w:tcPr>
          <w:p w14:paraId="79EA17A2">
            <w:pPr>
              <w:widowControl/>
              <w:spacing w:before="50" w:line="240" w:lineRule="auto"/>
              <w:ind w:firstLine="0" w:firstLineChars="0"/>
              <w:jc w:val="center"/>
              <w:rPr>
                <w:rFonts w:ascii="宋体" w:hAnsi="宋体" w:cs="宋体"/>
                <w:sz w:val="21"/>
                <w:szCs w:val="21"/>
                <w:lang w:eastAsia="zh-CN"/>
              </w:rPr>
            </w:pPr>
            <w:r>
              <w:rPr>
                <w:rFonts w:hint="eastAsia" w:ascii="宋体" w:hAnsi="宋体" w:cs="宋体"/>
                <w:sz w:val="21"/>
                <w:szCs w:val="21"/>
              </w:rPr>
              <w:t>50℃</w:t>
            </w:r>
          </w:p>
          <w:p w14:paraId="0700AF65">
            <w:pPr>
              <w:widowControl/>
              <w:spacing w:before="50" w:line="240" w:lineRule="auto"/>
              <w:ind w:firstLine="0" w:firstLineChars="0"/>
              <w:jc w:val="center"/>
              <w:rPr>
                <w:rFonts w:ascii="宋体" w:hAnsi="宋体" w:cs="宋体"/>
                <w:sz w:val="21"/>
                <w:szCs w:val="21"/>
                <w:lang w:eastAsia="zh-CN"/>
              </w:rPr>
            </w:pPr>
            <w:r>
              <w:rPr>
                <w:rFonts w:hint="eastAsia" w:ascii="宋体" w:hAnsi="宋体" w:cs="宋体"/>
                <w:sz w:val="21"/>
                <w:szCs w:val="21"/>
              </w:rPr>
              <w:t>粘度</w:t>
            </w:r>
          </w:p>
          <w:p w14:paraId="74AF3379">
            <w:pPr>
              <w:widowControl/>
              <w:spacing w:before="50" w:line="240" w:lineRule="auto"/>
              <w:ind w:firstLine="0" w:firstLineChars="0"/>
              <w:jc w:val="center"/>
              <w:rPr>
                <w:rFonts w:ascii="宋体" w:hAnsi="宋体" w:cs="宋体"/>
                <w:sz w:val="21"/>
                <w:szCs w:val="21"/>
              </w:rPr>
            </w:pPr>
            <w:r>
              <w:rPr>
                <w:rFonts w:hint="eastAsia" w:ascii="宋体" w:hAnsi="宋体" w:cs="宋体"/>
                <w:sz w:val="21"/>
                <w:szCs w:val="21"/>
                <w:lang w:eastAsia="zh-CN"/>
              </w:rPr>
              <w:t>（</w:t>
            </w:r>
            <w:r>
              <w:rPr>
                <w:rFonts w:hint="eastAsia" w:ascii="宋体" w:hAnsi="宋体" w:cs="宋体"/>
                <w:sz w:val="21"/>
                <w:szCs w:val="21"/>
              </w:rPr>
              <w:t>mPa·s</w:t>
            </w:r>
            <w:r>
              <w:rPr>
                <w:rFonts w:hint="eastAsia" w:ascii="宋体" w:hAnsi="宋体" w:cs="宋体"/>
                <w:sz w:val="21"/>
                <w:szCs w:val="21"/>
                <w:lang w:eastAsia="zh-CN"/>
              </w:rPr>
              <w:t>）</w:t>
            </w:r>
          </w:p>
        </w:tc>
        <w:tc>
          <w:tcPr>
            <w:tcW w:w="992" w:type="dxa"/>
            <w:tcBorders>
              <w:top w:val="single" w:color="auto" w:sz="12" w:space="0"/>
            </w:tcBorders>
            <w:vAlign w:val="center"/>
          </w:tcPr>
          <w:p w14:paraId="7822B756">
            <w:pPr>
              <w:widowControl/>
              <w:spacing w:before="50" w:line="240" w:lineRule="auto"/>
              <w:ind w:firstLine="0" w:firstLineChars="0"/>
              <w:jc w:val="center"/>
              <w:rPr>
                <w:rFonts w:ascii="宋体" w:hAnsi="宋体" w:cs="宋体"/>
                <w:sz w:val="21"/>
                <w:szCs w:val="21"/>
              </w:rPr>
            </w:pPr>
            <w:r>
              <w:rPr>
                <w:rFonts w:hint="eastAsia" w:ascii="宋体" w:hAnsi="宋体" w:cs="宋体"/>
                <w:sz w:val="21"/>
                <w:szCs w:val="21"/>
              </w:rPr>
              <w:t>凝点</w:t>
            </w:r>
          </w:p>
          <w:p w14:paraId="43B5107E">
            <w:pPr>
              <w:widowControl/>
              <w:spacing w:before="50" w:line="240" w:lineRule="auto"/>
              <w:ind w:firstLine="0" w:firstLineChars="0"/>
              <w:jc w:val="center"/>
              <w:rPr>
                <w:rFonts w:ascii="宋体" w:hAnsi="宋体" w:cs="宋体"/>
                <w:sz w:val="21"/>
                <w:szCs w:val="21"/>
              </w:rPr>
            </w:pPr>
            <w:r>
              <w:rPr>
                <w:rFonts w:hint="eastAsia" w:ascii="宋体" w:hAnsi="宋体" w:cs="宋体"/>
                <w:sz w:val="21"/>
                <w:szCs w:val="21"/>
                <w:lang w:eastAsia="zh-CN"/>
              </w:rPr>
              <w:t>（</w:t>
            </w:r>
            <w:r>
              <w:rPr>
                <w:rFonts w:hint="eastAsia" w:ascii="宋体" w:hAnsi="宋体" w:cs="宋体"/>
                <w:sz w:val="21"/>
                <w:szCs w:val="21"/>
              </w:rPr>
              <w:t>℃</w:t>
            </w:r>
            <w:r>
              <w:rPr>
                <w:rFonts w:hint="eastAsia" w:ascii="宋体" w:hAnsi="宋体" w:cs="宋体"/>
                <w:sz w:val="21"/>
                <w:szCs w:val="21"/>
                <w:lang w:eastAsia="zh-CN"/>
              </w:rPr>
              <w:t>）</w:t>
            </w:r>
          </w:p>
        </w:tc>
        <w:tc>
          <w:tcPr>
            <w:tcW w:w="851" w:type="dxa"/>
            <w:tcBorders>
              <w:top w:val="single" w:color="auto" w:sz="12" w:space="0"/>
            </w:tcBorders>
            <w:vAlign w:val="center"/>
          </w:tcPr>
          <w:p w14:paraId="77D544AA">
            <w:pPr>
              <w:widowControl/>
              <w:spacing w:before="50" w:line="240" w:lineRule="auto"/>
              <w:ind w:firstLine="0" w:firstLineChars="0"/>
              <w:jc w:val="center"/>
              <w:rPr>
                <w:rFonts w:ascii="宋体" w:hAnsi="宋体" w:cs="宋体"/>
                <w:sz w:val="21"/>
                <w:szCs w:val="21"/>
              </w:rPr>
            </w:pPr>
            <w:r>
              <w:rPr>
                <w:rFonts w:hint="eastAsia" w:ascii="宋体" w:hAnsi="宋体" w:cs="宋体"/>
                <w:sz w:val="21"/>
                <w:szCs w:val="21"/>
              </w:rPr>
              <w:t>蜡含量</w:t>
            </w:r>
          </w:p>
          <w:p w14:paraId="2347D4A5">
            <w:pPr>
              <w:widowControl/>
              <w:spacing w:before="50" w:line="240" w:lineRule="auto"/>
              <w:ind w:firstLine="0" w:firstLineChars="0"/>
              <w:jc w:val="center"/>
              <w:rPr>
                <w:rFonts w:ascii="宋体" w:hAnsi="宋体" w:cs="宋体"/>
                <w:sz w:val="21"/>
                <w:szCs w:val="21"/>
              </w:rPr>
            </w:pPr>
            <w:r>
              <w:rPr>
                <w:rFonts w:hint="eastAsia" w:ascii="宋体" w:hAnsi="宋体" w:cs="宋体"/>
                <w:sz w:val="21"/>
                <w:szCs w:val="21"/>
                <w:lang w:eastAsia="zh-CN"/>
              </w:rPr>
              <w:t>（</w:t>
            </w:r>
            <w:r>
              <w:rPr>
                <w:rFonts w:hint="eastAsia" w:ascii="宋体" w:hAnsi="宋体" w:cs="宋体"/>
                <w:sz w:val="21"/>
                <w:szCs w:val="21"/>
              </w:rPr>
              <w:t>%</w:t>
            </w:r>
            <w:r>
              <w:rPr>
                <w:rFonts w:hint="eastAsia" w:ascii="宋体" w:hAnsi="宋体" w:cs="宋体"/>
                <w:sz w:val="21"/>
                <w:szCs w:val="21"/>
                <w:lang w:eastAsia="zh-CN"/>
              </w:rPr>
              <w:t>）</w:t>
            </w:r>
          </w:p>
        </w:tc>
        <w:tc>
          <w:tcPr>
            <w:tcW w:w="1276" w:type="dxa"/>
            <w:tcBorders>
              <w:top w:val="single" w:color="auto" w:sz="12" w:space="0"/>
              <w:right w:val="single" w:color="auto" w:sz="4" w:space="0"/>
            </w:tcBorders>
            <w:vAlign w:val="center"/>
          </w:tcPr>
          <w:p w14:paraId="40882E2D">
            <w:pPr>
              <w:widowControl/>
              <w:spacing w:before="50" w:line="240" w:lineRule="auto"/>
              <w:ind w:firstLine="0" w:firstLineChars="0"/>
              <w:jc w:val="center"/>
              <w:rPr>
                <w:rFonts w:ascii="宋体" w:hAnsi="宋体" w:cs="宋体"/>
                <w:sz w:val="21"/>
                <w:szCs w:val="21"/>
              </w:rPr>
            </w:pPr>
            <w:r>
              <w:rPr>
                <w:rFonts w:hint="eastAsia" w:ascii="宋体" w:hAnsi="宋体" w:cs="宋体"/>
                <w:sz w:val="21"/>
                <w:szCs w:val="21"/>
              </w:rPr>
              <w:t>胶质+沥青</w:t>
            </w:r>
          </w:p>
          <w:p w14:paraId="0FE5C1C2">
            <w:pPr>
              <w:widowControl/>
              <w:spacing w:before="50" w:line="240" w:lineRule="auto"/>
              <w:ind w:firstLine="0" w:firstLineChars="0"/>
              <w:jc w:val="center"/>
              <w:rPr>
                <w:rFonts w:ascii="宋体" w:hAnsi="宋体" w:cs="宋体"/>
                <w:sz w:val="21"/>
                <w:szCs w:val="21"/>
              </w:rPr>
            </w:pPr>
            <w:r>
              <w:rPr>
                <w:rFonts w:hint="eastAsia" w:ascii="宋体" w:hAnsi="宋体" w:cs="宋体"/>
                <w:sz w:val="21"/>
                <w:szCs w:val="21"/>
                <w:lang w:eastAsia="zh-CN"/>
              </w:rPr>
              <w:t>（</w:t>
            </w:r>
            <w:r>
              <w:rPr>
                <w:rFonts w:hint="eastAsia" w:ascii="宋体" w:hAnsi="宋体" w:cs="宋体"/>
                <w:sz w:val="21"/>
                <w:szCs w:val="21"/>
              </w:rPr>
              <w:t>%</w:t>
            </w:r>
            <w:r>
              <w:rPr>
                <w:rFonts w:hint="eastAsia" w:ascii="宋体" w:hAnsi="宋体" w:cs="宋体"/>
                <w:sz w:val="21"/>
                <w:szCs w:val="21"/>
                <w:lang w:eastAsia="zh-CN"/>
              </w:rPr>
              <w:t>）</w:t>
            </w:r>
          </w:p>
        </w:tc>
        <w:tc>
          <w:tcPr>
            <w:tcW w:w="782" w:type="dxa"/>
            <w:tcBorders>
              <w:top w:val="single" w:color="auto" w:sz="12" w:space="0"/>
              <w:left w:val="single" w:color="auto" w:sz="4" w:space="0"/>
              <w:right w:val="single" w:color="auto" w:sz="12" w:space="0"/>
            </w:tcBorders>
            <w:vAlign w:val="center"/>
          </w:tcPr>
          <w:p w14:paraId="7E7C0892">
            <w:pPr>
              <w:pStyle w:val="518"/>
              <w:jc w:val="both"/>
              <w:rPr>
                <w:szCs w:val="21"/>
                <w:lang w:eastAsia="zh-CN"/>
              </w:rPr>
            </w:pPr>
            <w:r>
              <w:rPr>
                <w:szCs w:val="21"/>
                <w:lang w:eastAsia="zh-CN"/>
              </w:rPr>
              <w:t>含硫</w:t>
            </w:r>
          </w:p>
          <w:p w14:paraId="69C386A7">
            <w:pPr>
              <w:widowControl/>
              <w:spacing w:line="240" w:lineRule="auto"/>
              <w:ind w:firstLine="0" w:firstLineChars="0"/>
              <w:jc w:val="left"/>
              <w:rPr>
                <w:rFonts w:ascii="宋体" w:hAnsi="宋体" w:cs="宋体"/>
                <w:sz w:val="21"/>
                <w:szCs w:val="21"/>
              </w:rPr>
            </w:pPr>
            <w:r>
              <w:rPr>
                <w:rFonts w:hint="eastAsia"/>
                <w:szCs w:val="21"/>
                <w:lang w:eastAsia="zh-CN"/>
              </w:rPr>
              <w:t>（%）</w:t>
            </w:r>
          </w:p>
        </w:tc>
      </w:tr>
      <w:tr w14:paraId="3116A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exact"/>
          <w:jc w:val="center"/>
        </w:trPr>
        <w:tc>
          <w:tcPr>
            <w:tcW w:w="1126" w:type="dxa"/>
            <w:tcBorders>
              <w:left w:val="single" w:color="auto" w:sz="12" w:space="0"/>
            </w:tcBorders>
            <w:vAlign w:val="center"/>
          </w:tcPr>
          <w:p w14:paraId="7B7CBDB0">
            <w:pPr>
              <w:widowControl/>
              <w:spacing w:before="50" w:line="240" w:lineRule="auto"/>
              <w:ind w:firstLine="0" w:firstLineChars="0"/>
              <w:jc w:val="center"/>
              <w:rPr>
                <w:rFonts w:ascii="宋体" w:hAnsi="宋体" w:cs="宋体"/>
                <w:sz w:val="21"/>
                <w:szCs w:val="21"/>
                <w:lang w:eastAsia="zh-CN"/>
              </w:rPr>
            </w:pPr>
            <w:r>
              <w:rPr>
                <w:rFonts w:hint="eastAsia" w:ascii="宋体" w:hAnsi="宋体" w:cs="宋体"/>
                <w:sz w:val="21"/>
                <w:szCs w:val="21"/>
              </w:rPr>
              <w:t>太27-37井</w:t>
            </w:r>
          </w:p>
          <w:p w14:paraId="20194513">
            <w:pPr>
              <w:widowControl/>
              <w:spacing w:before="50" w:line="240" w:lineRule="auto"/>
              <w:ind w:firstLine="0" w:firstLineChars="0"/>
              <w:jc w:val="center"/>
              <w:rPr>
                <w:rFonts w:ascii="宋体" w:hAnsi="宋体" w:cs="宋体"/>
                <w:sz w:val="21"/>
                <w:szCs w:val="21"/>
              </w:rPr>
            </w:pPr>
            <w:r>
              <w:rPr>
                <w:rFonts w:hint="eastAsia" w:ascii="宋体" w:hAnsi="宋体" w:cs="宋体"/>
                <w:sz w:val="21"/>
                <w:szCs w:val="21"/>
              </w:rPr>
              <w:t>原油</w:t>
            </w:r>
          </w:p>
        </w:tc>
        <w:tc>
          <w:tcPr>
            <w:tcW w:w="1134" w:type="dxa"/>
            <w:vAlign w:val="center"/>
          </w:tcPr>
          <w:p w14:paraId="1B7905E2">
            <w:pPr>
              <w:widowControl/>
              <w:spacing w:before="50" w:line="240" w:lineRule="auto"/>
              <w:ind w:firstLine="0" w:firstLineChars="0"/>
              <w:jc w:val="center"/>
              <w:rPr>
                <w:rFonts w:ascii="宋体" w:hAnsi="宋体" w:cs="宋体"/>
                <w:sz w:val="21"/>
                <w:szCs w:val="21"/>
              </w:rPr>
            </w:pPr>
            <w:r>
              <w:rPr>
                <w:rFonts w:hint="eastAsia" w:ascii="宋体" w:hAnsi="宋体" w:cs="宋体"/>
                <w:sz w:val="21"/>
                <w:szCs w:val="21"/>
              </w:rPr>
              <w:t>0.8388</w:t>
            </w:r>
          </w:p>
        </w:tc>
        <w:tc>
          <w:tcPr>
            <w:tcW w:w="1134" w:type="dxa"/>
            <w:vAlign w:val="center"/>
          </w:tcPr>
          <w:p w14:paraId="4E63215C">
            <w:pPr>
              <w:widowControl/>
              <w:spacing w:before="50" w:line="240" w:lineRule="auto"/>
              <w:ind w:firstLine="0" w:firstLineChars="0"/>
              <w:jc w:val="center"/>
              <w:rPr>
                <w:rFonts w:ascii="宋体" w:hAnsi="宋体" w:cs="宋体"/>
                <w:sz w:val="21"/>
                <w:szCs w:val="21"/>
              </w:rPr>
            </w:pPr>
            <w:r>
              <w:rPr>
                <w:rFonts w:hint="eastAsia" w:ascii="宋体" w:hAnsi="宋体" w:cs="宋体"/>
                <w:sz w:val="21"/>
                <w:szCs w:val="21"/>
              </w:rPr>
              <w:t>0.8183</w:t>
            </w:r>
          </w:p>
        </w:tc>
        <w:tc>
          <w:tcPr>
            <w:tcW w:w="1284" w:type="dxa"/>
            <w:vAlign w:val="center"/>
          </w:tcPr>
          <w:p w14:paraId="16F29288">
            <w:pPr>
              <w:widowControl/>
              <w:spacing w:before="50" w:line="240" w:lineRule="auto"/>
              <w:ind w:firstLine="0" w:firstLineChars="0"/>
              <w:jc w:val="center"/>
              <w:rPr>
                <w:rFonts w:ascii="宋体" w:hAnsi="宋体" w:cs="宋体"/>
                <w:sz w:val="21"/>
                <w:szCs w:val="21"/>
              </w:rPr>
            </w:pPr>
            <w:r>
              <w:rPr>
                <w:rFonts w:hint="eastAsia" w:ascii="宋体" w:hAnsi="宋体" w:cs="宋体"/>
                <w:sz w:val="21"/>
                <w:szCs w:val="21"/>
              </w:rPr>
              <w:t>6.317</w:t>
            </w:r>
          </w:p>
        </w:tc>
        <w:tc>
          <w:tcPr>
            <w:tcW w:w="992" w:type="dxa"/>
            <w:vAlign w:val="center"/>
          </w:tcPr>
          <w:p w14:paraId="4AEEF22D">
            <w:pPr>
              <w:widowControl/>
              <w:spacing w:before="50" w:line="240" w:lineRule="auto"/>
              <w:ind w:firstLine="0" w:firstLineChars="0"/>
              <w:jc w:val="center"/>
              <w:rPr>
                <w:rFonts w:ascii="宋体" w:hAnsi="宋体" w:cs="宋体"/>
                <w:sz w:val="21"/>
                <w:szCs w:val="21"/>
              </w:rPr>
            </w:pPr>
            <w:r>
              <w:rPr>
                <w:rFonts w:hint="eastAsia" w:ascii="宋体" w:hAnsi="宋体" w:cs="宋体"/>
                <w:sz w:val="21"/>
                <w:szCs w:val="21"/>
              </w:rPr>
              <w:t>24</w:t>
            </w:r>
          </w:p>
        </w:tc>
        <w:tc>
          <w:tcPr>
            <w:tcW w:w="851" w:type="dxa"/>
            <w:vAlign w:val="center"/>
          </w:tcPr>
          <w:p w14:paraId="1AD362AA">
            <w:pPr>
              <w:widowControl/>
              <w:spacing w:before="50" w:line="240" w:lineRule="auto"/>
              <w:ind w:firstLine="0" w:firstLineChars="0"/>
              <w:jc w:val="center"/>
              <w:rPr>
                <w:rFonts w:ascii="宋体" w:hAnsi="宋体" w:cs="宋体"/>
                <w:sz w:val="21"/>
                <w:szCs w:val="21"/>
              </w:rPr>
            </w:pPr>
            <w:r>
              <w:rPr>
                <w:rFonts w:hint="eastAsia" w:ascii="宋体" w:hAnsi="宋体" w:cs="宋体"/>
                <w:sz w:val="21"/>
                <w:szCs w:val="21"/>
              </w:rPr>
              <w:t>6.25</w:t>
            </w:r>
          </w:p>
        </w:tc>
        <w:tc>
          <w:tcPr>
            <w:tcW w:w="1276" w:type="dxa"/>
            <w:tcBorders>
              <w:right w:val="single" w:color="auto" w:sz="4" w:space="0"/>
            </w:tcBorders>
            <w:vAlign w:val="center"/>
          </w:tcPr>
          <w:p w14:paraId="60B3F404">
            <w:pPr>
              <w:widowControl/>
              <w:spacing w:before="50" w:line="240" w:lineRule="auto"/>
              <w:ind w:firstLine="0" w:firstLineChars="0"/>
              <w:jc w:val="center"/>
              <w:rPr>
                <w:rFonts w:ascii="宋体" w:hAnsi="宋体" w:cs="宋体"/>
                <w:sz w:val="21"/>
                <w:szCs w:val="21"/>
              </w:rPr>
            </w:pPr>
            <w:r>
              <w:rPr>
                <w:rFonts w:hint="eastAsia" w:ascii="宋体" w:hAnsi="宋体" w:cs="宋体"/>
                <w:sz w:val="21"/>
                <w:szCs w:val="21"/>
              </w:rPr>
              <w:t>10.56</w:t>
            </w:r>
          </w:p>
        </w:tc>
        <w:tc>
          <w:tcPr>
            <w:tcW w:w="782" w:type="dxa"/>
            <w:tcBorders>
              <w:left w:val="single" w:color="auto" w:sz="4" w:space="0"/>
              <w:right w:val="single" w:color="auto" w:sz="12" w:space="0"/>
            </w:tcBorders>
            <w:vAlign w:val="center"/>
          </w:tcPr>
          <w:p w14:paraId="23C0A00B">
            <w:pPr>
              <w:widowControl/>
              <w:spacing w:before="50" w:line="240" w:lineRule="auto"/>
              <w:ind w:firstLine="0" w:firstLineChars="0"/>
              <w:jc w:val="center"/>
              <w:rPr>
                <w:rFonts w:ascii="宋体" w:hAnsi="宋体" w:cs="宋体"/>
                <w:sz w:val="21"/>
                <w:szCs w:val="21"/>
              </w:rPr>
            </w:pPr>
            <w:r>
              <w:rPr>
                <w:rFonts w:ascii="宋体" w:hAnsi="宋体" w:cs="宋体"/>
                <w:sz w:val="21"/>
                <w:szCs w:val="21"/>
                <w:lang w:eastAsia="zh-CN"/>
              </w:rPr>
              <w:t>0.31</w:t>
            </w:r>
          </w:p>
        </w:tc>
      </w:tr>
      <w:tr w14:paraId="1E01F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exact"/>
          <w:jc w:val="center"/>
        </w:trPr>
        <w:tc>
          <w:tcPr>
            <w:tcW w:w="1126" w:type="dxa"/>
            <w:tcBorders>
              <w:left w:val="single" w:color="auto" w:sz="12" w:space="0"/>
              <w:bottom w:val="single" w:color="auto" w:sz="12" w:space="0"/>
            </w:tcBorders>
            <w:vAlign w:val="center"/>
          </w:tcPr>
          <w:p w14:paraId="318885FC">
            <w:pPr>
              <w:widowControl/>
              <w:spacing w:before="50" w:line="240" w:lineRule="auto"/>
              <w:ind w:firstLine="0" w:firstLineChars="0"/>
              <w:jc w:val="center"/>
              <w:rPr>
                <w:rFonts w:ascii="宋体" w:hAnsi="宋体" w:cs="宋体"/>
                <w:sz w:val="21"/>
                <w:szCs w:val="21"/>
                <w:lang w:eastAsia="zh-CN"/>
              </w:rPr>
            </w:pPr>
            <w:r>
              <w:rPr>
                <w:rFonts w:hint="eastAsia" w:ascii="宋体" w:hAnsi="宋体" w:cs="宋体"/>
                <w:sz w:val="21"/>
                <w:szCs w:val="21"/>
              </w:rPr>
              <w:t>太53</w:t>
            </w:r>
          </w:p>
          <w:p w14:paraId="2405C902">
            <w:pPr>
              <w:widowControl/>
              <w:spacing w:before="50" w:line="240" w:lineRule="auto"/>
              <w:ind w:firstLine="0" w:firstLineChars="0"/>
              <w:jc w:val="center"/>
              <w:rPr>
                <w:rFonts w:ascii="宋体" w:hAnsi="宋体" w:cs="宋体"/>
                <w:sz w:val="21"/>
                <w:szCs w:val="21"/>
              </w:rPr>
            </w:pPr>
            <w:r>
              <w:rPr>
                <w:rFonts w:hint="eastAsia" w:ascii="宋体" w:hAnsi="宋体" w:cs="宋体"/>
                <w:sz w:val="21"/>
                <w:szCs w:val="21"/>
              </w:rPr>
              <w:t>混合原油</w:t>
            </w:r>
          </w:p>
        </w:tc>
        <w:tc>
          <w:tcPr>
            <w:tcW w:w="1134" w:type="dxa"/>
            <w:tcBorders>
              <w:bottom w:val="single" w:color="auto" w:sz="12" w:space="0"/>
            </w:tcBorders>
            <w:vAlign w:val="center"/>
          </w:tcPr>
          <w:p w14:paraId="6FAF7A97">
            <w:pPr>
              <w:widowControl/>
              <w:spacing w:before="50" w:line="240" w:lineRule="auto"/>
              <w:ind w:firstLine="0" w:firstLineChars="0"/>
              <w:jc w:val="center"/>
              <w:rPr>
                <w:rFonts w:ascii="宋体" w:hAnsi="宋体" w:cs="宋体"/>
                <w:sz w:val="21"/>
                <w:szCs w:val="21"/>
              </w:rPr>
            </w:pPr>
            <w:r>
              <w:rPr>
                <w:rFonts w:hint="eastAsia" w:ascii="宋体" w:hAnsi="宋体" w:cs="宋体"/>
                <w:sz w:val="21"/>
                <w:szCs w:val="21"/>
              </w:rPr>
              <w:t>0.8213</w:t>
            </w:r>
          </w:p>
        </w:tc>
        <w:tc>
          <w:tcPr>
            <w:tcW w:w="1134" w:type="dxa"/>
            <w:tcBorders>
              <w:bottom w:val="single" w:color="auto" w:sz="12" w:space="0"/>
            </w:tcBorders>
            <w:vAlign w:val="center"/>
          </w:tcPr>
          <w:p w14:paraId="132C0E3E">
            <w:pPr>
              <w:widowControl/>
              <w:spacing w:before="50" w:line="240" w:lineRule="auto"/>
              <w:ind w:firstLine="0" w:firstLineChars="0"/>
              <w:jc w:val="center"/>
              <w:rPr>
                <w:rFonts w:ascii="宋体" w:hAnsi="宋体" w:cs="宋体"/>
                <w:sz w:val="21"/>
                <w:szCs w:val="21"/>
              </w:rPr>
            </w:pPr>
            <w:r>
              <w:rPr>
                <w:rFonts w:hint="eastAsia" w:ascii="宋体" w:hAnsi="宋体" w:cs="宋体"/>
                <w:sz w:val="21"/>
                <w:szCs w:val="21"/>
              </w:rPr>
              <w:t>0.8001</w:t>
            </w:r>
          </w:p>
        </w:tc>
        <w:tc>
          <w:tcPr>
            <w:tcW w:w="1284" w:type="dxa"/>
            <w:tcBorders>
              <w:bottom w:val="single" w:color="auto" w:sz="12" w:space="0"/>
            </w:tcBorders>
            <w:vAlign w:val="center"/>
          </w:tcPr>
          <w:p w14:paraId="5DEA5AFB">
            <w:pPr>
              <w:widowControl/>
              <w:spacing w:before="50" w:line="240" w:lineRule="auto"/>
              <w:ind w:firstLine="0" w:firstLineChars="0"/>
              <w:jc w:val="center"/>
              <w:rPr>
                <w:rFonts w:ascii="宋体" w:hAnsi="宋体" w:cs="宋体"/>
                <w:sz w:val="21"/>
                <w:szCs w:val="21"/>
              </w:rPr>
            </w:pPr>
            <w:r>
              <w:rPr>
                <w:rFonts w:hint="eastAsia" w:ascii="宋体" w:hAnsi="宋体" w:cs="宋体"/>
                <w:sz w:val="21"/>
                <w:szCs w:val="21"/>
              </w:rPr>
              <w:t>3.758</w:t>
            </w:r>
          </w:p>
        </w:tc>
        <w:tc>
          <w:tcPr>
            <w:tcW w:w="992" w:type="dxa"/>
            <w:tcBorders>
              <w:bottom w:val="single" w:color="auto" w:sz="12" w:space="0"/>
            </w:tcBorders>
            <w:vAlign w:val="center"/>
          </w:tcPr>
          <w:p w14:paraId="052ABB2B">
            <w:pPr>
              <w:widowControl/>
              <w:spacing w:before="50" w:line="240" w:lineRule="auto"/>
              <w:ind w:firstLine="0" w:firstLineChars="0"/>
              <w:jc w:val="center"/>
              <w:rPr>
                <w:rFonts w:ascii="宋体" w:hAnsi="宋体" w:cs="宋体"/>
                <w:sz w:val="21"/>
                <w:szCs w:val="21"/>
              </w:rPr>
            </w:pPr>
            <w:r>
              <w:rPr>
                <w:rFonts w:hint="eastAsia" w:ascii="宋体" w:hAnsi="宋体" w:cs="宋体"/>
                <w:sz w:val="21"/>
                <w:szCs w:val="21"/>
              </w:rPr>
              <w:t>21</w:t>
            </w:r>
          </w:p>
        </w:tc>
        <w:tc>
          <w:tcPr>
            <w:tcW w:w="851" w:type="dxa"/>
            <w:tcBorders>
              <w:bottom w:val="single" w:color="auto" w:sz="12" w:space="0"/>
            </w:tcBorders>
            <w:vAlign w:val="center"/>
          </w:tcPr>
          <w:p w14:paraId="30F62DC5">
            <w:pPr>
              <w:widowControl/>
              <w:spacing w:before="50" w:line="240" w:lineRule="auto"/>
              <w:ind w:firstLine="0" w:firstLineChars="0"/>
              <w:jc w:val="center"/>
              <w:rPr>
                <w:rFonts w:ascii="宋体" w:hAnsi="宋体" w:cs="宋体"/>
                <w:sz w:val="21"/>
                <w:szCs w:val="21"/>
              </w:rPr>
            </w:pPr>
            <w:r>
              <w:rPr>
                <w:rFonts w:hint="eastAsia" w:ascii="宋体" w:hAnsi="宋体" w:cs="宋体"/>
                <w:sz w:val="21"/>
                <w:szCs w:val="21"/>
              </w:rPr>
              <w:t>7.15</w:t>
            </w:r>
          </w:p>
        </w:tc>
        <w:tc>
          <w:tcPr>
            <w:tcW w:w="1276" w:type="dxa"/>
            <w:tcBorders>
              <w:bottom w:val="single" w:color="auto" w:sz="12" w:space="0"/>
              <w:right w:val="single" w:color="auto" w:sz="4" w:space="0"/>
            </w:tcBorders>
            <w:vAlign w:val="center"/>
          </w:tcPr>
          <w:p w14:paraId="68929824">
            <w:pPr>
              <w:widowControl/>
              <w:spacing w:before="50" w:line="240" w:lineRule="auto"/>
              <w:ind w:firstLine="0" w:firstLineChars="0"/>
              <w:jc w:val="center"/>
              <w:rPr>
                <w:rFonts w:ascii="宋体" w:hAnsi="宋体" w:cs="宋体"/>
                <w:sz w:val="21"/>
                <w:szCs w:val="21"/>
              </w:rPr>
            </w:pPr>
            <w:r>
              <w:rPr>
                <w:rFonts w:hint="eastAsia" w:ascii="宋体" w:hAnsi="宋体" w:cs="宋体"/>
                <w:sz w:val="21"/>
                <w:szCs w:val="21"/>
              </w:rPr>
              <w:t>6.87</w:t>
            </w:r>
          </w:p>
        </w:tc>
        <w:tc>
          <w:tcPr>
            <w:tcW w:w="782" w:type="dxa"/>
            <w:tcBorders>
              <w:left w:val="single" w:color="auto" w:sz="4" w:space="0"/>
              <w:bottom w:val="single" w:color="auto" w:sz="12" w:space="0"/>
              <w:right w:val="single" w:color="auto" w:sz="12" w:space="0"/>
            </w:tcBorders>
            <w:vAlign w:val="center"/>
          </w:tcPr>
          <w:p w14:paraId="3F642976">
            <w:pPr>
              <w:widowControl/>
              <w:spacing w:before="50" w:line="240" w:lineRule="auto"/>
              <w:ind w:firstLine="0" w:firstLineChars="0"/>
              <w:jc w:val="center"/>
              <w:rPr>
                <w:rFonts w:ascii="宋体" w:hAnsi="宋体" w:cs="宋体"/>
                <w:sz w:val="21"/>
                <w:szCs w:val="21"/>
              </w:rPr>
            </w:pPr>
            <w:r>
              <w:rPr>
                <w:rFonts w:hint="eastAsia" w:ascii="宋体" w:hAnsi="宋体" w:cs="宋体"/>
                <w:sz w:val="21"/>
                <w:szCs w:val="21"/>
                <w:lang w:eastAsia="zh-CN"/>
              </w:rPr>
              <w:t>0.25</w:t>
            </w:r>
          </w:p>
        </w:tc>
      </w:tr>
    </w:tbl>
    <w:p w14:paraId="06AA33E8">
      <w:pPr>
        <w:autoSpaceDE w:val="0"/>
        <w:autoSpaceDN w:val="0"/>
        <w:adjustRightInd w:val="0"/>
        <w:ind w:firstLine="480"/>
        <w:rPr>
          <w:rFonts w:asciiTheme="minorEastAsia" w:hAnsiTheme="minorEastAsia" w:eastAsiaTheme="minorEastAsia"/>
          <w:bCs/>
          <w:lang w:eastAsia="zh-CN"/>
        </w:rPr>
      </w:pPr>
      <w:r>
        <w:rPr>
          <w:rFonts w:asciiTheme="minorEastAsia" w:hAnsiTheme="minorEastAsia" w:eastAsiaTheme="minorEastAsia"/>
          <w:bCs/>
          <w:lang w:eastAsia="zh-CN"/>
        </w:rPr>
        <w:t>2、粘温数据</w:t>
      </w:r>
    </w:p>
    <w:p w14:paraId="19992BCE">
      <w:pPr>
        <w:adjustRightInd w:val="0"/>
        <w:snapToGrid w:val="0"/>
        <w:ind w:firstLine="480"/>
        <w:rPr>
          <w:rFonts w:asciiTheme="minorEastAsia" w:hAnsiTheme="minorEastAsia" w:eastAsiaTheme="minorEastAsia"/>
          <w:bCs/>
          <w:lang w:eastAsia="zh-CN"/>
        </w:rPr>
      </w:pPr>
      <w:r>
        <w:rPr>
          <w:rFonts w:hint="eastAsia" w:asciiTheme="minorEastAsia" w:hAnsiTheme="minorEastAsia" w:eastAsiaTheme="minorEastAsia"/>
          <w:bCs/>
          <w:lang w:eastAsia="zh-CN"/>
        </w:rPr>
        <w:t>乌里雅斯太</w:t>
      </w:r>
      <w:r>
        <w:rPr>
          <w:rFonts w:asciiTheme="minorEastAsia" w:hAnsiTheme="minorEastAsia" w:eastAsiaTheme="minorEastAsia"/>
          <w:bCs/>
          <w:lang w:eastAsia="zh-CN"/>
        </w:rPr>
        <w:t>油田</w:t>
      </w:r>
      <w:r>
        <w:rPr>
          <w:rFonts w:hint="eastAsia" w:asciiTheme="minorEastAsia" w:hAnsiTheme="minorEastAsia" w:eastAsiaTheme="minorEastAsia"/>
          <w:bCs/>
          <w:lang w:eastAsia="zh-CN"/>
        </w:rPr>
        <w:t>太27实验井不含水</w:t>
      </w:r>
      <w:r>
        <w:rPr>
          <w:rFonts w:hint="eastAsia" w:asciiTheme="minorEastAsia" w:hAnsiTheme="minorEastAsia" w:eastAsiaTheme="minorEastAsia"/>
          <w:snapToGrid w:val="0"/>
          <w:lang w:eastAsia="zh-CN"/>
        </w:rPr>
        <w:t>原油粘温数据见表2.3-6，图2.3-3，</w:t>
      </w:r>
      <w:r>
        <w:rPr>
          <w:rFonts w:asciiTheme="minorEastAsia" w:hAnsiTheme="minorEastAsia" w:eastAsiaTheme="minorEastAsia"/>
          <w:bCs/>
          <w:lang w:eastAsia="zh-CN"/>
        </w:rPr>
        <w:t>油田</w:t>
      </w:r>
      <w:r>
        <w:rPr>
          <w:rFonts w:hint="eastAsia" w:asciiTheme="minorEastAsia" w:hAnsiTheme="minorEastAsia" w:eastAsiaTheme="minorEastAsia"/>
          <w:bCs/>
          <w:lang w:eastAsia="zh-CN"/>
        </w:rPr>
        <w:t>太27实验井</w:t>
      </w:r>
      <w:r>
        <w:rPr>
          <w:rFonts w:hint="eastAsia" w:asciiTheme="minorEastAsia" w:hAnsiTheme="minorEastAsia" w:eastAsiaTheme="minorEastAsia"/>
          <w:snapToGrid w:val="0"/>
          <w:lang w:eastAsia="zh-CN"/>
        </w:rPr>
        <w:t>原油粘度随含水率变化情况见表2.3-7，图2.3-4；太53不含水混合原油粘温数据见表2.3-8，图2.3-5，</w:t>
      </w:r>
      <w:r>
        <w:rPr>
          <w:rFonts w:hint="eastAsia" w:asciiTheme="minorEastAsia" w:hAnsiTheme="minorEastAsia" w:eastAsiaTheme="minorEastAsia"/>
          <w:bCs/>
          <w:lang w:eastAsia="zh-CN"/>
        </w:rPr>
        <w:t>乌里雅斯太</w:t>
      </w:r>
      <w:r>
        <w:rPr>
          <w:rFonts w:asciiTheme="minorEastAsia" w:hAnsiTheme="minorEastAsia" w:eastAsiaTheme="minorEastAsia"/>
          <w:bCs/>
          <w:lang w:eastAsia="zh-CN"/>
        </w:rPr>
        <w:t>油田</w:t>
      </w:r>
      <w:r>
        <w:rPr>
          <w:rFonts w:hint="eastAsia" w:asciiTheme="minorEastAsia" w:hAnsiTheme="minorEastAsia" w:eastAsiaTheme="minorEastAsia"/>
          <w:snapToGrid w:val="0"/>
          <w:lang w:eastAsia="zh-CN"/>
        </w:rPr>
        <w:t>太53混合</w:t>
      </w:r>
      <w:r>
        <w:rPr>
          <w:rFonts w:hint="eastAsia" w:asciiTheme="minorEastAsia" w:hAnsiTheme="minorEastAsia" w:eastAsiaTheme="minorEastAsia"/>
          <w:bCs/>
          <w:lang w:eastAsia="zh-CN"/>
        </w:rPr>
        <w:t>原油粘度随含水率变化数据见表2.3-9，图2.3-6。</w:t>
      </w:r>
    </w:p>
    <w:p w14:paraId="25E78D15">
      <w:pPr>
        <w:autoSpaceDE w:val="0"/>
        <w:autoSpaceDN w:val="0"/>
        <w:adjustRightInd w:val="0"/>
        <w:spacing w:line="240" w:lineRule="auto"/>
        <w:ind w:firstLine="482"/>
        <w:rPr>
          <w:b/>
          <w:bCs/>
          <w:lang w:eastAsia="zh-CN"/>
        </w:rPr>
      </w:pPr>
      <w:r>
        <w:rPr>
          <w:b/>
          <w:bCs/>
          <w:lang w:eastAsia="zh-CN"/>
        </w:rPr>
        <w:t>表2.</w:t>
      </w:r>
      <w:r>
        <w:rPr>
          <w:rFonts w:hint="eastAsia"/>
          <w:b/>
          <w:bCs/>
          <w:lang w:eastAsia="zh-CN"/>
        </w:rPr>
        <w:t>3</w:t>
      </w:r>
      <w:r>
        <w:rPr>
          <w:b/>
          <w:bCs/>
          <w:lang w:eastAsia="zh-CN"/>
        </w:rPr>
        <w:t>-</w:t>
      </w:r>
      <w:r>
        <w:rPr>
          <w:rFonts w:hint="eastAsia"/>
          <w:b/>
          <w:bCs/>
          <w:lang w:eastAsia="zh-CN"/>
        </w:rPr>
        <w:t>6</w:t>
      </w:r>
      <w:r>
        <w:rPr>
          <w:b/>
          <w:bCs/>
          <w:lang w:eastAsia="zh-CN"/>
        </w:rPr>
        <w:t xml:space="preserve">  </w:t>
      </w:r>
      <w:r>
        <w:rPr>
          <w:rFonts w:hint="eastAsia"/>
          <w:b/>
          <w:bCs/>
          <w:lang w:eastAsia="zh-CN"/>
        </w:rPr>
        <w:t xml:space="preserve">   乌里雅斯太</w:t>
      </w:r>
      <w:r>
        <w:rPr>
          <w:b/>
          <w:bCs/>
          <w:lang w:eastAsia="zh-CN"/>
        </w:rPr>
        <w:t>油田</w:t>
      </w:r>
      <w:r>
        <w:rPr>
          <w:rFonts w:hint="eastAsia" w:ascii="黑体" w:hAnsi="宋体" w:eastAsia="黑体"/>
          <w:lang w:eastAsia="zh-CN"/>
        </w:rPr>
        <w:t>太27实验井不含水</w:t>
      </w:r>
      <w:r>
        <w:rPr>
          <w:b/>
          <w:bCs/>
          <w:lang w:eastAsia="zh-CN"/>
        </w:rPr>
        <w:t>原油粘温数据</w:t>
      </w:r>
    </w:p>
    <w:tbl>
      <w:tblPr>
        <w:tblStyle w:val="76"/>
        <w:tblW w:w="8491"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23"/>
        <w:gridCol w:w="1286"/>
        <w:gridCol w:w="1495"/>
        <w:gridCol w:w="1495"/>
        <w:gridCol w:w="1495"/>
        <w:gridCol w:w="1497"/>
      </w:tblGrid>
      <w:tr w14:paraId="673EFF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3" w:hRule="exact"/>
          <w:tblHeader/>
          <w:jc w:val="center"/>
        </w:trPr>
        <w:tc>
          <w:tcPr>
            <w:tcW w:w="1223" w:type="dxa"/>
            <w:vMerge w:val="restart"/>
            <w:tcBorders>
              <w:top w:val="single" w:color="auto" w:sz="12" w:space="0"/>
              <w:left w:val="single" w:color="auto" w:sz="12" w:space="0"/>
            </w:tcBorders>
            <w:vAlign w:val="center"/>
          </w:tcPr>
          <w:p w14:paraId="7AB43C2A">
            <w:pPr>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温度</w:t>
            </w:r>
          </w:p>
          <w:p w14:paraId="5A740509">
            <w:pPr>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7268" w:type="dxa"/>
            <w:gridSpan w:val="5"/>
            <w:tcBorders>
              <w:top w:val="single" w:color="auto" w:sz="12" w:space="0"/>
              <w:right w:val="single" w:color="auto" w:sz="12" w:space="0"/>
            </w:tcBorders>
            <w:vAlign w:val="center"/>
          </w:tcPr>
          <w:p w14:paraId="3FE44D4E">
            <w:pPr>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不同剪切速率（</w:t>
            </w:r>
            <w:r>
              <w:rPr>
                <w:rFonts w:asciiTheme="minorEastAsia" w:hAnsiTheme="minorEastAsia" w:eastAsiaTheme="minorEastAsia"/>
                <w:sz w:val="21"/>
                <w:szCs w:val="21"/>
              </w:rPr>
              <w:t>s</w:t>
            </w:r>
            <w:r>
              <w:rPr>
                <w:rFonts w:asciiTheme="minorEastAsia" w:hAnsiTheme="minorEastAsia" w:eastAsiaTheme="minorEastAsia"/>
                <w:sz w:val="21"/>
                <w:szCs w:val="21"/>
                <w:vertAlign w:val="superscript"/>
              </w:rPr>
              <w:t>-1</w:t>
            </w:r>
            <w:r>
              <w:rPr>
                <w:rFonts w:hint="eastAsia" w:asciiTheme="minorEastAsia" w:hAnsiTheme="minorEastAsia" w:eastAsiaTheme="minorEastAsia"/>
                <w:sz w:val="21"/>
                <w:szCs w:val="21"/>
              </w:rPr>
              <w:t>）时的粘度，</w:t>
            </w:r>
            <w:r>
              <w:rPr>
                <w:rFonts w:asciiTheme="minorEastAsia" w:hAnsiTheme="minorEastAsia" w:eastAsiaTheme="minorEastAsia"/>
                <w:sz w:val="21"/>
                <w:szCs w:val="21"/>
              </w:rPr>
              <w:t>mPa</w:t>
            </w:r>
            <w:r>
              <w:rPr>
                <w:rFonts w:hint="eastAsia" w:asciiTheme="minorEastAsia" w:hAnsiTheme="minorEastAsia" w:eastAsiaTheme="minorEastAsia"/>
                <w:sz w:val="21"/>
                <w:szCs w:val="21"/>
              </w:rPr>
              <w:t>·</w:t>
            </w:r>
            <w:r>
              <w:rPr>
                <w:rFonts w:asciiTheme="minorEastAsia" w:hAnsiTheme="minorEastAsia" w:eastAsiaTheme="minorEastAsia"/>
                <w:sz w:val="21"/>
                <w:szCs w:val="21"/>
              </w:rPr>
              <w:t>s</w:t>
            </w:r>
          </w:p>
        </w:tc>
      </w:tr>
      <w:tr w14:paraId="2DC0CF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3" w:hRule="exact"/>
          <w:tblHeader/>
          <w:jc w:val="center"/>
        </w:trPr>
        <w:tc>
          <w:tcPr>
            <w:tcW w:w="1223" w:type="dxa"/>
            <w:vMerge w:val="continue"/>
            <w:tcBorders>
              <w:left w:val="single" w:color="auto" w:sz="12" w:space="0"/>
            </w:tcBorders>
            <w:vAlign w:val="center"/>
          </w:tcPr>
          <w:p w14:paraId="0EAD847E">
            <w:pPr>
              <w:spacing w:line="240" w:lineRule="auto"/>
              <w:ind w:firstLine="0" w:firstLineChars="0"/>
              <w:jc w:val="center"/>
              <w:rPr>
                <w:rFonts w:asciiTheme="minorEastAsia" w:hAnsiTheme="minorEastAsia" w:eastAsiaTheme="minorEastAsia"/>
                <w:sz w:val="21"/>
                <w:szCs w:val="21"/>
              </w:rPr>
            </w:pPr>
          </w:p>
        </w:tc>
        <w:tc>
          <w:tcPr>
            <w:tcW w:w="1286" w:type="dxa"/>
            <w:vAlign w:val="center"/>
          </w:tcPr>
          <w:p w14:paraId="59CDFBDB">
            <w:pPr>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9</w:t>
            </w:r>
            <w:r>
              <w:rPr>
                <w:rFonts w:asciiTheme="minorEastAsia" w:hAnsiTheme="minorEastAsia" w:eastAsiaTheme="minorEastAsia"/>
                <w:sz w:val="21"/>
                <w:szCs w:val="21"/>
              </w:rPr>
              <w:t>s</w:t>
            </w:r>
            <w:r>
              <w:rPr>
                <w:rFonts w:asciiTheme="minorEastAsia" w:hAnsiTheme="minorEastAsia" w:eastAsiaTheme="minorEastAsia"/>
                <w:sz w:val="21"/>
                <w:szCs w:val="21"/>
                <w:vertAlign w:val="superscript"/>
              </w:rPr>
              <w:t>-1</w:t>
            </w:r>
          </w:p>
        </w:tc>
        <w:tc>
          <w:tcPr>
            <w:tcW w:w="1495" w:type="dxa"/>
            <w:vAlign w:val="center"/>
          </w:tcPr>
          <w:p w14:paraId="78ABA05B">
            <w:pPr>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16.2</w:t>
            </w:r>
            <w:r>
              <w:rPr>
                <w:rFonts w:asciiTheme="minorEastAsia" w:hAnsiTheme="minorEastAsia" w:eastAsiaTheme="minorEastAsia"/>
                <w:sz w:val="21"/>
                <w:szCs w:val="21"/>
              </w:rPr>
              <w:t>s</w:t>
            </w:r>
            <w:r>
              <w:rPr>
                <w:rFonts w:asciiTheme="minorEastAsia" w:hAnsiTheme="minorEastAsia" w:eastAsiaTheme="minorEastAsia"/>
                <w:sz w:val="21"/>
                <w:szCs w:val="21"/>
                <w:vertAlign w:val="superscript"/>
              </w:rPr>
              <w:t>-1</w:t>
            </w:r>
          </w:p>
        </w:tc>
        <w:tc>
          <w:tcPr>
            <w:tcW w:w="1495" w:type="dxa"/>
            <w:vAlign w:val="center"/>
          </w:tcPr>
          <w:p w14:paraId="0BF5D4F8">
            <w:pPr>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27</w:t>
            </w:r>
            <w:r>
              <w:rPr>
                <w:rFonts w:asciiTheme="minorEastAsia" w:hAnsiTheme="minorEastAsia" w:eastAsiaTheme="minorEastAsia"/>
                <w:sz w:val="21"/>
                <w:szCs w:val="21"/>
              </w:rPr>
              <w:t>s</w:t>
            </w:r>
            <w:r>
              <w:rPr>
                <w:rFonts w:asciiTheme="minorEastAsia" w:hAnsiTheme="minorEastAsia" w:eastAsiaTheme="minorEastAsia"/>
                <w:sz w:val="21"/>
                <w:szCs w:val="21"/>
                <w:vertAlign w:val="superscript"/>
              </w:rPr>
              <w:t>-1</w:t>
            </w:r>
          </w:p>
        </w:tc>
        <w:tc>
          <w:tcPr>
            <w:tcW w:w="1495" w:type="dxa"/>
            <w:vAlign w:val="center"/>
          </w:tcPr>
          <w:p w14:paraId="72F0211B">
            <w:pPr>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48.6</w:t>
            </w:r>
            <w:r>
              <w:rPr>
                <w:rFonts w:asciiTheme="minorEastAsia" w:hAnsiTheme="minorEastAsia" w:eastAsiaTheme="minorEastAsia"/>
                <w:sz w:val="21"/>
                <w:szCs w:val="21"/>
              </w:rPr>
              <w:t>s</w:t>
            </w:r>
            <w:r>
              <w:rPr>
                <w:rFonts w:asciiTheme="minorEastAsia" w:hAnsiTheme="minorEastAsia" w:eastAsiaTheme="minorEastAsia"/>
                <w:sz w:val="21"/>
                <w:szCs w:val="21"/>
                <w:vertAlign w:val="superscript"/>
              </w:rPr>
              <w:t>-1</w:t>
            </w:r>
          </w:p>
        </w:tc>
        <w:tc>
          <w:tcPr>
            <w:tcW w:w="1497" w:type="dxa"/>
            <w:tcBorders>
              <w:right w:val="single" w:color="auto" w:sz="12" w:space="0"/>
            </w:tcBorders>
            <w:vAlign w:val="center"/>
          </w:tcPr>
          <w:p w14:paraId="699A0255">
            <w:pPr>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81</w:t>
            </w:r>
            <w:r>
              <w:rPr>
                <w:rFonts w:asciiTheme="minorEastAsia" w:hAnsiTheme="minorEastAsia" w:eastAsiaTheme="minorEastAsia"/>
                <w:sz w:val="21"/>
                <w:szCs w:val="21"/>
              </w:rPr>
              <w:t>s</w:t>
            </w:r>
            <w:r>
              <w:rPr>
                <w:rFonts w:asciiTheme="minorEastAsia" w:hAnsiTheme="minorEastAsia" w:eastAsiaTheme="minorEastAsia"/>
                <w:sz w:val="21"/>
                <w:szCs w:val="21"/>
                <w:vertAlign w:val="superscript"/>
              </w:rPr>
              <w:t>-1</w:t>
            </w:r>
          </w:p>
        </w:tc>
      </w:tr>
      <w:tr w14:paraId="3C0359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3" w:hRule="exact"/>
          <w:tblHeader/>
          <w:jc w:val="center"/>
        </w:trPr>
        <w:tc>
          <w:tcPr>
            <w:tcW w:w="1223" w:type="dxa"/>
            <w:tcBorders>
              <w:left w:val="single" w:color="auto" w:sz="12" w:space="0"/>
            </w:tcBorders>
            <w:vAlign w:val="center"/>
          </w:tcPr>
          <w:p w14:paraId="3B6E4BD9">
            <w:pPr>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w:t>
            </w:r>
          </w:p>
        </w:tc>
        <w:tc>
          <w:tcPr>
            <w:tcW w:w="1286" w:type="dxa"/>
            <w:vAlign w:val="bottom"/>
          </w:tcPr>
          <w:p w14:paraId="1B70359C">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132.7</w:t>
            </w:r>
          </w:p>
        </w:tc>
        <w:tc>
          <w:tcPr>
            <w:tcW w:w="1495" w:type="dxa"/>
            <w:vAlign w:val="bottom"/>
          </w:tcPr>
          <w:p w14:paraId="4FC6BE8B">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121.3</w:t>
            </w:r>
          </w:p>
        </w:tc>
        <w:tc>
          <w:tcPr>
            <w:tcW w:w="1495" w:type="dxa"/>
            <w:vAlign w:val="bottom"/>
          </w:tcPr>
          <w:p w14:paraId="5E58EB71">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111.6</w:t>
            </w:r>
          </w:p>
        </w:tc>
        <w:tc>
          <w:tcPr>
            <w:tcW w:w="1495" w:type="dxa"/>
            <w:vAlign w:val="bottom"/>
          </w:tcPr>
          <w:p w14:paraId="51F9766C">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96.58</w:t>
            </w:r>
          </w:p>
        </w:tc>
        <w:tc>
          <w:tcPr>
            <w:tcW w:w="1497" w:type="dxa"/>
            <w:tcBorders>
              <w:right w:val="single" w:color="auto" w:sz="12" w:space="0"/>
            </w:tcBorders>
            <w:vAlign w:val="bottom"/>
          </w:tcPr>
          <w:p w14:paraId="23F29486">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77.63</w:t>
            </w:r>
          </w:p>
        </w:tc>
      </w:tr>
      <w:tr w14:paraId="3BD807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3" w:hRule="exact"/>
          <w:tblHeader/>
          <w:jc w:val="center"/>
        </w:trPr>
        <w:tc>
          <w:tcPr>
            <w:tcW w:w="1223" w:type="dxa"/>
            <w:tcBorders>
              <w:left w:val="single" w:color="auto" w:sz="12" w:space="0"/>
            </w:tcBorders>
            <w:vAlign w:val="center"/>
          </w:tcPr>
          <w:p w14:paraId="505C613E">
            <w:pPr>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25</w:t>
            </w:r>
          </w:p>
        </w:tc>
        <w:tc>
          <w:tcPr>
            <w:tcW w:w="1286" w:type="dxa"/>
            <w:vAlign w:val="bottom"/>
          </w:tcPr>
          <w:p w14:paraId="14F5C680">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29.65</w:t>
            </w:r>
          </w:p>
        </w:tc>
        <w:tc>
          <w:tcPr>
            <w:tcW w:w="1495" w:type="dxa"/>
            <w:vAlign w:val="bottom"/>
          </w:tcPr>
          <w:p w14:paraId="6FC80D1F">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27.65</w:t>
            </w:r>
          </w:p>
        </w:tc>
        <w:tc>
          <w:tcPr>
            <w:tcW w:w="1495" w:type="dxa"/>
            <w:vAlign w:val="bottom"/>
          </w:tcPr>
          <w:p w14:paraId="6BDB286C">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25.23</w:t>
            </w:r>
          </w:p>
        </w:tc>
        <w:tc>
          <w:tcPr>
            <w:tcW w:w="1495" w:type="dxa"/>
            <w:vAlign w:val="bottom"/>
          </w:tcPr>
          <w:p w14:paraId="56B5A015">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23.30</w:t>
            </w:r>
          </w:p>
        </w:tc>
        <w:tc>
          <w:tcPr>
            <w:tcW w:w="1497" w:type="dxa"/>
            <w:tcBorders>
              <w:right w:val="single" w:color="auto" w:sz="12" w:space="0"/>
            </w:tcBorders>
            <w:vAlign w:val="bottom"/>
          </w:tcPr>
          <w:p w14:paraId="42073672">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22.86</w:t>
            </w:r>
          </w:p>
        </w:tc>
      </w:tr>
      <w:tr w14:paraId="00A70E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3" w:hRule="exact"/>
          <w:tblHeader/>
          <w:jc w:val="center"/>
        </w:trPr>
        <w:tc>
          <w:tcPr>
            <w:tcW w:w="1223" w:type="dxa"/>
            <w:tcBorders>
              <w:left w:val="single" w:color="auto" w:sz="12" w:space="0"/>
            </w:tcBorders>
            <w:vAlign w:val="center"/>
          </w:tcPr>
          <w:p w14:paraId="5F5AD732">
            <w:pPr>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30</w:t>
            </w:r>
          </w:p>
        </w:tc>
        <w:tc>
          <w:tcPr>
            <w:tcW w:w="1286" w:type="dxa"/>
            <w:vAlign w:val="bottom"/>
          </w:tcPr>
          <w:p w14:paraId="5230F8BF">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16.02</w:t>
            </w:r>
          </w:p>
        </w:tc>
        <w:tc>
          <w:tcPr>
            <w:tcW w:w="1495" w:type="dxa"/>
            <w:vAlign w:val="bottom"/>
          </w:tcPr>
          <w:p w14:paraId="7D2DB4C2">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15.66</w:t>
            </w:r>
          </w:p>
        </w:tc>
        <w:tc>
          <w:tcPr>
            <w:tcW w:w="1495" w:type="dxa"/>
            <w:vAlign w:val="bottom"/>
          </w:tcPr>
          <w:p w14:paraId="162E7A99">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15.54</w:t>
            </w:r>
          </w:p>
        </w:tc>
        <w:tc>
          <w:tcPr>
            <w:tcW w:w="1495" w:type="dxa"/>
            <w:vAlign w:val="bottom"/>
          </w:tcPr>
          <w:p w14:paraId="2BDB2624">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15.46</w:t>
            </w:r>
          </w:p>
        </w:tc>
        <w:tc>
          <w:tcPr>
            <w:tcW w:w="1497" w:type="dxa"/>
            <w:tcBorders>
              <w:right w:val="single" w:color="auto" w:sz="12" w:space="0"/>
            </w:tcBorders>
            <w:vAlign w:val="bottom"/>
          </w:tcPr>
          <w:p w14:paraId="5ABD46AB">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15.42</w:t>
            </w:r>
          </w:p>
        </w:tc>
      </w:tr>
      <w:tr w14:paraId="6C86E7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3" w:hRule="exact"/>
          <w:tblHeader/>
          <w:jc w:val="center"/>
        </w:trPr>
        <w:tc>
          <w:tcPr>
            <w:tcW w:w="1223" w:type="dxa"/>
            <w:tcBorders>
              <w:left w:val="single" w:color="auto" w:sz="12" w:space="0"/>
            </w:tcBorders>
            <w:vAlign w:val="center"/>
          </w:tcPr>
          <w:p w14:paraId="0459130E">
            <w:pPr>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35</w:t>
            </w:r>
          </w:p>
        </w:tc>
        <w:tc>
          <w:tcPr>
            <w:tcW w:w="1286" w:type="dxa"/>
            <w:vAlign w:val="bottom"/>
          </w:tcPr>
          <w:p w14:paraId="72BDC32F">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11.50</w:t>
            </w:r>
          </w:p>
        </w:tc>
        <w:tc>
          <w:tcPr>
            <w:tcW w:w="1495" w:type="dxa"/>
            <w:vAlign w:val="bottom"/>
          </w:tcPr>
          <w:p w14:paraId="5E945725">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11.43</w:t>
            </w:r>
          </w:p>
        </w:tc>
        <w:tc>
          <w:tcPr>
            <w:tcW w:w="1495" w:type="dxa"/>
            <w:vAlign w:val="bottom"/>
          </w:tcPr>
          <w:p w14:paraId="50D1DCA8">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11.25</w:t>
            </w:r>
          </w:p>
        </w:tc>
        <w:tc>
          <w:tcPr>
            <w:tcW w:w="1495" w:type="dxa"/>
            <w:vAlign w:val="bottom"/>
          </w:tcPr>
          <w:p w14:paraId="11490DBB">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11.21</w:t>
            </w:r>
          </w:p>
        </w:tc>
        <w:tc>
          <w:tcPr>
            <w:tcW w:w="1497" w:type="dxa"/>
            <w:tcBorders>
              <w:right w:val="single" w:color="auto" w:sz="12" w:space="0"/>
            </w:tcBorders>
            <w:vAlign w:val="bottom"/>
          </w:tcPr>
          <w:p w14:paraId="3404E863">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11.05</w:t>
            </w:r>
          </w:p>
        </w:tc>
      </w:tr>
      <w:tr w14:paraId="225D98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3" w:hRule="exact"/>
          <w:tblHeader/>
          <w:jc w:val="center"/>
        </w:trPr>
        <w:tc>
          <w:tcPr>
            <w:tcW w:w="1223" w:type="dxa"/>
            <w:tcBorders>
              <w:left w:val="single" w:color="auto" w:sz="12" w:space="0"/>
            </w:tcBorders>
            <w:vAlign w:val="center"/>
          </w:tcPr>
          <w:p w14:paraId="43E6B3A3">
            <w:pPr>
              <w:autoSpaceDE w:val="0"/>
              <w:autoSpaceDN w:val="0"/>
              <w:adjustRightInd w:val="0"/>
              <w:spacing w:line="240" w:lineRule="auto"/>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40</w:t>
            </w:r>
          </w:p>
        </w:tc>
        <w:tc>
          <w:tcPr>
            <w:tcW w:w="1286" w:type="dxa"/>
            <w:vAlign w:val="bottom"/>
          </w:tcPr>
          <w:p w14:paraId="10EAE3D2">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9.321</w:t>
            </w:r>
          </w:p>
        </w:tc>
        <w:tc>
          <w:tcPr>
            <w:tcW w:w="1495" w:type="dxa"/>
            <w:vAlign w:val="bottom"/>
          </w:tcPr>
          <w:p w14:paraId="3B0E04C1">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9.290</w:t>
            </w:r>
          </w:p>
        </w:tc>
        <w:tc>
          <w:tcPr>
            <w:tcW w:w="1495" w:type="dxa"/>
            <w:vAlign w:val="bottom"/>
          </w:tcPr>
          <w:p w14:paraId="00F32206">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9.181</w:t>
            </w:r>
          </w:p>
        </w:tc>
        <w:tc>
          <w:tcPr>
            <w:tcW w:w="1495" w:type="dxa"/>
            <w:vAlign w:val="bottom"/>
          </w:tcPr>
          <w:p w14:paraId="139F550A">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9.021</w:t>
            </w:r>
          </w:p>
        </w:tc>
        <w:tc>
          <w:tcPr>
            <w:tcW w:w="1497" w:type="dxa"/>
            <w:tcBorders>
              <w:right w:val="single" w:color="auto" w:sz="12" w:space="0"/>
            </w:tcBorders>
            <w:vAlign w:val="bottom"/>
          </w:tcPr>
          <w:p w14:paraId="068756DF">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9.012</w:t>
            </w:r>
          </w:p>
        </w:tc>
      </w:tr>
      <w:tr w14:paraId="03EBC6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3" w:hRule="exact"/>
          <w:tblHeader/>
          <w:jc w:val="center"/>
        </w:trPr>
        <w:tc>
          <w:tcPr>
            <w:tcW w:w="1223" w:type="dxa"/>
            <w:tcBorders>
              <w:left w:val="single" w:color="auto" w:sz="12" w:space="0"/>
            </w:tcBorders>
            <w:vAlign w:val="center"/>
          </w:tcPr>
          <w:p w14:paraId="16AE09BD">
            <w:pPr>
              <w:autoSpaceDE w:val="0"/>
              <w:autoSpaceDN w:val="0"/>
              <w:adjustRightInd w:val="0"/>
              <w:spacing w:line="240" w:lineRule="auto"/>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45</w:t>
            </w:r>
          </w:p>
        </w:tc>
        <w:tc>
          <w:tcPr>
            <w:tcW w:w="1286" w:type="dxa"/>
            <w:vAlign w:val="bottom"/>
          </w:tcPr>
          <w:p w14:paraId="526546D0">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7.456</w:t>
            </w:r>
          </w:p>
        </w:tc>
        <w:tc>
          <w:tcPr>
            <w:tcW w:w="1495" w:type="dxa"/>
            <w:vAlign w:val="bottom"/>
          </w:tcPr>
          <w:p w14:paraId="68BAF333">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7.452</w:t>
            </w:r>
          </w:p>
        </w:tc>
        <w:tc>
          <w:tcPr>
            <w:tcW w:w="1495" w:type="dxa"/>
            <w:vAlign w:val="bottom"/>
          </w:tcPr>
          <w:p w14:paraId="28A42E64">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7.445</w:t>
            </w:r>
          </w:p>
        </w:tc>
        <w:tc>
          <w:tcPr>
            <w:tcW w:w="1495" w:type="dxa"/>
            <w:vAlign w:val="bottom"/>
          </w:tcPr>
          <w:p w14:paraId="05FD3C81">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7.375</w:t>
            </w:r>
          </w:p>
        </w:tc>
        <w:tc>
          <w:tcPr>
            <w:tcW w:w="1497" w:type="dxa"/>
            <w:tcBorders>
              <w:right w:val="single" w:color="auto" w:sz="12" w:space="0"/>
            </w:tcBorders>
            <w:vAlign w:val="bottom"/>
          </w:tcPr>
          <w:p w14:paraId="04DE9C5A">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7.242</w:t>
            </w:r>
          </w:p>
        </w:tc>
      </w:tr>
      <w:tr w14:paraId="4A92BB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3" w:hRule="exact"/>
          <w:tblHeader/>
          <w:jc w:val="center"/>
        </w:trPr>
        <w:tc>
          <w:tcPr>
            <w:tcW w:w="1223" w:type="dxa"/>
            <w:tcBorders>
              <w:left w:val="single" w:color="auto" w:sz="12" w:space="0"/>
            </w:tcBorders>
            <w:vAlign w:val="center"/>
          </w:tcPr>
          <w:p w14:paraId="5AA0D67D">
            <w:pPr>
              <w:autoSpaceDE w:val="0"/>
              <w:autoSpaceDN w:val="0"/>
              <w:adjustRightInd w:val="0"/>
              <w:spacing w:line="240" w:lineRule="auto"/>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50</w:t>
            </w:r>
          </w:p>
        </w:tc>
        <w:tc>
          <w:tcPr>
            <w:tcW w:w="1286" w:type="dxa"/>
            <w:vAlign w:val="bottom"/>
          </w:tcPr>
          <w:p w14:paraId="33F8058B">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6.368</w:t>
            </w:r>
          </w:p>
        </w:tc>
        <w:tc>
          <w:tcPr>
            <w:tcW w:w="1495" w:type="dxa"/>
            <w:vAlign w:val="bottom"/>
          </w:tcPr>
          <w:p w14:paraId="669A9B0A">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6.362</w:t>
            </w:r>
          </w:p>
        </w:tc>
        <w:tc>
          <w:tcPr>
            <w:tcW w:w="1495" w:type="dxa"/>
            <w:vAlign w:val="bottom"/>
          </w:tcPr>
          <w:p w14:paraId="61EEB246">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6.354</w:t>
            </w:r>
          </w:p>
        </w:tc>
        <w:tc>
          <w:tcPr>
            <w:tcW w:w="1495" w:type="dxa"/>
            <w:vAlign w:val="bottom"/>
          </w:tcPr>
          <w:p w14:paraId="78D608BE">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6.334</w:t>
            </w:r>
          </w:p>
        </w:tc>
        <w:tc>
          <w:tcPr>
            <w:tcW w:w="1497" w:type="dxa"/>
            <w:tcBorders>
              <w:right w:val="single" w:color="auto" w:sz="12" w:space="0"/>
            </w:tcBorders>
            <w:vAlign w:val="bottom"/>
          </w:tcPr>
          <w:p w14:paraId="55190041">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6.167</w:t>
            </w:r>
          </w:p>
        </w:tc>
      </w:tr>
      <w:tr w14:paraId="612D01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3" w:hRule="exact"/>
          <w:tblHeader/>
          <w:jc w:val="center"/>
        </w:trPr>
        <w:tc>
          <w:tcPr>
            <w:tcW w:w="1223" w:type="dxa"/>
            <w:tcBorders>
              <w:left w:val="single" w:color="auto" w:sz="12" w:space="0"/>
            </w:tcBorders>
            <w:vAlign w:val="center"/>
          </w:tcPr>
          <w:p w14:paraId="38FD9E76">
            <w:pPr>
              <w:autoSpaceDE w:val="0"/>
              <w:autoSpaceDN w:val="0"/>
              <w:adjustRightInd w:val="0"/>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60</w:t>
            </w:r>
          </w:p>
        </w:tc>
        <w:tc>
          <w:tcPr>
            <w:tcW w:w="1286" w:type="dxa"/>
            <w:vAlign w:val="bottom"/>
          </w:tcPr>
          <w:p w14:paraId="718D911A">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5.011</w:t>
            </w:r>
          </w:p>
        </w:tc>
        <w:tc>
          <w:tcPr>
            <w:tcW w:w="1495" w:type="dxa"/>
            <w:vAlign w:val="bottom"/>
          </w:tcPr>
          <w:p w14:paraId="7372C84F">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5.012</w:t>
            </w:r>
          </w:p>
        </w:tc>
        <w:tc>
          <w:tcPr>
            <w:tcW w:w="1495" w:type="dxa"/>
            <w:vAlign w:val="bottom"/>
          </w:tcPr>
          <w:p w14:paraId="6967B939">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4.999</w:t>
            </w:r>
          </w:p>
        </w:tc>
        <w:tc>
          <w:tcPr>
            <w:tcW w:w="1495" w:type="dxa"/>
            <w:vAlign w:val="bottom"/>
          </w:tcPr>
          <w:p w14:paraId="7125A6BE">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4.927</w:t>
            </w:r>
          </w:p>
        </w:tc>
        <w:tc>
          <w:tcPr>
            <w:tcW w:w="1497" w:type="dxa"/>
            <w:tcBorders>
              <w:right w:val="single" w:color="auto" w:sz="12" w:space="0"/>
            </w:tcBorders>
            <w:vAlign w:val="bottom"/>
          </w:tcPr>
          <w:p w14:paraId="32DFA649">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4.998</w:t>
            </w:r>
          </w:p>
        </w:tc>
      </w:tr>
      <w:tr w14:paraId="614BBD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3" w:hRule="exact"/>
          <w:tblHeader/>
          <w:jc w:val="center"/>
        </w:trPr>
        <w:tc>
          <w:tcPr>
            <w:tcW w:w="1223" w:type="dxa"/>
            <w:tcBorders>
              <w:left w:val="single" w:color="auto" w:sz="12" w:space="0"/>
              <w:bottom w:val="single" w:color="auto" w:sz="12" w:space="0"/>
            </w:tcBorders>
            <w:vAlign w:val="center"/>
          </w:tcPr>
          <w:p w14:paraId="23B88C97">
            <w:pPr>
              <w:autoSpaceDE w:val="0"/>
              <w:autoSpaceDN w:val="0"/>
              <w:adjustRightInd w:val="0"/>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70</w:t>
            </w:r>
          </w:p>
        </w:tc>
        <w:tc>
          <w:tcPr>
            <w:tcW w:w="1286" w:type="dxa"/>
            <w:tcBorders>
              <w:bottom w:val="single" w:color="auto" w:sz="12" w:space="0"/>
            </w:tcBorders>
            <w:vAlign w:val="bottom"/>
          </w:tcPr>
          <w:p w14:paraId="61C71FAB">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4.074</w:t>
            </w:r>
          </w:p>
        </w:tc>
        <w:tc>
          <w:tcPr>
            <w:tcW w:w="1495" w:type="dxa"/>
            <w:tcBorders>
              <w:bottom w:val="single" w:color="auto" w:sz="12" w:space="0"/>
            </w:tcBorders>
            <w:vAlign w:val="bottom"/>
          </w:tcPr>
          <w:p w14:paraId="53EE84BD">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4.069</w:t>
            </w:r>
          </w:p>
        </w:tc>
        <w:tc>
          <w:tcPr>
            <w:tcW w:w="1495" w:type="dxa"/>
            <w:tcBorders>
              <w:bottom w:val="single" w:color="auto" w:sz="12" w:space="0"/>
            </w:tcBorders>
            <w:vAlign w:val="bottom"/>
          </w:tcPr>
          <w:p w14:paraId="3F473DB8">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4.068</w:t>
            </w:r>
          </w:p>
        </w:tc>
        <w:tc>
          <w:tcPr>
            <w:tcW w:w="1495" w:type="dxa"/>
            <w:tcBorders>
              <w:bottom w:val="single" w:color="auto" w:sz="12" w:space="0"/>
            </w:tcBorders>
            <w:vAlign w:val="bottom"/>
          </w:tcPr>
          <w:p w14:paraId="5125A488">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4.079</w:t>
            </w:r>
          </w:p>
        </w:tc>
        <w:tc>
          <w:tcPr>
            <w:tcW w:w="1497" w:type="dxa"/>
            <w:tcBorders>
              <w:bottom w:val="single" w:color="auto" w:sz="12" w:space="0"/>
              <w:right w:val="single" w:color="auto" w:sz="12" w:space="0"/>
            </w:tcBorders>
            <w:vAlign w:val="bottom"/>
          </w:tcPr>
          <w:p w14:paraId="45E0F10F">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4.058</w:t>
            </w:r>
          </w:p>
        </w:tc>
      </w:tr>
    </w:tbl>
    <w:p w14:paraId="3A2DE025">
      <w:pPr>
        <w:autoSpaceDE w:val="0"/>
        <w:autoSpaceDN w:val="0"/>
        <w:adjustRightInd w:val="0"/>
        <w:spacing w:beforeLines="50"/>
        <w:ind w:firstLine="420"/>
        <w:rPr>
          <w:bCs/>
          <w:lang w:eastAsia="zh-CN"/>
        </w:rPr>
      </w:pPr>
      <w:r>
        <w:rPr>
          <w:sz w:val="21"/>
          <w:lang w:eastAsia="zh-CN" w:bidi="ar-SA"/>
        </w:rPr>
        <w:drawing>
          <wp:inline distT="0" distB="0" distL="0" distR="0">
            <wp:extent cx="5276850" cy="3810000"/>
            <wp:effectExtent l="0" t="0" r="0" b="0"/>
            <wp:docPr id="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1"/>
                    <pic:cNvPicPr>
                      <a:picLocks noChangeAspect="1" noChangeArrowheads="1"/>
                    </pic:cNvPicPr>
                  </pic:nvPicPr>
                  <pic:blipFill>
                    <a:blip r:embed="rId21"/>
                    <a:srcRect/>
                    <a:stretch>
                      <a:fillRect/>
                    </a:stretch>
                  </pic:blipFill>
                  <pic:spPr>
                    <a:xfrm>
                      <a:off x="0" y="0"/>
                      <a:ext cx="5276850" cy="3810000"/>
                    </a:xfrm>
                    <a:prstGeom prst="rect">
                      <a:avLst/>
                    </a:prstGeom>
                    <a:noFill/>
                    <a:ln w="9525">
                      <a:noFill/>
                      <a:miter lim="800000"/>
                      <a:headEnd/>
                      <a:tailEnd/>
                    </a:ln>
                  </pic:spPr>
                </pic:pic>
              </a:graphicData>
            </a:graphic>
          </wp:inline>
        </w:drawing>
      </w:r>
    </w:p>
    <w:p w14:paraId="5F46002F">
      <w:pPr>
        <w:autoSpaceDE w:val="0"/>
        <w:autoSpaceDN w:val="0"/>
        <w:adjustRightInd w:val="0"/>
        <w:ind w:firstLine="482"/>
        <w:rPr>
          <w:b/>
          <w:bCs/>
          <w:lang w:eastAsia="zh-CN"/>
        </w:rPr>
      </w:pPr>
      <w:r>
        <w:rPr>
          <w:rFonts w:hint="eastAsia"/>
          <w:b/>
          <w:bCs/>
          <w:lang w:eastAsia="zh-CN"/>
        </w:rPr>
        <w:t>图2.3-3        乌里雅斯太</w:t>
      </w:r>
      <w:r>
        <w:rPr>
          <w:b/>
          <w:bCs/>
          <w:lang w:eastAsia="zh-CN"/>
        </w:rPr>
        <w:t>油田</w:t>
      </w:r>
      <w:r>
        <w:rPr>
          <w:rFonts w:hint="eastAsia"/>
          <w:b/>
          <w:bCs/>
          <w:lang w:eastAsia="zh-CN"/>
        </w:rPr>
        <w:t>太27-37井不含水原油粘温曲线图</w:t>
      </w:r>
    </w:p>
    <w:p w14:paraId="3341A496">
      <w:pPr>
        <w:autoSpaceDE w:val="0"/>
        <w:autoSpaceDN w:val="0"/>
        <w:adjustRightInd w:val="0"/>
        <w:spacing w:line="240" w:lineRule="auto"/>
        <w:ind w:firstLine="482"/>
        <w:rPr>
          <w:b/>
          <w:bCs/>
          <w:lang w:eastAsia="zh-CN"/>
        </w:rPr>
      </w:pPr>
      <w:r>
        <w:rPr>
          <w:b/>
          <w:bCs/>
          <w:lang w:eastAsia="zh-CN"/>
        </w:rPr>
        <w:t>表2.</w:t>
      </w:r>
      <w:r>
        <w:rPr>
          <w:rFonts w:hint="eastAsia"/>
          <w:b/>
          <w:bCs/>
          <w:lang w:eastAsia="zh-CN"/>
        </w:rPr>
        <w:t>3</w:t>
      </w:r>
      <w:r>
        <w:rPr>
          <w:b/>
          <w:bCs/>
          <w:lang w:eastAsia="zh-CN"/>
        </w:rPr>
        <w:t>-</w:t>
      </w:r>
      <w:r>
        <w:rPr>
          <w:rFonts w:hint="eastAsia"/>
          <w:b/>
          <w:bCs/>
          <w:lang w:eastAsia="zh-CN"/>
        </w:rPr>
        <w:t>7</w:t>
      </w:r>
      <w:r>
        <w:rPr>
          <w:b/>
          <w:bCs/>
          <w:lang w:eastAsia="zh-CN"/>
        </w:rPr>
        <w:t xml:space="preserve">  </w:t>
      </w:r>
      <w:r>
        <w:rPr>
          <w:rFonts w:hint="eastAsia"/>
          <w:b/>
          <w:bCs/>
          <w:lang w:eastAsia="zh-CN"/>
        </w:rPr>
        <w:t xml:space="preserve">   乌里雅斯太</w:t>
      </w:r>
      <w:r>
        <w:rPr>
          <w:b/>
          <w:bCs/>
          <w:lang w:eastAsia="zh-CN"/>
        </w:rPr>
        <w:t>油田</w:t>
      </w:r>
      <w:r>
        <w:rPr>
          <w:rFonts w:hint="eastAsia" w:ascii="黑体" w:hAnsi="宋体" w:eastAsia="黑体"/>
          <w:lang w:eastAsia="zh-CN"/>
        </w:rPr>
        <w:t>太27-37</w:t>
      </w:r>
      <w:r>
        <w:rPr>
          <w:rFonts w:hint="eastAsia"/>
          <w:b/>
          <w:bCs/>
          <w:lang w:eastAsia="zh-CN"/>
        </w:rPr>
        <w:t>井原油粘度随含水率变化数据表</w:t>
      </w:r>
    </w:p>
    <w:tbl>
      <w:tblPr>
        <w:tblStyle w:val="76"/>
        <w:tblW w:w="81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2"/>
        <w:gridCol w:w="1276"/>
        <w:gridCol w:w="1559"/>
        <w:gridCol w:w="1418"/>
        <w:gridCol w:w="1559"/>
        <w:gridCol w:w="1379"/>
      </w:tblGrid>
      <w:tr w14:paraId="246D8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exact"/>
          <w:tblHeader/>
          <w:jc w:val="center"/>
        </w:trPr>
        <w:tc>
          <w:tcPr>
            <w:tcW w:w="992" w:type="dxa"/>
            <w:vMerge w:val="restart"/>
            <w:tcBorders>
              <w:top w:val="single" w:color="auto" w:sz="12" w:space="0"/>
              <w:left w:val="single" w:color="auto" w:sz="12" w:space="0"/>
            </w:tcBorders>
            <w:vAlign w:val="center"/>
          </w:tcPr>
          <w:p w14:paraId="71D972C5">
            <w:pPr>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含水率</w:t>
            </w:r>
          </w:p>
          <w:p w14:paraId="168BCFFD">
            <w:pPr>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7191" w:type="dxa"/>
            <w:gridSpan w:val="5"/>
            <w:tcBorders>
              <w:top w:val="single" w:color="auto" w:sz="12" w:space="0"/>
              <w:right w:val="single" w:color="auto" w:sz="12" w:space="0"/>
            </w:tcBorders>
            <w:vAlign w:val="center"/>
          </w:tcPr>
          <w:p w14:paraId="370114E3">
            <w:pPr>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50℃时不同剪切速率（</w:t>
            </w:r>
            <w:r>
              <w:rPr>
                <w:rFonts w:asciiTheme="minorEastAsia" w:hAnsiTheme="minorEastAsia" w:eastAsiaTheme="minorEastAsia"/>
                <w:sz w:val="21"/>
                <w:szCs w:val="21"/>
              </w:rPr>
              <w:t>s</w:t>
            </w:r>
            <w:r>
              <w:rPr>
                <w:rFonts w:asciiTheme="minorEastAsia" w:hAnsiTheme="minorEastAsia" w:eastAsiaTheme="minorEastAsia"/>
                <w:sz w:val="21"/>
                <w:szCs w:val="21"/>
                <w:vertAlign w:val="superscript"/>
              </w:rPr>
              <w:t>-1</w:t>
            </w:r>
            <w:r>
              <w:rPr>
                <w:rFonts w:hint="eastAsia" w:asciiTheme="minorEastAsia" w:hAnsiTheme="minorEastAsia" w:eastAsiaTheme="minorEastAsia"/>
                <w:sz w:val="21"/>
                <w:szCs w:val="21"/>
              </w:rPr>
              <w:t>）时的粘度，</w:t>
            </w:r>
            <w:r>
              <w:rPr>
                <w:rFonts w:asciiTheme="minorEastAsia" w:hAnsiTheme="minorEastAsia" w:eastAsiaTheme="minorEastAsia"/>
                <w:sz w:val="21"/>
                <w:szCs w:val="21"/>
              </w:rPr>
              <w:t>mPa</w:t>
            </w:r>
            <w:r>
              <w:rPr>
                <w:rFonts w:hint="eastAsia" w:asciiTheme="minorEastAsia" w:hAnsiTheme="minorEastAsia" w:eastAsiaTheme="minorEastAsia"/>
                <w:sz w:val="21"/>
                <w:szCs w:val="21"/>
              </w:rPr>
              <w:t>·</w:t>
            </w:r>
            <w:r>
              <w:rPr>
                <w:rFonts w:asciiTheme="minorEastAsia" w:hAnsiTheme="minorEastAsia" w:eastAsiaTheme="minorEastAsia"/>
                <w:sz w:val="21"/>
                <w:szCs w:val="21"/>
              </w:rPr>
              <w:t>s</w:t>
            </w:r>
          </w:p>
        </w:tc>
      </w:tr>
      <w:tr w14:paraId="742E9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exact"/>
          <w:tblHeader/>
          <w:jc w:val="center"/>
        </w:trPr>
        <w:tc>
          <w:tcPr>
            <w:tcW w:w="992" w:type="dxa"/>
            <w:vMerge w:val="continue"/>
            <w:tcBorders>
              <w:left w:val="single" w:color="auto" w:sz="12" w:space="0"/>
            </w:tcBorders>
            <w:vAlign w:val="center"/>
          </w:tcPr>
          <w:p w14:paraId="7F5C4971">
            <w:pPr>
              <w:spacing w:line="240" w:lineRule="auto"/>
              <w:ind w:firstLine="0" w:firstLineChars="0"/>
              <w:jc w:val="center"/>
              <w:rPr>
                <w:rFonts w:asciiTheme="minorEastAsia" w:hAnsiTheme="minorEastAsia" w:eastAsiaTheme="minorEastAsia"/>
                <w:sz w:val="21"/>
                <w:szCs w:val="21"/>
              </w:rPr>
            </w:pPr>
          </w:p>
        </w:tc>
        <w:tc>
          <w:tcPr>
            <w:tcW w:w="1276" w:type="dxa"/>
            <w:vAlign w:val="center"/>
          </w:tcPr>
          <w:p w14:paraId="3F580E04">
            <w:pPr>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9</w:t>
            </w:r>
            <w:r>
              <w:rPr>
                <w:rFonts w:asciiTheme="minorEastAsia" w:hAnsiTheme="minorEastAsia" w:eastAsiaTheme="minorEastAsia"/>
                <w:sz w:val="21"/>
                <w:szCs w:val="21"/>
              </w:rPr>
              <w:t>s</w:t>
            </w:r>
            <w:r>
              <w:rPr>
                <w:rFonts w:asciiTheme="minorEastAsia" w:hAnsiTheme="minorEastAsia" w:eastAsiaTheme="minorEastAsia"/>
                <w:sz w:val="21"/>
                <w:szCs w:val="21"/>
                <w:vertAlign w:val="superscript"/>
              </w:rPr>
              <w:t>-1</w:t>
            </w:r>
          </w:p>
        </w:tc>
        <w:tc>
          <w:tcPr>
            <w:tcW w:w="1559" w:type="dxa"/>
            <w:vAlign w:val="center"/>
          </w:tcPr>
          <w:p w14:paraId="26778505">
            <w:pPr>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16.2</w:t>
            </w:r>
            <w:r>
              <w:rPr>
                <w:rFonts w:asciiTheme="minorEastAsia" w:hAnsiTheme="minorEastAsia" w:eastAsiaTheme="minorEastAsia"/>
                <w:sz w:val="21"/>
                <w:szCs w:val="21"/>
              </w:rPr>
              <w:t>s</w:t>
            </w:r>
            <w:r>
              <w:rPr>
                <w:rFonts w:asciiTheme="minorEastAsia" w:hAnsiTheme="minorEastAsia" w:eastAsiaTheme="minorEastAsia"/>
                <w:sz w:val="21"/>
                <w:szCs w:val="21"/>
                <w:vertAlign w:val="superscript"/>
              </w:rPr>
              <w:t>-1</w:t>
            </w:r>
          </w:p>
        </w:tc>
        <w:tc>
          <w:tcPr>
            <w:tcW w:w="1418" w:type="dxa"/>
            <w:vAlign w:val="center"/>
          </w:tcPr>
          <w:p w14:paraId="6F4653F7">
            <w:pPr>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27</w:t>
            </w:r>
            <w:r>
              <w:rPr>
                <w:rFonts w:asciiTheme="minorEastAsia" w:hAnsiTheme="minorEastAsia" w:eastAsiaTheme="minorEastAsia"/>
                <w:sz w:val="21"/>
                <w:szCs w:val="21"/>
              </w:rPr>
              <w:t>s</w:t>
            </w:r>
            <w:r>
              <w:rPr>
                <w:rFonts w:asciiTheme="minorEastAsia" w:hAnsiTheme="minorEastAsia" w:eastAsiaTheme="minorEastAsia"/>
                <w:sz w:val="21"/>
                <w:szCs w:val="21"/>
                <w:vertAlign w:val="superscript"/>
              </w:rPr>
              <w:t>-1</w:t>
            </w:r>
          </w:p>
        </w:tc>
        <w:tc>
          <w:tcPr>
            <w:tcW w:w="1559" w:type="dxa"/>
            <w:vAlign w:val="center"/>
          </w:tcPr>
          <w:p w14:paraId="4790A482">
            <w:pPr>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48.6</w:t>
            </w:r>
            <w:r>
              <w:rPr>
                <w:rFonts w:asciiTheme="minorEastAsia" w:hAnsiTheme="minorEastAsia" w:eastAsiaTheme="minorEastAsia"/>
                <w:sz w:val="21"/>
                <w:szCs w:val="21"/>
              </w:rPr>
              <w:t>s</w:t>
            </w:r>
            <w:r>
              <w:rPr>
                <w:rFonts w:asciiTheme="minorEastAsia" w:hAnsiTheme="minorEastAsia" w:eastAsiaTheme="minorEastAsia"/>
                <w:sz w:val="21"/>
                <w:szCs w:val="21"/>
                <w:vertAlign w:val="superscript"/>
              </w:rPr>
              <w:t>-1</w:t>
            </w:r>
          </w:p>
        </w:tc>
        <w:tc>
          <w:tcPr>
            <w:tcW w:w="1379" w:type="dxa"/>
            <w:tcBorders>
              <w:right w:val="single" w:color="auto" w:sz="12" w:space="0"/>
            </w:tcBorders>
            <w:vAlign w:val="center"/>
          </w:tcPr>
          <w:p w14:paraId="2B29F0FA">
            <w:pPr>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81</w:t>
            </w:r>
            <w:r>
              <w:rPr>
                <w:rFonts w:asciiTheme="minorEastAsia" w:hAnsiTheme="minorEastAsia" w:eastAsiaTheme="minorEastAsia"/>
                <w:sz w:val="21"/>
                <w:szCs w:val="21"/>
              </w:rPr>
              <w:t>s</w:t>
            </w:r>
            <w:r>
              <w:rPr>
                <w:rFonts w:asciiTheme="minorEastAsia" w:hAnsiTheme="minorEastAsia" w:eastAsiaTheme="minorEastAsia"/>
                <w:sz w:val="21"/>
                <w:szCs w:val="21"/>
                <w:vertAlign w:val="superscript"/>
              </w:rPr>
              <w:t>-1</w:t>
            </w:r>
          </w:p>
        </w:tc>
      </w:tr>
      <w:tr w14:paraId="08FC6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exact"/>
          <w:tblHeader/>
          <w:jc w:val="center"/>
        </w:trPr>
        <w:tc>
          <w:tcPr>
            <w:tcW w:w="992" w:type="dxa"/>
            <w:tcBorders>
              <w:left w:val="single" w:color="auto" w:sz="12" w:space="0"/>
            </w:tcBorders>
            <w:vAlign w:val="center"/>
          </w:tcPr>
          <w:p w14:paraId="0787ACEE">
            <w:pPr>
              <w:autoSpaceDE w:val="0"/>
              <w:autoSpaceDN w:val="0"/>
              <w:adjustRightInd w:val="0"/>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w:t>
            </w:r>
          </w:p>
        </w:tc>
        <w:tc>
          <w:tcPr>
            <w:tcW w:w="1276" w:type="dxa"/>
            <w:vAlign w:val="bottom"/>
          </w:tcPr>
          <w:p w14:paraId="185BBB96">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6.368</w:t>
            </w:r>
          </w:p>
        </w:tc>
        <w:tc>
          <w:tcPr>
            <w:tcW w:w="1559" w:type="dxa"/>
            <w:vAlign w:val="bottom"/>
          </w:tcPr>
          <w:p w14:paraId="72B6C687">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6.362</w:t>
            </w:r>
          </w:p>
        </w:tc>
        <w:tc>
          <w:tcPr>
            <w:tcW w:w="1418" w:type="dxa"/>
            <w:vAlign w:val="bottom"/>
          </w:tcPr>
          <w:p w14:paraId="7C785394">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6.354</w:t>
            </w:r>
          </w:p>
        </w:tc>
        <w:tc>
          <w:tcPr>
            <w:tcW w:w="1559" w:type="dxa"/>
            <w:vAlign w:val="bottom"/>
          </w:tcPr>
          <w:p w14:paraId="5C445A93">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6.334</w:t>
            </w:r>
          </w:p>
        </w:tc>
        <w:tc>
          <w:tcPr>
            <w:tcW w:w="1379" w:type="dxa"/>
            <w:tcBorders>
              <w:right w:val="single" w:color="auto" w:sz="12" w:space="0"/>
            </w:tcBorders>
            <w:vAlign w:val="bottom"/>
          </w:tcPr>
          <w:p w14:paraId="06593887">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6.167</w:t>
            </w:r>
          </w:p>
        </w:tc>
      </w:tr>
      <w:tr w14:paraId="3867A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exact"/>
          <w:tblHeader/>
          <w:jc w:val="center"/>
        </w:trPr>
        <w:tc>
          <w:tcPr>
            <w:tcW w:w="992" w:type="dxa"/>
            <w:tcBorders>
              <w:left w:val="single" w:color="auto" w:sz="12" w:space="0"/>
            </w:tcBorders>
            <w:vAlign w:val="center"/>
          </w:tcPr>
          <w:p w14:paraId="414FE2EF">
            <w:pPr>
              <w:autoSpaceDE w:val="0"/>
              <w:autoSpaceDN w:val="0"/>
              <w:adjustRightInd w:val="0"/>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30</w:t>
            </w:r>
          </w:p>
        </w:tc>
        <w:tc>
          <w:tcPr>
            <w:tcW w:w="1276" w:type="dxa"/>
            <w:vAlign w:val="bottom"/>
          </w:tcPr>
          <w:p w14:paraId="48FFB07B">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6.652</w:t>
            </w:r>
          </w:p>
        </w:tc>
        <w:tc>
          <w:tcPr>
            <w:tcW w:w="1559" w:type="dxa"/>
            <w:vAlign w:val="bottom"/>
          </w:tcPr>
          <w:p w14:paraId="3A141CFC">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6.645</w:t>
            </w:r>
          </w:p>
        </w:tc>
        <w:tc>
          <w:tcPr>
            <w:tcW w:w="1418" w:type="dxa"/>
            <w:vAlign w:val="bottom"/>
          </w:tcPr>
          <w:p w14:paraId="773A858B">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6.452</w:t>
            </w:r>
          </w:p>
        </w:tc>
        <w:tc>
          <w:tcPr>
            <w:tcW w:w="1559" w:type="dxa"/>
            <w:vAlign w:val="bottom"/>
          </w:tcPr>
          <w:p w14:paraId="351F83DB">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6.365</w:t>
            </w:r>
          </w:p>
        </w:tc>
        <w:tc>
          <w:tcPr>
            <w:tcW w:w="1379" w:type="dxa"/>
            <w:tcBorders>
              <w:right w:val="single" w:color="auto" w:sz="12" w:space="0"/>
            </w:tcBorders>
            <w:vAlign w:val="bottom"/>
          </w:tcPr>
          <w:p w14:paraId="6F6487DF">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6.256</w:t>
            </w:r>
          </w:p>
        </w:tc>
      </w:tr>
      <w:tr w14:paraId="1DD97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exact"/>
          <w:tblHeader/>
          <w:jc w:val="center"/>
        </w:trPr>
        <w:tc>
          <w:tcPr>
            <w:tcW w:w="992" w:type="dxa"/>
            <w:tcBorders>
              <w:left w:val="single" w:color="auto" w:sz="12" w:space="0"/>
            </w:tcBorders>
            <w:vAlign w:val="center"/>
          </w:tcPr>
          <w:p w14:paraId="0B64E0EE">
            <w:pPr>
              <w:autoSpaceDE w:val="0"/>
              <w:autoSpaceDN w:val="0"/>
              <w:adjustRightInd w:val="0"/>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40</w:t>
            </w:r>
          </w:p>
        </w:tc>
        <w:tc>
          <w:tcPr>
            <w:tcW w:w="1276" w:type="dxa"/>
            <w:vAlign w:val="bottom"/>
          </w:tcPr>
          <w:p w14:paraId="6501E2D3">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6.985</w:t>
            </w:r>
          </w:p>
        </w:tc>
        <w:tc>
          <w:tcPr>
            <w:tcW w:w="1559" w:type="dxa"/>
            <w:vAlign w:val="bottom"/>
          </w:tcPr>
          <w:p w14:paraId="16143DF4">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6.854</w:t>
            </w:r>
          </w:p>
        </w:tc>
        <w:tc>
          <w:tcPr>
            <w:tcW w:w="1418" w:type="dxa"/>
            <w:vAlign w:val="bottom"/>
          </w:tcPr>
          <w:p w14:paraId="25CFD872">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6.654</w:t>
            </w:r>
          </w:p>
        </w:tc>
        <w:tc>
          <w:tcPr>
            <w:tcW w:w="1559" w:type="dxa"/>
            <w:vAlign w:val="bottom"/>
          </w:tcPr>
          <w:p w14:paraId="168BC885">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6.512</w:t>
            </w:r>
          </w:p>
        </w:tc>
        <w:tc>
          <w:tcPr>
            <w:tcW w:w="1379" w:type="dxa"/>
            <w:tcBorders>
              <w:right w:val="single" w:color="auto" w:sz="12" w:space="0"/>
            </w:tcBorders>
            <w:vAlign w:val="bottom"/>
          </w:tcPr>
          <w:p w14:paraId="43BE78E1">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6.465</w:t>
            </w:r>
          </w:p>
        </w:tc>
      </w:tr>
      <w:tr w14:paraId="08D43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exact"/>
          <w:tblHeader/>
          <w:jc w:val="center"/>
        </w:trPr>
        <w:tc>
          <w:tcPr>
            <w:tcW w:w="992" w:type="dxa"/>
            <w:tcBorders>
              <w:left w:val="single" w:color="auto" w:sz="12" w:space="0"/>
            </w:tcBorders>
            <w:vAlign w:val="center"/>
          </w:tcPr>
          <w:p w14:paraId="264F0F24">
            <w:pPr>
              <w:autoSpaceDE w:val="0"/>
              <w:autoSpaceDN w:val="0"/>
              <w:adjustRightInd w:val="0"/>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50</w:t>
            </w:r>
          </w:p>
        </w:tc>
        <w:tc>
          <w:tcPr>
            <w:tcW w:w="1276" w:type="dxa"/>
            <w:vAlign w:val="bottom"/>
          </w:tcPr>
          <w:p w14:paraId="02ECCC0E">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3.754</w:t>
            </w:r>
          </w:p>
        </w:tc>
        <w:tc>
          <w:tcPr>
            <w:tcW w:w="1559" w:type="dxa"/>
            <w:vAlign w:val="bottom"/>
          </w:tcPr>
          <w:p w14:paraId="5A8BB3A3">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3.702</w:t>
            </w:r>
          </w:p>
        </w:tc>
        <w:tc>
          <w:tcPr>
            <w:tcW w:w="1418" w:type="dxa"/>
            <w:vAlign w:val="bottom"/>
          </w:tcPr>
          <w:p w14:paraId="1A01FC89">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3.660</w:t>
            </w:r>
          </w:p>
        </w:tc>
        <w:tc>
          <w:tcPr>
            <w:tcW w:w="1559" w:type="dxa"/>
            <w:vAlign w:val="bottom"/>
          </w:tcPr>
          <w:p w14:paraId="0EE64DB3">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3.588</w:t>
            </w:r>
          </w:p>
        </w:tc>
        <w:tc>
          <w:tcPr>
            <w:tcW w:w="1379" w:type="dxa"/>
            <w:tcBorders>
              <w:right w:val="single" w:color="auto" w:sz="12" w:space="0"/>
            </w:tcBorders>
            <w:vAlign w:val="bottom"/>
          </w:tcPr>
          <w:p w14:paraId="729FA12E">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3.529</w:t>
            </w:r>
          </w:p>
        </w:tc>
      </w:tr>
      <w:tr w14:paraId="145C2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exact"/>
          <w:tblHeader/>
          <w:jc w:val="center"/>
        </w:trPr>
        <w:tc>
          <w:tcPr>
            <w:tcW w:w="992" w:type="dxa"/>
            <w:tcBorders>
              <w:left w:val="single" w:color="auto" w:sz="12" w:space="0"/>
            </w:tcBorders>
            <w:vAlign w:val="center"/>
          </w:tcPr>
          <w:p w14:paraId="004BA732">
            <w:pPr>
              <w:autoSpaceDE w:val="0"/>
              <w:autoSpaceDN w:val="0"/>
              <w:adjustRightInd w:val="0"/>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60</w:t>
            </w:r>
          </w:p>
        </w:tc>
        <w:tc>
          <w:tcPr>
            <w:tcW w:w="1276" w:type="dxa"/>
            <w:vAlign w:val="bottom"/>
          </w:tcPr>
          <w:p w14:paraId="03FEA614">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3.521</w:t>
            </w:r>
          </w:p>
        </w:tc>
        <w:tc>
          <w:tcPr>
            <w:tcW w:w="1559" w:type="dxa"/>
            <w:vAlign w:val="bottom"/>
          </w:tcPr>
          <w:p w14:paraId="2C93B802">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3.465</w:t>
            </w:r>
          </w:p>
        </w:tc>
        <w:tc>
          <w:tcPr>
            <w:tcW w:w="1418" w:type="dxa"/>
            <w:vAlign w:val="bottom"/>
          </w:tcPr>
          <w:p w14:paraId="39376F02">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3.395</w:t>
            </w:r>
          </w:p>
        </w:tc>
        <w:tc>
          <w:tcPr>
            <w:tcW w:w="1559" w:type="dxa"/>
            <w:vAlign w:val="bottom"/>
          </w:tcPr>
          <w:p w14:paraId="61AD272B">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3.288</w:t>
            </w:r>
          </w:p>
        </w:tc>
        <w:tc>
          <w:tcPr>
            <w:tcW w:w="1379" w:type="dxa"/>
            <w:tcBorders>
              <w:right w:val="single" w:color="auto" w:sz="12" w:space="0"/>
            </w:tcBorders>
            <w:vAlign w:val="bottom"/>
          </w:tcPr>
          <w:p w14:paraId="0C205BA7">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3.215</w:t>
            </w:r>
          </w:p>
        </w:tc>
      </w:tr>
      <w:tr w14:paraId="479F9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exact"/>
          <w:tblHeader/>
          <w:jc w:val="center"/>
        </w:trPr>
        <w:tc>
          <w:tcPr>
            <w:tcW w:w="992" w:type="dxa"/>
            <w:tcBorders>
              <w:left w:val="single" w:color="auto" w:sz="12" w:space="0"/>
            </w:tcBorders>
            <w:vAlign w:val="center"/>
          </w:tcPr>
          <w:p w14:paraId="14EABBB6">
            <w:pPr>
              <w:autoSpaceDE w:val="0"/>
              <w:autoSpaceDN w:val="0"/>
              <w:adjustRightInd w:val="0"/>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70</w:t>
            </w:r>
          </w:p>
        </w:tc>
        <w:tc>
          <w:tcPr>
            <w:tcW w:w="1276" w:type="dxa"/>
            <w:vAlign w:val="bottom"/>
          </w:tcPr>
          <w:p w14:paraId="1F48438F">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2.986</w:t>
            </w:r>
          </w:p>
        </w:tc>
        <w:tc>
          <w:tcPr>
            <w:tcW w:w="1559" w:type="dxa"/>
            <w:vAlign w:val="bottom"/>
          </w:tcPr>
          <w:p w14:paraId="4095F78F">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2.978</w:t>
            </w:r>
          </w:p>
        </w:tc>
        <w:tc>
          <w:tcPr>
            <w:tcW w:w="1418" w:type="dxa"/>
            <w:vAlign w:val="bottom"/>
          </w:tcPr>
          <w:p w14:paraId="5521E087">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2.962</w:t>
            </w:r>
          </w:p>
        </w:tc>
        <w:tc>
          <w:tcPr>
            <w:tcW w:w="1559" w:type="dxa"/>
            <w:vAlign w:val="bottom"/>
          </w:tcPr>
          <w:p w14:paraId="66DC44B0">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2.896</w:t>
            </w:r>
          </w:p>
        </w:tc>
        <w:tc>
          <w:tcPr>
            <w:tcW w:w="1379" w:type="dxa"/>
            <w:tcBorders>
              <w:right w:val="single" w:color="auto" w:sz="12" w:space="0"/>
            </w:tcBorders>
            <w:vAlign w:val="bottom"/>
          </w:tcPr>
          <w:p w14:paraId="55EB411C">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2.854</w:t>
            </w:r>
          </w:p>
        </w:tc>
      </w:tr>
      <w:tr w14:paraId="3610B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exact"/>
          <w:tblHeader/>
          <w:jc w:val="center"/>
        </w:trPr>
        <w:tc>
          <w:tcPr>
            <w:tcW w:w="992" w:type="dxa"/>
            <w:tcBorders>
              <w:left w:val="single" w:color="auto" w:sz="12" w:space="0"/>
            </w:tcBorders>
            <w:vAlign w:val="center"/>
          </w:tcPr>
          <w:p w14:paraId="7C352BA4">
            <w:pPr>
              <w:autoSpaceDE w:val="0"/>
              <w:autoSpaceDN w:val="0"/>
              <w:adjustRightInd w:val="0"/>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80</w:t>
            </w:r>
          </w:p>
        </w:tc>
        <w:tc>
          <w:tcPr>
            <w:tcW w:w="1276" w:type="dxa"/>
            <w:vAlign w:val="bottom"/>
          </w:tcPr>
          <w:p w14:paraId="5386A593">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2.878</w:t>
            </w:r>
          </w:p>
        </w:tc>
        <w:tc>
          <w:tcPr>
            <w:tcW w:w="1559" w:type="dxa"/>
            <w:vAlign w:val="bottom"/>
          </w:tcPr>
          <w:p w14:paraId="7B1183C9">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2.875</w:t>
            </w:r>
          </w:p>
        </w:tc>
        <w:tc>
          <w:tcPr>
            <w:tcW w:w="1418" w:type="dxa"/>
            <w:vAlign w:val="bottom"/>
          </w:tcPr>
          <w:p w14:paraId="3EF8928C">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2.722</w:t>
            </w:r>
          </w:p>
        </w:tc>
        <w:tc>
          <w:tcPr>
            <w:tcW w:w="1559" w:type="dxa"/>
            <w:vAlign w:val="bottom"/>
          </w:tcPr>
          <w:p w14:paraId="2785CACC">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2.678</w:t>
            </w:r>
          </w:p>
        </w:tc>
        <w:tc>
          <w:tcPr>
            <w:tcW w:w="1379" w:type="dxa"/>
            <w:tcBorders>
              <w:right w:val="single" w:color="auto" w:sz="12" w:space="0"/>
            </w:tcBorders>
            <w:vAlign w:val="bottom"/>
          </w:tcPr>
          <w:p w14:paraId="018F574D">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2.432</w:t>
            </w:r>
          </w:p>
        </w:tc>
      </w:tr>
      <w:tr w14:paraId="53374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exact"/>
          <w:tblHeader/>
          <w:jc w:val="center"/>
        </w:trPr>
        <w:tc>
          <w:tcPr>
            <w:tcW w:w="992" w:type="dxa"/>
            <w:tcBorders>
              <w:left w:val="single" w:color="auto" w:sz="12" w:space="0"/>
              <w:bottom w:val="single" w:color="auto" w:sz="12" w:space="0"/>
            </w:tcBorders>
            <w:vAlign w:val="center"/>
          </w:tcPr>
          <w:p w14:paraId="2B9C5289">
            <w:pPr>
              <w:autoSpaceDE w:val="0"/>
              <w:autoSpaceDN w:val="0"/>
              <w:adjustRightInd w:val="0"/>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90</w:t>
            </w:r>
          </w:p>
        </w:tc>
        <w:tc>
          <w:tcPr>
            <w:tcW w:w="1276" w:type="dxa"/>
            <w:tcBorders>
              <w:bottom w:val="single" w:color="auto" w:sz="12" w:space="0"/>
            </w:tcBorders>
            <w:vAlign w:val="bottom"/>
          </w:tcPr>
          <w:p w14:paraId="60549E44">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1.978</w:t>
            </w:r>
          </w:p>
        </w:tc>
        <w:tc>
          <w:tcPr>
            <w:tcW w:w="1559" w:type="dxa"/>
            <w:tcBorders>
              <w:bottom w:val="single" w:color="auto" w:sz="12" w:space="0"/>
            </w:tcBorders>
            <w:vAlign w:val="bottom"/>
          </w:tcPr>
          <w:p w14:paraId="5AD33E5F">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1.956</w:t>
            </w:r>
          </w:p>
        </w:tc>
        <w:tc>
          <w:tcPr>
            <w:tcW w:w="1418" w:type="dxa"/>
            <w:tcBorders>
              <w:bottom w:val="single" w:color="auto" w:sz="12" w:space="0"/>
            </w:tcBorders>
            <w:vAlign w:val="bottom"/>
          </w:tcPr>
          <w:p w14:paraId="2F8C1B55">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1.947</w:t>
            </w:r>
          </w:p>
        </w:tc>
        <w:tc>
          <w:tcPr>
            <w:tcW w:w="1559" w:type="dxa"/>
            <w:tcBorders>
              <w:bottom w:val="single" w:color="auto" w:sz="12" w:space="0"/>
            </w:tcBorders>
            <w:vAlign w:val="bottom"/>
          </w:tcPr>
          <w:p w14:paraId="4288B11F">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1.883</w:t>
            </w:r>
          </w:p>
        </w:tc>
        <w:tc>
          <w:tcPr>
            <w:tcW w:w="1379" w:type="dxa"/>
            <w:tcBorders>
              <w:bottom w:val="single" w:color="auto" w:sz="12" w:space="0"/>
              <w:right w:val="single" w:color="auto" w:sz="12" w:space="0"/>
            </w:tcBorders>
            <w:vAlign w:val="bottom"/>
          </w:tcPr>
          <w:p w14:paraId="5E3E03DE">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1.856</w:t>
            </w:r>
          </w:p>
        </w:tc>
      </w:tr>
    </w:tbl>
    <w:p w14:paraId="1318F0DF">
      <w:pPr>
        <w:autoSpaceDE w:val="0"/>
        <w:autoSpaceDN w:val="0"/>
        <w:adjustRightInd w:val="0"/>
        <w:ind w:firstLine="0" w:firstLineChars="0"/>
        <w:rPr>
          <w:bCs/>
          <w:lang w:eastAsia="zh-CN"/>
        </w:rPr>
      </w:pPr>
    </w:p>
    <w:p w14:paraId="1AE8E709">
      <w:pPr>
        <w:autoSpaceDE w:val="0"/>
        <w:autoSpaceDN w:val="0"/>
        <w:adjustRightInd w:val="0"/>
        <w:spacing w:beforeLines="50"/>
        <w:ind w:firstLine="420"/>
        <w:rPr>
          <w:bCs/>
          <w:lang w:eastAsia="zh-CN"/>
        </w:rPr>
      </w:pPr>
      <w:r>
        <w:rPr>
          <w:sz w:val="21"/>
          <w:lang w:eastAsia="zh-CN" w:bidi="ar-SA"/>
        </w:rPr>
        <w:drawing>
          <wp:inline distT="0" distB="0" distL="0" distR="0">
            <wp:extent cx="5286375" cy="4105275"/>
            <wp:effectExtent l="0" t="0" r="0" b="0"/>
            <wp:docPr id="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4"/>
                    <pic:cNvPicPr>
                      <a:picLocks noChangeAspect="1" noChangeArrowheads="1"/>
                    </pic:cNvPicPr>
                  </pic:nvPicPr>
                  <pic:blipFill>
                    <a:blip r:embed="rId22"/>
                    <a:srcRect/>
                    <a:stretch>
                      <a:fillRect/>
                    </a:stretch>
                  </pic:blipFill>
                  <pic:spPr>
                    <a:xfrm>
                      <a:off x="0" y="0"/>
                      <a:ext cx="5286375" cy="4105275"/>
                    </a:xfrm>
                    <a:prstGeom prst="rect">
                      <a:avLst/>
                    </a:prstGeom>
                    <a:noFill/>
                    <a:ln w="9525">
                      <a:noFill/>
                      <a:miter lim="800000"/>
                      <a:headEnd/>
                      <a:tailEnd/>
                    </a:ln>
                  </pic:spPr>
                </pic:pic>
              </a:graphicData>
            </a:graphic>
          </wp:inline>
        </w:drawing>
      </w:r>
    </w:p>
    <w:p w14:paraId="4D2B5E80">
      <w:pPr>
        <w:autoSpaceDE w:val="0"/>
        <w:autoSpaceDN w:val="0"/>
        <w:adjustRightInd w:val="0"/>
        <w:ind w:firstLine="482"/>
        <w:rPr>
          <w:b/>
          <w:bCs/>
          <w:lang w:eastAsia="zh-CN"/>
        </w:rPr>
      </w:pPr>
      <w:r>
        <w:rPr>
          <w:rFonts w:hint="eastAsia"/>
          <w:b/>
          <w:bCs/>
          <w:lang w:eastAsia="zh-CN"/>
        </w:rPr>
        <w:t>图</w:t>
      </w:r>
      <w:r>
        <w:rPr>
          <w:b/>
          <w:bCs/>
          <w:lang w:eastAsia="zh-CN"/>
        </w:rPr>
        <w:t>2.</w:t>
      </w:r>
      <w:r>
        <w:rPr>
          <w:rFonts w:hint="eastAsia"/>
          <w:b/>
          <w:bCs/>
          <w:lang w:eastAsia="zh-CN"/>
        </w:rPr>
        <w:t>3</w:t>
      </w:r>
      <w:r>
        <w:rPr>
          <w:b/>
          <w:bCs/>
          <w:lang w:eastAsia="zh-CN"/>
        </w:rPr>
        <w:t>-</w:t>
      </w:r>
      <w:r>
        <w:rPr>
          <w:rFonts w:hint="eastAsia"/>
          <w:b/>
          <w:bCs/>
          <w:lang w:eastAsia="zh-CN"/>
        </w:rPr>
        <w:t>4</w:t>
      </w:r>
      <w:r>
        <w:rPr>
          <w:b/>
          <w:bCs/>
          <w:lang w:eastAsia="zh-CN"/>
        </w:rPr>
        <w:t xml:space="preserve">  </w:t>
      </w:r>
      <w:r>
        <w:rPr>
          <w:rFonts w:hint="eastAsia"/>
          <w:b/>
          <w:bCs/>
          <w:lang w:eastAsia="zh-CN"/>
        </w:rPr>
        <w:t xml:space="preserve">   乌里雅斯太</w:t>
      </w:r>
      <w:r>
        <w:rPr>
          <w:b/>
          <w:bCs/>
          <w:lang w:eastAsia="zh-CN"/>
        </w:rPr>
        <w:t>油田</w:t>
      </w:r>
      <w:r>
        <w:rPr>
          <w:rFonts w:hint="eastAsia" w:ascii="黑体" w:hAnsi="宋体" w:eastAsia="黑体"/>
          <w:lang w:eastAsia="zh-CN"/>
        </w:rPr>
        <w:t>太27-37</w:t>
      </w:r>
      <w:r>
        <w:rPr>
          <w:rFonts w:hint="eastAsia"/>
          <w:b/>
          <w:bCs/>
          <w:lang w:eastAsia="zh-CN"/>
        </w:rPr>
        <w:t>井原油粘度随含水率变化曲线图</w:t>
      </w:r>
    </w:p>
    <w:p w14:paraId="1EE42E02">
      <w:pPr>
        <w:autoSpaceDE w:val="0"/>
        <w:autoSpaceDN w:val="0"/>
        <w:adjustRightInd w:val="0"/>
        <w:ind w:firstLine="480"/>
        <w:rPr>
          <w:bCs/>
          <w:lang w:eastAsia="zh-CN"/>
        </w:rPr>
      </w:pPr>
    </w:p>
    <w:p w14:paraId="6F5C881B">
      <w:pPr>
        <w:autoSpaceDE w:val="0"/>
        <w:autoSpaceDN w:val="0"/>
        <w:adjustRightInd w:val="0"/>
        <w:spacing w:line="240" w:lineRule="auto"/>
        <w:ind w:firstLine="482"/>
        <w:rPr>
          <w:b/>
          <w:bCs/>
          <w:lang w:eastAsia="zh-CN"/>
        </w:rPr>
      </w:pPr>
      <w:r>
        <w:rPr>
          <w:b/>
          <w:bCs/>
          <w:lang w:eastAsia="zh-CN"/>
        </w:rPr>
        <w:t>表2.</w:t>
      </w:r>
      <w:r>
        <w:rPr>
          <w:rFonts w:hint="eastAsia"/>
          <w:b/>
          <w:bCs/>
          <w:lang w:eastAsia="zh-CN"/>
        </w:rPr>
        <w:t>3</w:t>
      </w:r>
      <w:r>
        <w:rPr>
          <w:b/>
          <w:bCs/>
          <w:lang w:eastAsia="zh-CN"/>
        </w:rPr>
        <w:t xml:space="preserve">- </w:t>
      </w:r>
      <w:r>
        <w:rPr>
          <w:rFonts w:hint="eastAsia"/>
          <w:b/>
          <w:bCs/>
          <w:lang w:eastAsia="zh-CN"/>
        </w:rPr>
        <w:t>8</w:t>
      </w:r>
      <w:r>
        <w:rPr>
          <w:b/>
          <w:bCs/>
          <w:lang w:eastAsia="zh-CN"/>
        </w:rPr>
        <w:t xml:space="preserve"> </w:t>
      </w:r>
      <w:r>
        <w:rPr>
          <w:rFonts w:hint="eastAsia"/>
          <w:b/>
          <w:bCs/>
          <w:lang w:eastAsia="zh-CN"/>
        </w:rPr>
        <w:t xml:space="preserve">   乌里雅斯太</w:t>
      </w:r>
      <w:r>
        <w:rPr>
          <w:b/>
          <w:bCs/>
          <w:lang w:eastAsia="zh-CN"/>
        </w:rPr>
        <w:t>油田</w:t>
      </w:r>
      <w:r>
        <w:rPr>
          <w:rFonts w:hint="eastAsia" w:ascii="黑体" w:hAnsi="宋体" w:eastAsia="黑体"/>
          <w:lang w:eastAsia="zh-CN"/>
        </w:rPr>
        <w:t>太53不含水混合</w:t>
      </w:r>
      <w:r>
        <w:rPr>
          <w:b/>
          <w:bCs/>
          <w:lang w:eastAsia="zh-CN"/>
        </w:rPr>
        <w:t>原油粘温数据</w:t>
      </w:r>
      <w:r>
        <w:rPr>
          <w:rFonts w:hint="eastAsia"/>
          <w:b/>
          <w:bCs/>
          <w:lang w:eastAsia="zh-CN"/>
        </w:rPr>
        <w:t>表</w:t>
      </w:r>
    </w:p>
    <w:tbl>
      <w:tblPr>
        <w:tblStyle w:val="76"/>
        <w:tblW w:w="8030"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992"/>
        <w:gridCol w:w="1191"/>
        <w:gridCol w:w="1462"/>
        <w:gridCol w:w="1462"/>
        <w:gridCol w:w="1462"/>
        <w:gridCol w:w="1461"/>
      </w:tblGrid>
      <w:tr w14:paraId="61C522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exact"/>
          <w:tblHeader/>
          <w:jc w:val="center"/>
        </w:trPr>
        <w:tc>
          <w:tcPr>
            <w:tcW w:w="992" w:type="dxa"/>
            <w:vMerge w:val="restart"/>
            <w:tcBorders>
              <w:top w:val="single" w:color="auto" w:sz="12" w:space="0"/>
              <w:left w:val="single" w:color="auto" w:sz="12" w:space="0"/>
            </w:tcBorders>
            <w:vAlign w:val="center"/>
          </w:tcPr>
          <w:p w14:paraId="2CD02718">
            <w:pPr>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温度</w:t>
            </w:r>
          </w:p>
          <w:p w14:paraId="45CD0523">
            <w:pPr>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7038" w:type="dxa"/>
            <w:gridSpan w:val="5"/>
            <w:tcBorders>
              <w:top w:val="single" w:color="auto" w:sz="12" w:space="0"/>
              <w:right w:val="single" w:color="auto" w:sz="12" w:space="0"/>
            </w:tcBorders>
            <w:vAlign w:val="center"/>
          </w:tcPr>
          <w:p w14:paraId="06023405">
            <w:pPr>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不同剪切速率（</w:t>
            </w:r>
            <w:r>
              <w:rPr>
                <w:rFonts w:asciiTheme="minorEastAsia" w:hAnsiTheme="minorEastAsia" w:eastAsiaTheme="minorEastAsia"/>
                <w:sz w:val="21"/>
                <w:szCs w:val="21"/>
              </w:rPr>
              <w:t>s</w:t>
            </w:r>
            <w:r>
              <w:rPr>
                <w:rFonts w:asciiTheme="minorEastAsia" w:hAnsiTheme="minorEastAsia" w:eastAsiaTheme="minorEastAsia"/>
                <w:sz w:val="21"/>
                <w:szCs w:val="21"/>
                <w:vertAlign w:val="superscript"/>
              </w:rPr>
              <w:t>-1</w:t>
            </w:r>
            <w:r>
              <w:rPr>
                <w:rFonts w:hint="eastAsia" w:asciiTheme="minorEastAsia" w:hAnsiTheme="minorEastAsia" w:eastAsiaTheme="minorEastAsia"/>
                <w:sz w:val="21"/>
                <w:szCs w:val="21"/>
              </w:rPr>
              <w:t>）时的粘度，</w:t>
            </w:r>
            <w:r>
              <w:rPr>
                <w:rFonts w:asciiTheme="minorEastAsia" w:hAnsiTheme="minorEastAsia" w:eastAsiaTheme="minorEastAsia"/>
                <w:sz w:val="21"/>
                <w:szCs w:val="21"/>
              </w:rPr>
              <w:t>mPa</w:t>
            </w:r>
            <w:r>
              <w:rPr>
                <w:rFonts w:hint="eastAsia" w:asciiTheme="minorEastAsia" w:hAnsiTheme="minorEastAsia" w:eastAsiaTheme="minorEastAsia"/>
                <w:sz w:val="21"/>
                <w:szCs w:val="21"/>
              </w:rPr>
              <w:t>·</w:t>
            </w:r>
            <w:r>
              <w:rPr>
                <w:rFonts w:asciiTheme="minorEastAsia" w:hAnsiTheme="minorEastAsia" w:eastAsiaTheme="minorEastAsia"/>
                <w:sz w:val="21"/>
                <w:szCs w:val="21"/>
              </w:rPr>
              <w:t>s</w:t>
            </w:r>
          </w:p>
        </w:tc>
      </w:tr>
      <w:tr w14:paraId="1C0723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exact"/>
          <w:tblHeader/>
          <w:jc w:val="center"/>
        </w:trPr>
        <w:tc>
          <w:tcPr>
            <w:tcW w:w="992" w:type="dxa"/>
            <w:vMerge w:val="continue"/>
            <w:tcBorders>
              <w:left w:val="single" w:color="auto" w:sz="12" w:space="0"/>
            </w:tcBorders>
            <w:vAlign w:val="center"/>
          </w:tcPr>
          <w:p w14:paraId="2888EA3A">
            <w:pPr>
              <w:spacing w:line="240" w:lineRule="auto"/>
              <w:ind w:firstLine="0" w:firstLineChars="0"/>
              <w:jc w:val="center"/>
              <w:rPr>
                <w:rFonts w:asciiTheme="minorEastAsia" w:hAnsiTheme="minorEastAsia" w:eastAsiaTheme="minorEastAsia"/>
                <w:sz w:val="21"/>
                <w:szCs w:val="21"/>
              </w:rPr>
            </w:pPr>
          </w:p>
        </w:tc>
        <w:tc>
          <w:tcPr>
            <w:tcW w:w="1191" w:type="dxa"/>
            <w:vAlign w:val="center"/>
          </w:tcPr>
          <w:p w14:paraId="392C3913">
            <w:pPr>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9</w:t>
            </w:r>
            <w:r>
              <w:rPr>
                <w:rFonts w:asciiTheme="minorEastAsia" w:hAnsiTheme="minorEastAsia" w:eastAsiaTheme="minorEastAsia"/>
                <w:sz w:val="21"/>
                <w:szCs w:val="21"/>
              </w:rPr>
              <w:t>s</w:t>
            </w:r>
            <w:r>
              <w:rPr>
                <w:rFonts w:asciiTheme="minorEastAsia" w:hAnsiTheme="minorEastAsia" w:eastAsiaTheme="minorEastAsia"/>
                <w:sz w:val="21"/>
                <w:szCs w:val="21"/>
                <w:vertAlign w:val="superscript"/>
              </w:rPr>
              <w:t>-1</w:t>
            </w:r>
          </w:p>
        </w:tc>
        <w:tc>
          <w:tcPr>
            <w:tcW w:w="1462" w:type="dxa"/>
            <w:vAlign w:val="center"/>
          </w:tcPr>
          <w:p w14:paraId="24C2A582">
            <w:pPr>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16.2</w:t>
            </w:r>
            <w:r>
              <w:rPr>
                <w:rFonts w:asciiTheme="minorEastAsia" w:hAnsiTheme="minorEastAsia" w:eastAsiaTheme="minorEastAsia"/>
                <w:sz w:val="21"/>
                <w:szCs w:val="21"/>
              </w:rPr>
              <w:t>s</w:t>
            </w:r>
            <w:r>
              <w:rPr>
                <w:rFonts w:asciiTheme="minorEastAsia" w:hAnsiTheme="minorEastAsia" w:eastAsiaTheme="minorEastAsia"/>
                <w:sz w:val="21"/>
                <w:szCs w:val="21"/>
                <w:vertAlign w:val="superscript"/>
              </w:rPr>
              <w:t>-1</w:t>
            </w:r>
          </w:p>
        </w:tc>
        <w:tc>
          <w:tcPr>
            <w:tcW w:w="1462" w:type="dxa"/>
            <w:vAlign w:val="center"/>
          </w:tcPr>
          <w:p w14:paraId="6452BCC0">
            <w:pPr>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27</w:t>
            </w:r>
            <w:r>
              <w:rPr>
                <w:rFonts w:asciiTheme="minorEastAsia" w:hAnsiTheme="minorEastAsia" w:eastAsiaTheme="minorEastAsia"/>
                <w:sz w:val="21"/>
                <w:szCs w:val="21"/>
              </w:rPr>
              <w:t>s</w:t>
            </w:r>
            <w:r>
              <w:rPr>
                <w:rFonts w:asciiTheme="minorEastAsia" w:hAnsiTheme="minorEastAsia" w:eastAsiaTheme="minorEastAsia"/>
                <w:sz w:val="21"/>
                <w:szCs w:val="21"/>
                <w:vertAlign w:val="superscript"/>
              </w:rPr>
              <w:t>-1</w:t>
            </w:r>
          </w:p>
        </w:tc>
        <w:tc>
          <w:tcPr>
            <w:tcW w:w="1462" w:type="dxa"/>
            <w:vAlign w:val="center"/>
          </w:tcPr>
          <w:p w14:paraId="53A674CB">
            <w:pPr>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48.6</w:t>
            </w:r>
            <w:r>
              <w:rPr>
                <w:rFonts w:asciiTheme="minorEastAsia" w:hAnsiTheme="minorEastAsia" w:eastAsiaTheme="minorEastAsia"/>
                <w:sz w:val="21"/>
                <w:szCs w:val="21"/>
              </w:rPr>
              <w:t>s</w:t>
            </w:r>
            <w:r>
              <w:rPr>
                <w:rFonts w:asciiTheme="minorEastAsia" w:hAnsiTheme="minorEastAsia" w:eastAsiaTheme="minorEastAsia"/>
                <w:sz w:val="21"/>
                <w:szCs w:val="21"/>
                <w:vertAlign w:val="superscript"/>
              </w:rPr>
              <w:t>-1</w:t>
            </w:r>
          </w:p>
        </w:tc>
        <w:tc>
          <w:tcPr>
            <w:tcW w:w="1461" w:type="dxa"/>
            <w:tcBorders>
              <w:right w:val="single" w:color="auto" w:sz="12" w:space="0"/>
            </w:tcBorders>
            <w:vAlign w:val="center"/>
          </w:tcPr>
          <w:p w14:paraId="7D6F7859">
            <w:pPr>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81</w:t>
            </w:r>
            <w:r>
              <w:rPr>
                <w:rFonts w:asciiTheme="minorEastAsia" w:hAnsiTheme="minorEastAsia" w:eastAsiaTheme="minorEastAsia"/>
                <w:sz w:val="21"/>
                <w:szCs w:val="21"/>
              </w:rPr>
              <w:t>s</w:t>
            </w:r>
            <w:r>
              <w:rPr>
                <w:rFonts w:asciiTheme="minorEastAsia" w:hAnsiTheme="minorEastAsia" w:eastAsiaTheme="minorEastAsia"/>
                <w:sz w:val="21"/>
                <w:szCs w:val="21"/>
                <w:vertAlign w:val="superscript"/>
              </w:rPr>
              <w:t>-1</w:t>
            </w:r>
          </w:p>
        </w:tc>
      </w:tr>
      <w:tr w14:paraId="2BC0C10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exact"/>
          <w:tblHeader/>
          <w:jc w:val="center"/>
        </w:trPr>
        <w:tc>
          <w:tcPr>
            <w:tcW w:w="992" w:type="dxa"/>
            <w:tcBorders>
              <w:left w:val="single" w:color="auto" w:sz="12" w:space="0"/>
            </w:tcBorders>
            <w:vAlign w:val="center"/>
          </w:tcPr>
          <w:p w14:paraId="374C7AAA">
            <w:pPr>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20</w:t>
            </w:r>
          </w:p>
        </w:tc>
        <w:tc>
          <w:tcPr>
            <w:tcW w:w="1191" w:type="dxa"/>
            <w:vAlign w:val="bottom"/>
          </w:tcPr>
          <w:p w14:paraId="3445D812">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212.3</w:t>
            </w:r>
          </w:p>
        </w:tc>
        <w:tc>
          <w:tcPr>
            <w:tcW w:w="1462" w:type="dxa"/>
            <w:vAlign w:val="bottom"/>
          </w:tcPr>
          <w:p w14:paraId="1AD5CBC1">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123.5</w:t>
            </w:r>
          </w:p>
        </w:tc>
        <w:tc>
          <w:tcPr>
            <w:tcW w:w="1462" w:type="dxa"/>
            <w:vAlign w:val="bottom"/>
          </w:tcPr>
          <w:p w14:paraId="666AC807">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72.15</w:t>
            </w:r>
          </w:p>
        </w:tc>
        <w:tc>
          <w:tcPr>
            <w:tcW w:w="1462" w:type="dxa"/>
            <w:vAlign w:val="bottom"/>
          </w:tcPr>
          <w:p w14:paraId="4C996C7B">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52.02</w:t>
            </w:r>
          </w:p>
        </w:tc>
        <w:tc>
          <w:tcPr>
            <w:tcW w:w="1461" w:type="dxa"/>
            <w:tcBorders>
              <w:right w:val="single" w:color="auto" w:sz="12" w:space="0"/>
            </w:tcBorders>
            <w:vAlign w:val="bottom"/>
          </w:tcPr>
          <w:p w14:paraId="2CBF5906">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37.12</w:t>
            </w:r>
          </w:p>
        </w:tc>
      </w:tr>
      <w:tr w14:paraId="06B76A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exact"/>
          <w:tblHeader/>
          <w:jc w:val="center"/>
        </w:trPr>
        <w:tc>
          <w:tcPr>
            <w:tcW w:w="992" w:type="dxa"/>
            <w:tcBorders>
              <w:left w:val="single" w:color="auto" w:sz="12" w:space="0"/>
            </w:tcBorders>
            <w:vAlign w:val="center"/>
          </w:tcPr>
          <w:p w14:paraId="10B45BA9">
            <w:pPr>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25</w:t>
            </w:r>
          </w:p>
        </w:tc>
        <w:tc>
          <w:tcPr>
            <w:tcW w:w="1191" w:type="dxa"/>
            <w:vAlign w:val="bottom"/>
          </w:tcPr>
          <w:p w14:paraId="446F6429">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20.25</w:t>
            </w:r>
          </w:p>
        </w:tc>
        <w:tc>
          <w:tcPr>
            <w:tcW w:w="1462" w:type="dxa"/>
            <w:vAlign w:val="bottom"/>
          </w:tcPr>
          <w:p w14:paraId="540B3717">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18.12</w:t>
            </w:r>
          </w:p>
        </w:tc>
        <w:tc>
          <w:tcPr>
            <w:tcW w:w="1462" w:type="dxa"/>
            <w:vAlign w:val="bottom"/>
          </w:tcPr>
          <w:p w14:paraId="0CF774CD">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16.23</w:t>
            </w:r>
          </w:p>
        </w:tc>
        <w:tc>
          <w:tcPr>
            <w:tcW w:w="1462" w:type="dxa"/>
            <w:vAlign w:val="bottom"/>
          </w:tcPr>
          <w:p w14:paraId="7C38576E">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15.01</w:t>
            </w:r>
          </w:p>
        </w:tc>
        <w:tc>
          <w:tcPr>
            <w:tcW w:w="1461" w:type="dxa"/>
            <w:tcBorders>
              <w:right w:val="single" w:color="auto" w:sz="12" w:space="0"/>
            </w:tcBorders>
            <w:vAlign w:val="bottom"/>
          </w:tcPr>
          <w:p w14:paraId="24135A8D">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14.12</w:t>
            </w:r>
          </w:p>
        </w:tc>
      </w:tr>
      <w:tr w14:paraId="3D73A4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exact"/>
          <w:tblHeader/>
          <w:jc w:val="center"/>
        </w:trPr>
        <w:tc>
          <w:tcPr>
            <w:tcW w:w="992" w:type="dxa"/>
            <w:tcBorders>
              <w:left w:val="single" w:color="auto" w:sz="12" w:space="0"/>
            </w:tcBorders>
            <w:vAlign w:val="center"/>
          </w:tcPr>
          <w:p w14:paraId="0303150F">
            <w:pPr>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30</w:t>
            </w:r>
          </w:p>
        </w:tc>
        <w:tc>
          <w:tcPr>
            <w:tcW w:w="1191" w:type="dxa"/>
            <w:vAlign w:val="bottom"/>
          </w:tcPr>
          <w:p w14:paraId="70F07085">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7.354</w:t>
            </w:r>
          </w:p>
        </w:tc>
        <w:tc>
          <w:tcPr>
            <w:tcW w:w="1462" w:type="dxa"/>
            <w:vAlign w:val="bottom"/>
          </w:tcPr>
          <w:p w14:paraId="34D14A70">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7.314</w:t>
            </w:r>
          </w:p>
        </w:tc>
        <w:tc>
          <w:tcPr>
            <w:tcW w:w="1462" w:type="dxa"/>
            <w:vAlign w:val="bottom"/>
          </w:tcPr>
          <w:p w14:paraId="70D0770F">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7.510</w:t>
            </w:r>
          </w:p>
        </w:tc>
        <w:tc>
          <w:tcPr>
            <w:tcW w:w="1462" w:type="dxa"/>
            <w:vAlign w:val="bottom"/>
          </w:tcPr>
          <w:p w14:paraId="74664887">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7.463</w:t>
            </w:r>
          </w:p>
        </w:tc>
        <w:tc>
          <w:tcPr>
            <w:tcW w:w="1461" w:type="dxa"/>
            <w:tcBorders>
              <w:right w:val="single" w:color="auto" w:sz="12" w:space="0"/>
            </w:tcBorders>
            <w:vAlign w:val="bottom"/>
          </w:tcPr>
          <w:p w14:paraId="711D4ECB">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7.421</w:t>
            </w:r>
          </w:p>
        </w:tc>
      </w:tr>
      <w:tr w14:paraId="09AD75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exact"/>
          <w:tblHeader/>
          <w:jc w:val="center"/>
        </w:trPr>
        <w:tc>
          <w:tcPr>
            <w:tcW w:w="992" w:type="dxa"/>
            <w:tcBorders>
              <w:left w:val="single" w:color="auto" w:sz="12" w:space="0"/>
            </w:tcBorders>
            <w:vAlign w:val="center"/>
          </w:tcPr>
          <w:p w14:paraId="344D2E89">
            <w:pPr>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35</w:t>
            </w:r>
          </w:p>
        </w:tc>
        <w:tc>
          <w:tcPr>
            <w:tcW w:w="1191" w:type="dxa"/>
            <w:vAlign w:val="bottom"/>
          </w:tcPr>
          <w:p w14:paraId="4AE5CACC">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6.110</w:t>
            </w:r>
          </w:p>
        </w:tc>
        <w:tc>
          <w:tcPr>
            <w:tcW w:w="1462" w:type="dxa"/>
            <w:vAlign w:val="bottom"/>
          </w:tcPr>
          <w:p w14:paraId="077E425B">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6.108</w:t>
            </w:r>
          </w:p>
        </w:tc>
        <w:tc>
          <w:tcPr>
            <w:tcW w:w="1462" w:type="dxa"/>
            <w:vAlign w:val="bottom"/>
          </w:tcPr>
          <w:p w14:paraId="39D39794">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6.006</w:t>
            </w:r>
          </w:p>
        </w:tc>
        <w:tc>
          <w:tcPr>
            <w:tcW w:w="1462" w:type="dxa"/>
            <w:vAlign w:val="bottom"/>
          </w:tcPr>
          <w:p w14:paraId="6A0266A2">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6.110</w:t>
            </w:r>
          </w:p>
        </w:tc>
        <w:tc>
          <w:tcPr>
            <w:tcW w:w="1461" w:type="dxa"/>
            <w:tcBorders>
              <w:right w:val="single" w:color="auto" w:sz="12" w:space="0"/>
            </w:tcBorders>
            <w:vAlign w:val="bottom"/>
          </w:tcPr>
          <w:p w14:paraId="510A6EEB">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6.009</w:t>
            </w:r>
          </w:p>
        </w:tc>
      </w:tr>
      <w:tr w14:paraId="30CCB6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exact"/>
          <w:tblHeader/>
          <w:jc w:val="center"/>
        </w:trPr>
        <w:tc>
          <w:tcPr>
            <w:tcW w:w="992" w:type="dxa"/>
            <w:tcBorders>
              <w:left w:val="single" w:color="auto" w:sz="12" w:space="0"/>
            </w:tcBorders>
            <w:vAlign w:val="center"/>
          </w:tcPr>
          <w:p w14:paraId="221FEB91">
            <w:pPr>
              <w:autoSpaceDE w:val="0"/>
              <w:autoSpaceDN w:val="0"/>
              <w:adjustRightInd w:val="0"/>
              <w:spacing w:line="240" w:lineRule="auto"/>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40</w:t>
            </w:r>
          </w:p>
        </w:tc>
        <w:tc>
          <w:tcPr>
            <w:tcW w:w="1191" w:type="dxa"/>
            <w:vAlign w:val="bottom"/>
          </w:tcPr>
          <w:p w14:paraId="6EA5A331">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5.118</w:t>
            </w:r>
          </w:p>
        </w:tc>
        <w:tc>
          <w:tcPr>
            <w:tcW w:w="1462" w:type="dxa"/>
            <w:vAlign w:val="bottom"/>
          </w:tcPr>
          <w:p w14:paraId="0BD5B46D">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5.116</w:t>
            </w:r>
          </w:p>
        </w:tc>
        <w:tc>
          <w:tcPr>
            <w:tcW w:w="1462" w:type="dxa"/>
            <w:vAlign w:val="bottom"/>
          </w:tcPr>
          <w:p w14:paraId="157C9662">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5.003</w:t>
            </w:r>
          </w:p>
        </w:tc>
        <w:tc>
          <w:tcPr>
            <w:tcW w:w="1462" w:type="dxa"/>
            <w:vAlign w:val="bottom"/>
          </w:tcPr>
          <w:p w14:paraId="7D380E6E">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5.115</w:t>
            </w:r>
          </w:p>
        </w:tc>
        <w:tc>
          <w:tcPr>
            <w:tcW w:w="1461" w:type="dxa"/>
            <w:tcBorders>
              <w:right w:val="single" w:color="auto" w:sz="12" w:space="0"/>
            </w:tcBorders>
            <w:vAlign w:val="bottom"/>
          </w:tcPr>
          <w:p w14:paraId="15607D68">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5.078</w:t>
            </w:r>
          </w:p>
        </w:tc>
      </w:tr>
      <w:tr w14:paraId="575A82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exact"/>
          <w:tblHeader/>
          <w:jc w:val="center"/>
        </w:trPr>
        <w:tc>
          <w:tcPr>
            <w:tcW w:w="992" w:type="dxa"/>
            <w:tcBorders>
              <w:left w:val="single" w:color="auto" w:sz="12" w:space="0"/>
            </w:tcBorders>
            <w:vAlign w:val="center"/>
          </w:tcPr>
          <w:p w14:paraId="61849761">
            <w:pPr>
              <w:autoSpaceDE w:val="0"/>
              <w:autoSpaceDN w:val="0"/>
              <w:adjustRightInd w:val="0"/>
              <w:spacing w:line="240" w:lineRule="auto"/>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45</w:t>
            </w:r>
          </w:p>
        </w:tc>
        <w:tc>
          <w:tcPr>
            <w:tcW w:w="1191" w:type="dxa"/>
            <w:vAlign w:val="bottom"/>
          </w:tcPr>
          <w:p w14:paraId="5B85D72F">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4.271</w:t>
            </w:r>
          </w:p>
        </w:tc>
        <w:tc>
          <w:tcPr>
            <w:tcW w:w="1462" w:type="dxa"/>
            <w:vAlign w:val="bottom"/>
          </w:tcPr>
          <w:p w14:paraId="2D809F67">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4.270</w:t>
            </w:r>
          </w:p>
        </w:tc>
        <w:tc>
          <w:tcPr>
            <w:tcW w:w="1462" w:type="dxa"/>
            <w:vAlign w:val="bottom"/>
          </w:tcPr>
          <w:p w14:paraId="56F511FA">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4.201</w:t>
            </w:r>
          </w:p>
        </w:tc>
        <w:tc>
          <w:tcPr>
            <w:tcW w:w="1462" w:type="dxa"/>
            <w:vAlign w:val="bottom"/>
          </w:tcPr>
          <w:p w14:paraId="37BF2230">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4.113</w:t>
            </w:r>
          </w:p>
        </w:tc>
        <w:tc>
          <w:tcPr>
            <w:tcW w:w="1461" w:type="dxa"/>
            <w:tcBorders>
              <w:right w:val="single" w:color="auto" w:sz="12" w:space="0"/>
            </w:tcBorders>
            <w:vAlign w:val="bottom"/>
          </w:tcPr>
          <w:p w14:paraId="49D92F2A">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4.110</w:t>
            </w:r>
          </w:p>
        </w:tc>
      </w:tr>
      <w:tr w14:paraId="22AA97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exact"/>
          <w:tblHeader/>
          <w:jc w:val="center"/>
        </w:trPr>
        <w:tc>
          <w:tcPr>
            <w:tcW w:w="992" w:type="dxa"/>
            <w:tcBorders>
              <w:left w:val="single" w:color="auto" w:sz="12" w:space="0"/>
            </w:tcBorders>
            <w:vAlign w:val="center"/>
          </w:tcPr>
          <w:p w14:paraId="38D25E6B">
            <w:pPr>
              <w:autoSpaceDE w:val="0"/>
              <w:autoSpaceDN w:val="0"/>
              <w:adjustRightInd w:val="0"/>
              <w:spacing w:line="240" w:lineRule="auto"/>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50</w:t>
            </w:r>
          </w:p>
        </w:tc>
        <w:tc>
          <w:tcPr>
            <w:tcW w:w="1191" w:type="dxa"/>
            <w:vAlign w:val="bottom"/>
          </w:tcPr>
          <w:p w14:paraId="081E1E9F">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3.769</w:t>
            </w:r>
          </w:p>
        </w:tc>
        <w:tc>
          <w:tcPr>
            <w:tcW w:w="1462" w:type="dxa"/>
            <w:vAlign w:val="bottom"/>
          </w:tcPr>
          <w:p w14:paraId="231B62C9">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3.765</w:t>
            </w:r>
          </w:p>
        </w:tc>
        <w:tc>
          <w:tcPr>
            <w:tcW w:w="1462" w:type="dxa"/>
            <w:vAlign w:val="bottom"/>
          </w:tcPr>
          <w:p w14:paraId="2653DA9D">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3.763</w:t>
            </w:r>
          </w:p>
        </w:tc>
        <w:tc>
          <w:tcPr>
            <w:tcW w:w="1462" w:type="dxa"/>
            <w:vAlign w:val="bottom"/>
          </w:tcPr>
          <w:p w14:paraId="0FB26175">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3.750</w:t>
            </w:r>
          </w:p>
        </w:tc>
        <w:tc>
          <w:tcPr>
            <w:tcW w:w="1461" w:type="dxa"/>
            <w:tcBorders>
              <w:right w:val="single" w:color="auto" w:sz="12" w:space="0"/>
            </w:tcBorders>
            <w:vAlign w:val="bottom"/>
          </w:tcPr>
          <w:p w14:paraId="728534E8">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3.745</w:t>
            </w:r>
          </w:p>
        </w:tc>
      </w:tr>
      <w:tr w14:paraId="4FCA6A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97" w:hRule="exact"/>
          <w:tblHeader/>
          <w:jc w:val="center"/>
        </w:trPr>
        <w:tc>
          <w:tcPr>
            <w:tcW w:w="992" w:type="dxa"/>
            <w:tcBorders>
              <w:left w:val="single" w:color="auto" w:sz="12" w:space="0"/>
              <w:bottom w:val="single" w:color="auto" w:sz="12" w:space="0"/>
            </w:tcBorders>
            <w:vAlign w:val="center"/>
          </w:tcPr>
          <w:p w14:paraId="062C3924">
            <w:pPr>
              <w:autoSpaceDE w:val="0"/>
              <w:autoSpaceDN w:val="0"/>
              <w:adjustRightInd w:val="0"/>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60</w:t>
            </w:r>
          </w:p>
        </w:tc>
        <w:tc>
          <w:tcPr>
            <w:tcW w:w="1191" w:type="dxa"/>
            <w:tcBorders>
              <w:bottom w:val="single" w:color="auto" w:sz="12" w:space="0"/>
            </w:tcBorders>
            <w:vAlign w:val="bottom"/>
          </w:tcPr>
          <w:p w14:paraId="3D589E58">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3.074</w:t>
            </w:r>
          </w:p>
        </w:tc>
        <w:tc>
          <w:tcPr>
            <w:tcW w:w="1462" w:type="dxa"/>
            <w:tcBorders>
              <w:bottom w:val="single" w:color="auto" w:sz="12" w:space="0"/>
            </w:tcBorders>
            <w:vAlign w:val="bottom"/>
          </w:tcPr>
          <w:p w14:paraId="6FC0277E">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3.069</w:t>
            </w:r>
          </w:p>
        </w:tc>
        <w:tc>
          <w:tcPr>
            <w:tcW w:w="1462" w:type="dxa"/>
            <w:tcBorders>
              <w:bottom w:val="single" w:color="auto" w:sz="12" w:space="0"/>
            </w:tcBorders>
            <w:vAlign w:val="bottom"/>
          </w:tcPr>
          <w:p w14:paraId="26567564">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3.065</w:t>
            </w:r>
          </w:p>
        </w:tc>
        <w:tc>
          <w:tcPr>
            <w:tcW w:w="1462" w:type="dxa"/>
            <w:tcBorders>
              <w:bottom w:val="single" w:color="auto" w:sz="12" w:space="0"/>
            </w:tcBorders>
            <w:vAlign w:val="bottom"/>
          </w:tcPr>
          <w:p w14:paraId="2AA7FD92">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3.058</w:t>
            </w:r>
          </w:p>
        </w:tc>
        <w:tc>
          <w:tcPr>
            <w:tcW w:w="1461" w:type="dxa"/>
            <w:tcBorders>
              <w:bottom w:val="single" w:color="auto" w:sz="12" w:space="0"/>
              <w:right w:val="single" w:color="auto" w:sz="12" w:space="0"/>
            </w:tcBorders>
            <w:vAlign w:val="bottom"/>
          </w:tcPr>
          <w:p w14:paraId="3E66FB0E">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3.033</w:t>
            </w:r>
          </w:p>
        </w:tc>
      </w:tr>
    </w:tbl>
    <w:p w14:paraId="4B651849">
      <w:pPr>
        <w:autoSpaceDE w:val="0"/>
        <w:autoSpaceDN w:val="0"/>
        <w:adjustRightInd w:val="0"/>
        <w:ind w:firstLine="0" w:firstLineChars="0"/>
        <w:rPr>
          <w:bCs/>
          <w:lang w:eastAsia="zh-CN"/>
        </w:rPr>
      </w:pPr>
    </w:p>
    <w:p w14:paraId="05213A25">
      <w:pPr>
        <w:autoSpaceDE w:val="0"/>
        <w:autoSpaceDN w:val="0"/>
        <w:adjustRightInd w:val="0"/>
        <w:spacing w:beforeLines="50"/>
        <w:ind w:firstLine="420"/>
        <w:rPr>
          <w:bCs/>
          <w:lang w:eastAsia="zh-CN"/>
        </w:rPr>
      </w:pPr>
      <w:r>
        <w:rPr>
          <w:sz w:val="21"/>
          <w:lang w:eastAsia="zh-CN" w:bidi="ar-SA"/>
        </w:rPr>
        <w:drawing>
          <wp:inline distT="0" distB="0" distL="0" distR="0">
            <wp:extent cx="5276850" cy="4619625"/>
            <wp:effectExtent l="0" t="0" r="0" b="0"/>
            <wp:docPr id="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7"/>
                    <pic:cNvPicPr>
                      <a:picLocks noChangeAspect="1" noChangeArrowheads="1"/>
                    </pic:cNvPicPr>
                  </pic:nvPicPr>
                  <pic:blipFill>
                    <a:blip r:embed="rId23"/>
                    <a:srcRect/>
                    <a:stretch>
                      <a:fillRect/>
                    </a:stretch>
                  </pic:blipFill>
                  <pic:spPr>
                    <a:xfrm>
                      <a:off x="0" y="0"/>
                      <a:ext cx="5276850" cy="4619625"/>
                    </a:xfrm>
                    <a:prstGeom prst="rect">
                      <a:avLst/>
                    </a:prstGeom>
                    <a:noFill/>
                    <a:ln w="9525">
                      <a:noFill/>
                      <a:miter lim="800000"/>
                      <a:headEnd/>
                      <a:tailEnd/>
                    </a:ln>
                  </pic:spPr>
                </pic:pic>
              </a:graphicData>
            </a:graphic>
          </wp:inline>
        </w:drawing>
      </w:r>
    </w:p>
    <w:p w14:paraId="74FDA36C">
      <w:pPr>
        <w:autoSpaceDE w:val="0"/>
        <w:autoSpaceDN w:val="0"/>
        <w:adjustRightInd w:val="0"/>
        <w:spacing w:line="240" w:lineRule="auto"/>
        <w:ind w:firstLine="420"/>
        <w:rPr>
          <w:b/>
          <w:bCs/>
          <w:lang w:eastAsia="zh-CN"/>
        </w:rPr>
      </w:pPr>
      <w:r>
        <w:rPr>
          <w:rFonts w:hint="eastAsia" w:ascii="黑体" w:eastAsia="黑体"/>
          <w:sz w:val="21"/>
          <w:lang w:eastAsia="zh-CN"/>
        </w:rPr>
        <w:t xml:space="preserve">       </w:t>
      </w:r>
      <w:r>
        <w:rPr>
          <w:rFonts w:hint="eastAsia" w:ascii="黑体" w:hAnsi="宋体" w:eastAsia="黑体"/>
          <w:sz w:val="21"/>
          <w:szCs w:val="21"/>
          <w:lang w:eastAsia="zh-CN"/>
        </w:rPr>
        <w:t xml:space="preserve"> </w:t>
      </w:r>
      <w:r>
        <w:rPr>
          <w:rFonts w:hint="eastAsia"/>
          <w:b/>
          <w:bCs/>
          <w:lang w:eastAsia="zh-CN"/>
        </w:rPr>
        <w:t>图2.3-5   乌里雅斯太油田太53不含水混合原油粘温曲线</w:t>
      </w:r>
    </w:p>
    <w:p w14:paraId="099CEFF0">
      <w:pPr>
        <w:autoSpaceDE w:val="0"/>
        <w:autoSpaceDN w:val="0"/>
        <w:adjustRightInd w:val="0"/>
        <w:ind w:firstLine="480"/>
        <w:rPr>
          <w:bCs/>
          <w:lang w:eastAsia="zh-CN"/>
        </w:rPr>
      </w:pPr>
    </w:p>
    <w:p w14:paraId="5564E35C">
      <w:pPr>
        <w:autoSpaceDE w:val="0"/>
        <w:autoSpaceDN w:val="0"/>
        <w:adjustRightInd w:val="0"/>
        <w:spacing w:line="240" w:lineRule="auto"/>
        <w:ind w:firstLine="482"/>
        <w:rPr>
          <w:b/>
          <w:bCs/>
          <w:lang w:eastAsia="zh-CN"/>
        </w:rPr>
      </w:pPr>
      <w:r>
        <w:rPr>
          <w:b/>
          <w:bCs/>
          <w:lang w:eastAsia="zh-CN"/>
        </w:rPr>
        <w:t>表2.</w:t>
      </w:r>
      <w:r>
        <w:rPr>
          <w:rFonts w:hint="eastAsia"/>
          <w:b/>
          <w:bCs/>
          <w:lang w:eastAsia="zh-CN"/>
        </w:rPr>
        <w:t>3</w:t>
      </w:r>
      <w:r>
        <w:rPr>
          <w:b/>
          <w:bCs/>
          <w:lang w:eastAsia="zh-CN"/>
        </w:rPr>
        <w:t xml:space="preserve">- </w:t>
      </w:r>
      <w:r>
        <w:rPr>
          <w:rFonts w:hint="eastAsia"/>
          <w:b/>
          <w:bCs/>
          <w:lang w:eastAsia="zh-CN"/>
        </w:rPr>
        <w:t>9</w:t>
      </w:r>
      <w:r>
        <w:rPr>
          <w:b/>
          <w:bCs/>
          <w:lang w:eastAsia="zh-CN"/>
        </w:rPr>
        <w:t xml:space="preserve"> </w:t>
      </w:r>
      <w:r>
        <w:rPr>
          <w:rFonts w:hint="eastAsia"/>
          <w:b/>
          <w:bCs/>
          <w:lang w:eastAsia="zh-CN"/>
        </w:rPr>
        <w:t xml:space="preserve">   乌里雅斯太</w:t>
      </w:r>
      <w:r>
        <w:rPr>
          <w:b/>
          <w:bCs/>
          <w:lang w:eastAsia="zh-CN"/>
        </w:rPr>
        <w:t>油田</w:t>
      </w:r>
      <w:r>
        <w:rPr>
          <w:rFonts w:hint="eastAsia" w:ascii="黑体" w:hAnsi="黑体" w:eastAsia="黑体"/>
          <w:lang w:eastAsia="zh-CN"/>
        </w:rPr>
        <w:t>太53</w:t>
      </w:r>
      <w:r>
        <w:rPr>
          <w:rFonts w:hint="eastAsia" w:ascii="黑体" w:hAnsi="黑体" w:eastAsia="黑体"/>
          <w:b/>
          <w:bCs/>
          <w:lang w:eastAsia="zh-CN"/>
        </w:rPr>
        <w:t>混合原油</w:t>
      </w:r>
      <w:r>
        <w:rPr>
          <w:rFonts w:hint="eastAsia"/>
          <w:b/>
          <w:bCs/>
          <w:lang w:eastAsia="zh-CN"/>
        </w:rPr>
        <w:t>原油粘度随含水率变化数据表</w:t>
      </w:r>
    </w:p>
    <w:tbl>
      <w:tblPr>
        <w:tblStyle w:val="76"/>
        <w:tblW w:w="81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1"/>
        <w:gridCol w:w="1199"/>
        <w:gridCol w:w="1495"/>
        <w:gridCol w:w="1495"/>
        <w:gridCol w:w="1495"/>
        <w:gridCol w:w="1497"/>
      </w:tblGrid>
      <w:tr w14:paraId="00E50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91" w:type="dxa"/>
            <w:vMerge w:val="restart"/>
            <w:tcBorders>
              <w:top w:val="single" w:color="auto" w:sz="12" w:space="0"/>
              <w:left w:val="single" w:color="auto" w:sz="12" w:space="0"/>
            </w:tcBorders>
            <w:vAlign w:val="center"/>
          </w:tcPr>
          <w:p w14:paraId="494E84D4">
            <w:pPr>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含水率</w:t>
            </w:r>
          </w:p>
          <w:p w14:paraId="1572C5B8">
            <w:pPr>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7181" w:type="dxa"/>
            <w:gridSpan w:val="5"/>
            <w:tcBorders>
              <w:top w:val="single" w:color="auto" w:sz="12" w:space="0"/>
              <w:right w:val="single" w:color="auto" w:sz="12" w:space="0"/>
            </w:tcBorders>
            <w:vAlign w:val="center"/>
          </w:tcPr>
          <w:p w14:paraId="0FDA4B42">
            <w:pPr>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50℃时不同剪切速率（</w:t>
            </w:r>
            <w:r>
              <w:rPr>
                <w:rFonts w:asciiTheme="minorEastAsia" w:hAnsiTheme="minorEastAsia" w:eastAsiaTheme="minorEastAsia"/>
                <w:sz w:val="21"/>
                <w:szCs w:val="21"/>
              </w:rPr>
              <w:t>s</w:t>
            </w:r>
            <w:r>
              <w:rPr>
                <w:rFonts w:asciiTheme="minorEastAsia" w:hAnsiTheme="minorEastAsia" w:eastAsiaTheme="minorEastAsia"/>
                <w:sz w:val="21"/>
                <w:szCs w:val="21"/>
                <w:vertAlign w:val="superscript"/>
              </w:rPr>
              <w:t>-1</w:t>
            </w:r>
            <w:r>
              <w:rPr>
                <w:rFonts w:hint="eastAsia" w:asciiTheme="minorEastAsia" w:hAnsiTheme="minorEastAsia" w:eastAsiaTheme="minorEastAsia"/>
                <w:sz w:val="21"/>
                <w:szCs w:val="21"/>
              </w:rPr>
              <w:t>）时的粘度，</w:t>
            </w:r>
            <w:r>
              <w:rPr>
                <w:rFonts w:asciiTheme="minorEastAsia" w:hAnsiTheme="minorEastAsia" w:eastAsiaTheme="minorEastAsia"/>
                <w:sz w:val="21"/>
                <w:szCs w:val="21"/>
              </w:rPr>
              <w:t>mPa</w:t>
            </w:r>
            <w:r>
              <w:rPr>
                <w:rFonts w:hint="eastAsia" w:asciiTheme="minorEastAsia" w:hAnsiTheme="minorEastAsia" w:eastAsiaTheme="minorEastAsia"/>
                <w:sz w:val="21"/>
                <w:szCs w:val="21"/>
              </w:rPr>
              <w:t>·</w:t>
            </w:r>
            <w:r>
              <w:rPr>
                <w:rFonts w:asciiTheme="minorEastAsia" w:hAnsiTheme="minorEastAsia" w:eastAsiaTheme="minorEastAsia"/>
                <w:sz w:val="21"/>
                <w:szCs w:val="21"/>
              </w:rPr>
              <w:t>s</w:t>
            </w:r>
          </w:p>
        </w:tc>
      </w:tr>
      <w:tr w14:paraId="0C654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91" w:type="dxa"/>
            <w:vMerge w:val="continue"/>
            <w:tcBorders>
              <w:left w:val="single" w:color="auto" w:sz="12" w:space="0"/>
            </w:tcBorders>
            <w:vAlign w:val="center"/>
          </w:tcPr>
          <w:p w14:paraId="0F28A3A0">
            <w:pPr>
              <w:spacing w:line="240" w:lineRule="auto"/>
              <w:ind w:firstLine="0" w:firstLineChars="0"/>
              <w:jc w:val="center"/>
              <w:rPr>
                <w:rFonts w:asciiTheme="minorEastAsia" w:hAnsiTheme="minorEastAsia" w:eastAsiaTheme="minorEastAsia"/>
                <w:sz w:val="21"/>
                <w:szCs w:val="21"/>
              </w:rPr>
            </w:pPr>
          </w:p>
        </w:tc>
        <w:tc>
          <w:tcPr>
            <w:tcW w:w="1199" w:type="dxa"/>
            <w:vAlign w:val="center"/>
          </w:tcPr>
          <w:p w14:paraId="56023795">
            <w:pPr>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9</w:t>
            </w:r>
            <w:r>
              <w:rPr>
                <w:rFonts w:asciiTheme="minorEastAsia" w:hAnsiTheme="minorEastAsia" w:eastAsiaTheme="minorEastAsia"/>
                <w:sz w:val="21"/>
                <w:szCs w:val="21"/>
              </w:rPr>
              <w:t>s</w:t>
            </w:r>
            <w:r>
              <w:rPr>
                <w:rFonts w:asciiTheme="minorEastAsia" w:hAnsiTheme="minorEastAsia" w:eastAsiaTheme="minorEastAsia"/>
                <w:sz w:val="21"/>
                <w:szCs w:val="21"/>
                <w:vertAlign w:val="superscript"/>
              </w:rPr>
              <w:t>-1</w:t>
            </w:r>
          </w:p>
        </w:tc>
        <w:tc>
          <w:tcPr>
            <w:tcW w:w="1495" w:type="dxa"/>
            <w:vAlign w:val="center"/>
          </w:tcPr>
          <w:p w14:paraId="30E87A04">
            <w:pPr>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16.2</w:t>
            </w:r>
            <w:r>
              <w:rPr>
                <w:rFonts w:asciiTheme="minorEastAsia" w:hAnsiTheme="minorEastAsia" w:eastAsiaTheme="minorEastAsia"/>
                <w:sz w:val="21"/>
                <w:szCs w:val="21"/>
              </w:rPr>
              <w:t>s</w:t>
            </w:r>
            <w:r>
              <w:rPr>
                <w:rFonts w:asciiTheme="minorEastAsia" w:hAnsiTheme="minorEastAsia" w:eastAsiaTheme="minorEastAsia"/>
                <w:sz w:val="21"/>
                <w:szCs w:val="21"/>
                <w:vertAlign w:val="superscript"/>
              </w:rPr>
              <w:t>-1</w:t>
            </w:r>
          </w:p>
        </w:tc>
        <w:tc>
          <w:tcPr>
            <w:tcW w:w="1495" w:type="dxa"/>
            <w:vAlign w:val="center"/>
          </w:tcPr>
          <w:p w14:paraId="7219EC64">
            <w:pPr>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27</w:t>
            </w:r>
            <w:r>
              <w:rPr>
                <w:rFonts w:asciiTheme="minorEastAsia" w:hAnsiTheme="minorEastAsia" w:eastAsiaTheme="minorEastAsia"/>
                <w:sz w:val="21"/>
                <w:szCs w:val="21"/>
              </w:rPr>
              <w:t>s</w:t>
            </w:r>
            <w:r>
              <w:rPr>
                <w:rFonts w:asciiTheme="minorEastAsia" w:hAnsiTheme="minorEastAsia" w:eastAsiaTheme="minorEastAsia"/>
                <w:sz w:val="21"/>
                <w:szCs w:val="21"/>
                <w:vertAlign w:val="superscript"/>
              </w:rPr>
              <w:t>-1</w:t>
            </w:r>
          </w:p>
        </w:tc>
        <w:tc>
          <w:tcPr>
            <w:tcW w:w="1495" w:type="dxa"/>
            <w:vAlign w:val="center"/>
          </w:tcPr>
          <w:p w14:paraId="6D9E7EF4">
            <w:pPr>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48.6</w:t>
            </w:r>
            <w:r>
              <w:rPr>
                <w:rFonts w:asciiTheme="minorEastAsia" w:hAnsiTheme="minorEastAsia" w:eastAsiaTheme="minorEastAsia"/>
                <w:sz w:val="21"/>
                <w:szCs w:val="21"/>
              </w:rPr>
              <w:t>s</w:t>
            </w:r>
            <w:r>
              <w:rPr>
                <w:rFonts w:asciiTheme="minorEastAsia" w:hAnsiTheme="minorEastAsia" w:eastAsiaTheme="minorEastAsia"/>
                <w:sz w:val="21"/>
                <w:szCs w:val="21"/>
                <w:vertAlign w:val="superscript"/>
              </w:rPr>
              <w:t>-1</w:t>
            </w:r>
          </w:p>
        </w:tc>
        <w:tc>
          <w:tcPr>
            <w:tcW w:w="1497" w:type="dxa"/>
            <w:tcBorders>
              <w:right w:val="single" w:color="auto" w:sz="12" w:space="0"/>
            </w:tcBorders>
            <w:vAlign w:val="center"/>
          </w:tcPr>
          <w:p w14:paraId="19716F4D">
            <w:pPr>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81</w:t>
            </w:r>
            <w:r>
              <w:rPr>
                <w:rFonts w:asciiTheme="minorEastAsia" w:hAnsiTheme="minorEastAsia" w:eastAsiaTheme="minorEastAsia"/>
                <w:sz w:val="21"/>
                <w:szCs w:val="21"/>
              </w:rPr>
              <w:t>s</w:t>
            </w:r>
            <w:r>
              <w:rPr>
                <w:rFonts w:asciiTheme="minorEastAsia" w:hAnsiTheme="minorEastAsia" w:eastAsiaTheme="minorEastAsia"/>
                <w:sz w:val="21"/>
                <w:szCs w:val="21"/>
                <w:vertAlign w:val="superscript"/>
              </w:rPr>
              <w:t>-1</w:t>
            </w:r>
          </w:p>
        </w:tc>
      </w:tr>
      <w:tr w14:paraId="632A1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91" w:type="dxa"/>
            <w:tcBorders>
              <w:left w:val="single" w:color="auto" w:sz="12" w:space="0"/>
            </w:tcBorders>
            <w:vAlign w:val="center"/>
          </w:tcPr>
          <w:p w14:paraId="423DAB86">
            <w:pPr>
              <w:autoSpaceDE w:val="0"/>
              <w:autoSpaceDN w:val="0"/>
              <w:adjustRightInd w:val="0"/>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w:t>
            </w:r>
          </w:p>
        </w:tc>
        <w:tc>
          <w:tcPr>
            <w:tcW w:w="1199" w:type="dxa"/>
            <w:vAlign w:val="bottom"/>
          </w:tcPr>
          <w:p w14:paraId="3A21A40A">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3.769</w:t>
            </w:r>
          </w:p>
        </w:tc>
        <w:tc>
          <w:tcPr>
            <w:tcW w:w="1495" w:type="dxa"/>
            <w:vAlign w:val="bottom"/>
          </w:tcPr>
          <w:p w14:paraId="70CA1B5D">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3.765</w:t>
            </w:r>
          </w:p>
        </w:tc>
        <w:tc>
          <w:tcPr>
            <w:tcW w:w="1495" w:type="dxa"/>
            <w:vAlign w:val="bottom"/>
          </w:tcPr>
          <w:p w14:paraId="3F0B9A80">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3.763</w:t>
            </w:r>
          </w:p>
        </w:tc>
        <w:tc>
          <w:tcPr>
            <w:tcW w:w="1495" w:type="dxa"/>
            <w:vAlign w:val="bottom"/>
          </w:tcPr>
          <w:p w14:paraId="2B3E62E5">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3.750</w:t>
            </w:r>
          </w:p>
        </w:tc>
        <w:tc>
          <w:tcPr>
            <w:tcW w:w="1497" w:type="dxa"/>
            <w:tcBorders>
              <w:right w:val="single" w:color="auto" w:sz="12" w:space="0"/>
            </w:tcBorders>
            <w:vAlign w:val="bottom"/>
          </w:tcPr>
          <w:p w14:paraId="6B01557A">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3.745</w:t>
            </w:r>
          </w:p>
        </w:tc>
      </w:tr>
      <w:tr w14:paraId="47B97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91" w:type="dxa"/>
            <w:tcBorders>
              <w:left w:val="single" w:color="auto" w:sz="12" w:space="0"/>
            </w:tcBorders>
            <w:vAlign w:val="center"/>
          </w:tcPr>
          <w:p w14:paraId="0AB6178B">
            <w:pPr>
              <w:autoSpaceDE w:val="0"/>
              <w:autoSpaceDN w:val="0"/>
              <w:adjustRightInd w:val="0"/>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30</w:t>
            </w:r>
          </w:p>
        </w:tc>
        <w:tc>
          <w:tcPr>
            <w:tcW w:w="1199" w:type="dxa"/>
            <w:vAlign w:val="bottom"/>
          </w:tcPr>
          <w:p w14:paraId="508CEF21">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3.856</w:t>
            </w:r>
          </w:p>
        </w:tc>
        <w:tc>
          <w:tcPr>
            <w:tcW w:w="1495" w:type="dxa"/>
            <w:vAlign w:val="bottom"/>
          </w:tcPr>
          <w:p w14:paraId="68CFF8A9">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3.855</w:t>
            </w:r>
          </w:p>
        </w:tc>
        <w:tc>
          <w:tcPr>
            <w:tcW w:w="1495" w:type="dxa"/>
            <w:vAlign w:val="bottom"/>
          </w:tcPr>
          <w:p w14:paraId="5D3B8689">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3.854</w:t>
            </w:r>
          </w:p>
        </w:tc>
        <w:tc>
          <w:tcPr>
            <w:tcW w:w="1495" w:type="dxa"/>
            <w:vAlign w:val="bottom"/>
          </w:tcPr>
          <w:p w14:paraId="0EF236B9">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3.856</w:t>
            </w:r>
          </w:p>
        </w:tc>
        <w:tc>
          <w:tcPr>
            <w:tcW w:w="1497" w:type="dxa"/>
            <w:tcBorders>
              <w:right w:val="single" w:color="auto" w:sz="12" w:space="0"/>
            </w:tcBorders>
            <w:vAlign w:val="bottom"/>
          </w:tcPr>
          <w:p w14:paraId="563BFE53">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3.857</w:t>
            </w:r>
          </w:p>
        </w:tc>
      </w:tr>
      <w:tr w14:paraId="460B6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91" w:type="dxa"/>
            <w:tcBorders>
              <w:left w:val="single" w:color="auto" w:sz="12" w:space="0"/>
            </w:tcBorders>
            <w:vAlign w:val="center"/>
          </w:tcPr>
          <w:p w14:paraId="3919ECF6">
            <w:pPr>
              <w:autoSpaceDE w:val="0"/>
              <w:autoSpaceDN w:val="0"/>
              <w:adjustRightInd w:val="0"/>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40</w:t>
            </w:r>
          </w:p>
        </w:tc>
        <w:tc>
          <w:tcPr>
            <w:tcW w:w="1199" w:type="dxa"/>
            <w:vAlign w:val="bottom"/>
          </w:tcPr>
          <w:p w14:paraId="2B881FC6">
            <w:pPr>
              <w:spacing w:line="240" w:lineRule="auto"/>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6.325</w:t>
            </w:r>
          </w:p>
        </w:tc>
        <w:tc>
          <w:tcPr>
            <w:tcW w:w="1495" w:type="dxa"/>
            <w:vAlign w:val="bottom"/>
          </w:tcPr>
          <w:p w14:paraId="0FAA96F3">
            <w:pPr>
              <w:spacing w:line="240" w:lineRule="auto"/>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6.315</w:t>
            </w:r>
          </w:p>
        </w:tc>
        <w:tc>
          <w:tcPr>
            <w:tcW w:w="1495" w:type="dxa"/>
            <w:vAlign w:val="bottom"/>
          </w:tcPr>
          <w:p w14:paraId="1EC6B2F9">
            <w:pPr>
              <w:spacing w:line="240" w:lineRule="auto"/>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6.314</w:t>
            </w:r>
          </w:p>
        </w:tc>
        <w:tc>
          <w:tcPr>
            <w:tcW w:w="1495" w:type="dxa"/>
            <w:vAlign w:val="bottom"/>
          </w:tcPr>
          <w:p w14:paraId="25867261">
            <w:pPr>
              <w:spacing w:line="240" w:lineRule="auto"/>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6.312</w:t>
            </w:r>
          </w:p>
        </w:tc>
        <w:tc>
          <w:tcPr>
            <w:tcW w:w="1497" w:type="dxa"/>
            <w:tcBorders>
              <w:right w:val="single" w:color="auto" w:sz="12" w:space="0"/>
            </w:tcBorders>
            <w:vAlign w:val="bottom"/>
          </w:tcPr>
          <w:p w14:paraId="227742BE">
            <w:pPr>
              <w:spacing w:line="240" w:lineRule="auto"/>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6.311</w:t>
            </w:r>
          </w:p>
        </w:tc>
      </w:tr>
      <w:tr w14:paraId="16EAF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91" w:type="dxa"/>
            <w:tcBorders>
              <w:left w:val="single" w:color="auto" w:sz="12" w:space="0"/>
            </w:tcBorders>
            <w:vAlign w:val="center"/>
          </w:tcPr>
          <w:p w14:paraId="6A143ACB">
            <w:pPr>
              <w:autoSpaceDE w:val="0"/>
              <w:autoSpaceDN w:val="0"/>
              <w:adjustRightInd w:val="0"/>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50</w:t>
            </w:r>
          </w:p>
        </w:tc>
        <w:tc>
          <w:tcPr>
            <w:tcW w:w="1199" w:type="dxa"/>
            <w:vAlign w:val="bottom"/>
          </w:tcPr>
          <w:p w14:paraId="54C38226">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2.574</w:t>
            </w:r>
          </w:p>
        </w:tc>
        <w:tc>
          <w:tcPr>
            <w:tcW w:w="1495" w:type="dxa"/>
            <w:vAlign w:val="bottom"/>
          </w:tcPr>
          <w:p w14:paraId="016EF881">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2.571</w:t>
            </w:r>
          </w:p>
        </w:tc>
        <w:tc>
          <w:tcPr>
            <w:tcW w:w="1495" w:type="dxa"/>
            <w:vAlign w:val="bottom"/>
          </w:tcPr>
          <w:p w14:paraId="1E0B5605">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2.569</w:t>
            </w:r>
          </w:p>
        </w:tc>
        <w:tc>
          <w:tcPr>
            <w:tcW w:w="1495" w:type="dxa"/>
            <w:vAlign w:val="bottom"/>
          </w:tcPr>
          <w:p w14:paraId="407C7F70">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2.565</w:t>
            </w:r>
          </w:p>
        </w:tc>
        <w:tc>
          <w:tcPr>
            <w:tcW w:w="1497" w:type="dxa"/>
            <w:tcBorders>
              <w:right w:val="single" w:color="auto" w:sz="12" w:space="0"/>
            </w:tcBorders>
            <w:vAlign w:val="bottom"/>
          </w:tcPr>
          <w:p w14:paraId="6CF8B8DC">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2.562</w:t>
            </w:r>
          </w:p>
        </w:tc>
      </w:tr>
      <w:tr w14:paraId="1F795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91" w:type="dxa"/>
            <w:tcBorders>
              <w:left w:val="single" w:color="auto" w:sz="12" w:space="0"/>
            </w:tcBorders>
            <w:vAlign w:val="center"/>
          </w:tcPr>
          <w:p w14:paraId="1A55470C">
            <w:pPr>
              <w:autoSpaceDE w:val="0"/>
              <w:autoSpaceDN w:val="0"/>
              <w:adjustRightInd w:val="0"/>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60</w:t>
            </w:r>
          </w:p>
        </w:tc>
        <w:tc>
          <w:tcPr>
            <w:tcW w:w="1199" w:type="dxa"/>
            <w:vAlign w:val="bottom"/>
          </w:tcPr>
          <w:p w14:paraId="2C161895">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2.420</w:t>
            </w:r>
          </w:p>
        </w:tc>
        <w:tc>
          <w:tcPr>
            <w:tcW w:w="1495" w:type="dxa"/>
            <w:vAlign w:val="bottom"/>
          </w:tcPr>
          <w:p w14:paraId="51F23E44">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2.418</w:t>
            </w:r>
          </w:p>
        </w:tc>
        <w:tc>
          <w:tcPr>
            <w:tcW w:w="1495" w:type="dxa"/>
            <w:vAlign w:val="bottom"/>
          </w:tcPr>
          <w:p w14:paraId="7D53426C">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2.415</w:t>
            </w:r>
          </w:p>
        </w:tc>
        <w:tc>
          <w:tcPr>
            <w:tcW w:w="1495" w:type="dxa"/>
            <w:vAlign w:val="bottom"/>
          </w:tcPr>
          <w:p w14:paraId="5E859E00">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2.414</w:t>
            </w:r>
          </w:p>
        </w:tc>
        <w:tc>
          <w:tcPr>
            <w:tcW w:w="1497" w:type="dxa"/>
            <w:tcBorders>
              <w:right w:val="single" w:color="auto" w:sz="12" w:space="0"/>
            </w:tcBorders>
            <w:vAlign w:val="bottom"/>
          </w:tcPr>
          <w:p w14:paraId="27E502A9">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2.412</w:t>
            </w:r>
          </w:p>
        </w:tc>
      </w:tr>
      <w:tr w14:paraId="1B29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91" w:type="dxa"/>
            <w:tcBorders>
              <w:left w:val="single" w:color="auto" w:sz="12" w:space="0"/>
            </w:tcBorders>
            <w:vAlign w:val="center"/>
          </w:tcPr>
          <w:p w14:paraId="65DB915D">
            <w:pPr>
              <w:autoSpaceDE w:val="0"/>
              <w:autoSpaceDN w:val="0"/>
              <w:adjustRightInd w:val="0"/>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70</w:t>
            </w:r>
          </w:p>
        </w:tc>
        <w:tc>
          <w:tcPr>
            <w:tcW w:w="1199" w:type="dxa"/>
            <w:vAlign w:val="bottom"/>
          </w:tcPr>
          <w:p w14:paraId="745BF2AF">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2.066</w:t>
            </w:r>
          </w:p>
        </w:tc>
        <w:tc>
          <w:tcPr>
            <w:tcW w:w="1495" w:type="dxa"/>
            <w:vAlign w:val="bottom"/>
          </w:tcPr>
          <w:p w14:paraId="3BE26C48">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2.032</w:t>
            </w:r>
          </w:p>
        </w:tc>
        <w:tc>
          <w:tcPr>
            <w:tcW w:w="1495" w:type="dxa"/>
            <w:vAlign w:val="bottom"/>
          </w:tcPr>
          <w:p w14:paraId="30366E54">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2.047</w:t>
            </w:r>
          </w:p>
        </w:tc>
        <w:tc>
          <w:tcPr>
            <w:tcW w:w="1495" w:type="dxa"/>
            <w:vAlign w:val="bottom"/>
          </w:tcPr>
          <w:p w14:paraId="3CDEBB9E">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2.002</w:t>
            </w:r>
          </w:p>
        </w:tc>
        <w:tc>
          <w:tcPr>
            <w:tcW w:w="1497" w:type="dxa"/>
            <w:tcBorders>
              <w:right w:val="single" w:color="auto" w:sz="12" w:space="0"/>
            </w:tcBorders>
            <w:vAlign w:val="bottom"/>
          </w:tcPr>
          <w:p w14:paraId="4CB114E6">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1.956</w:t>
            </w:r>
          </w:p>
        </w:tc>
      </w:tr>
      <w:tr w14:paraId="5FE59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91" w:type="dxa"/>
            <w:tcBorders>
              <w:left w:val="single" w:color="auto" w:sz="12" w:space="0"/>
            </w:tcBorders>
            <w:vAlign w:val="center"/>
          </w:tcPr>
          <w:p w14:paraId="04A5FC23">
            <w:pPr>
              <w:autoSpaceDE w:val="0"/>
              <w:autoSpaceDN w:val="0"/>
              <w:adjustRightInd w:val="0"/>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80</w:t>
            </w:r>
          </w:p>
        </w:tc>
        <w:tc>
          <w:tcPr>
            <w:tcW w:w="1199" w:type="dxa"/>
            <w:vAlign w:val="bottom"/>
          </w:tcPr>
          <w:p w14:paraId="14278CF5">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1.875</w:t>
            </w:r>
          </w:p>
        </w:tc>
        <w:tc>
          <w:tcPr>
            <w:tcW w:w="1495" w:type="dxa"/>
            <w:vAlign w:val="bottom"/>
          </w:tcPr>
          <w:p w14:paraId="2B74420E">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1.812</w:t>
            </w:r>
          </w:p>
        </w:tc>
        <w:tc>
          <w:tcPr>
            <w:tcW w:w="1495" w:type="dxa"/>
            <w:vAlign w:val="bottom"/>
          </w:tcPr>
          <w:p w14:paraId="7308E0E8">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1.789</w:t>
            </w:r>
          </w:p>
        </w:tc>
        <w:tc>
          <w:tcPr>
            <w:tcW w:w="1495" w:type="dxa"/>
            <w:vAlign w:val="bottom"/>
          </w:tcPr>
          <w:p w14:paraId="3D842CAE">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1.745</w:t>
            </w:r>
          </w:p>
        </w:tc>
        <w:tc>
          <w:tcPr>
            <w:tcW w:w="1497" w:type="dxa"/>
            <w:tcBorders>
              <w:right w:val="single" w:color="auto" w:sz="12" w:space="0"/>
            </w:tcBorders>
            <w:vAlign w:val="bottom"/>
          </w:tcPr>
          <w:p w14:paraId="1B2C0357">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1.712</w:t>
            </w:r>
          </w:p>
        </w:tc>
      </w:tr>
      <w:tr w14:paraId="520FE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91" w:type="dxa"/>
            <w:tcBorders>
              <w:left w:val="single" w:color="auto" w:sz="12" w:space="0"/>
              <w:bottom w:val="single" w:color="auto" w:sz="12" w:space="0"/>
            </w:tcBorders>
            <w:vAlign w:val="center"/>
          </w:tcPr>
          <w:p w14:paraId="5D94F20D">
            <w:pPr>
              <w:autoSpaceDE w:val="0"/>
              <w:autoSpaceDN w:val="0"/>
              <w:adjustRightInd w:val="0"/>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90</w:t>
            </w:r>
          </w:p>
        </w:tc>
        <w:tc>
          <w:tcPr>
            <w:tcW w:w="1199" w:type="dxa"/>
            <w:tcBorders>
              <w:bottom w:val="single" w:color="auto" w:sz="12" w:space="0"/>
            </w:tcBorders>
            <w:vAlign w:val="bottom"/>
          </w:tcPr>
          <w:p w14:paraId="701BEA61">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1.568</w:t>
            </w:r>
          </w:p>
        </w:tc>
        <w:tc>
          <w:tcPr>
            <w:tcW w:w="1495" w:type="dxa"/>
            <w:tcBorders>
              <w:bottom w:val="single" w:color="auto" w:sz="12" w:space="0"/>
            </w:tcBorders>
            <w:vAlign w:val="bottom"/>
          </w:tcPr>
          <w:p w14:paraId="0A0B521B">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1.545</w:t>
            </w:r>
          </w:p>
        </w:tc>
        <w:tc>
          <w:tcPr>
            <w:tcW w:w="1495" w:type="dxa"/>
            <w:tcBorders>
              <w:bottom w:val="single" w:color="auto" w:sz="12" w:space="0"/>
            </w:tcBorders>
            <w:vAlign w:val="bottom"/>
          </w:tcPr>
          <w:p w14:paraId="642E06AE">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1.523</w:t>
            </w:r>
          </w:p>
        </w:tc>
        <w:tc>
          <w:tcPr>
            <w:tcW w:w="1495" w:type="dxa"/>
            <w:tcBorders>
              <w:bottom w:val="single" w:color="auto" w:sz="12" w:space="0"/>
            </w:tcBorders>
            <w:vAlign w:val="bottom"/>
          </w:tcPr>
          <w:p w14:paraId="3F184141">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1.522</w:t>
            </w:r>
          </w:p>
        </w:tc>
        <w:tc>
          <w:tcPr>
            <w:tcW w:w="1497" w:type="dxa"/>
            <w:tcBorders>
              <w:bottom w:val="single" w:color="auto" w:sz="12" w:space="0"/>
              <w:right w:val="single" w:color="auto" w:sz="12" w:space="0"/>
            </w:tcBorders>
            <w:vAlign w:val="bottom"/>
          </w:tcPr>
          <w:p w14:paraId="5B132A92">
            <w:pPr>
              <w:spacing w:line="240" w:lineRule="auto"/>
              <w:ind w:firstLine="0" w:firstLineChars="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1.516</w:t>
            </w:r>
          </w:p>
        </w:tc>
      </w:tr>
    </w:tbl>
    <w:p w14:paraId="448744BC">
      <w:pPr>
        <w:autoSpaceDE w:val="0"/>
        <w:autoSpaceDN w:val="0"/>
        <w:adjustRightInd w:val="0"/>
        <w:spacing w:beforeLines="50"/>
        <w:ind w:firstLine="420"/>
        <w:rPr>
          <w:bCs/>
          <w:lang w:eastAsia="zh-CN"/>
        </w:rPr>
      </w:pPr>
      <w:r>
        <w:rPr>
          <w:sz w:val="21"/>
          <w:lang w:eastAsia="zh-CN" w:bidi="ar-SA"/>
        </w:rPr>
        <w:drawing>
          <wp:inline distT="0" distB="0" distL="0" distR="0">
            <wp:extent cx="5248275" cy="3810000"/>
            <wp:effectExtent l="0" t="0" r="0" b="0"/>
            <wp:docPr id="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0"/>
                    <pic:cNvPicPr>
                      <a:picLocks noChangeAspect="1" noChangeArrowheads="1"/>
                    </pic:cNvPicPr>
                  </pic:nvPicPr>
                  <pic:blipFill>
                    <a:blip r:embed="rId24"/>
                    <a:srcRect/>
                    <a:stretch>
                      <a:fillRect/>
                    </a:stretch>
                  </pic:blipFill>
                  <pic:spPr>
                    <a:xfrm>
                      <a:off x="0" y="0"/>
                      <a:ext cx="5248275" cy="3810000"/>
                    </a:xfrm>
                    <a:prstGeom prst="rect">
                      <a:avLst/>
                    </a:prstGeom>
                    <a:noFill/>
                    <a:ln w="9525">
                      <a:noFill/>
                      <a:miter lim="800000"/>
                      <a:headEnd/>
                      <a:tailEnd/>
                    </a:ln>
                  </pic:spPr>
                </pic:pic>
              </a:graphicData>
            </a:graphic>
          </wp:inline>
        </w:drawing>
      </w:r>
    </w:p>
    <w:p w14:paraId="1F4E9B0D">
      <w:pPr>
        <w:autoSpaceDE w:val="0"/>
        <w:autoSpaceDN w:val="0"/>
        <w:adjustRightInd w:val="0"/>
        <w:spacing w:afterLines="50" w:line="500" w:lineRule="exact"/>
        <w:ind w:firstLine="482"/>
        <w:rPr>
          <w:rFonts w:ascii="黑体" w:hAnsi="黑体" w:eastAsia="黑体"/>
          <w:b/>
          <w:bCs/>
          <w:lang w:eastAsia="zh-CN"/>
        </w:rPr>
      </w:pPr>
      <w:r>
        <w:rPr>
          <w:rFonts w:hint="eastAsia" w:ascii="黑体" w:hAnsi="黑体" w:eastAsia="黑体"/>
          <w:b/>
          <w:bCs/>
          <w:lang w:eastAsia="zh-CN"/>
        </w:rPr>
        <w:t>图</w:t>
      </w:r>
      <w:r>
        <w:rPr>
          <w:rFonts w:ascii="黑体" w:hAnsi="黑体" w:eastAsia="黑体"/>
          <w:b/>
          <w:bCs/>
          <w:lang w:eastAsia="zh-CN"/>
        </w:rPr>
        <w:t>2.</w:t>
      </w:r>
      <w:r>
        <w:rPr>
          <w:rFonts w:hint="eastAsia" w:ascii="黑体" w:hAnsi="黑体" w:eastAsia="黑体"/>
          <w:b/>
          <w:bCs/>
          <w:lang w:eastAsia="zh-CN"/>
        </w:rPr>
        <w:t>3</w:t>
      </w:r>
      <w:r>
        <w:rPr>
          <w:rFonts w:ascii="黑体" w:hAnsi="黑体" w:eastAsia="黑体"/>
          <w:b/>
          <w:bCs/>
          <w:lang w:eastAsia="zh-CN"/>
        </w:rPr>
        <w:t>-</w:t>
      </w:r>
      <w:r>
        <w:rPr>
          <w:rFonts w:hint="eastAsia" w:ascii="黑体" w:hAnsi="黑体" w:eastAsia="黑体"/>
          <w:b/>
          <w:bCs/>
          <w:lang w:eastAsia="zh-CN"/>
        </w:rPr>
        <w:t>6</w:t>
      </w:r>
      <w:r>
        <w:rPr>
          <w:rFonts w:ascii="黑体" w:hAnsi="黑体" w:eastAsia="黑体"/>
          <w:b/>
          <w:bCs/>
          <w:lang w:eastAsia="zh-CN"/>
        </w:rPr>
        <w:t xml:space="preserve">  </w:t>
      </w:r>
      <w:r>
        <w:rPr>
          <w:rFonts w:hint="eastAsia" w:ascii="黑体" w:hAnsi="黑体" w:eastAsia="黑体"/>
          <w:b/>
          <w:bCs/>
          <w:lang w:eastAsia="zh-CN"/>
        </w:rPr>
        <w:t xml:space="preserve">   乌里雅斯太</w:t>
      </w:r>
      <w:r>
        <w:rPr>
          <w:rFonts w:ascii="黑体" w:hAnsi="黑体" w:eastAsia="黑体"/>
          <w:b/>
          <w:bCs/>
          <w:lang w:eastAsia="zh-CN"/>
        </w:rPr>
        <w:t>油田</w:t>
      </w:r>
      <w:r>
        <w:rPr>
          <w:rFonts w:hint="eastAsia" w:ascii="黑体" w:hAnsi="黑体" w:eastAsia="黑体"/>
          <w:lang w:eastAsia="zh-CN"/>
        </w:rPr>
        <w:t>太53</w:t>
      </w:r>
      <w:r>
        <w:rPr>
          <w:rFonts w:hint="eastAsia" w:ascii="黑体" w:hAnsi="黑体" w:eastAsia="黑体"/>
          <w:b/>
          <w:bCs/>
          <w:lang w:eastAsia="zh-CN"/>
        </w:rPr>
        <w:t>混合原油粘度随含水率变化关系曲线图</w:t>
      </w:r>
    </w:p>
    <w:bookmarkEnd w:id="131"/>
    <w:p w14:paraId="333D5ECF">
      <w:pPr>
        <w:pStyle w:val="4"/>
        <w:spacing w:afterLines="50" w:line="500" w:lineRule="exact"/>
        <w:rPr>
          <w:snapToGrid w:val="0"/>
          <w:lang w:eastAsia="zh-CN"/>
        </w:rPr>
      </w:pPr>
      <w:bookmarkStart w:id="133" w:name="_Toc408413917"/>
      <w:bookmarkStart w:id="134" w:name="_Toc279676585"/>
      <w:bookmarkStart w:id="135" w:name="_Toc287598122"/>
      <w:bookmarkStart w:id="136" w:name="_Toc280020059"/>
      <w:bookmarkStart w:id="137" w:name="_Toc248649416"/>
      <w:r>
        <w:rPr>
          <w:snapToGrid w:val="0"/>
          <w:lang w:eastAsia="zh-CN"/>
        </w:rPr>
        <w:t>2.</w:t>
      </w:r>
      <w:r>
        <w:rPr>
          <w:rFonts w:hint="eastAsia"/>
          <w:snapToGrid w:val="0"/>
          <w:lang w:eastAsia="zh-CN"/>
        </w:rPr>
        <w:t>3</w:t>
      </w:r>
      <w:r>
        <w:rPr>
          <w:snapToGrid w:val="0"/>
          <w:lang w:eastAsia="zh-CN"/>
        </w:rPr>
        <w:t>.</w:t>
      </w:r>
      <w:r>
        <w:rPr>
          <w:rFonts w:hint="eastAsia"/>
          <w:snapToGrid w:val="0"/>
          <w:lang w:eastAsia="zh-CN"/>
        </w:rPr>
        <w:t>10</w:t>
      </w:r>
      <w:r>
        <w:rPr>
          <w:snapToGrid w:val="0"/>
          <w:lang w:eastAsia="zh-CN"/>
        </w:rPr>
        <w:t>产品与流向</w:t>
      </w:r>
      <w:bookmarkEnd w:id="133"/>
    </w:p>
    <w:p w14:paraId="3AB68A20">
      <w:pPr>
        <w:ind w:firstLine="480"/>
        <w:rPr>
          <w:rFonts w:asciiTheme="minorEastAsia" w:hAnsiTheme="minorEastAsia" w:eastAsiaTheme="minorEastAsia"/>
          <w:szCs w:val="21"/>
          <w:lang w:eastAsia="zh-CN"/>
        </w:rPr>
      </w:pPr>
      <w:r>
        <w:rPr>
          <w:rFonts w:asciiTheme="minorEastAsia" w:hAnsiTheme="minorEastAsia" w:eastAsiaTheme="minorEastAsia"/>
          <w:lang w:eastAsia="zh-CN"/>
        </w:rPr>
        <w:t>本项目最终产品为经分离后的原油及少量的天然气</w:t>
      </w:r>
      <w:r>
        <w:rPr>
          <w:rFonts w:hint="eastAsia" w:asciiTheme="minorEastAsia" w:hAnsiTheme="minorEastAsia" w:eastAsiaTheme="minorEastAsia"/>
          <w:lang w:eastAsia="zh-CN"/>
        </w:rPr>
        <w:t>，</w:t>
      </w:r>
      <w:r>
        <w:rPr>
          <w:rFonts w:asciiTheme="minorEastAsia" w:hAnsiTheme="minorEastAsia" w:eastAsiaTheme="minorEastAsia"/>
          <w:lang w:eastAsia="zh-CN"/>
        </w:rPr>
        <w:t>分离后的天然气全部</w:t>
      </w:r>
      <w:r>
        <w:rPr>
          <w:rFonts w:asciiTheme="minorEastAsia" w:hAnsiTheme="minorEastAsia" w:eastAsiaTheme="minorEastAsia"/>
          <w:snapToGrid w:val="0"/>
          <w:lang w:eastAsia="zh-CN"/>
        </w:rPr>
        <w:t>引入站场锅炉作为燃料</w:t>
      </w:r>
      <w:r>
        <w:rPr>
          <w:rFonts w:hint="eastAsia" w:asciiTheme="minorEastAsia" w:hAnsiTheme="minorEastAsia" w:eastAsiaTheme="minorEastAsia"/>
          <w:snapToGrid w:val="0"/>
          <w:lang w:eastAsia="zh-CN"/>
        </w:rPr>
        <w:t>燃烧</w:t>
      </w:r>
      <w:r>
        <w:rPr>
          <w:rFonts w:asciiTheme="minorEastAsia" w:hAnsiTheme="minorEastAsia" w:eastAsiaTheme="minorEastAsia"/>
          <w:snapToGrid w:val="0"/>
          <w:lang w:eastAsia="zh-CN"/>
        </w:rPr>
        <w:t>。</w:t>
      </w:r>
      <w:r>
        <w:rPr>
          <w:rFonts w:asciiTheme="minorEastAsia" w:hAnsiTheme="minorEastAsia" w:eastAsiaTheme="minorEastAsia"/>
          <w:lang w:eastAsia="zh-CN"/>
        </w:rPr>
        <w:t>经</w:t>
      </w:r>
      <w:r>
        <w:rPr>
          <w:rFonts w:hint="eastAsia" w:asciiTheme="minorEastAsia" w:hAnsiTheme="minorEastAsia" w:eastAsiaTheme="minorEastAsia"/>
          <w:lang w:eastAsia="zh-CN"/>
        </w:rPr>
        <w:t>处理合格的原油通过阿乌宝线进入宝力格联合站，经</w:t>
      </w:r>
      <w:r>
        <w:rPr>
          <w:rFonts w:asciiTheme="minorEastAsia" w:hAnsiTheme="minorEastAsia" w:eastAsiaTheme="minorEastAsia"/>
          <w:lang w:eastAsia="zh-CN"/>
        </w:rPr>
        <w:t>宝（乌里雅斯太油田宝一联）-蒙（阿尔善油田蒙一联）外输管线进入阿尔善-赛汉塔拉输油管线（简称阿赛线）。</w:t>
      </w:r>
    </w:p>
    <w:bookmarkEnd w:id="134"/>
    <w:bookmarkEnd w:id="135"/>
    <w:bookmarkEnd w:id="136"/>
    <w:p w14:paraId="559BC010">
      <w:pPr>
        <w:pStyle w:val="4"/>
        <w:rPr>
          <w:szCs w:val="24"/>
          <w:lang w:eastAsia="zh-CN"/>
        </w:rPr>
      </w:pPr>
      <w:bookmarkStart w:id="138" w:name="_Toc408413918"/>
      <w:r>
        <w:rPr>
          <w:snapToGrid w:val="0"/>
          <w:lang w:eastAsia="zh-CN"/>
        </w:rPr>
        <w:t>2.</w:t>
      </w:r>
      <w:r>
        <w:rPr>
          <w:rFonts w:hint="eastAsia"/>
          <w:snapToGrid w:val="0"/>
          <w:lang w:eastAsia="zh-CN"/>
        </w:rPr>
        <w:t>3</w:t>
      </w:r>
      <w:r>
        <w:rPr>
          <w:snapToGrid w:val="0"/>
          <w:lang w:eastAsia="zh-CN"/>
        </w:rPr>
        <w:t>.1</w:t>
      </w:r>
      <w:r>
        <w:rPr>
          <w:rFonts w:hint="eastAsia"/>
          <w:snapToGrid w:val="0"/>
          <w:lang w:eastAsia="zh-CN"/>
        </w:rPr>
        <w:t>1</w:t>
      </w:r>
      <w:r>
        <w:rPr>
          <w:snapToGrid w:val="0"/>
          <w:lang w:eastAsia="zh-CN"/>
        </w:rPr>
        <w:t>项目组成</w:t>
      </w:r>
      <w:bookmarkEnd w:id="138"/>
      <w:r>
        <w:rPr>
          <w:lang w:eastAsia="zh-CN"/>
        </w:rPr>
        <w:t xml:space="preserve"> </w:t>
      </w:r>
    </w:p>
    <w:p w14:paraId="27FECE51">
      <w:pPr>
        <w:ind w:firstLine="480"/>
        <w:rPr>
          <w:rFonts w:asciiTheme="minorEastAsia" w:hAnsiTheme="minorEastAsia" w:eastAsiaTheme="minorEastAsia"/>
          <w:lang w:eastAsia="zh-CN"/>
        </w:rPr>
        <w:sectPr>
          <w:pgSz w:w="11907" w:h="16840"/>
          <w:pgMar w:top="1440" w:right="1797" w:bottom="1440" w:left="1797" w:header="851" w:footer="992" w:gutter="0"/>
          <w:cols w:space="720" w:num="1"/>
          <w:docGrid w:linePitch="326" w:charSpace="0"/>
        </w:sectPr>
      </w:pPr>
      <w:r>
        <w:rPr>
          <w:rFonts w:hint="eastAsia" w:asciiTheme="minorEastAsia" w:hAnsiTheme="minorEastAsia" w:eastAsiaTheme="minorEastAsia"/>
          <w:lang w:eastAsia="zh-CN"/>
        </w:rPr>
        <w:t>乌里雅斯太油田地面产能开发建设项目</w:t>
      </w:r>
      <w:r>
        <w:rPr>
          <w:rFonts w:asciiTheme="minorEastAsia" w:hAnsiTheme="minorEastAsia" w:eastAsiaTheme="minorEastAsia"/>
          <w:lang w:eastAsia="zh-CN"/>
        </w:rPr>
        <w:t>工程</w:t>
      </w:r>
      <w:r>
        <w:rPr>
          <w:rFonts w:hint="eastAsia" w:asciiTheme="minorEastAsia" w:hAnsiTheme="minorEastAsia" w:eastAsiaTheme="minorEastAsia"/>
          <w:lang w:eastAsia="zh-CN"/>
        </w:rPr>
        <w:t>主要</w:t>
      </w:r>
      <w:r>
        <w:rPr>
          <w:rFonts w:asciiTheme="minorEastAsia" w:hAnsiTheme="minorEastAsia" w:eastAsiaTheme="minorEastAsia"/>
          <w:lang w:eastAsia="zh-CN"/>
        </w:rPr>
        <w:t>包括钻井、各种管线、站场、道路等，详见表2.</w:t>
      </w:r>
      <w:r>
        <w:rPr>
          <w:rFonts w:hint="eastAsia" w:asciiTheme="minorEastAsia" w:hAnsiTheme="minorEastAsia" w:eastAsiaTheme="minorEastAsia"/>
          <w:lang w:eastAsia="zh-CN"/>
        </w:rPr>
        <w:t>3</w:t>
      </w:r>
      <w:r>
        <w:rPr>
          <w:rFonts w:asciiTheme="minorEastAsia" w:hAnsiTheme="minorEastAsia" w:eastAsiaTheme="minorEastAsia"/>
          <w:lang w:eastAsia="zh-CN"/>
        </w:rPr>
        <w:t>-</w:t>
      </w:r>
      <w:r>
        <w:rPr>
          <w:rFonts w:hint="eastAsia" w:asciiTheme="minorEastAsia" w:hAnsiTheme="minorEastAsia" w:eastAsiaTheme="minorEastAsia"/>
          <w:lang w:eastAsia="zh-CN"/>
        </w:rPr>
        <w:t>10</w:t>
      </w:r>
      <w:r>
        <w:rPr>
          <w:rFonts w:asciiTheme="minorEastAsia" w:hAnsiTheme="minorEastAsia" w:eastAsiaTheme="minorEastAsia"/>
          <w:lang w:eastAsia="zh-CN"/>
        </w:rPr>
        <w:t>。</w:t>
      </w:r>
    </w:p>
    <w:p w14:paraId="04060A80">
      <w:pPr>
        <w:spacing w:line="240" w:lineRule="auto"/>
        <w:ind w:firstLine="1299" w:firstLineChars="539"/>
        <w:rPr>
          <w:b/>
          <w:lang w:eastAsia="zh-CN"/>
        </w:rPr>
      </w:pPr>
      <w:r>
        <w:rPr>
          <w:b/>
          <w:lang w:eastAsia="zh-CN"/>
        </w:rPr>
        <w:t>表2.</w:t>
      </w:r>
      <w:r>
        <w:rPr>
          <w:rFonts w:hint="eastAsia"/>
          <w:b/>
          <w:lang w:eastAsia="zh-CN"/>
        </w:rPr>
        <w:t>3</w:t>
      </w:r>
      <w:r>
        <w:rPr>
          <w:b/>
          <w:lang w:eastAsia="zh-CN"/>
        </w:rPr>
        <w:t>-</w:t>
      </w:r>
      <w:r>
        <w:rPr>
          <w:rFonts w:hint="eastAsia"/>
          <w:b/>
          <w:lang w:eastAsia="zh-CN"/>
        </w:rPr>
        <w:t>10</w:t>
      </w:r>
      <w:r>
        <w:rPr>
          <w:b/>
          <w:lang w:eastAsia="zh-CN"/>
        </w:rPr>
        <w:t xml:space="preserve">  </w:t>
      </w:r>
      <w:r>
        <w:rPr>
          <w:rFonts w:hint="eastAsia"/>
          <w:b/>
          <w:lang w:eastAsia="zh-CN"/>
        </w:rPr>
        <w:t xml:space="preserve">         乌里雅斯太油田地面产能开发建设</w:t>
      </w:r>
      <w:r>
        <w:rPr>
          <w:b/>
          <w:lang w:eastAsia="zh-CN"/>
        </w:rPr>
        <w:t>项目组成</w:t>
      </w:r>
      <w:r>
        <w:rPr>
          <w:rFonts w:hint="eastAsia"/>
          <w:b/>
          <w:lang w:eastAsia="zh-CN"/>
        </w:rPr>
        <w:t>表</w:t>
      </w:r>
    </w:p>
    <w:tbl>
      <w:tblPr>
        <w:tblStyle w:val="7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7"/>
        <w:gridCol w:w="1559"/>
        <w:gridCol w:w="3402"/>
        <w:gridCol w:w="4820"/>
        <w:gridCol w:w="1985"/>
        <w:gridCol w:w="1593"/>
      </w:tblGrid>
      <w:tr w14:paraId="7CFEB7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2376" w:type="dxa"/>
            <w:gridSpan w:val="2"/>
            <w:vMerge w:val="restart"/>
            <w:vAlign w:val="center"/>
          </w:tcPr>
          <w:p w14:paraId="7885E498">
            <w:pPr>
              <w:pStyle w:val="518"/>
              <w:rPr>
                <w:szCs w:val="21"/>
              </w:rPr>
            </w:pPr>
            <w:r>
              <w:rPr>
                <w:szCs w:val="21"/>
              </w:rPr>
              <w:t>工程类别</w:t>
            </w:r>
          </w:p>
        </w:tc>
        <w:tc>
          <w:tcPr>
            <w:tcW w:w="10207" w:type="dxa"/>
            <w:gridSpan w:val="3"/>
            <w:vAlign w:val="center"/>
          </w:tcPr>
          <w:p w14:paraId="7FB058D0">
            <w:pPr>
              <w:pStyle w:val="518"/>
              <w:rPr>
                <w:szCs w:val="21"/>
              </w:rPr>
            </w:pPr>
            <w:r>
              <w:rPr>
                <w:szCs w:val="21"/>
              </w:rPr>
              <w:t>主要工程内容</w:t>
            </w:r>
          </w:p>
        </w:tc>
        <w:tc>
          <w:tcPr>
            <w:tcW w:w="1593" w:type="dxa"/>
            <w:vMerge w:val="restart"/>
            <w:vAlign w:val="center"/>
          </w:tcPr>
          <w:p w14:paraId="6566B906">
            <w:pPr>
              <w:pStyle w:val="518"/>
              <w:rPr>
                <w:szCs w:val="21"/>
                <w:lang w:eastAsia="zh-CN"/>
              </w:rPr>
            </w:pPr>
            <w:r>
              <w:rPr>
                <w:rFonts w:hint="eastAsia"/>
                <w:szCs w:val="21"/>
                <w:lang w:eastAsia="zh-CN"/>
              </w:rPr>
              <w:t>备注</w:t>
            </w:r>
          </w:p>
        </w:tc>
      </w:tr>
      <w:tr w14:paraId="0C2271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2376" w:type="dxa"/>
            <w:gridSpan w:val="2"/>
            <w:vMerge w:val="continue"/>
            <w:vAlign w:val="center"/>
          </w:tcPr>
          <w:p w14:paraId="53E56BD3">
            <w:pPr>
              <w:pStyle w:val="518"/>
              <w:rPr>
                <w:szCs w:val="21"/>
              </w:rPr>
            </w:pPr>
          </w:p>
        </w:tc>
        <w:tc>
          <w:tcPr>
            <w:tcW w:w="3402" w:type="dxa"/>
            <w:vAlign w:val="center"/>
          </w:tcPr>
          <w:p w14:paraId="4370B35A">
            <w:pPr>
              <w:pStyle w:val="518"/>
              <w:rPr>
                <w:szCs w:val="21"/>
                <w:lang w:eastAsia="zh-CN"/>
              </w:rPr>
            </w:pPr>
            <w:r>
              <w:rPr>
                <w:rFonts w:hint="eastAsia"/>
                <w:szCs w:val="21"/>
                <w:lang w:eastAsia="zh-CN"/>
              </w:rPr>
              <w:t>现有工程</w:t>
            </w:r>
            <w:r>
              <w:rPr>
                <w:szCs w:val="21"/>
                <w:lang w:eastAsia="zh-CN"/>
              </w:rPr>
              <w:t>建设情况</w:t>
            </w:r>
          </w:p>
        </w:tc>
        <w:tc>
          <w:tcPr>
            <w:tcW w:w="4820" w:type="dxa"/>
            <w:vAlign w:val="center"/>
          </w:tcPr>
          <w:p w14:paraId="45F4AD80">
            <w:pPr>
              <w:pStyle w:val="518"/>
              <w:rPr>
                <w:szCs w:val="21"/>
                <w:lang w:eastAsia="zh-CN"/>
              </w:rPr>
            </w:pPr>
            <w:r>
              <w:rPr>
                <w:szCs w:val="21"/>
                <w:lang w:eastAsia="zh-CN"/>
              </w:rPr>
              <w:t>本项目建设情况</w:t>
            </w:r>
          </w:p>
        </w:tc>
        <w:tc>
          <w:tcPr>
            <w:tcW w:w="1985" w:type="dxa"/>
            <w:vAlign w:val="center"/>
          </w:tcPr>
          <w:p w14:paraId="48ADA2FC">
            <w:pPr>
              <w:pStyle w:val="518"/>
              <w:rPr>
                <w:szCs w:val="21"/>
                <w:lang w:eastAsia="zh-CN"/>
              </w:rPr>
            </w:pPr>
            <w:r>
              <w:rPr>
                <w:szCs w:val="21"/>
                <w:lang w:eastAsia="zh-CN"/>
              </w:rPr>
              <w:t>依托情况</w:t>
            </w:r>
          </w:p>
        </w:tc>
        <w:tc>
          <w:tcPr>
            <w:tcW w:w="1593" w:type="dxa"/>
            <w:vMerge w:val="continue"/>
            <w:vAlign w:val="center"/>
          </w:tcPr>
          <w:p w14:paraId="016DA7A6">
            <w:pPr>
              <w:pStyle w:val="518"/>
              <w:rPr>
                <w:szCs w:val="21"/>
                <w:lang w:eastAsia="zh-CN"/>
              </w:rPr>
            </w:pPr>
          </w:p>
        </w:tc>
      </w:tr>
      <w:tr w14:paraId="2B1A78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817" w:type="dxa"/>
            <w:vMerge w:val="restart"/>
            <w:vAlign w:val="center"/>
          </w:tcPr>
          <w:p w14:paraId="3996588F">
            <w:pPr>
              <w:pStyle w:val="518"/>
              <w:rPr>
                <w:szCs w:val="21"/>
              </w:rPr>
            </w:pPr>
            <w:r>
              <w:rPr>
                <w:szCs w:val="21"/>
              </w:rPr>
              <w:t>主体工程</w:t>
            </w:r>
          </w:p>
        </w:tc>
        <w:tc>
          <w:tcPr>
            <w:tcW w:w="1559" w:type="dxa"/>
            <w:vAlign w:val="center"/>
          </w:tcPr>
          <w:p w14:paraId="23A6EDF2">
            <w:pPr>
              <w:pStyle w:val="518"/>
              <w:rPr>
                <w:szCs w:val="21"/>
                <w:lang w:eastAsia="zh-CN"/>
              </w:rPr>
            </w:pPr>
            <w:r>
              <w:rPr>
                <w:rFonts w:hint="eastAsia"/>
                <w:szCs w:val="21"/>
                <w:lang w:eastAsia="zh-CN"/>
              </w:rPr>
              <w:t>开发区块</w:t>
            </w:r>
          </w:p>
        </w:tc>
        <w:tc>
          <w:tcPr>
            <w:tcW w:w="3402" w:type="dxa"/>
            <w:vAlign w:val="center"/>
          </w:tcPr>
          <w:p w14:paraId="14434377">
            <w:pPr>
              <w:pStyle w:val="518"/>
              <w:rPr>
                <w:szCs w:val="21"/>
                <w:lang w:eastAsia="zh-CN"/>
              </w:rPr>
            </w:pPr>
            <w:r>
              <w:rPr>
                <w:rFonts w:hint="eastAsia"/>
                <w:szCs w:val="21"/>
                <w:lang w:eastAsia="zh-CN"/>
              </w:rPr>
              <w:t>太53、台27断块</w:t>
            </w:r>
          </w:p>
        </w:tc>
        <w:tc>
          <w:tcPr>
            <w:tcW w:w="4820" w:type="dxa"/>
            <w:vAlign w:val="center"/>
          </w:tcPr>
          <w:p w14:paraId="74821F60">
            <w:pPr>
              <w:pStyle w:val="518"/>
              <w:rPr>
                <w:szCs w:val="21"/>
                <w:lang w:val="en-GB" w:eastAsia="zh-CN"/>
              </w:rPr>
            </w:pPr>
            <w:r>
              <w:rPr>
                <w:rFonts w:hint="eastAsia"/>
                <w:szCs w:val="21"/>
                <w:lang w:val="en-GB" w:eastAsia="zh-CN"/>
              </w:rPr>
              <w:t>太53、太27断块</w:t>
            </w:r>
          </w:p>
        </w:tc>
        <w:tc>
          <w:tcPr>
            <w:tcW w:w="1985" w:type="dxa"/>
            <w:vAlign w:val="center"/>
          </w:tcPr>
          <w:p w14:paraId="5A8A48D1">
            <w:pPr>
              <w:pStyle w:val="518"/>
              <w:rPr>
                <w:szCs w:val="21"/>
                <w:lang w:eastAsia="zh-CN"/>
              </w:rPr>
            </w:pPr>
            <w:r>
              <w:rPr>
                <w:rFonts w:hint="eastAsia"/>
                <w:szCs w:val="21"/>
                <w:lang w:eastAsia="zh-CN"/>
              </w:rPr>
              <w:t>——</w:t>
            </w:r>
          </w:p>
        </w:tc>
        <w:tc>
          <w:tcPr>
            <w:tcW w:w="1593" w:type="dxa"/>
            <w:vAlign w:val="center"/>
          </w:tcPr>
          <w:p w14:paraId="588592D8">
            <w:pPr>
              <w:pStyle w:val="518"/>
              <w:rPr>
                <w:szCs w:val="21"/>
                <w:lang w:eastAsia="zh-CN"/>
              </w:rPr>
            </w:pPr>
          </w:p>
        </w:tc>
      </w:tr>
      <w:tr w14:paraId="603CB7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817" w:type="dxa"/>
            <w:vMerge w:val="continue"/>
            <w:vAlign w:val="center"/>
          </w:tcPr>
          <w:p w14:paraId="0E9F3EEA">
            <w:pPr>
              <w:pStyle w:val="518"/>
              <w:rPr>
                <w:szCs w:val="21"/>
                <w:lang w:eastAsia="zh-CN"/>
              </w:rPr>
            </w:pPr>
          </w:p>
        </w:tc>
        <w:tc>
          <w:tcPr>
            <w:tcW w:w="1559" w:type="dxa"/>
            <w:vMerge w:val="restart"/>
            <w:vAlign w:val="center"/>
          </w:tcPr>
          <w:p w14:paraId="233A4071">
            <w:pPr>
              <w:pStyle w:val="518"/>
              <w:rPr>
                <w:szCs w:val="21"/>
                <w:lang w:eastAsia="zh-CN"/>
              </w:rPr>
            </w:pPr>
            <w:r>
              <w:rPr>
                <w:szCs w:val="21"/>
                <w:lang w:eastAsia="zh-CN"/>
              </w:rPr>
              <w:t>钻井</w:t>
            </w:r>
          </w:p>
          <w:p w14:paraId="7991AC00">
            <w:pPr>
              <w:pStyle w:val="518"/>
              <w:rPr>
                <w:szCs w:val="21"/>
              </w:rPr>
            </w:pPr>
            <w:r>
              <w:rPr>
                <w:szCs w:val="21"/>
              </w:rPr>
              <w:t>工程</w:t>
            </w:r>
          </w:p>
        </w:tc>
        <w:tc>
          <w:tcPr>
            <w:tcW w:w="3402" w:type="dxa"/>
            <w:vAlign w:val="center"/>
          </w:tcPr>
          <w:p w14:paraId="21CA3D22">
            <w:pPr>
              <w:pStyle w:val="518"/>
              <w:rPr>
                <w:szCs w:val="21"/>
                <w:lang w:val="en-GB" w:eastAsia="zh-CN"/>
              </w:rPr>
            </w:pPr>
            <w:r>
              <w:rPr>
                <w:rFonts w:hint="eastAsia"/>
                <w:szCs w:val="21"/>
                <w:lang w:eastAsia="zh-CN"/>
              </w:rPr>
              <w:t>69</w:t>
            </w:r>
            <w:r>
              <w:rPr>
                <w:szCs w:val="21"/>
                <w:lang w:eastAsia="zh-CN"/>
              </w:rPr>
              <w:t>口油水井，其中油井</w:t>
            </w:r>
            <w:r>
              <w:rPr>
                <w:rFonts w:hint="eastAsia"/>
                <w:szCs w:val="21"/>
                <w:lang w:eastAsia="zh-CN"/>
              </w:rPr>
              <w:t>48</w:t>
            </w:r>
            <w:r>
              <w:rPr>
                <w:szCs w:val="21"/>
                <w:lang w:eastAsia="zh-CN"/>
              </w:rPr>
              <w:t>口，注水井</w:t>
            </w:r>
            <w:r>
              <w:rPr>
                <w:rFonts w:hint="eastAsia"/>
                <w:szCs w:val="21"/>
                <w:lang w:eastAsia="zh-CN"/>
              </w:rPr>
              <w:t>21</w:t>
            </w:r>
            <w:r>
              <w:rPr>
                <w:szCs w:val="21"/>
                <w:lang w:eastAsia="zh-CN"/>
              </w:rPr>
              <w:t>口</w:t>
            </w:r>
          </w:p>
        </w:tc>
        <w:tc>
          <w:tcPr>
            <w:tcW w:w="4820" w:type="dxa"/>
            <w:vAlign w:val="center"/>
          </w:tcPr>
          <w:p w14:paraId="0E45E492">
            <w:pPr>
              <w:pStyle w:val="518"/>
              <w:rPr>
                <w:szCs w:val="21"/>
                <w:lang w:val="en-GB" w:eastAsia="zh-CN"/>
              </w:rPr>
            </w:pPr>
            <w:r>
              <w:rPr>
                <w:szCs w:val="21"/>
                <w:lang w:val="en-GB" w:eastAsia="zh-CN"/>
              </w:rPr>
              <w:t>规划部署油水井总计</w:t>
            </w:r>
            <w:r>
              <w:rPr>
                <w:rFonts w:hint="eastAsia"/>
                <w:szCs w:val="21"/>
                <w:lang w:val="en-GB" w:eastAsia="zh-CN"/>
              </w:rPr>
              <w:t>162</w:t>
            </w:r>
            <w:r>
              <w:rPr>
                <w:szCs w:val="21"/>
                <w:lang w:val="en-GB" w:eastAsia="zh-CN"/>
              </w:rPr>
              <w:t>口</w:t>
            </w:r>
            <w:r>
              <w:rPr>
                <w:rFonts w:hint="eastAsia"/>
                <w:szCs w:val="21"/>
                <w:lang w:val="en-GB" w:eastAsia="zh-CN"/>
              </w:rPr>
              <w:t>，</w:t>
            </w:r>
            <w:r>
              <w:rPr>
                <w:szCs w:val="21"/>
                <w:lang w:eastAsia="zh-CN"/>
              </w:rPr>
              <w:t>新建</w:t>
            </w:r>
            <w:r>
              <w:rPr>
                <w:rFonts w:hint="eastAsia"/>
                <w:szCs w:val="21"/>
                <w:lang w:eastAsia="zh-CN"/>
              </w:rPr>
              <w:t>93</w:t>
            </w:r>
            <w:r>
              <w:rPr>
                <w:szCs w:val="21"/>
                <w:lang w:eastAsia="zh-CN"/>
              </w:rPr>
              <w:t>口。</w:t>
            </w:r>
          </w:p>
        </w:tc>
        <w:tc>
          <w:tcPr>
            <w:tcW w:w="1985" w:type="dxa"/>
            <w:vAlign w:val="center"/>
          </w:tcPr>
          <w:p w14:paraId="212723FA">
            <w:pPr>
              <w:pStyle w:val="518"/>
              <w:rPr>
                <w:szCs w:val="21"/>
                <w:lang w:val="en-GB" w:eastAsia="zh-CN"/>
              </w:rPr>
            </w:pPr>
            <w:r>
              <w:rPr>
                <w:szCs w:val="21"/>
                <w:lang w:eastAsia="zh-CN"/>
              </w:rPr>
              <w:t>依托原有</w:t>
            </w:r>
            <w:r>
              <w:rPr>
                <w:rFonts w:hint="eastAsia"/>
                <w:szCs w:val="21"/>
                <w:lang w:eastAsia="zh-CN"/>
              </w:rPr>
              <w:t>69</w:t>
            </w:r>
            <w:r>
              <w:rPr>
                <w:szCs w:val="21"/>
                <w:lang w:eastAsia="zh-CN"/>
              </w:rPr>
              <w:t>口。</w:t>
            </w:r>
          </w:p>
        </w:tc>
        <w:tc>
          <w:tcPr>
            <w:tcW w:w="1593" w:type="dxa"/>
            <w:vAlign w:val="center"/>
          </w:tcPr>
          <w:p w14:paraId="1931F7DE">
            <w:pPr>
              <w:pStyle w:val="518"/>
              <w:rPr>
                <w:szCs w:val="21"/>
                <w:lang w:eastAsia="zh-CN"/>
              </w:rPr>
            </w:pPr>
            <w:r>
              <w:rPr>
                <w:szCs w:val="21"/>
                <w:lang w:eastAsia="zh-CN"/>
              </w:rPr>
              <w:t>已建</w:t>
            </w:r>
            <w:r>
              <w:rPr>
                <w:rFonts w:hint="eastAsia"/>
                <w:szCs w:val="21"/>
                <w:lang w:eastAsia="zh-CN"/>
              </w:rPr>
              <w:t>69</w:t>
            </w:r>
            <w:r>
              <w:rPr>
                <w:szCs w:val="21"/>
                <w:lang w:eastAsia="zh-CN"/>
              </w:rPr>
              <w:t>口油水井（</w:t>
            </w:r>
            <w:r>
              <w:rPr>
                <w:szCs w:val="21"/>
                <w:lang w:val="en-GB" w:eastAsia="zh-CN"/>
              </w:rPr>
              <w:t>油井</w:t>
            </w:r>
            <w:r>
              <w:rPr>
                <w:rFonts w:hint="eastAsia"/>
                <w:szCs w:val="21"/>
                <w:lang w:eastAsia="zh-CN"/>
              </w:rPr>
              <w:t>48</w:t>
            </w:r>
            <w:r>
              <w:rPr>
                <w:szCs w:val="21"/>
                <w:lang w:val="en-GB" w:eastAsia="zh-CN"/>
              </w:rPr>
              <w:t>口、注水井</w:t>
            </w:r>
            <w:r>
              <w:rPr>
                <w:rFonts w:hint="eastAsia"/>
                <w:szCs w:val="21"/>
                <w:lang w:val="en-GB" w:eastAsia="zh-CN"/>
              </w:rPr>
              <w:t>21</w:t>
            </w:r>
            <w:r>
              <w:rPr>
                <w:szCs w:val="21"/>
                <w:lang w:val="en-GB" w:eastAsia="zh-CN"/>
              </w:rPr>
              <w:t>口）。</w:t>
            </w:r>
          </w:p>
        </w:tc>
      </w:tr>
      <w:tr w14:paraId="1C99CD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817" w:type="dxa"/>
            <w:vMerge w:val="continue"/>
            <w:vAlign w:val="center"/>
          </w:tcPr>
          <w:p w14:paraId="369DD1DD">
            <w:pPr>
              <w:pStyle w:val="518"/>
              <w:rPr>
                <w:szCs w:val="21"/>
                <w:lang w:eastAsia="zh-CN"/>
              </w:rPr>
            </w:pPr>
          </w:p>
        </w:tc>
        <w:tc>
          <w:tcPr>
            <w:tcW w:w="1559" w:type="dxa"/>
            <w:vMerge w:val="continue"/>
            <w:vAlign w:val="center"/>
          </w:tcPr>
          <w:p w14:paraId="0F751729">
            <w:pPr>
              <w:pStyle w:val="518"/>
              <w:rPr>
                <w:szCs w:val="21"/>
                <w:lang w:eastAsia="zh-CN"/>
              </w:rPr>
            </w:pPr>
          </w:p>
        </w:tc>
        <w:tc>
          <w:tcPr>
            <w:tcW w:w="3402" w:type="dxa"/>
            <w:vAlign w:val="center"/>
          </w:tcPr>
          <w:p w14:paraId="534FEC4B">
            <w:pPr>
              <w:pStyle w:val="518"/>
              <w:rPr>
                <w:szCs w:val="21"/>
                <w:lang w:eastAsia="zh-CN"/>
              </w:rPr>
            </w:pPr>
            <w:r>
              <w:rPr>
                <w:szCs w:val="21"/>
                <w:lang w:val="en-GB" w:eastAsia="zh-CN"/>
              </w:rPr>
              <w:t>泥浆池</w:t>
            </w:r>
            <w:r>
              <w:rPr>
                <w:rFonts w:hint="eastAsia"/>
                <w:szCs w:val="21"/>
                <w:lang w:eastAsia="zh-CN"/>
              </w:rPr>
              <w:t>已经全部固化、覆土恢复植被</w:t>
            </w:r>
          </w:p>
        </w:tc>
        <w:tc>
          <w:tcPr>
            <w:tcW w:w="4820" w:type="dxa"/>
            <w:vAlign w:val="center"/>
          </w:tcPr>
          <w:p w14:paraId="254F8BAB">
            <w:pPr>
              <w:pStyle w:val="518"/>
              <w:rPr>
                <w:szCs w:val="21"/>
                <w:lang w:val="en-GB" w:eastAsia="zh-CN"/>
              </w:rPr>
            </w:pPr>
            <w:r>
              <w:rPr>
                <w:szCs w:val="21"/>
                <w:lang w:val="en-GB" w:eastAsia="zh-CN"/>
              </w:rPr>
              <w:t>泥浆池</w:t>
            </w:r>
            <w:r>
              <w:rPr>
                <w:rFonts w:hint="eastAsia"/>
                <w:szCs w:val="21"/>
                <w:lang w:val="en-GB" w:eastAsia="zh-CN"/>
              </w:rPr>
              <w:t>93</w:t>
            </w:r>
            <w:r>
              <w:rPr>
                <w:szCs w:val="21"/>
                <w:lang w:val="en-GB" w:eastAsia="zh-CN"/>
              </w:rPr>
              <w:t>座，新建</w:t>
            </w:r>
            <w:r>
              <w:rPr>
                <w:rFonts w:hint="eastAsia"/>
                <w:szCs w:val="21"/>
                <w:lang w:val="en-GB" w:eastAsia="zh-CN"/>
              </w:rPr>
              <w:t>93</w:t>
            </w:r>
            <w:r>
              <w:rPr>
                <w:szCs w:val="21"/>
                <w:lang w:val="en-GB" w:eastAsia="zh-CN"/>
              </w:rPr>
              <w:t>座。</w:t>
            </w:r>
          </w:p>
        </w:tc>
        <w:tc>
          <w:tcPr>
            <w:tcW w:w="1985" w:type="dxa"/>
            <w:vAlign w:val="center"/>
          </w:tcPr>
          <w:p w14:paraId="361F6F2B">
            <w:pPr>
              <w:pStyle w:val="518"/>
              <w:rPr>
                <w:szCs w:val="21"/>
                <w:lang w:eastAsia="zh-CN"/>
              </w:rPr>
            </w:pPr>
            <w:r>
              <w:rPr>
                <w:rFonts w:hint="eastAsia"/>
                <w:szCs w:val="21"/>
                <w:lang w:eastAsia="zh-CN"/>
              </w:rPr>
              <w:t>——</w:t>
            </w:r>
          </w:p>
        </w:tc>
        <w:tc>
          <w:tcPr>
            <w:tcW w:w="1593" w:type="dxa"/>
            <w:vAlign w:val="center"/>
          </w:tcPr>
          <w:p w14:paraId="404CD9D3">
            <w:pPr>
              <w:pStyle w:val="518"/>
              <w:rPr>
                <w:szCs w:val="21"/>
                <w:lang w:eastAsia="zh-CN"/>
              </w:rPr>
            </w:pPr>
            <w:r>
              <w:rPr>
                <w:rFonts w:hint="eastAsia"/>
                <w:szCs w:val="21"/>
                <w:lang w:eastAsia="zh-CN"/>
              </w:rPr>
              <w:t>——</w:t>
            </w:r>
          </w:p>
        </w:tc>
      </w:tr>
      <w:tr w14:paraId="26A194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817" w:type="dxa"/>
            <w:vMerge w:val="continue"/>
            <w:vAlign w:val="center"/>
          </w:tcPr>
          <w:p w14:paraId="6FC1A39A">
            <w:pPr>
              <w:pStyle w:val="518"/>
              <w:rPr>
                <w:szCs w:val="21"/>
                <w:lang w:eastAsia="zh-CN"/>
              </w:rPr>
            </w:pPr>
          </w:p>
        </w:tc>
        <w:tc>
          <w:tcPr>
            <w:tcW w:w="1559" w:type="dxa"/>
            <w:vAlign w:val="center"/>
          </w:tcPr>
          <w:p w14:paraId="378677B1">
            <w:pPr>
              <w:pStyle w:val="518"/>
              <w:rPr>
                <w:szCs w:val="21"/>
                <w:lang w:eastAsia="zh-CN"/>
              </w:rPr>
            </w:pPr>
            <w:r>
              <w:rPr>
                <w:szCs w:val="21"/>
                <w:lang w:eastAsia="zh-CN"/>
              </w:rPr>
              <w:t>站</w:t>
            </w:r>
            <w:r>
              <w:rPr>
                <w:rFonts w:hint="eastAsia"/>
                <w:szCs w:val="21"/>
                <w:lang w:eastAsia="zh-CN"/>
              </w:rPr>
              <w:t>场</w:t>
            </w:r>
          </w:p>
        </w:tc>
        <w:tc>
          <w:tcPr>
            <w:tcW w:w="3402" w:type="dxa"/>
            <w:vAlign w:val="center"/>
          </w:tcPr>
          <w:p w14:paraId="029DBD47">
            <w:pPr>
              <w:pStyle w:val="518"/>
              <w:rPr>
                <w:szCs w:val="21"/>
                <w:lang w:eastAsia="zh-CN"/>
              </w:rPr>
            </w:pPr>
            <w:r>
              <w:rPr>
                <w:szCs w:val="21"/>
                <w:lang w:eastAsia="zh-CN"/>
              </w:rPr>
              <w:t>1座</w:t>
            </w:r>
            <w:r>
              <w:rPr>
                <w:rFonts w:hint="eastAsia"/>
                <w:szCs w:val="21"/>
                <w:lang w:eastAsia="zh-CN"/>
              </w:rPr>
              <w:t>雅一接转</w:t>
            </w:r>
            <w:r>
              <w:rPr>
                <w:szCs w:val="21"/>
                <w:lang w:eastAsia="zh-CN"/>
              </w:rPr>
              <w:t>站，产能规模为</w:t>
            </w:r>
            <w:r>
              <w:rPr>
                <w:rFonts w:hint="eastAsia"/>
                <w:szCs w:val="21"/>
                <w:lang w:eastAsia="zh-CN"/>
              </w:rPr>
              <w:t>3.0</w:t>
            </w:r>
            <w:r>
              <w:rPr>
                <w:szCs w:val="21"/>
                <w:lang w:eastAsia="zh-CN"/>
              </w:rPr>
              <w:t>万吨/年。站内建有1000m</w:t>
            </w:r>
            <w:r>
              <w:rPr>
                <w:szCs w:val="21"/>
                <w:vertAlign w:val="superscript"/>
                <w:lang w:eastAsia="zh-CN"/>
              </w:rPr>
              <w:t>3</w:t>
            </w:r>
            <w:r>
              <w:rPr>
                <w:szCs w:val="21"/>
                <w:lang w:eastAsia="zh-CN"/>
              </w:rPr>
              <w:t>储油罐3具，立式生产分离器1具，立式除油器1具。</w:t>
            </w:r>
          </w:p>
        </w:tc>
        <w:tc>
          <w:tcPr>
            <w:tcW w:w="4820" w:type="dxa"/>
            <w:vAlign w:val="center"/>
          </w:tcPr>
          <w:p w14:paraId="38B0DF9E">
            <w:pPr>
              <w:pStyle w:val="518"/>
              <w:rPr>
                <w:szCs w:val="21"/>
                <w:lang w:eastAsia="zh-CN"/>
              </w:rPr>
            </w:pPr>
            <w:r>
              <w:rPr>
                <w:rFonts w:hint="eastAsia"/>
                <w:szCs w:val="21"/>
                <w:lang w:eastAsia="zh-CN"/>
              </w:rPr>
              <w:t>改造雅-站为雅斯</w:t>
            </w:r>
            <w:r>
              <w:rPr>
                <w:szCs w:val="21"/>
                <w:lang w:eastAsia="zh-CN"/>
              </w:rPr>
              <w:t>联</w:t>
            </w:r>
            <w:r>
              <w:rPr>
                <w:rFonts w:hint="eastAsia"/>
                <w:szCs w:val="21"/>
                <w:lang w:eastAsia="zh-CN"/>
              </w:rPr>
              <w:t>合站</w:t>
            </w:r>
            <w:r>
              <w:rPr>
                <w:szCs w:val="21"/>
                <w:lang w:eastAsia="zh-CN"/>
              </w:rPr>
              <w:t>，产能规模为</w:t>
            </w:r>
            <w:r>
              <w:rPr>
                <w:rFonts w:hint="eastAsia"/>
                <w:szCs w:val="21"/>
                <w:lang w:eastAsia="zh-CN"/>
              </w:rPr>
              <w:t>8</w:t>
            </w:r>
            <w:r>
              <w:rPr>
                <w:szCs w:val="21"/>
                <w:lang w:eastAsia="zh-CN"/>
              </w:rPr>
              <w:t>万吨/年。功能包括集油、分离、加热、注水、生产废水处理系统等。</w:t>
            </w:r>
          </w:p>
        </w:tc>
        <w:tc>
          <w:tcPr>
            <w:tcW w:w="1985" w:type="dxa"/>
            <w:vAlign w:val="center"/>
          </w:tcPr>
          <w:p w14:paraId="7549B421">
            <w:pPr>
              <w:pStyle w:val="518"/>
              <w:rPr>
                <w:szCs w:val="21"/>
                <w:lang w:eastAsia="zh-CN"/>
              </w:rPr>
            </w:pPr>
            <w:r>
              <w:rPr>
                <w:szCs w:val="21"/>
                <w:lang w:eastAsia="zh-CN"/>
              </w:rPr>
              <w:t>依托原有1000m</w:t>
            </w:r>
            <w:r>
              <w:rPr>
                <w:szCs w:val="21"/>
                <w:vertAlign w:val="superscript"/>
                <w:lang w:eastAsia="zh-CN"/>
              </w:rPr>
              <w:t>3</w:t>
            </w:r>
            <w:r>
              <w:rPr>
                <w:szCs w:val="21"/>
                <w:lang w:eastAsia="zh-CN"/>
              </w:rPr>
              <w:t>储油罐3具，立式生产分离器1具，立式除油器1具。新建2000m</w:t>
            </w:r>
            <w:r>
              <w:rPr>
                <w:szCs w:val="21"/>
                <w:vertAlign w:val="superscript"/>
                <w:lang w:eastAsia="zh-CN"/>
              </w:rPr>
              <w:t>3</w:t>
            </w:r>
            <w:r>
              <w:rPr>
                <w:szCs w:val="21"/>
                <w:lang w:eastAsia="zh-CN"/>
              </w:rPr>
              <w:t>除油沉降罐、固液相分离器、含油废水处理装置等等。</w:t>
            </w:r>
          </w:p>
        </w:tc>
        <w:tc>
          <w:tcPr>
            <w:tcW w:w="1593" w:type="dxa"/>
            <w:vAlign w:val="center"/>
          </w:tcPr>
          <w:p w14:paraId="5A11EC3C">
            <w:pPr>
              <w:pStyle w:val="518"/>
              <w:rPr>
                <w:szCs w:val="21"/>
                <w:lang w:eastAsia="zh-CN"/>
              </w:rPr>
            </w:pPr>
            <w:r>
              <w:rPr>
                <w:szCs w:val="21"/>
                <w:lang w:eastAsia="zh-CN"/>
              </w:rPr>
              <w:t>已建成</w:t>
            </w:r>
          </w:p>
        </w:tc>
      </w:tr>
      <w:tr w14:paraId="30F16D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817" w:type="dxa"/>
            <w:vMerge w:val="continue"/>
            <w:vAlign w:val="center"/>
          </w:tcPr>
          <w:p w14:paraId="4A63C64B">
            <w:pPr>
              <w:pStyle w:val="518"/>
              <w:rPr>
                <w:szCs w:val="21"/>
                <w:lang w:eastAsia="zh-CN"/>
              </w:rPr>
            </w:pPr>
          </w:p>
        </w:tc>
        <w:tc>
          <w:tcPr>
            <w:tcW w:w="1559" w:type="dxa"/>
            <w:vAlign w:val="center"/>
          </w:tcPr>
          <w:p w14:paraId="6CE82F75">
            <w:pPr>
              <w:pStyle w:val="518"/>
              <w:rPr>
                <w:szCs w:val="21"/>
                <w:lang w:eastAsia="zh-CN"/>
              </w:rPr>
            </w:pPr>
            <w:r>
              <w:rPr>
                <w:rFonts w:hint="eastAsia"/>
                <w:szCs w:val="21"/>
                <w:lang w:eastAsia="zh-CN"/>
              </w:rPr>
              <w:t>火炬</w:t>
            </w:r>
          </w:p>
        </w:tc>
        <w:tc>
          <w:tcPr>
            <w:tcW w:w="3402" w:type="dxa"/>
            <w:vAlign w:val="center"/>
          </w:tcPr>
          <w:p w14:paraId="4EC8D889">
            <w:pPr>
              <w:pStyle w:val="518"/>
              <w:rPr>
                <w:szCs w:val="21"/>
                <w:lang w:eastAsia="zh-CN"/>
              </w:rPr>
            </w:pPr>
            <w:r>
              <w:rPr>
                <w:rFonts w:hint="eastAsia"/>
                <w:szCs w:val="21"/>
                <w:lang w:eastAsia="zh-CN"/>
              </w:rPr>
              <w:t>在雅一接转站东侧建设1处火炬系统</w:t>
            </w:r>
          </w:p>
        </w:tc>
        <w:tc>
          <w:tcPr>
            <w:tcW w:w="4820" w:type="dxa"/>
            <w:vAlign w:val="center"/>
          </w:tcPr>
          <w:p w14:paraId="220FBC67">
            <w:pPr>
              <w:pStyle w:val="518"/>
              <w:rPr>
                <w:szCs w:val="21"/>
                <w:lang w:eastAsia="zh-CN"/>
              </w:rPr>
            </w:pPr>
            <w:r>
              <w:rPr>
                <w:rFonts w:hint="eastAsia"/>
                <w:szCs w:val="21"/>
                <w:lang w:eastAsia="zh-CN"/>
              </w:rPr>
              <w:t>——</w:t>
            </w:r>
          </w:p>
        </w:tc>
        <w:tc>
          <w:tcPr>
            <w:tcW w:w="1985" w:type="dxa"/>
            <w:vAlign w:val="center"/>
          </w:tcPr>
          <w:p w14:paraId="248DE69C">
            <w:pPr>
              <w:pStyle w:val="518"/>
              <w:rPr>
                <w:szCs w:val="21"/>
                <w:lang w:eastAsia="zh-CN"/>
              </w:rPr>
            </w:pPr>
            <w:r>
              <w:rPr>
                <w:szCs w:val="21"/>
                <w:lang w:eastAsia="zh-CN"/>
              </w:rPr>
              <w:t>依托</w:t>
            </w:r>
            <w:r>
              <w:rPr>
                <w:rFonts w:hint="eastAsia"/>
                <w:szCs w:val="21"/>
                <w:lang w:eastAsia="zh-CN"/>
              </w:rPr>
              <w:t>现有火炬系统</w:t>
            </w:r>
          </w:p>
        </w:tc>
        <w:tc>
          <w:tcPr>
            <w:tcW w:w="1593" w:type="dxa"/>
            <w:vAlign w:val="center"/>
          </w:tcPr>
          <w:p w14:paraId="56753C6F">
            <w:pPr>
              <w:pStyle w:val="518"/>
              <w:rPr>
                <w:szCs w:val="21"/>
                <w:lang w:eastAsia="zh-CN"/>
              </w:rPr>
            </w:pPr>
            <w:r>
              <w:rPr>
                <w:szCs w:val="21"/>
                <w:lang w:eastAsia="zh-CN"/>
              </w:rPr>
              <w:t>已建成</w:t>
            </w:r>
          </w:p>
        </w:tc>
      </w:tr>
      <w:tr w14:paraId="20F1B8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817" w:type="dxa"/>
            <w:vMerge w:val="continue"/>
            <w:vAlign w:val="center"/>
          </w:tcPr>
          <w:p w14:paraId="392FF987">
            <w:pPr>
              <w:pStyle w:val="518"/>
              <w:rPr>
                <w:szCs w:val="21"/>
                <w:lang w:eastAsia="zh-CN"/>
              </w:rPr>
            </w:pPr>
          </w:p>
        </w:tc>
        <w:tc>
          <w:tcPr>
            <w:tcW w:w="1559" w:type="dxa"/>
            <w:vAlign w:val="center"/>
          </w:tcPr>
          <w:p w14:paraId="7876251E">
            <w:pPr>
              <w:pStyle w:val="518"/>
              <w:rPr>
                <w:szCs w:val="21"/>
                <w:lang w:eastAsia="zh-CN"/>
              </w:rPr>
            </w:pPr>
            <w:r>
              <w:rPr>
                <w:szCs w:val="21"/>
                <w:lang w:eastAsia="zh-CN"/>
              </w:rPr>
              <w:t>集输</w:t>
            </w:r>
          </w:p>
          <w:p w14:paraId="14A3F60B">
            <w:pPr>
              <w:pStyle w:val="518"/>
              <w:rPr>
                <w:szCs w:val="21"/>
                <w:lang w:eastAsia="zh-CN"/>
              </w:rPr>
            </w:pPr>
            <w:r>
              <w:rPr>
                <w:szCs w:val="21"/>
                <w:lang w:eastAsia="zh-CN"/>
              </w:rPr>
              <w:t>工程</w:t>
            </w:r>
          </w:p>
        </w:tc>
        <w:tc>
          <w:tcPr>
            <w:tcW w:w="3402" w:type="dxa"/>
            <w:vAlign w:val="center"/>
          </w:tcPr>
          <w:p w14:paraId="7986EC44">
            <w:pPr>
              <w:pStyle w:val="518"/>
              <w:rPr>
                <w:szCs w:val="21"/>
                <w:lang w:eastAsia="zh-CN"/>
              </w:rPr>
            </w:pPr>
            <w:r>
              <w:rPr>
                <w:rFonts w:hint="eastAsia"/>
                <w:szCs w:val="21"/>
                <w:lang w:eastAsia="zh-CN"/>
              </w:rPr>
              <w:t>太53集输管线，管线长度12.4km太27断块单井</w:t>
            </w:r>
            <w:r>
              <w:rPr>
                <w:szCs w:val="21"/>
                <w:lang w:eastAsia="zh-CN"/>
              </w:rPr>
              <w:t>罐车拉油</w:t>
            </w:r>
          </w:p>
        </w:tc>
        <w:tc>
          <w:tcPr>
            <w:tcW w:w="4820" w:type="dxa"/>
            <w:vAlign w:val="center"/>
          </w:tcPr>
          <w:p w14:paraId="47571D3D">
            <w:pPr>
              <w:pStyle w:val="518"/>
              <w:rPr>
                <w:szCs w:val="21"/>
                <w:lang w:eastAsia="zh-CN"/>
              </w:rPr>
            </w:pPr>
            <w:r>
              <w:rPr>
                <w:rFonts w:hint="eastAsia"/>
                <w:szCs w:val="21"/>
                <w:lang w:val="zh-CN" w:eastAsia="zh-CN"/>
              </w:rPr>
              <w:t>太53断块</w:t>
            </w:r>
            <w:r>
              <w:rPr>
                <w:szCs w:val="21"/>
                <w:lang w:val="zh-CN" w:eastAsia="zh-CN"/>
              </w:rPr>
              <w:t>采用三管伴热和双管掺热水集输流程。</w:t>
            </w:r>
            <w:r>
              <w:rPr>
                <w:szCs w:val="21"/>
                <w:lang w:eastAsia="zh-CN"/>
              </w:rPr>
              <w:t>油田内部集输管线</w:t>
            </w:r>
            <w:r>
              <w:rPr>
                <w:rFonts w:hint="eastAsia"/>
                <w:szCs w:val="21"/>
                <w:lang w:val="zh-CN" w:eastAsia="zh-CN"/>
              </w:rPr>
              <w:t>总长度24.0km，</w:t>
            </w:r>
            <w:r>
              <w:rPr>
                <w:szCs w:val="21"/>
                <w:lang w:val="zh-CN" w:eastAsia="zh-CN"/>
              </w:rPr>
              <w:t>新建</w:t>
            </w:r>
            <w:r>
              <w:rPr>
                <w:rFonts w:hint="eastAsia"/>
                <w:szCs w:val="21"/>
                <w:lang w:eastAsia="zh-CN"/>
              </w:rPr>
              <w:t xml:space="preserve">11.6 </w:t>
            </w:r>
            <w:r>
              <w:rPr>
                <w:szCs w:val="21"/>
                <w:lang w:eastAsia="zh-CN"/>
              </w:rPr>
              <w:t>km。</w:t>
            </w:r>
          </w:p>
        </w:tc>
        <w:tc>
          <w:tcPr>
            <w:tcW w:w="1985" w:type="dxa"/>
            <w:vAlign w:val="center"/>
          </w:tcPr>
          <w:p w14:paraId="6C0B416F">
            <w:pPr>
              <w:pStyle w:val="518"/>
              <w:rPr>
                <w:szCs w:val="21"/>
                <w:lang w:eastAsia="zh-CN"/>
              </w:rPr>
            </w:pPr>
            <w:r>
              <w:rPr>
                <w:rFonts w:hint="eastAsia"/>
                <w:szCs w:val="21"/>
                <w:lang w:eastAsia="zh-CN"/>
              </w:rPr>
              <w:t>依托太53断块现有集油管线12.4km，太27断块单井罐车拉油</w:t>
            </w:r>
          </w:p>
        </w:tc>
        <w:tc>
          <w:tcPr>
            <w:tcW w:w="1593" w:type="dxa"/>
            <w:vAlign w:val="center"/>
          </w:tcPr>
          <w:p w14:paraId="7F3AAC3A">
            <w:pPr>
              <w:pStyle w:val="518"/>
              <w:rPr>
                <w:szCs w:val="21"/>
                <w:lang w:eastAsia="zh-CN"/>
              </w:rPr>
            </w:pPr>
            <w:r>
              <w:rPr>
                <w:rFonts w:hint="eastAsia"/>
                <w:szCs w:val="21"/>
                <w:lang w:eastAsia="zh-CN"/>
              </w:rPr>
              <w:t>——</w:t>
            </w:r>
          </w:p>
        </w:tc>
      </w:tr>
      <w:tr w14:paraId="6977ED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817" w:type="dxa"/>
            <w:vMerge w:val="continue"/>
            <w:vAlign w:val="center"/>
          </w:tcPr>
          <w:p w14:paraId="617A674C">
            <w:pPr>
              <w:pStyle w:val="518"/>
              <w:rPr>
                <w:szCs w:val="21"/>
                <w:lang w:eastAsia="zh-CN"/>
              </w:rPr>
            </w:pPr>
          </w:p>
        </w:tc>
        <w:tc>
          <w:tcPr>
            <w:tcW w:w="1559" w:type="dxa"/>
            <w:vAlign w:val="center"/>
          </w:tcPr>
          <w:p w14:paraId="4FC26208">
            <w:pPr>
              <w:pStyle w:val="518"/>
              <w:rPr>
                <w:szCs w:val="21"/>
                <w:lang w:eastAsia="zh-CN"/>
              </w:rPr>
            </w:pPr>
            <w:r>
              <w:rPr>
                <w:szCs w:val="21"/>
                <w:lang w:eastAsia="zh-CN"/>
              </w:rPr>
              <w:t>注水</w:t>
            </w:r>
          </w:p>
          <w:p w14:paraId="7D5F2426">
            <w:pPr>
              <w:pStyle w:val="518"/>
              <w:rPr>
                <w:szCs w:val="21"/>
                <w:lang w:eastAsia="zh-CN"/>
              </w:rPr>
            </w:pPr>
            <w:r>
              <w:rPr>
                <w:szCs w:val="21"/>
                <w:lang w:eastAsia="zh-CN"/>
              </w:rPr>
              <w:t>工程</w:t>
            </w:r>
          </w:p>
        </w:tc>
        <w:tc>
          <w:tcPr>
            <w:tcW w:w="3402" w:type="dxa"/>
            <w:vAlign w:val="center"/>
          </w:tcPr>
          <w:p w14:paraId="59CA2D53">
            <w:pPr>
              <w:pStyle w:val="518"/>
              <w:rPr>
                <w:szCs w:val="21"/>
                <w:lang w:eastAsia="zh-CN"/>
              </w:rPr>
            </w:pPr>
            <w:r>
              <w:rPr>
                <w:szCs w:val="21"/>
                <w:lang w:eastAsia="zh-CN"/>
              </w:rPr>
              <w:t>1座注水站，注水</w:t>
            </w:r>
            <w:r>
              <w:rPr>
                <w:rFonts w:hint="eastAsia"/>
                <w:szCs w:val="21"/>
                <w:lang w:eastAsia="zh-CN"/>
              </w:rPr>
              <w:t>干线</w:t>
            </w:r>
            <w:r>
              <w:rPr>
                <w:szCs w:val="21"/>
                <w:lang w:eastAsia="zh-CN"/>
              </w:rPr>
              <w:t>长</w:t>
            </w:r>
            <w:r>
              <w:rPr>
                <w:rFonts w:hint="eastAsia"/>
                <w:szCs w:val="21"/>
                <w:lang w:eastAsia="zh-CN"/>
              </w:rPr>
              <w:t>4.0</w:t>
            </w:r>
            <w:r>
              <w:rPr>
                <w:szCs w:val="21"/>
                <w:lang w:eastAsia="zh-CN"/>
              </w:rPr>
              <w:t>km</w:t>
            </w:r>
          </w:p>
        </w:tc>
        <w:tc>
          <w:tcPr>
            <w:tcW w:w="4820" w:type="dxa"/>
            <w:vAlign w:val="center"/>
          </w:tcPr>
          <w:p w14:paraId="65317322">
            <w:pPr>
              <w:pStyle w:val="518"/>
              <w:rPr>
                <w:szCs w:val="21"/>
                <w:lang w:eastAsia="zh-CN"/>
              </w:rPr>
            </w:pPr>
            <w:r>
              <w:rPr>
                <w:szCs w:val="21"/>
                <w:lang w:eastAsia="zh-CN"/>
              </w:rPr>
              <w:t>采用集中高压供水，多井配水单管注水流程。</w:t>
            </w:r>
            <w:r>
              <w:rPr>
                <w:rFonts w:hint="eastAsia"/>
                <w:szCs w:val="21"/>
                <w:lang w:eastAsia="zh-CN"/>
              </w:rPr>
              <w:t>新建</w:t>
            </w:r>
            <w:r>
              <w:rPr>
                <w:szCs w:val="21"/>
                <w:lang w:eastAsia="zh-CN"/>
              </w:rPr>
              <w:t>注水</w:t>
            </w:r>
            <w:r>
              <w:rPr>
                <w:rFonts w:hint="eastAsia"/>
                <w:szCs w:val="21"/>
                <w:lang w:eastAsia="zh-CN"/>
              </w:rPr>
              <w:t>管干</w:t>
            </w:r>
            <w:r>
              <w:rPr>
                <w:szCs w:val="21"/>
                <w:lang w:eastAsia="zh-CN"/>
              </w:rPr>
              <w:t>线</w:t>
            </w:r>
            <w:r>
              <w:rPr>
                <w:rFonts w:hint="eastAsia"/>
                <w:szCs w:val="21"/>
                <w:lang w:eastAsia="zh-CN"/>
              </w:rPr>
              <w:t>2.8</w:t>
            </w:r>
            <w:r>
              <w:rPr>
                <w:szCs w:val="21"/>
                <w:lang w:eastAsia="zh-CN"/>
              </w:rPr>
              <w:t>km。</w:t>
            </w:r>
          </w:p>
        </w:tc>
        <w:tc>
          <w:tcPr>
            <w:tcW w:w="1985" w:type="dxa"/>
            <w:vAlign w:val="center"/>
          </w:tcPr>
          <w:p w14:paraId="45DC16B1">
            <w:pPr>
              <w:pStyle w:val="518"/>
              <w:rPr>
                <w:szCs w:val="21"/>
                <w:lang w:eastAsia="zh-CN"/>
              </w:rPr>
            </w:pPr>
            <w:r>
              <w:rPr>
                <w:szCs w:val="21"/>
                <w:lang w:eastAsia="zh-CN"/>
              </w:rPr>
              <w:t>依托</w:t>
            </w:r>
            <w:r>
              <w:rPr>
                <w:rFonts w:hint="eastAsia"/>
                <w:szCs w:val="21"/>
                <w:lang w:eastAsia="zh-CN"/>
              </w:rPr>
              <w:t>现</w:t>
            </w:r>
            <w:r>
              <w:rPr>
                <w:szCs w:val="21"/>
                <w:lang w:eastAsia="zh-CN"/>
              </w:rPr>
              <w:t>有注水管线</w:t>
            </w:r>
            <w:r>
              <w:rPr>
                <w:rFonts w:hint="eastAsia"/>
                <w:szCs w:val="21"/>
                <w:lang w:eastAsia="zh-CN"/>
              </w:rPr>
              <w:t>4.0</w:t>
            </w:r>
            <w:r>
              <w:rPr>
                <w:szCs w:val="21"/>
                <w:lang w:eastAsia="zh-CN"/>
              </w:rPr>
              <w:t>km。</w:t>
            </w:r>
          </w:p>
        </w:tc>
        <w:tc>
          <w:tcPr>
            <w:tcW w:w="1593" w:type="dxa"/>
            <w:vAlign w:val="center"/>
          </w:tcPr>
          <w:p w14:paraId="4CAAE177">
            <w:pPr>
              <w:pStyle w:val="518"/>
              <w:rPr>
                <w:szCs w:val="21"/>
                <w:lang w:eastAsia="zh-CN"/>
              </w:rPr>
            </w:pPr>
            <w:r>
              <w:rPr>
                <w:rFonts w:hint="eastAsia"/>
                <w:szCs w:val="21"/>
                <w:lang w:eastAsia="zh-CN"/>
              </w:rPr>
              <w:t>——</w:t>
            </w:r>
          </w:p>
        </w:tc>
      </w:tr>
      <w:tr w14:paraId="152024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817" w:type="dxa"/>
            <w:vMerge w:val="restart"/>
            <w:vAlign w:val="center"/>
          </w:tcPr>
          <w:p w14:paraId="7DCCFB41">
            <w:pPr>
              <w:pStyle w:val="518"/>
              <w:rPr>
                <w:szCs w:val="21"/>
                <w:lang w:eastAsia="zh-CN"/>
              </w:rPr>
            </w:pPr>
            <w:r>
              <w:rPr>
                <w:szCs w:val="21"/>
                <w:lang w:eastAsia="zh-CN"/>
              </w:rPr>
              <w:t>辅助工程</w:t>
            </w:r>
          </w:p>
        </w:tc>
        <w:tc>
          <w:tcPr>
            <w:tcW w:w="1559" w:type="dxa"/>
            <w:vAlign w:val="center"/>
          </w:tcPr>
          <w:p w14:paraId="67B0189D">
            <w:pPr>
              <w:pStyle w:val="518"/>
              <w:rPr>
                <w:szCs w:val="21"/>
                <w:lang w:eastAsia="zh-CN"/>
              </w:rPr>
            </w:pPr>
            <w:r>
              <w:rPr>
                <w:szCs w:val="21"/>
                <w:lang w:eastAsia="zh-CN"/>
              </w:rPr>
              <w:t>油田</w:t>
            </w:r>
            <w:r>
              <w:rPr>
                <w:rFonts w:hint="eastAsia"/>
                <w:szCs w:val="21"/>
                <w:lang w:eastAsia="zh-CN"/>
              </w:rPr>
              <w:t>对外、</w:t>
            </w:r>
            <w:r>
              <w:rPr>
                <w:szCs w:val="21"/>
                <w:lang w:eastAsia="zh-CN"/>
              </w:rPr>
              <w:t>内联络道路</w:t>
            </w:r>
          </w:p>
        </w:tc>
        <w:tc>
          <w:tcPr>
            <w:tcW w:w="3402" w:type="dxa"/>
            <w:vAlign w:val="center"/>
          </w:tcPr>
          <w:p w14:paraId="6A6C3D81">
            <w:pPr>
              <w:pStyle w:val="518"/>
              <w:rPr>
                <w:szCs w:val="21"/>
                <w:lang w:eastAsia="zh-CN"/>
              </w:rPr>
            </w:pPr>
            <w:r>
              <w:rPr>
                <w:rFonts w:hint="eastAsia"/>
                <w:szCs w:val="21"/>
                <w:lang w:eastAsia="zh-CN"/>
              </w:rPr>
              <w:t>现有对外联络</w:t>
            </w:r>
            <w:r>
              <w:rPr>
                <w:szCs w:val="21"/>
                <w:lang w:eastAsia="zh-CN"/>
              </w:rPr>
              <w:t>公路</w:t>
            </w:r>
            <w:r>
              <w:rPr>
                <w:rFonts w:hint="eastAsia"/>
                <w:szCs w:val="21"/>
                <w:lang w:eastAsia="zh-CN"/>
              </w:rPr>
              <w:t>7.0</w:t>
            </w:r>
            <w:r>
              <w:rPr>
                <w:szCs w:val="21"/>
                <w:lang w:eastAsia="zh-CN"/>
              </w:rPr>
              <w:t>km</w:t>
            </w:r>
            <w:r>
              <w:rPr>
                <w:rFonts w:hint="eastAsia"/>
                <w:szCs w:val="21"/>
                <w:lang w:eastAsia="zh-CN"/>
              </w:rPr>
              <w:t xml:space="preserve">，油田内联络道路12.8 </w:t>
            </w:r>
            <w:r>
              <w:rPr>
                <w:szCs w:val="21"/>
                <w:lang w:eastAsia="zh-CN"/>
              </w:rPr>
              <w:t>km。</w:t>
            </w:r>
          </w:p>
        </w:tc>
        <w:tc>
          <w:tcPr>
            <w:tcW w:w="4820" w:type="dxa"/>
            <w:vAlign w:val="center"/>
          </w:tcPr>
          <w:p w14:paraId="15FDBD38">
            <w:pPr>
              <w:pStyle w:val="518"/>
              <w:rPr>
                <w:szCs w:val="21"/>
                <w:lang w:eastAsia="zh-CN"/>
              </w:rPr>
            </w:pPr>
            <w:r>
              <w:rPr>
                <w:szCs w:val="21"/>
                <w:lang w:eastAsia="zh-CN"/>
              </w:rPr>
              <w:t>油田内部联络道路为草原自然土路，</w:t>
            </w:r>
            <w:r>
              <w:rPr>
                <w:rFonts w:hint="eastAsia"/>
                <w:szCs w:val="21"/>
                <w:lang w:eastAsia="zh-CN"/>
              </w:rPr>
              <w:t>新增5.2</w:t>
            </w:r>
            <w:r>
              <w:rPr>
                <w:szCs w:val="21"/>
                <w:lang w:eastAsia="zh-CN"/>
              </w:rPr>
              <w:t>km，路面宽4.5m。</w:t>
            </w:r>
            <w:r>
              <w:rPr>
                <w:rFonts w:hint="eastAsia"/>
                <w:szCs w:val="21"/>
                <w:lang w:eastAsia="zh-CN"/>
              </w:rPr>
              <w:t>总长18.0</w:t>
            </w:r>
            <w:r>
              <w:rPr>
                <w:szCs w:val="21"/>
                <w:lang w:eastAsia="zh-CN"/>
              </w:rPr>
              <w:t xml:space="preserve"> km</w:t>
            </w:r>
            <w:r>
              <w:rPr>
                <w:rFonts w:hint="eastAsia"/>
                <w:szCs w:val="21"/>
                <w:lang w:eastAsia="zh-CN"/>
              </w:rPr>
              <w:t>，</w:t>
            </w:r>
            <w:r>
              <w:rPr>
                <w:szCs w:val="21"/>
                <w:lang w:eastAsia="zh-CN"/>
              </w:rPr>
              <w:t>路两侧加设铁丝围栏。</w:t>
            </w:r>
          </w:p>
        </w:tc>
        <w:tc>
          <w:tcPr>
            <w:tcW w:w="1985" w:type="dxa"/>
            <w:vAlign w:val="center"/>
          </w:tcPr>
          <w:p w14:paraId="4946BCB0">
            <w:pPr>
              <w:pStyle w:val="518"/>
              <w:rPr>
                <w:szCs w:val="21"/>
                <w:lang w:eastAsia="zh-CN"/>
              </w:rPr>
            </w:pPr>
            <w:r>
              <w:rPr>
                <w:rFonts w:hint="eastAsia"/>
                <w:szCs w:val="21"/>
                <w:lang w:eastAsia="zh-CN"/>
              </w:rPr>
              <w:t>对外联络道路依托现有7.0km，对内</w:t>
            </w:r>
            <w:r>
              <w:rPr>
                <w:szCs w:val="21"/>
                <w:lang w:eastAsia="zh-CN"/>
              </w:rPr>
              <w:t>依托</w:t>
            </w:r>
            <w:r>
              <w:rPr>
                <w:rFonts w:hint="eastAsia"/>
                <w:szCs w:val="21"/>
                <w:lang w:eastAsia="zh-CN"/>
              </w:rPr>
              <w:t>现</w:t>
            </w:r>
            <w:r>
              <w:rPr>
                <w:szCs w:val="21"/>
                <w:lang w:eastAsia="zh-CN"/>
              </w:rPr>
              <w:t>有</w:t>
            </w:r>
            <w:r>
              <w:rPr>
                <w:rFonts w:hint="eastAsia"/>
                <w:szCs w:val="21"/>
                <w:lang w:eastAsia="zh-CN"/>
              </w:rPr>
              <w:t>12.8</w:t>
            </w:r>
            <w:r>
              <w:rPr>
                <w:szCs w:val="21"/>
                <w:lang w:eastAsia="zh-CN"/>
              </w:rPr>
              <w:t>km。</w:t>
            </w:r>
          </w:p>
        </w:tc>
        <w:tc>
          <w:tcPr>
            <w:tcW w:w="1593" w:type="dxa"/>
            <w:vAlign w:val="center"/>
          </w:tcPr>
          <w:p w14:paraId="28E6CCA7">
            <w:pPr>
              <w:pStyle w:val="518"/>
              <w:rPr>
                <w:szCs w:val="21"/>
                <w:lang w:eastAsia="zh-CN"/>
              </w:rPr>
            </w:pPr>
            <w:r>
              <w:rPr>
                <w:rFonts w:hint="eastAsia"/>
                <w:szCs w:val="21"/>
                <w:lang w:eastAsia="zh-CN"/>
              </w:rPr>
              <w:t>对外联络道路</w:t>
            </w:r>
          </w:p>
          <w:p w14:paraId="2E6E4C3B">
            <w:pPr>
              <w:pStyle w:val="518"/>
              <w:rPr>
                <w:szCs w:val="21"/>
                <w:lang w:eastAsia="zh-CN"/>
              </w:rPr>
            </w:pPr>
            <w:r>
              <w:rPr>
                <w:rFonts w:hint="eastAsia"/>
                <w:szCs w:val="21"/>
                <w:lang w:eastAsia="zh-CN"/>
              </w:rPr>
              <w:t>已建成</w:t>
            </w:r>
          </w:p>
        </w:tc>
      </w:tr>
      <w:tr w14:paraId="114FF2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817" w:type="dxa"/>
            <w:vMerge w:val="continue"/>
            <w:vAlign w:val="center"/>
          </w:tcPr>
          <w:p w14:paraId="236888D4">
            <w:pPr>
              <w:pStyle w:val="518"/>
              <w:rPr>
                <w:szCs w:val="21"/>
                <w:lang w:eastAsia="zh-CN"/>
              </w:rPr>
            </w:pPr>
          </w:p>
        </w:tc>
        <w:tc>
          <w:tcPr>
            <w:tcW w:w="1559" w:type="dxa"/>
            <w:vAlign w:val="center"/>
          </w:tcPr>
          <w:p w14:paraId="41FA4801">
            <w:pPr>
              <w:pStyle w:val="518"/>
              <w:rPr>
                <w:szCs w:val="21"/>
                <w:lang w:eastAsia="zh-CN"/>
              </w:rPr>
            </w:pPr>
            <w:r>
              <w:rPr>
                <w:szCs w:val="21"/>
                <w:lang w:eastAsia="zh-CN"/>
              </w:rPr>
              <w:t>供水</w:t>
            </w:r>
          </w:p>
        </w:tc>
        <w:tc>
          <w:tcPr>
            <w:tcW w:w="3402" w:type="dxa"/>
            <w:vAlign w:val="center"/>
          </w:tcPr>
          <w:p w14:paraId="4369F2BE">
            <w:pPr>
              <w:pStyle w:val="518"/>
              <w:rPr>
                <w:rFonts w:ascii="宋体" w:hAnsi="宋体"/>
                <w:lang w:eastAsia="zh-CN"/>
              </w:rPr>
            </w:pPr>
            <w:r>
              <w:rPr>
                <w:rFonts w:hint="eastAsia"/>
                <w:szCs w:val="21"/>
                <w:lang w:eastAsia="zh-CN"/>
              </w:rPr>
              <w:t>3眼</w:t>
            </w:r>
            <w:r>
              <w:rPr>
                <w:szCs w:val="21"/>
                <w:lang w:eastAsia="zh-CN"/>
              </w:rPr>
              <w:t>水源井。</w:t>
            </w:r>
            <w:r>
              <w:rPr>
                <w:rFonts w:hint="eastAsia"/>
                <w:szCs w:val="21"/>
                <w:lang w:eastAsia="zh-CN"/>
              </w:rPr>
              <w:t>1号水源井</w:t>
            </w:r>
            <w:r>
              <w:rPr>
                <w:rFonts w:hint="eastAsia" w:ascii="宋体" w:hAnsi="宋体"/>
                <w:lang w:eastAsia="zh-CN"/>
              </w:rPr>
              <w:t>出水量5m</w:t>
            </w:r>
            <w:r>
              <w:rPr>
                <w:rFonts w:hint="eastAsia" w:ascii="宋体" w:hAnsi="宋体"/>
                <w:vertAlign w:val="superscript"/>
                <w:lang w:eastAsia="zh-CN"/>
              </w:rPr>
              <w:t>3</w:t>
            </w:r>
            <w:r>
              <w:rPr>
                <w:rFonts w:hint="eastAsia" w:ascii="宋体" w:hAnsi="宋体"/>
                <w:lang w:eastAsia="zh-CN"/>
              </w:rPr>
              <w:t>/h，满足生活要求；2、3号水源井总出水能力</w:t>
            </w:r>
            <w:r>
              <w:rPr>
                <w:rFonts w:ascii="宋体" w:hAnsi="宋体"/>
                <w:lang w:eastAsia="zh-CN"/>
              </w:rPr>
              <w:t>25m</w:t>
            </w:r>
            <w:r>
              <w:rPr>
                <w:rFonts w:ascii="宋体" w:hAnsi="宋体"/>
                <w:vertAlign w:val="superscript"/>
                <w:lang w:eastAsia="zh-CN"/>
              </w:rPr>
              <w:t>3</w:t>
            </w:r>
            <w:r>
              <w:rPr>
                <w:rFonts w:ascii="宋体" w:hAnsi="宋体"/>
                <w:lang w:eastAsia="zh-CN"/>
              </w:rPr>
              <w:t>/h</w:t>
            </w:r>
            <w:r>
              <w:rPr>
                <w:rFonts w:hint="eastAsia" w:ascii="宋体" w:hAnsi="宋体"/>
                <w:lang w:eastAsia="zh-CN"/>
              </w:rPr>
              <w:t>，满足生产要求。</w:t>
            </w:r>
          </w:p>
        </w:tc>
        <w:tc>
          <w:tcPr>
            <w:tcW w:w="4820" w:type="dxa"/>
            <w:vAlign w:val="center"/>
          </w:tcPr>
          <w:p w14:paraId="7051EA0B">
            <w:pPr>
              <w:pStyle w:val="518"/>
              <w:rPr>
                <w:szCs w:val="21"/>
                <w:lang w:eastAsia="zh-CN"/>
              </w:rPr>
            </w:pPr>
            <w:r>
              <w:rPr>
                <w:rFonts w:hint="eastAsia"/>
                <w:szCs w:val="21"/>
                <w:lang w:eastAsia="zh-CN"/>
              </w:rPr>
              <w:t>3</w:t>
            </w:r>
            <w:r>
              <w:rPr>
                <w:szCs w:val="21"/>
                <w:lang w:eastAsia="zh-CN"/>
              </w:rPr>
              <w:t>眼水源井，出水量</w:t>
            </w:r>
            <w:r>
              <w:rPr>
                <w:rFonts w:hint="eastAsia"/>
                <w:szCs w:val="21"/>
                <w:lang w:eastAsia="zh-CN"/>
              </w:rPr>
              <w:t>30</w:t>
            </w:r>
            <w:r>
              <w:rPr>
                <w:szCs w:val="21"/>
                <w:lang w:eastAsia="zh-CN"/>
              </w:rPr>
              <w:t>m</w:t>
            </w:r>
            <w:r>
              <w:rPr>
                <w:szCs w:val="21"/>
                <w:vertAlign w:val="superscript"/>
                <w:lang w:eastAsia="zh-CN"/>
              </w:rPr>
              <w:t>3</w:t>
            </w:r>
            <w:r>
              <w:rPr>
                <w:szCs w:val="21"/>
                <w:lang w:eastAsia="zh-CN"/>
              </w:rPr>
              <w:t>/h。</w:t>
            </w:r>
          </w:p>
        </w:tc>
        <w:tc>
          <w:tcPr>
            <w:tcW w:w="1985" w:type="dxa"/>
            <w:vAlign w:val="center"/>
          </w:tcPr>
          <w:p w14:paraId="7E94FB98">
            <w:pPr>
              <w:pStyle w:val="518"/>
              <w:rPr>
                <w:szCs w:val="21"/>
                <w:lang w:eastAsia="zh-CN"/>
              </w:rPr>
            </w:pPr>
            <w:r>
              <w:rPr>
                <w:szCs w:val="21"/>
                <w:lang w:eastAsia="zh-CN"/>
              </w:rPr>
              <w:t>依托</w:t>
            </w:r>
            <w:r>
              <w:rPr>
                <w:rFonts w:hint="eastAsia"/>
                <w:szCs w:val="21"/>
                <w:lang w:eastAsia="zh-CN"/>
              </w:rPr>
              <w:t>现</w:t>
            </w:r>
            <w:r>
              <w:rPr>
                <w:szCs w:val="21"/>
                <w:lang w:eastAsia="zh-CN"/>
              </w:rPr>
              <w:t>有</w:t>
            </w:r>
            <w:r>
              <w:rPr>
                <w:rFonts w:hint="eastAsia"/>
                <w:szCs w:val="21"/>
                <w:lang w:eastAsia="zh-CN"/>
              </w:rPr>
              <w:t>3</w:t>
            </w:r>
            <w:r>
              <w:rPr>
                <w:szCs w:val="21"/>
                <w:lang w:eastAsia="zh-CN"/>
              </w:rPr>
              <w:t>口水源井。</w:t>
            </w:r>
          </w:p>
        </w:tc>
        <w:tc>
          <w:tcPr>
            <w:tcW w:w="1593" w:type="dxa"/>
            <w:vAlign w:val="center"/>
          </w:tcPr>
          <w:p w14:paraId="3D1A764F">
            <w:pPr>
              <w:pStyle w:val="518"/>
              <w:rPr>
                <w:szCs w:val="21"/>
                <w:lang w:eastAsia="zh-CN"/>
              </w:rPr>
            </w:pPr>
            <w:r>
              <w:rPr>
                <w:szCs w:val="21"/>
                <w:lang w:eastAsia="zh-CN"/>
              </w:rPr>
              <w:t>已建成</w:t>
            </w:r>
          </w:p>
        </w:tc>
      </w:tr>
      <w:tr w14:paraId="7A9348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817" w:type="dxa"/>
            <w:vMerge w:val="continue"/>
            <w:vAlign w:val="center"/>
          </w:tcPr>
          <w:p w14:paraId="2D0BC8A7">
            <w:pPr>
              <w:pStyle w:val="518"/>
              <w:rPr>
                <w:szCs w:val="21"/>
                <w:lang w:eastAsia="zh-CN"/>
              </w:rPr>
            </w:pPr>
          </w:p>
        </w:tc>
        <w:tc>
          <w:tcPr>
            <w:tcW w:w="1559" w:type="dxa"/>
            <w:vAlign w:val="center"/>
          </w:tcPr>
          <w:p w14:paraId="294D4CB6">
            <w:pPr>
              <w:pStyle w:val="518"/>
              <w:rPr>
                <w:szCs w:val="21"/>
                <w:lang w:eastAsia="zh-CN"/>
              </w:rPr>
            </w:pPr>
            <w:r>
              <w:rPr>
                <w:szCs w:val="21"/>
                <w:lang w:eastAsia="zh-CN"/>
              </w:rPr>
              <w:t>排水</w:t>
            </w:r>
          </w:p>
        </w:tc>
        <w:tc>
          <w:tcPr>
            <w:tcW w:w="3402" w:type="dxa"/>
            <w:vAlign w:val="center"/>
          </w:tcPr>
          <w:p w14:paraId="726E9753">
            <w:pPr>
              <w:pStyle w:val="518"/>
              <w:rPr>
                <w:szCs w:val="21"/>
                <w:lang w:eastAsia="zh-CN"/>
              </w:rPr>
            </w:pPr>
            <w:r>
              <w:rPr>
                <w:rFonts w:hint="eastAsia"/>
                <w:szCs w:val="21"/>
                <w:lang w:eastAsia="zh-CN"/>
              </w:rPr>
              <w:t>采油过程产生的含油污水经分离后，进入污水处理系统，处理合格后注入地下；生活污水经化粪池后，排入蒸发池。</w:t>
            </w:r>
          </w:p>
        </w:tc>
        <w:tc>
          <w:tcPr>
            <w:tcW w:w="4820" w:type="dxa"/>
            <w:vAlign w:val="center"/>
          </w:tcPr>
          <w:p w14:paraId="0ECA4529">
            <w:pPr>
              <w:pStyle w:val="518"/>
              <w:rPr>
                <w:szCs w:val="21"/>
                <w:lang w:eastAsia="zh-CN"/>
              </w:rPr>
            </w:pPr>
            <w:r>
              <w:rPr>
                <w:rFonts w:hint="eastAsia"/>
                <w:szCs w:val="21"/>
                <w:lang w:eastAsia="zh-CN"/>
              </w:rPr>
              <w:t>含油污水进入污水处理系统，处理合格后注入地层；生活污水经收集后经地埋式污水处理设施处理后，排入蒸发池，进行绿化或抑尘。</w:t>
            </w:r>
          </w:p>
        </w:tc>
        <w:tc>
          <w:tcPr>
            <w:tcW w:w="1985" w:type="dxa"/>
            <w:vAlign w:val="center"/>
          </w:tcPr>
          <w:p w14:paraId="78394546">
            <w:pPr>
              <w:pStyle w:val="518"/>
              <w:rPr>
                <w:szCs w:val="21"/>
                <w:lang w:eastAsia="zh-CN"/>
              </w:rPr>
            </w:pPr>
            <w:r>
              <w:rPr>
                <w:rFonts w:hint="eastAsia"/>
                <w:szCs w:val="21"/>
                <w:lang w:eastAsia="zh-CN"/>
              </w:rPr>
              <w:t>在现有的含油污水处理系统进行改造</w:t>
            </w:r>
          </w:p>
        </w:tc>
        <w:tc>
          <w:tcPr>
            <w:tcW w:w="1593" w:type="dxa"/>
            <w:vAlign w:val="center"/>
          </w:tcPr>
          <w:p w14:paraId="39101346">
            <w:pPr>
              <w:pStyle w:val="518"/>
              <w:rPr>
                <w:szCs w:val="21"/>
                <w:lang w:eastAsia="zh-CN"/>
              </w:rPr>
            </w:pPr>
            <w:r>
              <w:rPr>
                <w:rFonts w:hint="eastAsia"/>
                <w:szCs w:val="21"/>
                <w:lang w:eastAsia="zh-CN"/>
              </w:rPr>
              <w:t>——</w:t>
            </w:r>
          </w:p>
        </w:tc>
      </w:tr>
      <w:tr w14:paraId="36E69B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817" w:type="dxa"/>
            <w:vMerge w:val="continue"/>
            <w:vAlign w:val="center"/>
          </w:tcPr>
          <w:p w14:paraId="094B753B">
            <w:pPr>
              <w:pStyle w:val="518"/>
              <w:rPr>
                <w:szCs w:val="21"/>
                <w:lang w:eastAsia="zh-CN"/>
              </w:rPr>
            </w:pPr>
          </w:p>
        </w:tc>
        <w:tc>
          <w:tcPr>
            <w:tcW w:w="1559" w:type="dxa"/>
            <w:vAlign w:val="center"/>
          </w:tcPr>
          <w:p w14:paraId="1D8B1CCB">
            <w:pPr>
              <w:pStyle w:val="518"/>
              <w:rPr>
                <w:szCs w:val="21"/>
              </w:rPr>
            </w:pPr>
            <w:r>
              <w:rPr>
                <w:rFonts w:hint="eastAsia"/>
                <w:szCs w:val="21"/>
                <w:lang w:eastAsia="zh-CN"/>
              </w:rPr>
              <w:t>供电</w:t>
            </w:r>
          </w:p>
        </w:tc>
        <w:tc>
          <w:tcPr>
            <w:tcW w:w="3402" w:type="dxa"/>
            <w:vAlign w:val="center"/>
          </w:tcPr>
          <w:p w14:paraId="55C9B1DB">
            <w:pPr>
              <w:pStyle w:val="518"/>
              <w:rPr>
                <w:szCs w:val="21"/>
                <w:lang w:eastAsia="zh-CN"/>
              </w:rPr>
            </w:pPr>
            <w:r>
              <w:rPr>
                <w:rFonts w:hint="eastAsia" w:ascii="宋体" w:hAnsi="宋体"/>
                <w:lang w:eastAsia="zh-CN"/>
              </w:rPr>
              <w:t>200kW、 500kW天然气发电机房，110kv变电站</w:t>
            </w:r>
          </w:p>
        </w:tc>
        <w:tc>
          <w:tcPr>
            <w:tcW w:w="4820" w:type="dxa"/>
            <w:vAlign w:val="center"/>
          </w:tcPr>
          <w:p w14:paraId="78334A9E">
            <w:pPr>
              <w:pStyle w:val="518"/>
              <w:rPr>
                <w:snapToGrid w:val="0"/>
                <w:lang w:eastAsia="zh-CN"/>
              </w:rPr>
            </w:pPr>
            <w:r>
              <w:rPr>
                <w:rFonts w:hint="eastAsia"/>
                <w:snapToGrid w:val="0"/>
                <w:lang w:eastAsia="zh-CN"/>
              </w:rPr>
              <w:t>新建1座天然气发电机房，</w:t>
            </w:r>
            <w:r>
              <w:rPr>
                <w:rFonts w:hint="eastAsia" w:ascii="宋体" w:hAnsi="宋体"/>
                <w:lang w:eastAsia="zh-CN"/>
              </w:rPr>
              <w:t>新建一座低压配电室，为雅斯联合站及阿乌宝线3#站低压负荷供电，剩余电量利用升压变压器接至雅一联110kV变电站，为站外单井供电。</w:t>
            </w:r>
          </w:p>
        </w:tc>
        <w:tc>
          <w:tcPr>
            <w:tcW w:w="1985" w:type="dxa"/>
            <w:vAlign w:val="center"/>
          </w:tcPr>
          <w:p w14:paraId="39E3C924">
            <w:pPr>
              <w:pStyle w:val="518"/>
              <w:rPr>
                <w:szCs w:val="21"/>
                <w:lang w:eastAsia="zh-CN"/>
              </w:rPr>
            </w:pPr>
            <w:r>
              <w:rPr>
                <w:rFonts w:hint="eastAsia" w:ascii="宋体" w:hAnsi="宋体"/>
                <w:lang w:eastAsia="zh-CN"/>
              </w:rPr>
              <w:t>依托现有500kW天然气发电机房，阿尔联合站内的6台400kW天然气发电机</w:t>
            </w:r>
          </w:p>
        </w:tc>
        <w:tc>
          <w:tcPr>
            <w:tcW w:w="1593" w:type="dxa"/>
            <w:vAlign w:val="center"/>
          </w:tcPr>
          <w:p w14:paraId="2C03E6E7">
            <w:pPr>
              <w:pStyle w:val="518"/>
              <w:rPr>
                <w:szCs w:val="21"/>
                <w:lang w:eastAsia="zh-CN"/>
              </w:rPr>
            </w:pPr>
          </w:p>
        </w:tc>
      </w:tr>
      <w:tr w14:paraId="66AE9D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817" w:type="dxa"/>
            <w:vMerge w:val="continue"/>
            <w:vAlign w:val="center"/>
          </w:tcPr>
          <w:p w14:paraId="3B4BC9FF">
            <w:pPr>
              <w:pStyle w:val="518"/>
              <w:rPr>
                <w:szCs w:val="21"/>
                <w:lang w:eastAsia="zh-CN"/>
              </w:rPr>
            </w:pPr>
          </w:p>
        </w:tc>
        <w:tc>
          <w:tcPr>
            <w:tcW w:w="1559" w:type="dxa"/>
            <w:vAlign w:val="center"/>
          </w:tcPr>
          <w:p w14:paraId="3960F899">
            <w:pPr>
              <w:pStyle w:val="518"/>
              <w:rPr>
                <w:szCs w:val="21"/>
              </w:rPr>
            </w:pPr>
            <w:r>
              <w:rPr>
                <w:szCs w:val="21"/>
              </w:rPr>
              <w:t>供热</w:t>
            </w:r>
          </w:p>
        </w:tc>
        <w:tc>
          <w:tcPr>
            <w:tcW w:w="3402" w:type="dxa"/>
            <w:vAlign w:val="center"/>
          </w:tcPr>
          <w:p w14:paraId="30B6EDC3">
            <w:pPr>
              <w:pStyle w:val="518"/>
              <w:rPr>
                <w:szCs w:val="21"/>
                <w:lang w:eastAsia="zh-CN"/>
              </w:rPr>
            </w:pPr>
            <w:r>
              <w:rPr>
                <w:rFonts w:hint="eastAsia"/>
                <w:szCs w:val="21"/>
                <w:lang w:eastAsia="zh-CN"/>
              </w:rPr>
              <w:t>雅一接转站站内发电机余热回收装置（供热能力约</w:t>
            </w:r>
            <w:r>
              <w:rPr>
                <w:szCs w:val="21"/>
                <w:lang w:eastAsia="zh-CN"/>
              </w:rPr>
              <w:t>900kW</w:t>
            </w:r>
            <w:r>
              <w:rPr>
                <w:rFonts w:hint="eastAsia"/>
                <w:szCs w:val="21"/>
                <w:lang w:eastAsia="zh-CN"/>
              </w:rPr>
              <w:t>）及1台1000kW加热炉</w:t>
            </w:r>
          </w:p>
        </w:tc>
        <w:tc>
          <w:tcPr>
            <w:tcW w:w="4820" w:type="dxa"/>
            <w:vAlign w:val="center"/>
          </w:tcPr>
          <w:p w14:paraId="7C4D5F13">
            <w:pPr>
              <w:pStyle w:val="518"/>
              <w:rPr>
                <w:szCs w:val="21"/>
                <w:lang w:eastAsia="zh-CN"/>
              </w:rPr>
            </w:pPr>
            <w:r>
              <w:rPr>
                <w:rFonts w:hint="eastAsia"/>
                <w:snapToGrid w:val="0"/>
                <w:lang w:eastAsia="zh-CN"/>
              </w:rPr>
              <w:t>新建管式加热炉</w:t>
            </w:r>
            <w:r>
              <w:rPr>
                <w:snapToGrid w:val="0"/>
                <w:lang w:eastAsia="zh-CN"/>
              </w:rPr>
              <w:t>1</w:t>
            </w:r>
            <w:r>
              <w:rPr>
                <w:rFonts w:hint="eastAsia"/>
                <w:snapToGrid w:val="0"/>
                <w:lang w:eastAsia="zh-CN"/>
              </w:rPr>
              <w:t>台，额定功率为</w:t>
            </w:r>
            <w:r>
              <w:rPr>
                <w:snapToGrid w:val="0"/>
                <w:lang w:eastAsia="zh-CN"/>
              </w:rPr>
              <w:t>3000kW</w:t>
            </w:r>
            <w:r>
              <w:rPr>
                <w:szCs w:val="21"/>
                <w:lang w:eastAsia="zh-CN"/>
              </w:rPr>
              <w:t>。</w:t>
            </w:r>
          </w:p>
        </w:tc>
        <w:tc>
          <w:tcPr>
            <w:tcW w:w="1985" w:type="dxa"/>
            <w:vAlign w:val="center"/>
          </w:tcPr>
          <w:p w14:paraId="604E99F4">
            <w:pPr>
              <w:pStyle w:val="518"/>
              <w:rPr>
                <w:szCs w:val="21"/>
                <w:lang w:eastAsia="zh-CN"/>
              </w:rPr>
            </w:pPr>
            <w:r>
              <w:rPr>
                <w:rFonts w:hint="eastAsia"/>
                <w:szCs w:val="21"/>
                <w:lang w:eastAsia="zh-CN"/>
              </w:rPr>
              <w:t>依托现有的发电机余热回收装置，及加热炉</w:t>
            </w:r>
          </w:p>
        </w:tc>
        <w:tc>
          <w:tcPr>
            <w:tcW w:w="1593" w:type="dxa"/>
            <w:vAlign w:val="center"/>
          </w:tcPr>
          <w:p w14:paraId="2D551870">
            <w:pPr>
              <w:pStyle w:val="518"/>
              <w:rPr>
                <w:szCs w:val="21"/>
                <w:lang w:eastAsia="zh-CN"/>
              </w:rPr>
            </w:pPr>
            <w:r>
              <w:rPr>
                <w:rFonts w:hint="eastAsia"/>
                <w:szCs w:val="21"/>
                <w:lang w:eastAsia="zh-CN"/>
              </w:rPr>
              <w:t>——</w:t>
            </w:r>
          </w:p>
        </w:tc>
      </w:tr>
      <w:tr w14:paraId="0A0A88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817" w:type="dxa"/>
            <w:vMerge w:val="continue"/>
            <w:vAlign w:val="center"/>
          </w:tcPr>
          <w:p w14:paraId="6E3404C7">
            <w:pPr>
              <w:pStyle w:val="518"/>
              <w:rPr>
                <w:szCs w:val="21"/>
                <w:lang w:eastAsia="zh-CN"/>
              </w:rPr>
            </w:pPr>
          </w:p>
        </w:tc>
        <w:tc>
          <w:tcPr>
            <w:tcW w:w="1559" w:type="dxa"/>
            <w:vAlign w:val="center"/>
          </w:tcPr>
          <w:p w14:paraId="407CBB88">
            <w:pPr>
              <w:pStyle w:val="518"/>
              <w:rPr>
                <w:szCs w:val="21"/>
                <w:lang w:eastAsia="zh-CN"/>
              </w:rPr>
            </w:pPr>
            <w:r>
              <w:rPr>
                <w:szCs w:val="21"/>
                <w:lang w:eastAsia="zh-CN"/>
              </w:rPr>
              <w:t>消防</w:t>
            </w:r>
          </w:p>
        </w:tc>
        <w:tc>
          <w:tcPr>
            <w:tcW w:w="3402" w:type="dxa"/>
            <w:vAlign w:val="center"/>
          </w:tcPr>
          <w:p w14:paraId="3A486200">
            <w:pPr>
              <w:pStyle w:val="518"/>
              <w:rPr>
                <w:szCs w:val="21"/>
                <w:lang w:eastAsia="zh-CN"/>
              </w:rPr>
            </w:pPr>
            <w:r>
              <w:rPr>
                <w:rFonts w:hint="eastAsia"/>
                <w:lang w:eastAsia="zh-CN"/>
              </w:rPr>
              <w:t>临时高压消防冷却水系统和固定式泡沫灭火系统</w:t>
            </w:r>
          </w:p>
        </w:tc>
        <w:tc>
          <w:tcPr>
            <w:tcW w:w="4820" w:type="dxa"/>
            <w:vAlign w:val="center"/>
          </w:tcPr>
          <w:p w14:paraId="64A6B10C">
            <w:pPr>
              <w:pStyle w:val="518"/>
              <w:rPr>
                <w:szCs w:val="21"/>
                <w:lang w:eastAsia="zh-CN"/>
              </w:rPr>
            </w:pPr>
            <w:r>
              <w:rPr>
                <w:rFonts w:hint="eastAsia"/>
                <w:szCs w:val="21"/>
                <w:lang w:eastAsia="zh-CN"/>
              </w:rPr>
              <w:t>雅斯联合站</w:t>
            </w:r>
            <w:r>
              <w:rPr>
                <w:szCs w:val="21"/>
                <w:lang w:eastAsia="zh-CN"/>
              </w:rPr>
              <w:t>建设水消防系统，原油罐采用固定式泡沫灭火和半固定式消防冷却水的消防方式，其它生产装置及建构筑物采用移动式灭火器灭火。</w:t>
            </w:r>
          </w:p>
        </w:tc>
        <w:tc>
          <w:tcPr>
            <w:tcW w:w="1985" w:type="dxa"/>
            <w:vAlign w:val="center"/>
          </w:tcPr>
          <w:p w14:paraId="3D64B679">
            <w:pPr>
              <w:pStyle w:val="518"/>
              <w:rPr>
                <w:szCs w:val="21"/>
                <w:lang w:eastAsia="zh-CN"/>
              </w:rPr>
            </w:pPr>
            <w:r>
              <w:rPr>
                <w:rFonts w:hint="eastAsia"/>
                <w:szCs w:val="21"/>
                <w:lang w:eastAsia="zh-CN"/>
              </w:rPr>
              <w:t>依托现有的</w:t>
            </w:r>
            <w:r>
              <w:rPr>
                <w:rFonts w:hint="eastAsia"/>
                <w:lang w:eastAsia="zh-CN"/>
              </w:rPr>
              <w:t>高压消防冷却水系统和固定式泡沫灭火系统；阿尔联合站设有</w:t>
            </w:r>
            <w:r>
              <w:rPr>
                <w:lang w:eastAsia="zh-CN"/>
              </w:rPr>
              <w:t>2</w:t>
            </w:r>
            <w:r>
              <w:rPr>
                <w:rFonts w:hint="eastAsia"/>
                <w:lang w:eastAsia="zh-CN"/>
              </w:rPr>
              <w:t>辆泡沫车，距本站约</w:t>
            </w:r>
            <w:r>
              <w:rPr>
                <w:lang w:eastAsia="zh-CN"/>
              </w:rPr>
              <w:t>73km</w:t>
            </w:r>
          </w:p>
        </w:tc>
        <w:tc>
          <w:tcPr>
            <w:tcW w:w="1593" w:type="dxa"/>
            <w:vAlign w:val="center"/>
          </w:tcPr>
          <w:p w14:paraId="04AEAB77">
            <w:pPr>
              <w:pStyle w:val="518"/>
              <w:rPr>
                <w:szCs w:val="21"/>
                <w:lang w:eastAsia="zh-CN"/>
              </w:rPr>
            </w:pPr>
            <w:r>
              <w:rPr>
                <w:rFonts w:hint="eastAsia"/>
                <w:szCs w:val="21"/>
                <w:lang w:eastAsia="zh-CN"/>
              </w:rPr>
              <w:t>——</w:t>
            </w:r>
          </w:p>
        </w:tc>
      </w:tr>
      <w:tr w14:paraId="17F3C1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817" w:type="dxa"/>
            <w:vMerge w:val="restart"/>
            <w:vAlign w:val="center"/>
          </w:tcPr>
          <w:p w14:paraId="1F6BEF2E">
            <w:pPr>
              <w:pStyle w:val="518"/>
              <w:rPr>
                <w:szCs w:val="21"/>
                <w:lang w:eastAsia="zh-CN"/>
              </w:rPr>
            </w:pPr>
            <w:r>
              <w:rPr>
                <w:rFonts w:hint="eastAsia"/>
                <w:szCs w:val="21"/>
                <w:lang w:eastAsia="zh-CN"/>
              </w:rPr>
              <w:t>环保工程</w:t>
            </w:r>
          </w:p>
        </w:tc>
        <w:tc>
          <w:tcPr>
            <w:tcW w:w="1559" w:type="dxa"/>
            <w:vAlign w:val="center"/>
          </w:tcPr>
          <w:p w14:paraId="1070CC53">
            <w:pPr>
              <w:pStyle w:val="518"/>
              <w:rPr>
                <w:szCs w:val="21"/>
                <w:lang w:eastAsia="zh-CN"/>
              </w:rPr>
            </w:pPr>
            <w:r>
              <w:rPr>
                <w:szCs w:val="21"/>
                <w:lang w:eastAsia="zh-CN"/>
              </w:rPr>
              <w:t>生活</w:t>
            </w:r>
            <w:r>
              <w:rPr>
                <w:rFonts w:hint="eastAsia"/>
                <w:szCs w:val="21"/>
                <w:lang w:eastAsia="zh-CN"/>
              </w:rPr>
              <w:t>废水</w:t>
            </w:r>
            <w:r>
              <w:rPr>
                <w:szCs w:val="21"/>
                <w:lang w:eastAsia="zh-CN"/>
              </w:rPr>
              <w:t>处理设施</w:t>
            </w:r>
          </w:p>
        </w:tc>
        <w:tc>
          <w:tcPr>
            <w:tcW w:w="3402" w:type="dxa"/>
            <w:vAlign w:val="center"/>
          </w:tcPr>
          <w:p w14:paraId="477A622A">
            <w:pPr>
              <w:pStyle w:val="518"/>
              <w:rPr>
                <w:szCs w:val="21"/>
                <w:lang w:eastAsia="zh-CN"/>
              </w:rPr>
            </w:pPr>
            <w:r>
              <w:rPr>
                <w:rFonts w:hint="eastAsia"/>
                <w:szCs w:val="21"/>
                <w:lang w:eastAsia="zh-CN"/>
              </w:rPr>
              <w:t>雅一接转站建有</w:t>
            </w:r>
            <w:r>
              <w:rPr>
                <w:szCs w:val="21"/>
                <w:lang w:eastAsia="zh-CN"/>
              </w:rPr>
              <w:t>化粪池</w:t>
            </w:r>
            <w:r>
              <w:rPr>
                <w:rFonts w:hint="eastAsia"/>
                <w:szCs w:val="21"/>
                <w:lang w:eastAsia="zh-CN"/>
              </w:rPr>
              <w:t>、蒸发池（防渗处理）</w:t>
            </w:r>
          </w:p>
        </w:tc>
        <w:tc>
          <w:tcPr>
            <w:tcW w:w="4820" w:type="dxa"/>
            <w:vAlign w:val="center"/>
          </w:tcPr>
          <w:p w14:paraId="0CBB3ADB">
            <w:pPr>
              <w:pStyle w:val="518"/>
              <w:rPr>
                <w:szCs w:val="21"/>
                <w:lang w:eastAsia="zh-CN"/>
              </w:rPr>
            </w:pPr>
            <w:r>
              <w:rPr>
                <w:szCs w:val="21"/>
                <w:lang w:eastAsia="zh-CN"/>
              </w:rPr>
              <w:t>新建WSZ</w:t>
            </w:r>
            <w:r>
              <w:rPr>
                <w:rFonts w:hint="eastAsia"/>
                <w:szCs w:val="21"/>
                <w:lang w:eastAsia="zh-CN"/>
              </w:rPr>
              <w:t>-3</w:t>
            </w:r>
            <w:r>
              <w:rPr>
                <w:szCs w:val="21"/>
                <w:lang w:eastAsia="zh-CN"/>
              </w:rPr>
              <w:t>地埋式生活污水处理系统。</w:t>
            </w:r>
            <w:r>
              <w:rPr>
                <w:rFonts w:hint="eastAsia"/>
                <w:szCs w:val="21"/>
                <w:lang w:eastAsia="zh-CN"/>
              </w:rPr>
              <w:t>联合站</w:t>
            </w:r>
            <w:r>
              <w:rPr>
                <w:szCs w:val="21"/>
                <w:lang w:eastAsia="zh-CN"/>
              </w:rPr>
              <w:t>生活污水经地埋式生活污水处理系统处理后进入蒸发池。</w:t>
            </w:r>
          </w:p>
        </w:tc>
        <w:tc>
          <w:tcPr>
            <w:tcW w:w="1985" w:type="dxa"/>
            <w:vAlign w:val="center"/>
          </w:tcPr>
          <w:p w14:paraId="3BD26FAD">
            <w:pPr>
              <w:pStyle w:val="518"/>
              <w:rPr>
                <w:szCs w:val="21"/>
                <w:lang w:eastAsia="zh-CN"/>
              </w:rPr>
            </w:pPr>
            <w:r>
              <w:rPr>
                <w:rFonts w:hint="eastAsia"/>
                <w:szCs w:val="21"/>
                <w:lang w:eastAsia="zh-CN"/>
              </w:rPr>
              <w:t>依托现有蒸发池</w:t>
            </w:r>
          </w:p>
        </w:tc>
        <w:tc>
          <w:tcPr>
            <w:tcW w:w="1593" w:type="dxa"/>
            <w:vAlign w:val="center"/>
          </w:tcPr>
          <w:p w14:paraId="30BEDDEA">
            <w:pPr>
              <w:pStyle w:val="518"/>
              <w:rPr>
                <w:szCs w:val="21"/>
                <w:lang w:eastAsia="zh-CN"/>
              </w:rPr>
            </w:pPr>
            <w:r>
              <w:rPr>
                <w:rFonts w:hint="eastAsia"/>
                <w:szCs w:val="21"/>
                <w:lang w:eastAsia="zh-CN"/>
              </w:rPr>
              <w:t>——</w:t>
            </w:r>
          </w:p>
        </w:tc>
      </w:tr>
      <w:tr w14:paraId="07EF03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817" w:type="dxa"/>
            <w:vMerge w:val="continue"/>
            <w:vAlign w:val="center"/>
          </w:tcPr>
          <w:p w14:paraId="3E298A22">
            <w:pPr>
              <w:pStyle w:val="518"/>
              <w:rPr>
                <w:szCs w:val="21"/>
                <w:lang w:eastAsia="zh-CN"/>
              </w:rPr>
            </w:pPr>
          </w:p>
        </w:tc>
        <w:tc>
          <w:tcPr>
            <w:tcW w:w="1559" w:type="dxa"/>
            <w:vAlign w:val="center"/>
          </w:tcPr>
          <w:p w14:paraId="4336CC6C">
            <w:pPr>
              <w:pStyle w:val="518"/>
              <w:rPr>
                <w:szCs w:val="21"/>
                <w:lang w:eastAsia="zh-CN"/>
              </w:rPr>
            </w:pPr>
            <w:r>
              <w:rPr>
                <w:szCs w:val="21"/>
                <w:lang w:eastAsia="zh-CN"/>
              </w:rPr>
              <w:t>生产</w:t>
            </w:r>
            <w:r>
              <w:rPr>
                <w:rFonts w:hint="eastAsia"/>
                <w:szCs w:val="21"/>
                <w:lang w:eastAsia="zh-CN"/>
              </w:rPr>
              <w:t>废水</w:t>
            </w:r>
            <w:r>
              <w:rPr>
                <w:szCs w:val="21"/>
                <w:lang w:eastAsia="zh-CN"/>
              </w:rPr>
              <w:t>处理设施</w:t>
            </w:r>
          </w:p>
        </w:tc>
        <w:tc>
          <w:tcPr>
            <w:tcW w:w="3402" w:type="dxa"/>
            <w:vAlign w:val="center"/>
          </w:tcPr>
          <w:p w14:paraId="132B7258">
            <w:pPr>
              <w:pStyle w:val="518"/>
              <w:rPr>
                <w:szCs w:val="21"/>
                <w:lang w:eastAsia="zh-CN"/>
              </w:rPr>
            </w:pPr>
            <w:r>
              <w:rPr>
                <w:rFonts w:hint="eastAsia" w:ascii="宋体" w:hAnsi="宋体"/>
                <w:lang w:eastAsia="zh-CN"/>
              </w:rPr>
              <w:t>FA88污水处理一体机、精细过滤、自动加药等工艺装置，并采用泵对泵注水，处理能力50m</w:t>
            </w:r>
            <w:r>
              <w:rPr>
                <w:rFonts w:hint="eastAsia" w:ascii="宋体" w:hAnsi="宋体"/>
                <w:vertAlign w:val="superscript"/>
                <w:lang w:eastAsia="zh-CN"/>
              </w:rPr>
              <w:t>3</w:t>
            </w:r>
            <w:r>
              <w:rPr>
                <w:rFonts w:hint="eastAsia" w:ascii="宋体" w:hAnsi="宋体"/>
                <w:lang w:eastAsia="zh-CN"/>
              </w:rPr>
              <w:t>/d</w:t>
            </w:r>
            <w:r>
              <w:rPr>
                <w:szCs w:val="21"/>
                <w:lang w:eastAsia="zh-CN"/>
              </w:rPr>
              <w:t>。</w:t>
            </w:r>
          </w:p>
        </w:tc>
        <w:tc>
          <w:tcPr>
            <w:tcW w:w="4820" w:type="dxa"/>
            <w:vAlign w:val="center"/>
          </w:tcPr>
          <w:p w14:paraId="355BE461">
            <w:pPr>
              <w:pStyle w:val="518"/>
              <w:rPr>
                <w:szCs w:val="21"/>
                <w:lang w:eastAsia="zh-CN"/>
              </w:rPr>
            </w:pPr>
            <w:r>
              <w:rPr>
                <w:rFonts w:hint="eastAsia"/>
                <w:szCs w:val="21"/>
                <w:lang w:eastAsia="zh-CN"/>
              </w:rPr>
              <w:t>扩建设300</w:t>
            </w:r>
            <w:r>
              <w:rPr>
                <w:szCs w:val="21"/>
                <w:lang w:eastAsia="zh-CN"/>
              </w:rPr>
              <w:t>m</w:t>
            </w:r>
            <w:r>
              <w:rPr>
                <w:szCs w:val="21"/>
                <w:vertAlign w:val="superscript"/>
                <w:lang w:eastAsia="zh-CN"/>
              </w:rPr>
              <w:t>3</w:t>
            </w:r>
            <w:r>
              <w:rPr>
                <w:szCs w:val="21"/>
                <w:lang w:eastAsia="zh-CN"/>
              </w:rPr>
              <w:t>/d的</w:t>
            </w:r>
            <w:r>
              <w:rPr>
                <w:rFonts w:hint="eastAsia"/>
                <w:szCs w:val="21"/>
                <w:lang w:eastAsia="zh-CN"/>
              </w:rPr>
              <w:t>含油污水处理</w:t>
            </w:r>
            <w:r>
              <w:rPr>
                <w:szCs w:val="21"/>
                <w:lang w:eastAsia="zh-CN"/>
              </w:rPr>
              <w:t>系统。</w:t>
            </w:r>
          </w:p>
        </w:tc>
        <w:tc>
          <w:tcPr>
            <w:tcW w:w="1985" w:type="dxa"/>
            <w:vAlign w:val="center"/>
          </w:tcPr>
          <w:p w14:paraId="399B1625">
            <w:pPr>
              <w:pStyle w:val="518"/>
              <w:rPr>
                <w:szCs w:val="21"/>
                <w:lang w:eastAsia="zh-CN"/>
              </w:rPr>
            </w:pPr>
            <w:r>
              <w:rPr>
                <w:rFonts w:hint="eastAsia"/>
                <w:szCs w:val="21"/>
                <w:lang w:eastAsia="zh-CN"/>
              </w:rPr>
              <w:t>——</w:t>
            </w:r>
          </w:p>
        </w:tc>
        <w:tc>
          <w:tcPr>
            <w:tcW w:w="1593" w:type="dxa"/>
            <w:vAlign w:val="center"/>
          </w:tcPr>
          <w:p w14:paraId="49FB8852">
            <w:pPr>
              <w:pStyle w:val="518"/>
              <w:rPr>
                <w:szCs w:val="21"/>
                <w:lang w:eastAsia="zh-CN"/>
              </w:rPr>
            </w:pPr>
            <w:r>
              <w:rPr>
                <w:rFonts w:hint="eastAsia"/>
                <w:szCs w:val="21"/>
                <w:lang w:eastAsia="zh-CN"/>
              </w:rPr>
              <w:t>——</w:t>
            </w:r>
          </w:p>
        </w:tc>
      </w:tr>
      <w:tr w14:paraId="3C3252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817" w:type="dxa"/>
            <w:vMerge w:val="continue"/>
            <w:vAlign w:val="center"/>
          </w:tcPr>
          <w:p w14:paraId="51E7D491">
            <w:pPr>
              <w:pStyle w:val="518"/>
              <w:rPr>
                <w:szCs w:val="21"/>
                <w:lang w:eastAsia="zh-CN"/>
              </w:rPr>
            </w:pPr>
          </w:p>
        </w:tc>
        <w:tc>
          <w:tcPr>
            <w:tcW w:w="1559" w:type="dxa"/>
            <w:vAlign w:val="center"/>
          </w:tcPr>
          <w:p w14:paraId="54F59ECD">
            <w:pPr>
              <w:pStyle w:val="518"/>
              <w:rPr>
                <w:szCs w:val="21"/>
                <w:lang w:eastAsia="zh-CN"/>
              </w:rPr>
            </w:pPr>
            <w:r>
              <w:rPr>
                <w:szCs w:val="21"/>
                <w:lang w:eastAsia="zh-CN"/>
              </w:rPr>
              <w:t>废液池</w:t>
            </w:r>
          </w:p>
        </w:tc>
        <w:tc>
          <w:tcPr>
            <w:tcW w:w="3402" w:type="dxa"/>
            <w:vAlign w:val="center"/>
          </w:tcPr>
          <w:p w14:paraId="375D21CA">
            <w:pPr>
              <w:pStyle w:val="518"/>
              <w:rPr>
                <w:szCs w:val="21"/>
                <w:lang w:eastAsia="zh-CN"/>
              </w:rPr>
            </w:pPr>
            <w:r>
              <w:rPr>
                <w:rFonts w:hint="eastAsia"/>
                <w:szCs w:val="21"/>
                <w:lang w:eastAsia="zh-CN"/>
              </w:rPr>
              <w:t>生产过程</w:t>
            </w:r>
            <w:r>
              <w:rPr>
                <w:szCs w:val="21"/>
                <w:lang w:eastAsia="zh-CN"/>
              </w:rPr>
              <w:t>废液</w:t>
            </w:r>
            <w:r>
              <w:rPr>
                <w:rFonts w:hint="eastAsia"/>
                <w:szCs w:val="21"/>
                <w:lang w:eastAsia="zh-CN"/>
              </w:rPr>
              <w:t>、油泥砂、含油污水处理系统产生的污泥等</w:t>
            </w:r>
            <w:r>
              <w:rPr>
                <w:szCs w:val="21"/>
                <w:lang w:eastAsia="zh-CN"/>
              </w:rPr>
              <w:t>拉运至阿尔善处理。</w:t>
            </w:r>
          </w:p>
        </w:tc>
        <w:tc>
          <w:tcPr>
            <w:tcW w:w="4820" w:type="dxa"/>
            <w:vAlign w:val="center"/>
          </w:tcPr>
          <w:p w14:paraId="36408C9A">
            <w:pPr>
              <w:pStyle w:val="518"/>
              <w:rPr>
                <w:szCs w:val="21"/>
                <w:highlight w:val="yellow"/>
                <w:lang w:eastAsia="zh-CN"/>
              </w:rPr>
            </w:pPr>
            <w:r>
              <w:rPr>
                <w:szCs w:val="21"/>
                <w:lang w:eastAsia="zh-CN"/>
              </w:rPr>
              <w:t>新建1座废液池。</w:t>
            </w:r>
          </w:p>
        </w:tc>
        <w:tc>
          <w:tcPr>
            <w:tcW w:w="1985" w:type="dxa"/>
            <w:vAlign w:val="center"/>
          </w:tcPr>
          <w:p w14:paraId="73E11385">
            <w:pPr>
              <w:pStyle w:val="518"/>
              <w:rPr>
                <w:szCs w:val="21"/>
                <w:lang w:eastAsia="zh-CN"/>
              </w:rPr>
            </w:pPr>
            <w:r>
              <w:rPr>
                <w:rFonts w:hint="eastAsia"/>
                <w:szCs w:val="21"/>
                <w:lang w:eastAsia="zh-CN"/>
              </w:rPr>
              <w:t>委托东乌珠穆沁旗高科危险废物处理有限公司处置</w:t>
            </w:r>
          </w:p>
        </w:tc>
        <w:tc>
          <w:tcPr>
            <w:tcW w:w="1593" w:type="dxa"/>
            <w:vAlign w:val="center"/>
          </w:tcPr>
          <w:p w14:paraId="375D2AD0">
            <w:pPr>
              <w:pStyle w:val="518"/>
              <w:rPr>
                <w:szCs w:val="21"/>
                <w:lang w:eastAsia="zh-CN"/>
              </w:rPr>
            </w:pPr>
            <w:r>
              <w:rPr>
                <w:rFonts w:hint="eastAsia"/>
                <w:szCs w:val="21"/>
                <w:lang w:eastAsia="zh-CN"/>
              </w:rPr>
              <w:t>已经委托</w:t>
            </w:r>
          </w:p>
        </w:tc>
      </w:tr>
      <w:tr w14:paraId="2DF942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817" w:type="dxa"/>
            <w:vMerge w:val="continue"/>
            <w:vAlign w:val="center"/>
          </w:tcPr>
          <w:p w14:paraId="6A31007C">
            <w:pPr>
              <w:pStyle w:val="518"/>
              <w:rPr>
                <w:szCs w:val="21"/>
                <w:lang w:eastAsia="zh-CN"/>
              </w:rPr>
            </w:pPr>
          </w:p>
        </w:tc>
        <w:tc>
          <w:tcPr>
            <w:tcW w:w="1559" w:type="dxa"/>
            <w:vAlign w:val="center"/>
          </w:tcPr>
          <w:p w14:paraId="16127299">
            <w:pPr>
              <w:pStyle w:val="518"/>
              <w:rPr>
                <w:szCs w:val="21"/>
                <w:lang w:eastAsia="zh-CN"/>
              </w:rPr>
            </w:pPr>
            <w:r>
              <w:rPr>
                <w:rFonts w:hint="eastAsia"/>
                <w:szCs w:val="21"/>
                <w:lang w:eastAsia="zh-CN"/>
              </w:rPr>
              <w:t>隔油池</w:t>
            </w:r>
          </w:p>
          <w:p w14:paraId="07514475">
            <w:pPr>
              <w:pStyle w:val="518"/>
              <w:rPr>
                <w:szCs w:val="21"/>
                <w:lang w:eastAsia="zh-CN"/>
              </w:rPr>
            </w:pPr>
            <w:r>
              <w:rPr>
                <w:rFonts w:hint="eastAsia"/>
                <w:szCs w:val="21"/>
                <w:lang w:eastAsia="zh-CN"/>
              </w:rPr>
              <w:t>溢流堰</w:t>
            </w:r>
          </w:p>
          <w:p w14:paraId="3A8EE7F3">
            <w:pPr>
              <w:pStyle w:val="518"/>
              <w:rPr>
                <w:szCs w:val="21"/>
                <w:lang w:eastAsia="zh-CN"/>
              </w:rPr>
            </w:pPr>
            <w:r>
              <w:rPr>
                <w:rFonts w:hint="eastAsia"/>
                <w:szCs w:val="21"/>
                <w:lang w:eastAsia="zh-CN"/>
              </w:rPr>
              <w:t>缓冲池</w:t>
            </w:r>
          </w:p>
        </w:tc>
        <w:tc>
          <w:tcPr>
            <w:tcW w:w="3402" w:type="dxa"/>
            <w:vAlign w:val="center"/>
          </w:tcPr>
          <w:p w14:paraId="77C1343E">
            <w:pPr>
              <w:pStyle w:val="518"/>
              <w:rPr>
                <w:szCs w:val="21"/>
                <w:lang w:eastAsia="zh-CN"/>
              </w:rPr>
            </w:pPr>
            <w:r>
              <w:rPr>
                <w:rFonts w:hint="eastAsia"/>
                <w:szCs w:val="21"/>
                <w:lang w:eastAsia="zh-CN"/>
              </w:rPr>
              <w:t>风险事故防范</w:t>
            </w:r>
          </w:p>
        </w:tc>
        <w:tc>
          <w:tcPr>
            <w:tcW w:w="4820" w:type="dxa"/>
            <w:vAlign w:val="center"/>
          </w:tcPr>
          <w:p w14:paraId="074A9C6F">
            <w:pPr>
              <w:pStyle w:val="518"/>
              <w:rPr>
                <w:szCs w:val="21"/>
                <w:lang w:eastAsia="zh-CN"/>
              </w:rPr>
            </w:pPr>
            <w:r>
              <w:rPr>
                <w:rFonts w:hint="eastAsia"/>
                <w:szCs w:val="21"/>
                <w:lang w:eastAsia="zh-CN"/>
              </w:rPr>
              <w:t>隔油池1座5×5</w:t>
            </w:r>
            <w:r>
              <w:rPr>
                <w:rFonts w:hint="eastAsia" w:asciiTheme="minorEastAsia" w:hAnsiTheme="minorEastAsia" w:eastAsiaTheme="minorEastAsia"/>
                <w:kern w:val="2"/>
                <w:szCs w:val="24"/>
                <w:lang w:eastAsia="zh-CN" w:bidi="ar-SA"/>
              </w:rPr>
              <w:t>×3m</w:t>
            </w:r>
            <w:r>
              <w:rPr>
                <w:rFonts w:hint="eastAsia" w:asciiTheme="minorEastAsia" w:hAnsiTheme="minorEastAsia" w:eastAsiaTheme="minorEastAsia"/>
                <w:kern w:val="2"/>
                <w:szCs w:val="24"/>
                <w:vertAlign w:val="superscript"/>
                <w:lang w:eastAsia="zh-CN" w:bidi="ar-SA"/>
              </w:rPr>
              <w:t>3</w:t>
            </w:r>
            <w:r>
              <w:rPr>
                <w:rFonts w:hint="eastAsia" w:asciiTheme="minorEastAsia" w:hAnsiTheme="minorEastAsia" w:eastAsiaTheme="minorEastAsia"/>
                <w:kern w:val="2"/>
                <w:szCs w:val="24"/>
                <w:lang w:eastAsia="zh-CN" w:bidi="ar-SA"/>
              </w:rPr>
              <w:t>，</w:t>
            </w:r>
            <w:r>
              <w:rPr>
                <w:rFonts w:hint="eastAsia"/>
                <w:szCs w:val="21"/>
                <w:lang w:eastAsia="zh-CN"/>
              </w:rPr>
              <w:t>溢流堰500m</w:t>
            </w:r>
            <w:r>
              <w:rPr>
                <w:rFonts w:hint="eastAsia"/>
                <w:szCs w:val="21"/>
                <w:vertAlign w:val="superscript"/>
                <w:lang w:eastAsia="zh-CN"/>
              </w:rPr>
              <w:t>3</w:t>
            </w:r>
          </w:p>
          <w:p w14:paraId="60AEFFCE">
            <w:pPr>
              <w:pStyle w:val="518"/>
              <w:rPr>
                <w:szCs w:val="21"/>
                <w:lang w:eastAsia="zh-CN"/>
              </w:rPr>
            </w:pPr>
            <w:r>
              <w:rPr>
                <w:rFonts w:hint="eastAsia"/>
                <w:szCs w:val="21"/>
                <w:lang w:eastAsia="zh-CN"/>
              </w:rPr>
              <w:t>缓冲池5×5</w:t>
            </w:r>
            <w:r>
              <w:rPr>
                <w:rFonts w:hint="eastAsia" w:asciiTheme="minorEastAsia" w:hAnsiTheme="minorEastAsia" w:eastAsiaTheme="minorEastAsia"/>
                <w:kern w:val="2"/>
                <w:szCs w:val="24"/>
                <w:lang w:eastAsia="zh-CN" w:bidi="ar-SA"/>
              </w:rPr>
              <w:t>×3m</w:t>
            </w:r>
            <w:r>
              <w:rPr>
                <w:rFonts w:hint="eastAsia" w:asciiTheme="minorEastAsia" w:hAnsiTheme="minorEastAsia" w:eastAsiaTheme="minorEastAsia"/>
                <w:kern w:val="2"/>
                <w:szCs w:val="24"/>
                <w:vertAlign w:val="superscript"/>
                <w:lang w:eastAsia="zh-CN" w:bidi="ar-SA"/>
              </w:rPr>
              <w:t>3</w:t>
            </w:r>
          </w:p>
        </w:tc>
        <w:tc>
          <w:tcPr>
            <w:tcW w:w="1985" w:type="dxa"/>
            <w:vAlign w:val="center"/>
          </w:tcPr>
          <w:p w14:paraId="56D4A860">
            <w:pPr>
              <w:pStyle w:val="518"/>
              <w:rPr>
                <w:szCs w:val="21"/>
                <w:lang w:eastAsia="zh-CN"/>
              </w:rPr>
            </w:pPr>
          </w:p>
        </w:tc>
        <w:tc>
          <w:tcPr>
            <w:tcW w:w="1593" w:type="dxa"/>
            <w:vAlign w:val="center"/>
          </w:tcPr>
          <w:p w14:paraId="30D3D9D7">
            <w:pPr>
              <w:pStyle w:val="518"/>
              <w:rPr>
                <w:szCs w:val="21"/>
                <w:lang w:eastAsia="zh-CN"/>
              </w:rPr>
            </w:pPr>
            <w:r>
              <w:rPr>
                <w:rFonts w:hint="eastAsia"/>
                <w:szCs w:val="21"/>
                <w:lang w:eastAsia="zh-CN"/>
              </w:rPr>
              <w:t>防渗</w:t>
            </w:r>
          </w:p>
        </w:tc>
      </w:tr>
    </w:tbl>
    <w:p w14:paraId="4D8A41BF">
      <w:pPr>
        <w:ind w:firstLine="480"/>
        <w:rPr>
          <w:snapToGrid w:val="0"/>
          <w:lang w:eastAsia="zh-CN"/>
        </w:rPr>
        <w:sectPr>
          <w:pgSz w:w="16840" w:h="11907" w:orient="landscape"/>
          <w:pgMar w:top="1797" w:right="1440" w:bottom="1797" w:left="1440" w:header="851" w:footer="992" w:gutter="0"/>
          <w:cols w:space="720" w:num="1"/>
          <w:docGrid w:linePitch="326" w:charSpace="0"/>
        </w:sectPr>
      </w:pPr>
    </w:p>
    <w:p w14:paraId="568CCF76">
      <w:pPr>
        <w:pStyle w:val="4"/>
        <w:rPr>
          <w:snapToGrid w:val="0"/>
          <w:lang w:eastAsia="zh-CN"/>
        </w:rPr>
      </w:pPr>
      <w:bookmarkStart w:id="139" w:name="_Toc408413919"/>
      <w:r>
        <w:rPr>
          <w:snapToGrid w:val="0"/>
          <w:lang w:eastAsia="zh-CN"/>
        </w:rPr>
        <w:t>2.</w:t>
      </w:r>
      <w:r>
        <w:rPr>
          <w:rFonts w:hint="eastAsia"/>
          <w:snapToGrid w:val="0"/>
          <w:lang w:eastAsia="zh-CN"/>
        </w:rPr>
        <w:t>3</w:t>
      </w:r>
      <w:r>
        <w:rPr>
          <w:snapToGrid w:val="0"/>
          <w:lang w:eastAsia="zh-CN"/>
        </w:rPr>
        <w:t>.1</w:t>
      </w:r>
      <w:r>
        <w:rPr>
          <w:rFonts w:hint="eastAsia"/>
          <w:snapToGrid w:val="0"/>
          <w:lang w:eastAsia="zh-CN"/>
        </w:rPr>
        <w:t>2</w:t>
      </w:r>
      <w:r>
        <w:rPr>
          <w:snapToGrid w:val="0"/>
          <w:lang w:eastAsia="zh-CN"/>
        </w:rPr>
        <w:t>平面布置</w:t>
      </w:r>
      <w:bookmarkEnd w:id="139"/>
    </w:p>
    <w:p w14:paraId="5F40BCF3">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乌里雅斯太油田</w:t>
      </w:r>
      <w:r>
        <w:rPr>
          <w:rFonts w:asciiTheme="minorEastAsia" w:hAnsiTheme="minorEastAsia" w:eastAsiaTheme="minorEastAsia"/>
          <w:lang w:eastAsia="zh-CN"/>
        </w:rPr>
        <w:t>地面建设主要</w:t>
      </w:r>
      <w:r>
        <w:rPr>
          <w:rFonts w:hint="eastAsia" w:asciiTheme="minorEastAsia" w:hAnsiTheme="minorEastAsia" w:eastAsiaTheme="minorEastAsia"/>
          <w:lang w:eastAsia="zh-CN"/>
        </w:rPr>
        <w:t>将雅一接转站扩建为雅斯联合站。雅斯联合站设计</w:t>
      </w:r>
      <w:r>
        <w:rPr>
          <w:rFonts w:asciiTheme="minorEastAsia" w:hAnsiTheme="minorEastAsia" w:eastAsiaTheme="minorEastAsia"/>
          <w:lang w:eastAsia="zh-CN"/>
        </w:rPr>
        <w:t>建设规模为</w:t>
      </w:r>
      <w:r>
        <w:rPr>
          <w:rFonts w:hint="eastAsia" w:asciiTheme="minorEastAsia" w:hAnsiTheme="minorEastAsia" w:eastAsiaTheme="minorEastAsia"/>
          <w:lang w:eastAsia="zh-CN"/>
        </w:rPr>
        <w:t>8</w:t>
      </w:r>
      <w:r>
        <w:rPr>
          <w:rFonts w:asciiTheme="minorEastAsia" w:hAnsiTheme="minorEastAsia" w:eastAsiaTheme="minorEastAsia"/>
          <w:lang w:eastAsia="zh-CN"/>
        </w:rPr>
        <w:t>×10</w:t>
      </w:r>
      <w:r>
        <w:rPr>
          <w:rFonts w:asciiTheme="minorEastAsia" w:hAnsiTheme="minorEastAsia" w:eastAsiaTheme="minorEastAsia"/>
          <w:vertAlign w:val="superscript"/>
          <w:lang w:eastAsia="zh-CN"/>
        </w:rPr>
        <w:t>4</w:t>
      </w:r>
      <w:r>
        <w:rPr>
          <w:rFonts w:asciiTheme="minorEastAsia" w:hAnsiTheme="minorEastAsia" w:eastAsiaTheme="minorEastAsia"/>
          <w:lang w:eastAsia="zh-CN"/>
        </w:rPr>
        <w:t>t/a。</w:t>
      </w:r>
      <w:r>
        <w:rPr>
          <w:rFonts w:hint="eastAsia" w:asciiTheme="minorEastAsia" w:hAnsiTheme="minorEastAsia" w:eastAsiaTheme="minorEastAsia"/>
          <w:lang w:eastAsia="zh-CN"/>
        </w:rPr>
        <w:t>功能包括集油、分离、沉降脱水、加热、掺水、伴生气处理、天然气发电、装卸车、注水、污水处理、变配电等，扩建后的雅斯联合站，处理合格的原油通过阿乌宝线进入宝力格联合站。</w:t>
      </w:r>
    </w:p>
    <w:p w14:paraId="3157EF94">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单井集油采用掺水流程，单井计量采用示功图计量，不建计量站，实现一级布站。</w:t>
      </w:r>
    </w:p>
    <w:p w14:paraId="7F0711D6">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联合站内平面布置将油工艺系统及采出水处理等统一考虑，三相分离器、换热器、加药间等布置在站场西北，阿尔油田外输系统阿乌宝线3号站中外输泵房、储罐布置在站场东北，变配电室布置在站场的东南，加热炉区布置在变配电室与储罐之间，包括燃油泵房、热水泵房及烧火间等，办公区布置在站场西南，配水间、注水泵房等布置在办公区与加药间之间。北侧扩建气处理装置区及卸车场地。大门用现有南侧的两个大门，在新建的卸车场地新设大门及道路。周边围墙加高，北侧围墙站内与南侧相通的位置做1.5m铁艺栏杆。</w:t>
      </w:r>
    </w:p>
    <w:p w14:paraId="40B86EA1">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站内道路采用混凝土道路，道路的类型为郊区型道路，主要道路路面宽4m，道路转弯半径为12m。路面结构为20cmC30混凝土路面+30cm水泥稳定级配碎石（水泥5%）+路基碾压，道牙为混凝土平道牙。工艺装置区及生产区采用混凝土方砖铺砌，巡检路为1.5米的混凝土方砖人行道，保证操作、安全巡检的需求。</w:t>
      </w:r>
    </w:p>
    <w:p w14:paraId="4CBDDD71">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场区内在考虑生产、安全的条件下合理进行绿化。绿化率达到15％。</w:t>
      </w:r>
    </w:p>
    <w:p w14:paraId="11A7BBB2">
      <w:pPr>
        <w:spacing w:line="540" w:lineRule="exact"/>
        <w:ind w:firstLine="199" w:firstLineChars="83"/>
        <w:rPr>
          <w:szCs w:val="24"/>
          <w:lang w:eastAsia="zh-CN"/>
        </w:rPr>
        <w:sectPr>
          <w:pgSz w:w="11907" w:h="16840"/>
          <w:pgMar w:top="1440" w:right="1797" w:bottom="1440" w:left="1797" w:header="851" w:footer="992" w:gutter="0"/>
          <w:cols w:space="720" w:num="1"/>
          <w:docGrid w:linePitch="326" w:charSpace="0"/>
        </w:sectPr>
      </w:pPr>
      <w:r>
        <w:rPr>
          <w:rFonts w:hint="eastAsia" w:asciiTheme="minorEastAsia" w:hAnsiTheme="minorEastAsia" w:eastAsiaTheme="minorEastAsia"/>
          <w:lang w:eastAsia="zh-CN"/>
        </w:rPr>
        <w:t>乌里雅斯太油田雅斯联合站平面布置图见图2.3-7。</w:t>
      </w:r>
    </w:p>
    <w:p w14:paraId="5AAB0FF3">
      <w:pPr>
        <w:spacing w:line="540" w:lineRule="exact"/>
        <w:ind w:firstLine="0" w:firstLineChars="0"/>
        <w:jc w:val="center"/>
        <w:rPr>
          <w:kern w:val="2"/>
          <w:sz w:val="28"/>
          <w:szCs w:val="28"/>
          <w:lang w:eastAsia="zh-CN" w:bidi="ar-SA"/>
        </w:rPr>
      </w:pPr>
      <w:r>
        <w:rPr>
          <w:rFonts w:hint="eastAsia"/>
          <w:sz w:val="44"/>
          <w:szCs w:val="44"/>
          <w:lang w:eastAsia="zh-CN" w:bidi="ar-SA"/>
        </w:rPr>
        <w:drawing>
          <wp:anchor distT="0" distB="0" distL="114300" distR="114300" simplePos="0" relativeHeight="251669504" behindDoc="0" locked="0" layoutInCell="1" allowOverlap="1">
            <wp:simplePos x="0" y="0"/>
            <wp:positionH relativeFrom="column">
              <wp:posOffset>213995</wp:posOffset>
            </wp:positionH>
            <wp:positionV relativeFrom="paragraph">
              <wp:posOffset>333375</wp:posOffset>
            </wp:positionV>
            <wp:extent cx="8460105" cy="4846320"/>
            <wp:effectExtent l="19050" t="0" r="0" b="0"/>
            <wp:wrapNone/>
            <wp:docPr id="29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35"/>
                    <pic:cNvPicPr>
                      <a:picLocks noChangeAspect="1" noChangeArrowheads="1"/>
                    </pic:cNvPicPr>
                  </pic:nvPicPr>
                  <pic:blipFill>
                    <a:blip r:embed="rId25"/>
                    <a:srcRect t="5856" b="1653"/>
                    <a:stretch>
                      <a:fillRect/>
                    </a:stretch>
                  </pic:blipFill>
                  <pic:spPr>
                    <a:xfrm>
                      <a:off x="0" y="0"/>
                      <a:ext cx="8460105" cy="4846320"/>
                    </a:xfrm>
                    <a:prstGeom prst="rect">
                      <a:avLst/>
                    </a:prstGeom>
                    <a:noFill/>
                    <a:ln w="9525">
                      <a:noFill/>
                      <a:miter lim="800000"/>
                      <a:headEnd/>
                      <a:tailEnd/>
                    </a:ln>
                  </pic:spPr>
                </pic:pic>
              </a:graphicData>
            </a:graphic>
          </wp:anchor>
        </w:drawing>
      </w:r>
      <w:r>
        <w:rPr>
          <w:rFonts w:hint="eastAsia"/>
          <w:kern w:val="2"/>
          <w:sz w:val="44"/>
          <w:szCs w:val="44"/>
          <w:lang w:eastAsia="zh-CN"/>
        </w:rPr>
        <w:t xml:space="preserve">    </w:t>
      </w:r>
      <w:r>
        <w:rPr>
          <w:rFonts w:hint="eastAsia"/>
          <w:kern w:val="2"/>
          <w:sz w:val="28"/>
          <w:szCs w:val="28"/>
          <w:lang w:eastAsia="zh-CN"/>
        </w:rPr>
        <w:t xml:space="preserve">图2.3-7  </w:t>
      </w:r>
      <w:r>
        <w:rPr>
          <w:rFonts w:hint="eastAsia"/>
          <w:kern w:val="2"/>
          <w:sz w:val="28"/>
          <w:szCs w:val="28"/>
          <w:lang w:eastAsia="zh-CN" w:bidi="ar-SA"/>
        </w:rPr>
        <w:t>雅斯联合站</w:t>
      </w:r>
      <w:r>
        <w:rPr>
          <w:kern w:val="2"/>
          <w:sz w:val="28"/>
          <w:szCs w:val="28"/>
          <w:lang w:eastAsia="zh-CN" w:bidi="ar-SA"/>
        </w:rPr>
        <w:t>平面分布图</w:t>
      </w:r>
    </w:p>
    <w:p w14:paraId="1EF11E8C">
      <w:pPr>
        <w:spacing w:line="540" w:lineRule="exact"/>
        <w:ind w:firstLine="480"/>
        <w:rPr>
          <w:szCs w:val="24"/>
          <w:lang w:eastAsia="zh-CN"/>
        </w:rPr>
      </w:pPr>
    </w:p>
    <w:p w14:paraId="7CFED525">
      <w:pPr>
        <w:spacing w:line="540" w:lineRule="exact"/>
        <w:ind w:firstLine="480"/>
        <w:rPr>
          <w:lang w:eastAsia="zh-CN"/>
        </w:rPr>
        <w:sectPr>
          <w:pgSz w:w="16840" w:h="11907" w:orient="landscape"/>
          <w:pgMar w:top="1797" w:right="1440" w:bottom="1797" w:left="1440" w:header="851" w:footer="992" w:gutter="0"/>
          <w:cols w:space="720" w:num="1"/>
          <w:docGrid w:linePitch="326" w:charSpace="0"/>
        </w:sectPr>
      </w:pPr>
    </w:p>
    <w:p w14:paraId="2CFBBE39">
      <w:pPr>
        <w:pStyle w:val="4"/>
        <w:rPr>
          <w:lang w:eastAsia="zh-CN"/>
        </w:rPr>
      </w:pPr>
      <w:bookmarkStart w:id="140" w:name="_Toc408413920"/>
      <w:r>
        <w:rPr>
          <w:lang w:eastAsia="zh-CN"/>
        </w:rPr>
        <w:t>2.</w:t>
      </w:r>
      <w:r>
        <w:rPr>
          <w:rFonts w:hint="eastAsia"/>
          <w:lang w:eastAsia="zh-CN"/>
        </w:rPr>
        <w:t>3</w:t>
      </w:r>
      <w:r>
        <w:rPr>
          <w:lang w:eastAsia="zh-CN"/>
        </w:rPr>
        <w:t>.1</w:t>
      </w:r>
      <w:r>
        <w:rPr>
          <w:rFonts w:hint="eastAsia"/>
          <w:lang w:eastAsia="zh-CN"/>
        </w:rPr>
        <w:t>3</w:t>
      </w:r>
      <w:r>
        <w:rPr>
          <w:lang w:eastAsia="zh-CN"/>
        </w:rPr>
        <w:t>工程占地</w:t>
      </w:r>
      <w:bookmarkEnd w:id="140"/>
    </w:p>
    <w:p w14:paraId="65EF1CBE">
      <w:pPr>
        <w:ind w:firstLine="480"/>
        <w:rPr>
          <w:rFonts w:asciiTheme="minorEastAsia" w:hAnsiTheme="minorEastAsia" w:eastAsiaTheme="minorEastAsia"/>
          <w:lang w:eastAsia="zh-CN"/>
        </w:rPr>
      </w:pPr>
      <w:r>
        <w:rPr>
          <w:rFonts w:asciiTheme="minorEastAsia" w:hAnsiTheme="minorEastAsia" w:eastAsiaTheme="minorEastAsia"/>
          <w:lang w:eastAsia="zh-CN"/>
        </w:rPr>
        <w:t>本工程占地面积</w:t>
      </w:r>
      <w:r>
        <w:rPr>
          <w:rFonts w:hint="eastAsia" w:asciiTheme="minorEastAsia" w:hAnsiTheme="minorEastAsia" w:eastAsiaTheme="minorEastAsia"/>
          <w:lang w:eastAsia="zh-CN"/>
        </w:rPr>
        <w:t>65.87</w:t>
      </w:r>
      <w:r>
        <w:rPr>
          <w:rFonts w:asciiTheme="minorEastAsia" w:hAnsiTheme="minorEastAsia" w:eastAsiaTheme="minorEastAsia"/>
          <w:lang w:eastAsia="zh-CN"/>
        </w:rPr>
        <w:t>hm</w:t>
      </w:r>
      <w:r>
        <w:rPr>
          <w:rFonts w:asciiTheme="minorEastAsia" w:hAnsiTheme="minorEastAsia" w:eastAsiaTheme="minorEastAsia"/>
          <w:vertAlign w:val="superscript"/>
          <w:lang w:eastAsia="zh-CN"/>
        </w:rPr>
        <w:t>2</w:t>
      </w:r>
      <w:r>
        <w:rPr>
          <w:rFonts w:asciiTheme="minorEastAsia" w:hAnsiTheme="minorEastAsia" w:eastAsiaTheme="minorEastAsia"/>
          <w:lang w:eastAsia="zh-CN"/>
        </w:rPr>
        <w:t>，其中永久占地</w:t>
      </w:r>
      <w:r>
        <w:rPr>
          <w:rFonts w:hint="eastAsia" w:asciiTheme="minorEastAsia" w:hAnsiTheme="minorEastAsia" w:eastAsiaTheme="minorEastAsia"/>
          <w:lang w:eastAsia="zh-CN"/>
        </w:rPr>
        <w:t>15.2</w:t>
      </w:r>
      <w:r>
        <w:rPr>
          <w:rFonts w:asciiTheme="minorEastAsia" w:hAnsiTheme="minorEastAsia" w:eastAsiaTheme="minorEastAsia"/>
          <w:lang w:eastAsia="zh-CN"/>
        </w:rPr>
        <w:t>hm</w:t>
      </w:r>
      <w:r>
        <w:rPr>
          <w:rFonts w:asciiTheme="minorEastAsia" w:hAnsiTheme="minorEastAsia" w:eastAsiaTheme="minorEastAsia"/>
          <w:vertAlign w:val="superscript"/>
          <w:lang w:eastAsia="zh-CN"/>
        </w:rPr>
        <w:t>2</w:t>
      </w:r>
      <w:r>
        <w:rPr>
          <w:rFonts w:asciiTheme="minorEastAsia" w:hAnsiTheme="minorEastAsia" w:eastAsiaTheme="minorEastAsia"/>
          <w:lang w:eastAsia="zh-CN"/>
        </w:rPr>
        <w:t>，临时占地</w:t>
      </w:r>
      <w:r>
        <w:rPr>
          <w:rFonts w:hint="eastAsia" w:asciiTheme="minorEastAsia" w:hAnsiTheme="minorEastAsia" w:eastAsiaTheme="minorEastAsia"/>
          <w:lang w:eastAsia="zh-CN"/>
        </w:rPr>
        <w:t>50.67</w:t>
      </w:r>
      <w:r>
        <w:rPr>
          <w:rFonts w:asciiTheme="minorEastAsia" w:hAnsiTheme="minorEastAsia" w:eastAsiaTheme="minorEastAsia"/>
          <w:lang w:eastAsia="zh-CN"/>
        </w:rPr>
        <w:t>hm</w:t>
      </w:r>
      <w:r>
        <w:rPr>
          <w:rFonts w:asciiTheme="minorEastAsia" w:hAnsiTheme="minorEastAsia" w:eastAsiaTheme="minorEastAsia"/>
          <w:vertAlign w:val="superscript"/>
          <w:lang w:eastAsia="zh-CN"/>
        </w:rPr>
        <w:t>2</w:t>
      </w:r>
      <w:r>
        <w:rPr>
          <w:rFonts w:asciiTheme="minorEastAsia" w:hAnsiTheme="minorEastAsia" w:eastAsiaTheme="minorEastAsia"/>
          <w:lang w:eastAsia="zh-CN"/>
        </w:rPr>
        <w:t>，占地类型全部为草地，本工程占地情况见表2.</w:t>
      </w:r>
      <w:r>
        <w:rPr>
          <w:rFonts w:hint="eastAsia" w:asciiTheme="minorEastAsia" w:hAnsiTheme="minorEastAsia" w:eastAsiaTheme="minorEastAsia"/>
          <w:lang w:eastAsia="zh-CN"/>
        </w:rPr>
        <w:t>3</w:t>
      </w:r>
      <w:r>
        <w:rPr>
          <w:rFonts w:asciiTheme="minorEastAsia" w:hAnsiTheme="minorEastAsia" w:eastAsiaTheme="minorEastAsia"/>
          <w:lang w:eastAsia="zh-CN"/>
        </w:rPr>
        <w:t>-</w:t>
      </w:r>
      <w:r>
        <w:rPr>
          <w:rFonts w:hint="eastAsia" w:asciiTheme="minorEastAsia" w:hAnsiTheme="minorEastAsia" w:eastAsiaTheme="minorEastAsia"/>
          <w:lang w:eastAsia="zh-CN"/>
        </w:rPr>
        <w:t>11</w:t>
      </w:r>
      <w:r>
        <w:rPr>
          <w:rFonts w:asciiTheme="minorEastAsia" w:hAnsiTheme="minorEastAsia" w:eastAsiaTheme="minorEastAsia"/>
          <w:lang w:eastAsia="zh-CN"/>
        </w:rPr>
        <w:t>。</w:t>
      </w:r>
    </w:p>
    <w:p w14:paraId="2BF8841A">
      <w:pPr>
        <w:spacing w:line="240" w:lineRule="auto"/>
        <w:ind w:firstLine="0" w:firstLineChars="0"/>
        <w:jc w:val="center"/>
        <w:rPr>
          <w:b/>
          <w:bCs/>
          <w:szCs w:val="24"/>
          <w:lang w:eastAsia="zh-CN"/>
        </w:rPr>
      </w:pPr>
      <w:r>
        <w:rPr>
          <w:b/>
          <w:szCs w:val="24"/>
          <w:lang w:eastAsia="zh-CN"/>
        </w:rPr>
        <w:t>表2.</w:t>
      </w:r>
      <w:r>
        <w:rPr>
          <w:rFonts w:hint="eastAsia"/>
          <w:b/>
          <w:szCs w:val="24"/>
          <w:lang w:eastAsia="zh-CN"/>
        </w:rPr>
        <w:t>3</w:t>
      </w:r>
      <w:r>
        <w:rPr>
          <w:b/>
          <w:szCs w:val="24"/>
          <w:lang w:eastAsia="zh-CN"/>
        </w:rPr>
        <w:t>-</w:t>
      </w:r>
      <w:r>
        <w:rPr>
          <w:rFonts w:hint="eastAsia"/>
          <w:b/>
          <w:szCs w:val="24"/>
          <w:lang w:eastAsia="zh-CN"/>
        </w:rPr>
        <w:t>11</w:t>
      </w:r>
      <w:r>
        <w:rPr>
          <w:b/>
          <w:szCs w:val="24"/>
          <w:lang w:eastAsia="zh-CN"/>
        </w:rPr>
        <w:t xml:space="preserve">  </w:t>
      </w:r>
      <w:r>
        <w:rPr>
          <w:b/>
          <w:bCs/>
          <w:szCs w:val="24"/>
          <w:lang w:eastAsia="zh-CN"/>
        </w:rPr>
        <w:t>工程占地类型及占地面积表  单位：hm</w:t>
      </w:r>
      <w:r>
        <w:rPr>
          <w:b/>
          <w:bCs/>
          <w:szCs w:val="24"/>
          <w:vertAlign w:val="superscript"/>
          <w:lang w:eastAsia="zh-CN"/>
        </w:rPr>
        <w:t>2</w:t>
      </w:r>
    </w:p>
    <w:tbl>
      <w:tblPr>
        <w:tblStyle w:val="7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4"/>
        <w:gridCol w:w="1985"/>
        <w:gridCol w:w="74"/>
        <w:gridCol w:w="2194"/>
        <w:gridCol w:w="1417"/>
        <w:gridCol w:w="1419"/>
      </w:tblGrid>
      <w:tr w14:paraId="4CCABF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637" w:type="dxa"/>
            <w:gridSpan w:val="4"/>
            <w:vAlign w:val="center"/>
          </w:tcPr>
          <w:p w14:paraId="54468CC5">
            <w:pPr>
              <w:adjustRightInd w:val="0"/>
              <w:snapToGrid w:val="0"/>
              <w:spacing w:line="240" w:lineRule="auto"/>
              <w:ind w:firstLine="0" w:firstLineChars="0"/>
              <w:jc w:val="center"/>
              <w:rPr>
                <w:sz w:val="21"/>
                <w:szCs w:val="21"/>
              </w:rPr>
            </w:pPr>
            <w:r>
              <w:rPr>
                <w:sz w:val="21"/>
                <w:szCs w:val="21"/>
              </w:rPr>
              <w:t>分区</w:t>
            </w:r>
          </w:p>
        </w:tc>
        <w:tc>
          <w:tcPr>
            <w:tcW w:w="1417" w:type="dxa"/>
            <w:tcBorders>
              <w:right w:val="single" w:color="auto" w:sz="4" w:space="0"/>
            </w:tcBorders>
            <w:vAlign w:val="center"/>
          </w:tcPr>
          <w:p w14:paraId="59BC9D6F">
            <w:pPr>
              <w:adjustRightInd w:val="0"/>
              <w:snapToGrid w:val="0"/>
              <w:spacing w:line="240" w:lineRule="auto"/>
              <w:ind w:firstLine="0" w:firstLineChars="0"/>
              <w:jc w:val="center"/>
              <w:rPr>
                <w:sz w:val="21"/>
                <w:szCs w:val="21"/>
                <w:lang w:eastAsia="zh-CN"/>
              </w:rPr>
            </w:pPr>
            <w:r>
              <w:rPr>
                <w:sz w:val="21"/>
                <w:szCs w:val="21"/>
              </w:rPr>
              <w:t>永久占地</w:t>
            </w:r>
          </w:p>
        </w:tc>
        <w:tc>
          <w:tcPr>
            <w:tcW w:w="1419" w:type="dxa"/>
            <w:tcBorders>
              <w:left w:val="single" w:color="auto" w:sz="4" w:space="0"/>
              <w:right w:val="single" w:color="auto" w:sz="12" w:space="0"/>
            </w:tcBorders>
            <w:vAlign w:val="center"/>
          </w:tcPr>
          <w:p w14:paraId="33E81E8B">
            <w:pPr>
              <w:adjustRightInd w:val="0"/>
              <w:snapToGrid w:val="0"/>
              <w:spacing w:line="240" w:lineRule="auto"/>
              <w:ind w:firstLine="0" w:firstLineChars="0"/>
              <w:jc w:val="center"/>
              <w:rPr>
                <w:sz w:val="21"/>
                <w:szCs w:val="21"/>
                <w:lang w:eastAsia="zh-CN"/>
              </w:rPr>
            </w:pPr>
            <w:r>
              <w:rPr>
                <w:sz w:val="21"/>
                <w:szCs w:val="21"/>
              </w:rPr>
              <w:t>临时占地</w:t>
            </w:r>
          </w:p>
        </w:tc>
      </w:tr>
      <w:tr w14:paraId="264A7C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84" w:type="dxa"/>
            <w:vMerge w:val="restart"/>
            <w:vAlign w:val="center"/>
          </w:tcPr>
          <w:p w14:paraId="271FD30F">
            <w:pPr>
              <w:adjustRightInd w:val="0"/>
              <w:snapToGrid w:val="0"/>
              <w:spacing w:line="240" w:lineRule="auto"/>
              <w:ind w:firstLine="0" w:firstLineChars="0"/>
              <w:jc w:val="center"/>
              <w:rPr>
                <w:sz w:val="21"/>
                <w:szCs w:val="21"/>
                <w:lang w:eastAsia="zh-CN"/>
              </w:rPr>
            </w:pPr>
            <w:r>
              <w:rPr>
                <w:sz w:val="21"/>
                <w:szCs w:val="21"/>
                <w:lang w:eastAsia="zh-CN"/>
              </w:rPr>
              <w:t>原油</w:t>
            </w:r>
          </w:p>
          <w:p w14:paraId="6800C4E5">
            <w:pPr>
              <w:adjustRightInd w:val="0"/>
              <w:snapToGrid w:val="0"/>
              <w:spacing w:line="240" w:lineRule="auto"/>
              <w:ind w:firstLine="0" w:firstLineChars="0"/>
              <w:jc w:val="center"/>
              <w:rPr>
                <w:sz w:val="21"/>
                <w:szCs w:val="21"/>
                <w:lang w:eastAsia="zh-CN"/>
              </w:rPr>
            </w:pPr>
            <w:r>
              <w:rPr>
                <w:sz w:val="21"/>
                <w:szCs w:val="21"/>
                <w:lang w:eastAsia="zh-CN"/>
              </w:rPr>
              <w:t>集输工</w:t>
            </w:r>
            <w:r>
              <w:rPr>
                <w:rFonts w:hint="eastAsia"/>
                <w:sz w:val="21"/>
                <w:szCs w:val="21"/>
                <w:lang w:eastAsia="zh-CN"/>
              </w:rPr>
              <w:t>程</w:t>
            </w:r>
          </w:p>
        </w:tc>
        <w:tc>
          <w:tcPr>
            <w:tcW w:w="1985" w:type="dxa"/>
            <w:vAlign w:val="center"/>
          </w:tcPr>
          <w:p w14:paraId="684DB3C3">
            <w:pPr>
              <w:adjustRightInd w:val="0"/>
              <w:snapToGrid w:val="0"/>
              <w:spacing w:line="240" w:lineRule="auto"/>
              <w:ind w:firstLine="0" w:firstLineChars="0"/>
              <w:jc w:val="center"/>
              <w:rPr>
                <w:sz w:val="21"/>
                <w:szCs w:val="21"/>
                <w:lang w:eastAsia="zh-CN"/>
              </w:rPr>
            </w:pPr>
            <w:r>
              <w:rPr>
                <w:sz w:val="21"/>
                <w:szCs w:val="21"/>
                <w:lang w:eastAsia="zh-CN"/>
              </w:rPr>
              <w:t>站场</w:t>
            </w:r>
          </w:p>
        </w:tc>
        <w:tc>
          <w:tcPr>
            <w:tcW w:w="2268" w:type="dxa"/>
            <w:gridSpan w:val="2"/>
            <w:vAlign w:val="center"/>
          </w:tcPr>
          <w:p w14:paraId="7A7C532E">
            <w:pPr>
              <w:adjustRightInd w:val="0"/>
              <w:snapToGrid w:val="0"/>
              <w:spacing w:line="240" w:lineRule="auto"/>
              <w:ind w:firstLine="0" w:firstLineChars="0"/>
              <w:jc w:val="center"/>
              <w:rPr>
                <w:sz w:val="21"/>
                <w:szCs w:val="21"/>
                <w:lang w:eastAsia="zh-CN"/>
              </w:rPr>
            </w:pPr>
            <w:r>
              <w:rPr>
                <w:rFonts w:hint="eastAsia"/>
                <w:sz w:val="21"/>
                <w:szCs w:val="21"/>
                <w:lang w:eastAsia="zh-CN"/>
              </w:rPr>
              <w:t>雅斯</w:t>
            </w:r>
            <w:r>
              <w:rPr>
                <w:sz w:val="21"/>
                <w:szCs w:val="21"/>
                <w:lang w:eastAsia="zh-CN"/>
              </w:rPr>
              <w:t>联</w:t>
            </w:r>
            <w:r>
              <w:rPr>
                <w:rFonts w:hint="eastAsia"/>
                <w:sz w:val="21"/>
                <w:szCs w:val="21"/>
                <w:lang w:eastAsia="zh-CN"/>
              </w:rPr>
              <w:t>合站</w:t>
            </w:r>
          </w:p>
        </w:tc>
        <w:tc>
          <w:tcPr>
            <w:tcW w:w="1417" w:type="dxa"/>
            <w:tcBorders>
              <w:right w:val="single" w:color="auto" w:sz="4" w:space="0"/>
            </w:tcBorders>
            <w:vAlign w:val="center"/>
          </w:tcPr>
          <w:p w14:paraId="4E4764F5">
            <w:pPr>
              <w:adjustRightInd w:val="0"/>
              <w:snapToGrid w:val="0"/>
              <w:spacing w:line="240" w:lineRule="auto"/>
              <w:ind w:firstLine="0" w:firstLineChars="0"/>
              <w:jc w:val="center"/>
              <w:rPr>
                <w:sz w:val="21"/>
                <w:szCs w:val="21"/>
                <w:lang w:eastAsia="zh-CN"/>
              </w:rPr>
            </w:pPr>
            <w:r>
              <w:rPr>
                <w:rFonts w:hint="eastAsia"/>
                <w:sz w:val="21"/>
                <w:szCs w:val="21"/>
                <w:lang w:eastAsia="zh-CN"/>
              </w:rPr>
              <w:t>0.27</w:t>
            </w:r>
          </w:p>
        </w:tc>
        <w:tc>
          <w:tcPr>
            <w:tcW w:w="1419" w:type="dxa"/>
            <w:tcBorders>
              <w:left w:val="single" w:color="auto" w:sz="4" w:space="0"/>
            </w:tcBorders>
            <w:vAlign w:val="center"/>
          </w:tcPr>
          <w:p w14:paraId="637EF535">
            <w:pPr>
              <w:adjustRightInd w:val="0"/>
              <w:snapToGrid w:val="0"/>
              <w:spacing w:line="240" w:lineRule="auto"/>
              <w:ind w:firstLine="0" w:firstLineChars="0"/>
              <w:jc w:val="center"/>
              <w:rPr>
                <w:sz w:val="21"/>
                <w:szCs w:val="21"/>
                <w:lang w:eastAsia="zh-CN"/>
              </w:rPr>
            </w:pPr>
            <w:r>
              <w:rPr>
                <w:rFonts w:hint="eastAsia"/>
                <w:sz w:val="21"/>
                <w:szCs w:val="21"/>
                <w:lang w:eastAsia="zh-CN"/>
              </w:rPr>
              <w:t>13.14</w:t>
            </w:r>
          </w:p>
        </w:tc>
      </w:tr>
      <w:tr w14:paraId="7796F5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84" w:type="dxa"/>
            <w:vMerge w:val="continue"/>
            <w:vAlign w:val="center"/>
          </w:tcPr>
          <w:p w14:paraId="1D3B4BEA">
            <w:pPr>
              <w:adjustRightInd w:val="0"/>
              <w:snapToGrid w:val="0"/>
              <w:spacing w:line="240" w:lineRule="auto"/>
              <w:ind w:firstLine="0" w:firstLineChars="0"/>
              <w:jc w:val="center"/>
              <w:rPr>
                <w:sz w:val="21"/>
                <w:szCs w:val="21"/>
                <w:lang w:eastAsia="zh-CN"/>
              </w:rPr>
            </w:pPr>
          </w:p>
        </w:tc>
        <w:tc>
          <w:tcPr>
            <w:tcW w:w="1985" w:type="dxa"/>
            <w:vMerge w:val="restart"/>
            <w:vAlign w:val="center"/>
          </w:tcPr>
          <w:p w14:paraId="7D51CD69">
            <w:pPr>
              <w:adjustRightInd w:val="0"/>
              <w:snapToGrid w:val="0"/>
              <w:spacing w:line="240" w:lineRule="auto"/>
              <w:ind w:firstLine="0" w:firstLineChars="0"/>
              <w:jc w:val="center"/>
              <w:rPr>
                <w:sz w:val="21"/>
                <w:szCs w:val="21"/>
              </w:rPr>
            </w:pPr>
            <w:r>
              <w:rPr>
                <w:sz w:val="21"/>
                <w:szCs w:val="21"/>
              </w:rPr>
              <w:t>油</w:t>
            </w:r>
            <w:r>
              <w:rPr>
                <w:sz w:val="21"/>
                <w:szCs w:val="21"/>
                <w:lang w:eastAsia="zh-CN"/>
              </w:rPr>
              <w:t>水</w:t>
            </w:r>
            <w:r>
              <w:rPr>
                <w:sz w:val="21"/>
                <w:szCs w:val="21"/>
              </w:rPr>
              <w:t>井</w:t>
            </w:r>
          </w:p>
        </w:tc>
        <w:tc>
          <w:tcPr>
            <w:tcW w:w="2268" w:type="dxa"/>
            <w:gridSpan w:val="2"/>
            <w:vAlign w:val="center"/>
          </w:tcPr>
          <w:p w14:paraId="03159B4B">
            <w:pPr>
              <w:adjustRightInd w:val="0"/>
              <w:snapToGrid w:val="0"/>
              <w:spacing w:line="240" w:lineRule="auto"/>
              <w:ind w:firstLine="0" w:firstLineChars="0"/>
              <w:jc w:val="center"/>
              <w:rPr>
                <w:sz w:val="21"/>
                <w:szCs w:val="21"/>
              </w:rPr>
            </w:pPr>
            <w:r>
              <w:rPr>
                <w:sz w:val="21"/>
                <w:szCs w:val="21"/>
              </w:rPr>
              <w:t>油井</w:t>
            </w:r>
          </w:p>
        </w:tc>
        <w:tc>
          <w:tcPr>
            <w:tcW w:w="1417" w:type="dxa"/>
            <w:vAlign w:val="center"/>
          </w:tcPr>
          <w:p w14:paraId="2BCF4195">
            <w:pPr>
              <w:adjustRightInd w:val="0"/>
              <w:snapToGrid w:val="0"/>
              <w:spacing w:line="240" w:lineRule="auto"/>
              <w:ind w:firstLine="0" w:firstLineChars="0"/>
              <w:jc w:val="center"/>
              <w:rPr>
                <w:sz w:val="21"/>
                <w:szCs w:val="21"/>
                <w:lang w:eastAsia="zh-CN"/>
              </w:rPr>
            </w:pPr>
            <w:r>
              <w:rPr>
                <w:rFonts w:hint="eastAsia"/>
                <w:sz w:val="21"/>
                <w:szCs w:val="21"/>
                <w:lang w:eastAsia="zh-CN"/>
              </w:rPr>
              <w:t>11.1</w:t>
            </w:r>
          </w:p>
        </w:tc>
        <w:tc>
          <w:tcPr>
            <w:tcW w:w="1419" w:type="dxa"/>
            <w:vAlign w:val="center"/>
          </w:tcPr>
          <w:p w14:paraId="7E4C508E">
            <w:pPr>
              <w:adjustRightInd w:val="0"/>
              <w:snapToGrid w:val="0"/>
              <w:spacing w:line="240" w:lineRule="auto"/>
              <w:ind w:firstLine="0" w:firstLineChars="0"/>
              <w:jc w:val="center"/>
              <w:rPr>
                <w:sz w:val="21"/>
                <w:szCs w:val="21"/>
                <w:lang w:eastAsia="zh-CN"/>
              </w:rPr>
            </w:pPr>
            <w:r>
              <w:rPr>
                <w:rFonts w:hint="eastAsia"/>
                <w:sz w:val="21"/>
                <w:szCs w:val="21"/>
                <w:lang w:eastAsia="zh-CN"/>
              </w:rPr>
              <w:t>24.42</w:t>
            </w:r>
          </w:p>
        </w:tc>
      </w:tr>
      <w:tr w14:paraId="2C14B3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84" w:type="dxa"/>
            <w:vMerge w:val="continue"/>
            <w:vAlign w:val="center"/>
          </w:tcPr>
          <w:p w14:paraId="6F690D96">
            <w:pPr>
              <w:adjustRightInd w:val="0"/>
              <w:snapToGrid w:val="0"/>
              <w:spacing w:line="240" w:lineRule="auto"/>
              <w:ind w:firstLine="0" w:firstLineChars="0"/>
              <w:jc w:val="center"/>
              <w:rPr>
                <w:sz w:val="21"/>
                <w:szCs w:val="21"/>
                <w:lang w:eastAsia="zh-CN"/>
              </w:rPr>
            </w:pPr>
          </w:p>
        </w:tc>
        <w:tc>
          <w:tcPr>
            <w:tcW w:w="1985" w:type="dxa"/>
            <w:vMerge w:val="continue"/>
            <w:vAlign w:val="center"/>
          </w:tcPr>
          <w:p w14:paraId="6BB7D81B">
            <w:pPr>
              <w:adjustRightInd w:val="0"/>
              <w:snapToGrid w:val="0"/>
              <w:spacing w:line="240" w:lineRule="auto"/>
              <w:ind w:firstLine="0" w:firstLineChars="0"/>
              <w:jc w:val="center"/>
              <w:rPr>
                <w:sz w:val="21"/>
                <w:szCs w:val="21"/>
              </w:rPr>
            </w:pPr>
          </w:p>
        </w:tc>
        <w:tc>
          <w:tcPr>
            <w:tcW w:w="2268" w:type="dxa"/>
            <w:gridSpan w:val="2"/>
            <w:vAlign w:val="center"/>
          </w:tcPr>
          <w:p w14:paraId="2362F3B0">
            <w:pPr>
              <w:adjustRightInd w:val="0"/>
              <w:snapToGrid w:val="0"/>
              <w:spacing w:line="240" w:lineRule="auto"/>
              <w:ind w:firstLine="0" w:firstLineChars="0"/>
              <w:jc w:val="center"/>
              <w:rPr>
                <w:sz w:val="21"/>
                <w:szCs w:val="21"/>
              </w:rPr>
            </w:pPr>
            <w:r>
              <w:rPr>
                <w:rFonts w:hint="eastAsia"/>
                <w:sz w:val="21"/>
                <w:szCs w:val="21"/>
                <w:lang w:eastAsia="zh-CN"/>
              </w:rPr>
              <w:t>注水井</w:t>
            </w:r>
          </w:p>
        </w:tc>
        <w:tc>
          <w:tcPr>
            <w:tcW w:w="1417" w:type="dxa"/>
            <w:vAlign w:val="center"/>
          </w:tcPr>
          <w:p w14:paraId="18761ED7">
            <w:pPr>
              <w:adjustRightInd w:val="0"/>
              <w:snapToGrid w:val="0"/>
              <w:spacing w:line="240" w:lineRule="auto"/>
              <w:ind w:firstLine="0" w:firstLineChars="0"/>
              <w:jc w:val="center"/>
              <w:rPr>
                <w:sz w:val="21"/>
                <w:szCs w:val="21"/>
                <w:lang w:eastAsia="zh-CN"/>
              </w:rPr>
            </w:pPr>
            <w:r>
              <w:rPr>
                <w:rFonts w:hint="eastAsia"/>
                <w:sz w:val="21"/>
                <w:szCs w:val="21"/>
                <w:lang w:eastAsia="zh-CN"/>
              </w:rPr>
              <w:t>1.70</w:t>
            </w:r>
          </w:p>
        </w:tc>
        <w:tc>
          <w:tcPr>
            <w:tcW w:w="1419" w:type="dxa"/>
            <w:vAlign w:val="center"/>
          </w:tcPr>
          <w:p w14:paraId="3E8486E8">
            <w:pPr>
              <w:adjustRightInd w:val="0"/>
              <w:snapToGrid w:val="0"/>
              <w:spacing w:line="240" w:lineRule="auto"/>
              <w:ind w:firstLine="0" w:firstLineChars="0"/>
              <w:jc w:val="center"/>
              <w:rPr>
                <w:sz w:val="21"/>
                <w:szCs w:val="21"/>
                <w:lang w:eastAsia="zh-CN"/>
              </w:rPr>
            </w:pPr>
            <w:r>
              <w:rPr>
                <w:rFonts w:hint="eastAsia"/>
                <w:sz w:val="21"/>
                <w:szCs w:val="21"/>
                <w:lang w:eastAsia="zh-CN"/>
              </w:rPr>
              <w:t>5.13</w:t>
            </w:r>
          </w:p>
        </w:tc>
      </w:tr>
      <w:tr w14:paraId="61D4DB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84" w:type="dxa"/>
            <w:vMerge w:val="continue"/>
            <w:vAlign w:val="center"/>
          </w:tcPr>
          <w:p w14:paraId="18C8C78F">
            <w:pPr>
              <w:adjustRightInd w:val="0"/>
              <w:snapToGrid w:val="0"/>
              <w:spacing w:line="240" w:lineRule="auto"/>
              <w:ind w:firstLine="0" w:firstLineChars="0"/>
              <w:jc w:val="center"/>
              <w:rPr>
                <w:sz w:val="21"/>
                <w:szCs w:val="21"/>
              </w:rPr>
            </w:pPr>
          </w:p>
        </w:tc>
        <w:tc>
          <w:tcPr>
            <w:tcW w:w="1985" w:type="dxa"/>
            <w:vMerge w:val="continue"/>
            <w:vAlign w:val="center"/>
          </w:tcPr>
          <w:p w14:paraId="3783379F">
            <w:pPr>
              <w:adjustRightInd w:val="0"/>
              <w:snapToGrid w:val="0"/>
              <w:spacing w:line="240" w:lineRule="auto"/>
              <w:ind w:firstLine="0" w:firstLineChars="0"/>
              <w:jc w:val="center"/>
              <w:rPr>
                <w:sz w:val="21"/>
                <w:szCs w:val="21"/>
              </w:rPr>
            </w:pPr>
          </w:p>
        </w:tc>
        <w:tc>
          <w:tcPr>
            <w:tcW w:w="2268" w:type="dxa"/>
            <w:gridSpan w:val="2"/>
            <w:vAlign w:val="center"/>
          </w:tcPr>
          <w:p w14:paraId="79DA8E3D">
            <w:pPr>
              <w:adjustRightInd w:val="0"/>
              <w:snapToGrid w:val="0"/>
              <w:spacing w:line="240" w:lineRule="auto"/>
              <w:ind w:firstLine="0" w:firstLineChars="0"/>
              <w:jc w:val="center"/>
              <w:rPr>
                <w:sz w:val="21"/>
                <w:szCs w:val="21"/>
                <w:lang w:eastAsia="zh-CN"/>
              </w:rPr>
            </w:pPr>
            <w:r>
              <w:rPr>
                <w:sz w:val="21"/>
                <w:szCs w:val="21"/>
              </w:rPr>
              <w:t>泥浆池</w:t>
            </w:r>
          </w:p>
        </w:tc>
        <w:tc>
          <w:tcPr>
            <w:tcW w:w="1417" w:type="dxa"/>
            <w:vAlign w:val="center"/>
          </w:tcPr>
          <w:p w14:paraId="0F798721">
            <w:pPr>
              <w:adjustRightInd w:val="0"/>
              <w:snapToGrid w:val="0"/>
              <w:spacing w:line="240" w:lineRule="auto"/>
              <w:ind w:firstLine="0" w:firstLineChars="0"/>
              <w:jc w:val="center"/>
              <w:rPr>
                <w:sz w:val="21"/>
                <w:szCs w:val="21"/>
              </w:rPr>
            </w:pPr>
          </w:p>
        </w:tc>
        <w:tc>
          <w:tcPr>
            <w:tcW w:w="1419" w:type="dxa"/>
            <w:vAlign w:val="center"/>
          </w:tcPr>
          <w:p w14:paraId="394C0F78">
            <w:pPr>
              <w:adjustRightInd w:val="0"/>
              <w:snapToGrid w:val="0"/>
              <w:spacing w:line="240" w:lineRule="auto"/>
              <w:ind w:firstLine="0" w:firstLineChars="0"/>
              <w:jc w:val="center"/>
              <w:rPr>
                <w:sz w:val="21"/>
                <w:szCs w:val="21"/>
                <w:lang w:eastAsia="zh-CN"/>
              </w:rPr>
            </w:pPr>
            <w:r>
              <w:rPr>
                <w:rFonts w:hint="eastAsia"/>
                <w:sz w:val="21"/>
                <w:szCs w:val="21"/>
                <w:lang w:eastAsia="zh-CN"/>
              </w:rPr>
              <w:t>0.45</w:t>
            </w:r>
          </w:p>
        </w:tc>
      </w:tr>
      <w:tr w14:paraId="1EB78A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84" w:type="dxa"/>
            <w:vMerge w:val="continue"/>
            <w:vAlign w:val="center"/>
          </w:tcPr>
          <w:p w14:paraId="37B68352">
            <w:pPr>
              <w:adjustRightInd w:val="0"/>
              <w:snapToGrid w:val="0"/>
              <w:spacing w:line="240" w:lineRule="auto"/>
              <w:ind w:firstLine="0" w:firstLineChars="0"/>
              <w:jc w:val="center"/>
              <w:rPr>
                <w:sz w:val="21"/>
                <w:szCs w:val="21"/>
              </w:rPr>
            </w:pPr>
          </w:p>
        </w:tc>
        <w:tc>
          <w:tcPr>
            <w:tcW w:w="4253" w:type="dxa"/>
            <w:gridSpan w:val="3"/>
            <w:vAlign w:val="center"/>
          </w:tcPr>
          <w:p w14:paraId="73CDFA63">
            <w:pPr>
              <w:adjustRightInd w:val="0"/>
              <w:snapToGrid w:val="0"/>
              <w:spacing w:line="240" w:lineRule="auto"/>
              <w:ind w:firstLine="0" w:firstLineChars="0"/>
              <w:jc w:val="center"/>
              <w:rPr>
                <w:sz w:val="21"/>
                <w:szCs w:val="21"/>
                <w:lang w:eastAsia="zh-CN"/>
              </w:rPr>
            </w:pPr>
            <w:r>
              <w:rPr>
                <w:sz w:val="21"/>
                <w:szCs w:val="21"/>
                <w:lang w:eastAsia="zh-CN"/>
              </w:rPr>
              <w:t>油田内集输油管线</w:t>
            </w:r>
          </w:p>
        </w:tc>
        <w:tc>
          <w:tcPr>
            <w:tcW w:w="1417" w:type="dxa"/>
            <w:vAlign w:val="center"/>
          </w:tcPr>
          <w:p w14:paraId="1146A820">
            <w:pPr>
              <w:adjustRightInd w:val="0"/>
              <w:snapToGrid w:val="0"/>
              <w:spacing w:line="240" w:lineRule="auto"/>
              <w:ind w:firstLine="0" w:firstLineChars="0"/>
              <w:jc w:val="center"/>
              <w:rPr>
                <w:sz w:val="21"/>
                <w:szCs w:val="21"/>
              </w:rPr>
            </w:pPr>
          </w:p>
        </w:tc>
        <w:tc>
          <w:tcPr>
            <w:tcW w:w="1419" w:type="dxa"/>
            <w:vAlign w:val="center"/>
          </w:tcPr>
          <w:p w14:paraId="4FD63CC0">
            <w:pPr>
              <w:adjustRightInd w:val="0"/>
              <w:snapToGrid w:val="0"/>
              <w:spacing w:line="240" w:lineRule="auto"/>
              <w:ind w:firstLine="0" w:firstLineChars="0"/>
              <w:jc w:val="center"/>
              <w:rPr>
                <w:sz w:val="21"/>
                <w:szCs w:val="21"/>
                <w:lang w:eastAsia="zh-CN"/>
              </w:rPr>
            </w:pPr>
            <w:r>
              <w:rPr>
                <w:rFonts w:hint="eastAsia"/>
                <w:sz w:val="21"/>
                <w:szCs w:val="21"/>
                <w:lang w:eastAsia="zh-CN"/>
              </w:rPr>
              <w:t>3.48</w:t>
            </w:r>
          </w:p>
        </w:tc>
      </w:tr>
      <w:tr w14:paraId="17403F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84" w:type="dxa"/>
            <w:vMerge w:val="continue"/>
            <w:vAlign w:val="center"/>
          </w:tcPr>
          <w:p w14:paraId="7DAC92E7">
            <w:pPr>
              <w:adjustRightInd w:val="0"/>
              <w:snapToGrid w:val="0"/>
              <w:spacing w:line="240" w:lineRule="auto"/>
              <w:ind w:firstLine="0" w:firstLineChars="0"/>
              <w:jc w:val="center"/>
              <w:rPr>
                <w:sz w:val="21"/>
                <w:szCs w:val="21"/>
              </w:rPr>
            </w:pPr>
          </w:p>
        </w:tc>
        <w:tc>
          <w:tcPr>
            <w:tcW w:w="4253" w:type="dxa"/>
            <w:gridSpan w:val="3"/>
            <w:vAlign w:val="center"/>
          </w:tcPr>
          <w:p w14:paraId="325452A2">
            <w:pPr>
              <w:adjustRightInd w:val="0"/>
              <w:snapToGrid w:val="0"/>
              <w:spacing w:line="240" w:lineRule="auto"/>
              <w:ind w:firstLine="0" w:firstLineChars="0"/>
              <w:jc w:val="center"/>
              <w:rPr>
                <w:sz w:val="21"/>
                <w:szCs w:val="21"/>
              </w:rPr>
            </w:pPr>
            <w:r>
              <w:rPr>
                <w:sz w:val="21"/>
                <w:szCs w:val="21"/>
              </w:rPr>
              <w:t>注水管线</w:t>
            </w:r>
          </w:p>
        </w:tc>
        <w:tc>
          <w:tcPr>
            <w:tcW w:w="1417" w:type="dxa"/>
            <w:vAlign w:val="center"/>
          </w:tcPr>
          <w:p w14:paraId="72CC3C51">
            <w:pPr>
              <w:adjustRightInd w:val="0"/>
              <w:snapToGrid w:val="0"/>
              <w:spacing w:line="240" w:lineRule="auto"/>
              <w:ind w:firstLine="0" w:firstLineChars="0"/>
              <w:jc w:val="center"/>
              <w:rPr>
                <w:sz w:val="21"/>
                <w:szCs w:val="21"/>
              </w:rPr>
            </w:pPr>
          </w:p>
        </w:tc>
        <w:tc>
          <w:tcPr>
            <w:tcW w:w="1419" w:type="dxa"/>
            <w:vAlign w:val="center"/>
          </w:tcPr>
          <w:p w14:paraId="41BA1340">
            <w:pPr>
              <w:adjustRightInd w:val="0"/>
              <w:snapToGrid w:val="0"/>
              <w:spacing w:line="240" w:lineRule="auto"/>
              <w:ind w:firstLine="0" w:firstLineChars="0"/>
              <w:jc w:val="center"/>
              <w:rPr>
                <w:sz w:val="21"/>
                <w:szCs w:val="21"/>
                <w:highlight w:val="yellow"/>
                <w:lang w:eastAsia="zh-CN"/>
              </w:rPr>
            </w:pPr>
            <w:r>
              <w:rPr>
                <w:rFonts w:hint="eastAsia"/>
                <w:sz w:val="21"/>
                <w:szCs w:val="21"/>
                <w:lang w:eastAsia="zh-CN"/>
              </w:rPr>
              <w:t>0.84</w:t>
            </w:r>
          </w:p>
        </w:tc>
      </w:tr>
      <w:tr w14:paraId="519186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84" w:type="dxa"/>
            <w:vAlign w:val="center"/>
          </w:tcPr>
          <w:p w14:paraId="2DB5E171">
            <w:pPr>
              <w:adjustRightInd w:val="0"/>
              <w:snapToGrid w:val="0"/>
              <w:spacing w:line="240" w:lineRule="auto"/>
              <w:ind w:firstLine="0" w:firstLineChars="0"/>
              <w:jc w:val="center"/>
              <w:rPr>
                <w:sz w:val="21"/>
                <w:szCs w:val="21"/>
              </w:rPr>
            </w:pPr>
            <w:r>
              <w:rPr>
                <w:sz w:val="21"/>
                <w:szCs w:val="21"/>
              </w:rPr>
              <w:t>道路工程</w:t>
            </w:r>
          </w:p>
        </w:tc>
        <w:tc>
          <w:tcPr>
            <w:tcW w:w="2059" w:type="dxa"/>
            <w:gridSpan w:val="2"/>
            <w:vAlign w:val="center"/>
          </w:tcPr>
          <w:p w14:paraId="54E50B0A">
            <w:pPr>
              <w:adjustRightInd w:val="0"/>
              <w:snapToGrid w:val="0"/>
              <w:spacing w:line="240" w:lineRule="auto"/>
              <w:ind w:firstLine="0" w:firstLineChars="0"/>
              <w:jc w:val="center"/>
              <w:rPr>
                <w:sz w:val="21"/>
                <w:szCs w:val="21"/>
              </w:rPr>
            </w:pPr>
            <w:r>
              <w:rPr>
                <w:sz w:val="21"/>
                <w:szCs w:val="21"/>
                <w:lang w:eastAsia="zh-CN"/>
              </w:rPr>
              <w:t>油田内部联络</w:t>
            </w:r>
            <w:r>
              <w:rPr>
                <w:sz w:val="21"/>
                <w:szCs w:val="21"/>
              </w:rPr>
              <w:t>道路</w:t>
            </w:r>
          </w:p>
        </w:tc>
        <w:tc>
          <w:tcPr>
            <w:tcW w:w="2194" w:type="dxa"/>
            <w:vAlign w:val="center"/>
          </w:tcPr>
          <w:p w14:paraId="326462E8">
            <w:pPr>
              <w:adjustRightInd w:val="0"/>
              <w:snapToGrid w:val="0"/>
              <w:spacing w:line="240" w:lineRule="auto"/>
              <w:ind w:firstLine="0" w:firstLineChars="0"/>
              <w:jc w:val="center"/>
              <w:rPr>
                <w:sz w:val="21"/>
                <w:szCs w:val="21"/>
                <w:lang w:eastAsia="zh-CN"/>
              </w:rPr>
            </w:pPr>
            <w:r>
              <w:rPr>
                <w:rFonts w:hint="eastAsia"/>
                <w:sz w:val="21"/>
                <w:szCs w:val="21"/>
                <w:lang w:eastAsia="zh-CN"/>
              </w:rPr>
              <w:t>油田内部</w:t>
            </w:r>
            <w:r>
              <w:rPr>
                <w:sz w:val="21"/>
                <w:szCs w:val="21"/>
                <w:lang w:eastAsia="zh-CN"/>
              </w:rPr>
              <w:t>联络道路</w:t>
            </w:r>
          </w:p>
        </w:tc>
        <w:tc>
          <w:tcPr>
            <w:tcW w:w="1417" w:type="dxa"/>
            <w:vAlign w:val="center"/>
          </w:tcPr>
          <w:p w14:paraId="1D7633FF">
            <w:pPr>
              <w:adjustRightInd w:val="0"/>
              <w:snapToGrid w:val="0"/>
              <w:spacing w:line="240" w:lineRule="auto"/>
              <w:ind w:firstLine="0" w:firstLineChars="0"/>
              <w:jc w:val="center"/>
              <w:rPr>
                <w:sz w:val="21"/>
                <w:szCs w:val="21"/>
                <w:lang w:eastAsia="zh-CN"/>
              </w:rPr>
            </w:pPr>
            <w:r>
              <w:rPr>
                <w:rFonts w:hint="eastAsia"/>
                <w:sz w:val="21"/>
                <w:szCs w:val="21"/>
                <w:lang w:eastAsia="zh-CN"/>
              </w:rPr>
              <w:t>2.08</w:t>
            </w:r>
          </w:p>
        </w:tc>
        <w:tc>
          <w:tcPr>
            <w:tcW w:w="1419" w:type="dxa"/>
            <w:vAlign w:val="center"/>
          </w:tcPr>
          <w:p w14:paraId="62BCAFD2">
            <w:pPr>
              <w:adjustRightInd w:val="0"/>
              <w:snapToGrid w:val="0"/>
              <w:spacing w:line="240" w:lineRule="auto"/>
              <w:ind w:firstLine="0" w:firstLineChars="0"/>
              <w:jc w:val="center"/>
              <w:rPr>
                <w:sz w:val="21"/>
                <w:szCs w:val="21"/>
              </w:rPr>
            </w:pPr>
            <w:r>
              <w:rPr>
                <w:rFonts w:hint="eastAsia"/>
                <w:sz w:val="21"/>
                <w:szCs w:val="21"/>
                <w:lang w:eastAsia="zh-CN"/>
              </w:rPr>
              <w:t>3.12</w:t>
            </w:r>
          </w:p>
        </w:tc>
      </w:tr>
      <w:tr w14:paraId="5F6750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84" w:type="dxa"/>
            <w:vMerge w:val="restart"/>
            <w:vAlign w:val="center"/>
          </w:tcPr>
          <w:p w14:paraId="149D9E7A">
            <w:pPr>
              <w:adjustRightInd w:val="0"/>
              <w:snapToGrid w:val="0"/>
              <w:spacing w:line="240" w:lineRule="auto"/>
              <w:ind w:firstLine="0" w:firstLineChars="0"/>
              <w:jc w:val="center"/>
              <w:rPr>
                <w:sz w:val="21"/>
                <w:szCs w:val="21"/>
                <w:lang w:eastAsia="zh-CN"/>
              </w:rPr>
            </w:pPr>
            <w:r>
              <w:rPr>
                <w:sz w:val="21"/>
                <w:szCs w:val="21"/>
                <w:lang w:eastAsia="zh-CN"/>
              </w:rPr>
              <w:t>其他工程</w:t>
            </w:r>
          </w:p>
        </w:tc>
        <w:tc>
          <w:tcPr>
            <w:tcW w:w="2059" w:type="dxa"/>
            <w:gridSpan w:val="2"/>
            <w:vAlign w:val="center"/>
          </w:tcPr>
          <w:p w14:paraId="5276B1BF">
            <w:pPr>
              <w:adjustRightInd w:val="0"/>
              <w:snapToGrid w:val="0"/>
              <w:spacing w:line="240" w:lineRule="auto"/>
              <w:ind w:firstLine="0" w:firstLineChars="0"/>
              <w:jc w:val="center"/>
              <w:rPr>
                <w:sz w:val="21"/>
                <w:szCs w:val="21"/>
                <w:lang w:eastAsia="zh-CN"/>
              </w:rPr>
            </w:pPr>
            <w:r>
              <w:rPr>
                <w:sz w:val="21"/>
                <w:szCs w:val="21"/>
                <w:lang w:eastAsia="zh-CN"/>
              </w:rPr>
              <w:t>蒸发池</w:t>
            </w:r>
          </w:p>
        </w:tc>
        <w:tc>
          <w:tcPr>
            <w:tcW w:w="2194" w:type="dxa"/>
            <w:vAlign w:val="center"/>
          </w:tcPr>
          <w:p w14:paraId="39B4E724">
            <w:pPr>
              <w:adjustRightInd w:val="0"/>
              <w:snapToGrid w:val="0"/>
              <w:spacing w:line="240" w:lineRule="auto"/>
              <w:ind w:firstLine="0" w:firstLineChars="0"/>
              <w:jc w:val="center"/>
              <w:rPr>
                <w:sz w:val="21"/>
                <w:szCs w:val="21"/>
                <w:lang w:eastAsia="zh-CN"/>
              </w:rPr>
            </w:pPr>
          </w:p>
        </w:tc>
        <w:tc>
          <w:tcPr>
            <w:tcW w:w="1417" w:type="dxa"/>
            <w:vAlign w:val="center"/>
          </w:tcPr>
          <w:p w14:paraId="33A4418A">
            <w:pPr>
              <w:adjustRightInd w:val="0"/>
              <w:snapToGrid w:val="0"/>
              <w:spacing w:line="240" w:lineRule="auto"/>
              <w:ind w:firstLine="0" w:firstLineChars="0"/>
              <w:jc w:val="center"/>
              <w:rPr>
                <w:sz w:val="21"/>
                <w:szCs w:val="21"/>
                <w:lang w:eastAsia="zh-CN"/>
              </w:rPr>
            </w:pPr>
            <w:r>
              <w:rPr>
                <w:rFonts w:hint="eastAsia"/>
                <w:sz w:val="21"/>
                <w:szCs w:val="21"/>
                <w:lang w:eastAsia="zh-CN"/>
              </w:rPr>
              <w:t>0.015</w:t>
            </w:r>
          </w:p>
        </w:tc>
        <w:tc>
          <w:tcPr>
            <w:tcW w:w="1419" w:type="dxa"/>
            <w:vAlign w:val="center"/>
          </w:tcPr>
          <w:p w14:paraId="7B531D66">
            <w:pPr>
              <w:adjustRightInd w:val="0"/>
              <w:snapToGrid w:val="0"/>
              <w:spacing w:line="240" w:lineRule="auto"/>
              <w:ind w:firstLine="0" w:firstLineChars="0"/>
              <w:jc w:val="center"/>
              <w:rPr>
                <w:sz w:val="21"/>
                <w:szCs w:val="21"/>
                <w:lang w:eastAsia="zh-CN"/>
              </w:rPr>
            </w:pPr>
            <w:r>
              <w:rPr>
                <w:rFonts w:hint="eastAsia"/>
                <w:sz w:val="21"/>
                <w:szCs w:val="21"/>
                <w:lang w:eastAsia="zh-CN"/>
              </w:rPr>
              <w:t>0.012</w:t>
            </w:r>
          </w:p>
        </w:tc>
      </w:tr>
      <w:tr w14:paraId="13D697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84" w:type="dxa"/>
            <w:vMerge w:val="continue"/>
            <w:vAlign w:val="center"/>
          </w:tcPr>
          <w:p w14:paraId="3F15278C">
            <w:pPr>
              <w:adjustRightInd w:val="0"/>
              <w:snapToGrid w:val="0"/>
              <w:spacing w:line="240" w:lineRule="auto"/>
              <w:ind w:firstLine="0" w:firstLineChars="0"/>
              <w:jc w:val="center"/>
              <w:rPr>
                <w:sz w:val="21"/>
                <w:szCs w:val="21"/>
                <w:lang w:eastAsia="zh-CN"/>
              </w:rPr>
            </w:pPr>
          </w:p>
        </w:tc>
        <w:tc>
          <w:tcPr>
            <w:tcW w:w="2059" w:type="dxa"/>
            <w:gridSpan w:val="2"/>
            <w:vAlign w:val="center"/>
          </w:tcPr>
          <w:p w14:paraId="6612BC87">
            <w:pPr>
              <w:adjustRightInd w:val="0"/>
              <w:snapToGrid w:val="0"/>
              <w:spacing w:line="240" w:lineRule="auto"/>
              <w:ind w:firstLine="0" w:firstLineChars="0"/>
              <w:jc w:val="center"/>
              <w:rPr>
                <w:sz w:val="21"/>
                <w:szCs w:val="21"/>
                <w:lang w:eastAsia="zh-CN"/>
              </w:rPr>
            </w:pPr>
            <w:r>
              <w:rPr>
                <w:sz w:val="21"/>
                <w:szCs w:val="21"/>
                <w:lang w:eastAsia="zh-CN"/>
              </w:rPr>
              <w:t>废液池</w:t>
            </w:r>
          </w:p>
        </w:tc>
        <w:tc>
          <w:tcPr>
            <w:tcW w:w="2194" w:type="dxa"/>
            <w:vAlign w:val="center"/>
          </w:tcPr>
          <w:p w14:paraId="7513A783">
            <w:pPr>
              <w:adjustRightInd w:val="0"/>
              <w:snapToGrid w:val="0"/>
              <w:spacing w:line="240" w:lineRule="auto"/>
              <w:ind w:firstLine="0" w:firstLineChars="0"/>
              <w:jc w:val="center"/>
              <w:rPr>
                <w:sz w:val="21"/>
                <w:szCs w:val="21"/>
                <w:lang w:eastAsia="zh-CN"/>
              </w:rPr>
            </w:pPr>
          </w:p>
        </w:tc>
        <w:tc>
          <w:tcPr>
            <w:tcW w:w="1417" w:type="dxa"/>
            <w:vAlign w:val="center"/>
          </w:tcPr>
          <w:p w14:paraId="262BD45E">
            <w:pPr>
              <w:adjustRightInd w:val="0"/>
              <w:snapToGrid w:val="0"/>
              <w:spacing w:line="240" w:lineRule="auto"/>
              <w:ind w:firstLine="0" w:firstLineChars="0"/>
              <w:jc w:val="center"/>
              <w:rPr>
                <w:sz w:val="21"/>
                <w:szCs w:val="21"/>
                <w:lang w:eastAsia="zh-CN"/>
              </w:rPr>
            </w:pPr>
            <w:r>
              <w:rPr>
                <w:sz w:val="21"/>
                <w:szCs w:val="21"/>
                <w:lang w:eastAsia="zh-CN"/>
              </w:rPr>
              <w:t>0.04</w:t>
            </w:r>
          </w:p>
        </w:tc>
        <w:tc>
          <w:tcPr>
            <w:tcW w:w="1419" w:type="dxa"/>
            <w:vAlign w:val="center"/>
          </w:tcPr>
          <w:p w14:paraId="00688495">
            <w:pPr>
              <w:adjustRightInd w:val="0"/>
              <w:snapToGrid w:val="0"/>
              <w:spacing w:line="240" w:lineRule="auto"/>
              <w:ind w:firstLine="0" w:firstLineChars="0"/>
              <w:jc w:val="center"/>
              <w:rPr>
                <w:sz w:val="21"/>
                <w:szCs w:val="21"/>
                <w:lang w:eastAsia="zh-CN"/>
              </w:rPr>
            </w:pPr>
            <w:r>
              <w:rPr>
                <w:rFonts w:hint="eastAsia"/>
                <w:sz w:val="21"/>
                <w:szCs w:val="21"/>
                <w:lang w:eastAsia="zh-CN"/>
              </w:rPr>
              <w:t>0.082</w:t>
            </w:r>
          </w:p>
        </w:tc>
      </w:tr>
      <w:tr w14:paraId="25CA1A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637" w:type="dxa"/>
            <w:gridSpan w:val="4"/>
            <w:vAlign w:val="center"/>
          </w:tcPr>
          <w:p w14:paraId="1B34A36D">
            <w:pPr>
              <w:adjustRightInd w:val="0"/>
              <w:snapToGrid w:val="0"/>
              <w:spacing w:line="240" w:lineRule="auto"/>
              <w:ind w:firstLine="0" w:firstLineChars="0"/>
              <w:jc w:val="center"/>
              <w:rPr>
                <w:sz w:val="21"/>
                <w:szCs w:val="21"/>
              </w:rPr>
            </w:pPr>
            <w:r>
              <w:rPr>
                <w:sz w:val="21"/>
                <w:szCs w:val="21"/>
              </w:rPr>
              <w:t>总计</w:t>
            </w:r>
          </w:p>
        </w:tc>
        <w:tc>
          <w:tcPr>
            <w:tcW w:w="1417" w:type="dxa"/>
            <w:vAlign w:val="bottom"/>
          </w:tcPr>
          <w:p w14:paraId="5AC4AEBE">
            <w:pPr>
              <w:adjustRightInd w:val="0"/>
              <w:snapToGrid w:val="0"/>
              <w:spacing w:line="240" w:lineRule="auto"/>
              <w:ind w:firstLine="0" w:firstLineChars="0"/>
              <w:jc w:val="center"/>
              <w:rPr>
                <w:sz w:val="21"/>
                <w:szCs w:val="21"/>
                <w:lang w:eastAsia="zh-CN"/>
              </w:rPr>
            </w:pPr>
            <w:r>
              <w:rPr>
                <w:rFonts w:hint="eastAsia"/>
                <w:sz w:val="21"/>
                <w:szCs w:val="21"/>
                <w:lang w:eastAsia="zh-CN"/>
              </w:rPr>
              <w:t>15.20</w:t>
            </w:r>
          </w:p>
        </w:tc>
        <w:tc>
          <w:tcPr>
            <w:tcW w:w="1419" w:type="dxa"/>
            <w:vAlign w:val="bottom"/>
          </w:tcPr>
          <w:p w14:paraId="67BE6A4B">
            <w:pPr>
              <w:adjustRightInd w:val="0"/>
              <w:snapToGrid w:val="0"/>
              <w:spacing w:line="240" w:lineRule="auto"/>
              <w:ind w:firstLine="0" w:firstLineChars="0"/>
              <w:jc w:val="center"/>
              <w:rPr>
                <w:sz w:val="21"/>
                <w:szCs w:val="21"/>
                <w:lang w:eastAsia="zh-CN"/>
              </w:rPr>
            </w:pPr>
            <w:r>
              <w:rPr>
                <w:rFonts w:hint="eastAsia"/>
                <w:sz w:val="21"/>
                <w:szCs w:val="21"/>
                <w:lang w:eastAsia="zh-CN"/>
              </w:rPr>
              <w:t>50.67</w:t>
            </w:r>
          </w:p>
        </w:tc>
      </w:tr>
    </w:tbl>
    <w:p w14:paraId="3E41E34F">
      <w:pPr>
        <w:pStyle w:val="4"/>
        <w:rPr>
          <w:snapToGrid w:val="0"/>
        </w:rPr>
      </w:pPr>
      <w:bookmarkStart w:id="141" w:name="_Toc408413921"/>
      <w:bookmarkStart w:id="142" w:name="_Toc280020060"/>
      <w:bookmarkStart w:id="143" w:name="_Toc279676591"/>
      <w:bookmarkStart w:id="144" w:name="_Toc287598128"/>
      <w:r>
        <w:rPr>
          <w:snapToGrid w:val="0"/>
        </w:rPr>
        <w:t>2.</w:t>
      </w:r>
      <w:r>
        <w:rPr>
          <w:rFonts w:hint="eastAsia"/>
          <w:snapToGrid w:val="0"/>
          <w:lang w:eastAsia="zh-CN"/>
        </w:rPr>
        <w:t>3</w:t>
      </w:r>
      <w:r>
        <w:rPr>
          <w:snapToGrid w:val="0"/>
        </w:rPr>
        <w:t>.14投资</w:t>
      </w:r>
      <w:bookmarkEnd w:id="141"/>
    </w:p>
    <w:p w14:paraId="0E7A6322">
      <w:pPr>
        <w:ind w:firstLine="480"/>
        <w:rPr>
          <w:rFonts w:asciiTheme="minorEastAsia" w:hAnsiTheme="minorEastAsia" w:eastAsiaTheme="minorEastAsia"/>
          <w:kern w:val="2"/>
          <w:lang w:eastAsia="zh-CN"/>
        </w:rPr>
      </w:pPr>
      <w:r>
        <w:rPr>
          <w:rFonts w:hint="eastAsia" w:asciiTheme="minorEastAsia" w:hAnsiTheme="minorEastAsia" w:eastAsiaTheme="minorEastAsia"/>
          <w:kern w:val="2"/>
          <w:lang w:eastAsia="zh-CN"/>
        </w:rPr>
        <w:t>乌里雅斯太油田地面产能开发</w:t>
      </w:r>
      <w:r>
        <w:rPr>
          <w:rFonts w:asciiTheme="minorEastAsia" w:hAnsiTheme="minorEastAsia" w:eastAsiaTheme="minorEastAsia"/>
          <w:kern w:val="2"/>
          <w:lang w:eastAsia="zh-CN"/>
        </w:rPr>
        <w:t>建设</w:t>
      </w:r>
      <w:r>
        <w:rPr>
          <w:rFonts w:hint="eastAsia" w:asciiTheme="minorEastAsia" w:hAnsiTheme="minorEastAsia" w:eastAsiaTheme="minorEastAsia"/>
          <w:kern w:val="2"/>
          <w:lang w:eastAsia="zh-CN"/>
        </w:rPr>
        <w:t>项目</w:t>
      </w:r>
      <w:r>
        <w:rPr>
          <w:rFonts w:asciiTheme="minorEastAsia" w:hAnsiTheme="minorEastAsia" w:eastAsiaTheme="minorEastAsia"/>
          <w:kern w:val="2"/>
          <w:lang w:eastAsia="zh-CN"/>
        </w:rPr>
        <w:t>总投资</w:t>
      </w:r>
      <w:r>
        <w:rPr>
          <w:rFonts w:hint="eastAsia" w:asciiTheme="minorEastAsia" w:hAnsiTheme="minorEastAsia" w:eastAsiaTheme="minorEastAsia"/>
          <w:kern w:val="2"/>
          <w:lang w:eastAsia="zh-CN"/>
        </w:rPr>
        <w:t>8000.0</w:t>
      </w:r>
      <w:r>
        <w:rPr>
          <w:rFonts w:asciiTheme="minorEastAsia" w:hAnsiTheme="minorEastAsia" w:eastAsiaTheme="minorEastAsia"/>
          <w:kern w:val="2"/>
          <w:lang w:eastAsia="zh-CN"/>
        </w:rPr>
        <w:t>万元，</w:t>
      </w:r>
      <w:r>
        <w:rPr>
          <w:rFonts w:hint="eastAsia" w:asciiTheme="minorEastAsia" w:hAnsiTheme="minorEastAsia" w:eastAsiaTheme="minorEastAsia"/>
          <w:kern w:val="2"/>
          <w:lang w:eastAsia="zh-CN"/>
        </w:rPr>
        <w:t>主要</w:t>
      </w:r>
      <w:r>
        <w:rPr>
          <w:rFonts w:asciiTheme="minorEastAsia" w:hAnsiTheme="minorEastAsia" w:eastAsiaTheme="minorEastAsia"/>
          <w:kern w:val="2"/>
          <w:lang w:eastAsia="zh-CN"/>
        </w:rPr>
        <w:t>包括工程费用、其他费用、预备费</w:t>
      </w:r>
      <w:r>
        <w:rPr>
          <w:rFonts w:hint="eastAsia" w:asciiTheme="minorEastAsia" w:hAnsiTheme="minorEastAsia" w:eastAsiaTheme="minorEastAsia"/>
          <w:kern w:val="2"/>
          <w:lang w:eastAsia="zh-CN"/>
        </w:rPr>
        <w:t>、建设期贷款利息等，其中环保投资1000.0万元，环保投资占总投资的12.5%</w:t>
      </w:r>
      <w:r>
        <w:rPr>
          <w:rFonts w:asciiTheme="minorEastAsia" w:hAnsiTheme="minorEastAsia" w:eastAsiaTheme="minorEastAsia"/>
          <w:kern w:val="2"/>
          <w:lang w:eastAsia="zh-CN"/>
        </w:rPr>
        <w:t>。全部资金由企业自筹。</w:t>
      </w:r>
    </w:p>
    <w:p w14:paraId="4F4F92D1">
      <w:pPr>
        <w:pStyle w:val="4"/>
        <w:rPr>
          <w:snapToGrid w:val="0"/>
          <w:lang w:eastAsia="zh-CN"/>
        </w:rPr>
      </w:pPr>
      <w:bookmarkStart w:id="145" w:name="_Toc408413922"/>
      <w:r>
        <w:rPr>
          <w:snapToGrid w:val="0"/>
          <w:lang w:eastAsia="zh-CN"/>
        </w:rPr>
        <w:t>2.</w:t>
      </w:r>
      <w:r>
        <w:rPr>
          <w:rFonts w:hint="eastAsia"/>
          <w:snapToGrid w:val="0"/>
          <w:lang w:eastAsia="zh-CN"/>
        </w:rPr>
        <w:t>3</w:t>
      </w:r>
      <w:r>
        <w:rPr>
          <w:snapToGrid w:val="0"/>
          <w:lang w:eastAsia="zh-CN"/>
        </w:rPr>
        <w:t>.</w:t>
      </w:r>
      <w:bookmarkEnd w:id="142"/>
      <w:bookmarkEnd w:id="143"/>
      <w:bookmarkEnd w:id="144"/>
      <w:r>
        <w:rPr>
          <w:snapToGrid w:val="0"/>
          <w:lang w:eastAsia="zh-CN"/>
        </w:rPr>
        <w:t>1</w:t>
      </w:r>
      <w:r>
        <w:rPr>
          <w:rFonts w:hint="eastAsia"/>
          <w:snapToGrid w:val="0"/>
          <w:lang w:eastAsia="zh-CN"/>
        </w:rPr>
        <w:t>5</w:t>
      </w:r>
      <w:r>
        <w:rPr>
          <w:snapToGrid w:val="0"/>
          <w:lang w:eastAsia="zh-CN"/>
        </w:rPr>
        <w:t>劳动定员及工作制度</w:t>
      </w:r>
      <w:bookmarkEnd w:id="145"/>
    </w:p>
    <w:p w14:paraId="19CD1581">
      <w:pPr>
        <w:ind w:firstLine="480"/>
        <w:rPr>
          <w:rFonts w:asciiTheme="minorEastAsia" w:hAnsiTheme="minorEastAsia" w:eastAsiaTheme="minorEastAsia"/>
          <w:kern w:val="2"/>
          <w:lang w:eastAsia="zh-CN"/>
        </w:rPr>
      </w:pPr>
      <w:r>
        <w:rPr>
          <w:rFonts w:asciiTheme="minorEastAsia" w:hAnsiTheme="minorEastAsia" w:eastAsiaTheme="minorEastAsia"/>
          <w:kern w:val="2"/>
          <w:lang w:eastAsia="zh-CN"/>
        </w:rPr>
        <w:t>本项目劳动定员</w:t>
      </w:r>
      <w:r>
        <w:rPr>
          <w:rFonts w:hint="eastAsia" w:asciiTheme="minorEastAsia" w:hAnsiTheme="minorEastAsia" w:eastAsiaTheme="minorEastAsia"/>
          <w:kern w:val="2"/>
          <w:lang w:eastAsia="zh-CN"/>
        </w:rPr>
        <w:t>63</w:t>
      </w:r>
      <w:r>
        <w:rPr>
          <w:rFonts w:asciiTheme="minorEastAsia" w:hAnsiTheme="minorEastAsia" w:eastAsiaTheme="minorEastAsia"/>
          <w:kern w:val="2"/>
          <w:lang w:eastAsia="zh-CN"/>
        </w:rPr>
        <w:t>人。</w:t>
      </w:r>
      <w:bookmarkStart w:id="146" w:name="_Toc287598129"/>
      <w:bookmarkStart w:id="147" w:name="_Toc280020061"/>
      <w:bookmarkStart w:id="148" w:name="_Toc279676592"/>
      <w:r>
        <w:rPr>
          <w:rFonts w:asciiTheme="minorEastAsia" w:hAnsiTheme="minorEastAsia" w:eastAsiaTheme="minorEastAsia"/>
          <w:kern w:val="2"/>
          <w:lang w:eastAsia="zh-CN"/>
        </w:rPr>
        <w:t>油田工作制度为每年365天，每天3班，每班工作8小时。</w:t>
      </w:r>
    </w:p>
    <w:p w14:paraId="21D0E8F6">
      <w:pPr>
        <w:spacing w:line="240" w:lineRule="auto"/>
        <w:ind w:firstLine="954" w:firstLineChars="396"/>
        <w:rPr>
          <w:kern w:val="2"/>
          <w:lang w:eastAsia="zh-CN"/>
        </w:rPr>
      </w:pPr>
      <w:r>
        <w:rPr>
          <w:b/>
          <w:szCs w:val="24"/>
          <w:lang w:eastAsia="zh-CN"/>
        </w:rPr>
        <w:t>表2.</w:t>
      </w:r>
      <w:r>
        <w:rPr>
          <w:rFonts w:hint="eastAsia"/>
          <w:b/>
          <w:szCs w:val="24"/>
          <w:lang w:eastAsia="zh-CN"/>
        </w:rPr>
        <w:t>3</w:t>
      </w:r>
      <w:r>
        <w:rPr>
          <w:b/>
          <w:szCs w:val="24"/>
          <w:lang w:eastAsia="zh-CN"/>
        </w:rPr>
        <w:t>-</w:t>
      </w:r>
      <w:r>
        <w:rPr>
          <w:rFonts w:hint="eastAsia"/>
          <w:b/>
          <w:szCs w:val="24"/>
          <w:lang w:eastAsia="zh-CN"/>
        </w:rPr>
        <w:t>12</w:t>
      </w:r>
      <w:r>
        <w:rPr>
          <w:b/>
          <w:szCs w:val="24"/>
          <w:lang w:eastAsia="zh-CN"/>
        </w:rPr>
        <w:t xml:space="preserve">  </w:t>
      </w:r>
      <w:r>
        <w:rPr>
          <w:rFonts w:hint="eastAsia"/>
          <w:b/>
          <w:szCs w:val="24"/>
          <w:lang w:eastAsia="zh-CN"/>
        </w:rPr>
        <w:t xml:space="preserve">      </w:t>
      </w:r>
      <w:r>
        <w:rPr>
          <w:rFonts w:hint="eastAsia"/>
          <w:b/>
          <w:bCs/>
          <w:szCs w:val="24"/>
          <w:lang w:eastAsia="zh-CN"/>
        </w:rPr>
        <w:t>项目</w:t>
      </w:r>
      <w:r>
        <w:rPr>
          <w:b/>
          <w:bCs/>
          <w:szCs w:val="24"/>
          <w:lang w:eastAsia="zh-CN"/>
        </w:rPr>
        <w:t>劳动定员表</w:t>
      </w:r>
    </w:p>
    <w:tbl>
      <w:tblPr>
        <w:tblStyle w:val="76"/>
        <w:tblW w:w="7901" w:type="dxa"/>
        <w:jc w:val="center"/>
        <w:tblLayout w:type="fixed"/>
        <w:tblCellMar>
          <w:top w:w="0" w:type="dxa"/>
          <w:left w:w="108" w:type="dxa"/>
          <w:bottom w:w="0" w:type="dxa"/>
          <w:right w:w="108" w:type="dxa"/>
        </w:tblCellMar>
      </w:tblPr>
      <w:tblGrid>
        <w:gridCol w:w="1495"/>
        <w:gridCol w:w="2295"/>
        <w:gridCol w:w="2127"/>
        <w:gridCol w:w="1984"/>
      </w:tblGrid>
      <w:tr w14:paraId="0DB9CAAD">
        <w:tblPrEx>
          <w:tblCellMar>
            <w:top w:w="0" w:type="dxa"/>
            <w:left w:w="108" w:type="dxa"/>
            <w:bottom w:w="0" w:type="dxa"/>
            <w:right w:w="108" w:type="dxa"/>
          </w:tblCellMar>
        </w:tblPrEx>
        <w:trPr>
          <w:trHeight w:val="397" w:hRule="exact"/>
          <w:jc w:val="center"/>
        </w:trPr>
        <w:tc>
          <w:tcPr>
            <w:tcW w:w="1495" w:type="dxa"/>
            <w:tcBorders>
              <w:top w:val="single" w:color="auto" w:sz="12" w:space="0"/>
              <w:left w:val="single" w:color="auto" w:sz="12" w:space="0"/>
              <w:bottom w:val="single" w:color="000000" w:sz="4" w:space="0"/>
              <w:right w:val="single" w:color="000000" w:sz="4" w:space="0"/>
            </w:tcBorders>
            <w:vAlign w:val="center"/>
          </w:tcPr>
          <w:p w14:paraId="68D3D7FF">
            <w:pPr>
              <w:pStyle w:val="572"/>
              <w:jc w:val="center"/>
              <w:rPr>
                <w:rFonts w:asciiTheme="minorEastAsia" w:hAnsiTheme="minorEastAsia" w:eastAsiaTheme="minorEastAsia"/>
              </w:rPr>
            </w:pPr>
            <w:r>
              <w:rPr>
                <w:rFonts w:asciiTheme="minorEastAsia" w:hAnsiTheme="minorEastAsia" w:eastAsiaTheme="minorEastAsia"/>
              </w:rPr>
              <w:t>序号</w:t>
            </w:r>
          </w:p>
        </w:tc>
        <w:tc>
          <w:tcPr>
            <w:tcW w:w="2295" w:type="dxa"/>
            <w:tcBorders>
              <w:top w:val="single" w:color="auto" w:sz="12" w:space="0"/>
              <w:left w:val="nil"/>
              <w:bottom w:val="single" w:color="000000" w:sz="4" w:space="0"/>
              <w:right w:val="single" w:color="000000" w:sz="4" w:space="0"/>
            </w:tcBorders>
            <w:vAlign w:val="center"/>
          </w:tcPr>
          <w:p w14:paraId="49FDA157">
            <w:pPr>
              <w:pStyle w:val="572"/>
              <w:jc w:val="center"/>
              <w:rPr>
                <w:rFonts w:asciiTheme="minorEastAsia" w:hAnsiTheme="minorEastAsia" w:eastAsiaTheme="minorEastAsia"/>
              </w:rPr>
            </w:pPr>
            <w:r>
              <w:rPr>
                <w:rFonts w:asciiTheme="minorEastAsia" w:hAnsiTheme="minorEastAsia" w:eastAsiaTheme="minorEastAsia"/>
              </w:rPr>
              <w:t>岗位</w:t>
            </w:r>
          </w:p>
        </w:tc>
        <w:tc>
          <w:tcPr>
            <w:tcW w:w="2127" w:type="dxa"/>
            <w:tcBorders>
              <w:top w:val="single" w:color="auto" w:sz="12" w:space="0"/>
              <w:left w:val="nil"/>
              <w:bottom w:val="single" w:color="000000" w:sz="4" w:space="0"/>
              <w:right w:val="single" w:color="auto" w:sz="4" w:space="0"/>
            </w:tcBorders>
            <w:vAlign w:val="center"/>
          </w:tcPr>
          <w:p w14:paraId="77BCF476">
            <w:pPr>
              <w:pStyle w:val="572"/>
              <w:jc w:val="center"/>
              <w:rPr>
                <w:rFonts w:asciiTheme="minorEastAsia" w:hAnsiTheme="minorEastAsia" w:eastAsiaTheme="minorEastAsia"/>
              </w:rPr>
            </w:pPr>
            <w:r>
              <w:rPr>
                <w:rFonts w:asciiTheme="minorEastAsia" w:hAnsiTheme="minorEastAsia" w:eastAsiaTheme="minorEastAsia"/>
              </w:rPr>
              <w:t>人数（人）</w:t>
            </w:r>
          </w:p>
        </w:tc>
        <w:tc>
          <w:tcPr>
            <w:tcW w:w="1984" w:type="dxa"/>
            <w:tcBorders>
              <w:top w:val="single" w:color="auto" w:sz="12" w:space="0"/>
              <w:left w:val="single" w:color="auto" w:sz="4" w:space="0"/>
              <w:bottom w:val="single" w:color="000000" w:sz="4" w:space="0"/>
              <w:right w:val="single" w:color="auto" w:sz="12" w:space="0"/>
            </w:tcBorders>
            <w:vAlign w:val="center"/>
          </w:tcPr>
          <w:p w14:paraId="480DDD55">
            <w:pPr>
              <w:pStyle w:val="572"/>
              <w:jc w:val="center"/>
              <w:rPr>
                <w:rFonts w:asciiTheme="minorEastAsia" w:hAnsiTheme="minorEastAsia" w:eastAsiaTheme="minorEastAsia"/>
              </w:rPr>
            </w:pPr>
            <w:r>
              <w:rPr>
                <w:rFonts w:hint="eastAsia" w:asciiTheme="minorEastAsia" w:hAnsiTheme="minorEastAsia" w:eastAsiaTheme="minorEastAsia"/>
              </w:rPr>
              <w:t>备注</w:t>
            </w:r>
          </w:p>
        </w:tc>
      </w:tr>
      <w:tr w14:paraId="7716F992">
        <w:tblPrEx>
          <w:tblCellMar>
            <w:top w:w="0" w:type="dxa"/>
            <w:left w:w="108" w:type="dxa"/>
            <w:bottom w:w="0" w:type="dxa"/>
            <w:right w:w="108" w:type="dxa"/>
          </w:tblCellMar>
        </w:tblPrEx>
        <w:trPr>
          <w:trHeight w:val="397" w:hRule="exact"/>
          <w:jc w:val="center"/>
        </w:trPr>
        <w:tc>
          <w:tcPr>
            <w:tcW w:w="1495" w:type="dxa"/>
            <w:tcBorders>
              <w:top w:val="single" w:color="000000" w:sz="4" w:space="0"/>
              <w:left w:val="single" w:color="auto" w:sz="12" w:space="0"/>
              <w:bottom w:val="single" w:color="000000" w:sz="4" w:space="0"/>
              <w:right w:val="single" w:color="000000" w:sz="4" w:space="0"/>
            </w:tcBorders>
            <w:vAlign w:val="center"/>
          </w:tcPr>
          <w:p w14:paraId="0BF3C7C6">
            <w:pPr>
              <w:pStyle w:val="572"/>
              <w:jc w:val="center"/>
              <w:rPr>
                <w:rFonts w:asciiTheme="minorEastAsia" w:hAnsiTheme="minorEastAsia" w:eastAsiaTheme="minorEastAsia"/>
              </w:rPr>
            </w:pPr>
            <w:r>
              <w:rPr>
                <w:rFonts w:asciiTheme="minorEastAsia" w:hAnsiTheme="minorEastAsia" w:eastAsiaTheme="minorEastAsia"/>
              </w:rPr>
              <w:t>1</w:t>
            </w:r>
          </w:p>
        </w:tc>
        <w:tc>
          <w:tcPr>
            <w:tcW w:w="2295" w:type="dxa"/>
            <w:tcBorders>
              <w:top w:val="single" w:color="000000" w:sz="4" w:space="0"/>
              <w:left w:val="nil"/>
              <w:bottom w:val="single" w:color="000000" w:sz="4" w:space="0"/>
              <w:right w:val="single" w:color="000000" w:sz="4" w:space="0"/>
            </w:tcBorders>
            <w:vAlign w:val="center"/>
          </w:tcPr>
          <w:p w14:paraId="4C810DD6">
            <w:pPr>
              <w:pStyle w:val="572"/>
              <w:jc w:val="center"/>
              <w:rPr>
                <w:rFonts w:asciiTheme="minorEastAsia" w:hAnsiTheme="minorEastAsia" w:eastAsiaTheme="minorEastAsia"/>
              </w:rPr>
            </w:pPr>
            <w:r>
              <w:rPr>
                <w:rFonts w:hint="eastAsia" w:asciiTheme="minorEastAsia" w:hAnsiTheme="minorEastAsia" w:eastAsiaTheme="minorEastAsia"/>
              </w:rPr>
              <w:t>站长</w:t>
            </w:r>
          </w:p>
        </w:tc>
        <w:tc>
          <w:tcPr>
            <w:tcW w:w="2127" w:type="dxa"/>
            <w:tcBorders>
              <w:top w:val="single" w:color="000000" w:sz="4" w:space="0"/>
              <w:left w:val="nil"/>
              <w:bottom w:val="single" w:color="000000" w:sz="4" w:space="0"/>
              <w:right w:val="single" w:color="auto" w:sz="4" w:space="0"/>
            </w:tcBorders>
            <w:vAlign w:val="center"/>
          </w:tcPr>
          <w:p w14:paraId="7AEF53DD">
            <w:pPr>
              <w:pStyle w:val="572"/>
              <w:jc w:val="center"/>
              <w:rPr>
                <w:rFonts w:asciiTheme="minorEastAsia" w:hAnsiTheme="minorEastAsia" w:eastAsiaTheme="minorEastAsia"/>
              </w:rPr>
            </w:pPr>
            <w:r>
              <w:rPr>
                <w:rFonts w:hint="eastAsia" w:asciiTheme="minorEastAsia" w:hAnsiTheme="minorEastAsia" w:eastAsiaTheme="minorEastAsia"/>
              </w:rPr>
              <w:t>1</w:t>
            </w:r>
          </w:p>
        </w:tc>
        <w:tc>
          <w:tcPr>
            <w:tcW w:w="1984" w:type="dxa"/>
            <w:tcBorders>
              <w:top w:val="single" w:color="000000" w:sz="4" w:space="0"/>
              <w:left w:val="single" w:color="auto" w:sz="4" w:space="0"/>
              <w:bottom w:val="single" w:color="000000" w:sz="4" w:space="0"/>
              <w:right w:val="single" w:color="auto" w:sz="12" w:space="0"/>
            </w:tcBorders>
            <w:vAlign w:val="center"/>
          </w:tcPr>
          <w:p w14:paraId="426AFD9F">
            <w:pPr>
              <w:pStyle w:val="572"/>
              <w:jc w:val="center"/>
              <w:rPr>
                <w:rFonts w:asciiTheme="minorEastAsia" w:hAnsiTheme="minorEastAsia" w:eastAsiaTheme="minorEastAsia"/>
              </w:rPr>
            </w:pPr>
            <w:r>
              <w:rPr>
                <w:rFonts w:hint="eastAsia" w:asciiTheme="minorEastAsia" w:hAnsiTheme="minorEastAsia" w:eastAsiaTheme="minorEastAsia"/>
              </w:rPr>
              <w:t>管理</w:t>
            </w:r>
          </w:p>
        </w:tc>
      </w:tr>
      <w:tr w14:paraId="29C5E12D">
        <w:tblPrEx>
          <w:tblCellMar>
            <w:top w:w="0" w:type="dxa"/>
            <w:left w:w="108" w:type="dxa"/>
            <w:bottom w:w="0" w:type="dxa"/>
            <w:right w:w="108" w:type="dxa"/>
          </w:tblCellMar>
        </w:tblPrEx>
        <w:trPr>
          <w:trHeight w:val="397" w:hRule="exact"/>
          <w:jc w:val="center"/>
        </w:trPr>
        <w:tc>
          <w:tcPr>
            <w:tcW w:w="1495" w:type="dxa"/>
            <w:tcBorders>
              <w:top w:val="single" w:color="000000" w:sz="4" w:space="0"/>
              <w:left w:val="single" w:color="auto" w:sz="12" w:space="0"/>
              <w:bottom w:val="single" w:color="000000" w:sz="4" w:space="0"/>
              <w:right w:val="single" w:color="000000" w:sz="4" w:space="0"/>
            </w:tcBorders>
            <w:vAlign w:val="center"/>
          </w:tcPr>
          <w:p w14:paraId="33F4A07C">
            <w:pPr>
              <w:pStyle w:val="572"/>
              <w:jc w:val="center"/>
              <w:rPr>
                <w:rFonts w:asciiTheme="minorEastAsia" w:hAnsiTheme="minorEastAsia" w:eastAsiaTheme="minorEastAsia"/>
              </w:rPr>
            </w:pPr>
            <w:r>
              <w:rPr>
                <w:rFonts w:asciiTheme="minorEastAsia" w:hAnsiTheme="minorEastAsia" w:eastAsiaTheme="minorEastAsia"/>
              </w:rPr>
              <w:t>2</w:t>
            </w:r>
          </w:p>
        </w:tc>
        <w:tc>
          <w:tcPr>
            <w:tcW w:w="2295" w:type="dxa"/>
            <w:tcBorders>
              <w:top w:val="single" w:color="000000" w:sz="4" w:space="0"/>
              <w:left w:val="nil"/>
              <w:bottom w:val="single" w:color="000000" w:sz="4" w:space="0"/>
              <w:right w:val="single" w:color="000000" w:sz="4" w:space="0"/>
            </w:tcBorders>
            <w:vAlign w:val="center"/>
          </w:tcPr>
          <w:p w14:paraId="79F99FA6">
            <w:pPr>
              <w:pStyle w:val="572"/>
              <w:jc w:val="center"/>
              <w:rPr>
                <w:rFonts w:asciiTheme="minorEastAsia" w:hAnsiTheme="minorEastAsia" w:eastAsiaTheme="minorEastAsia"/>
              </w:rPr>
            </w:pPr>
            <w:r>
              <w:rPr>
                <w:rFonts w:hint="eastAsia" w:asciiTheme="minorEastAsia" w:hAnsiTheme="minorEastAsia" w:eastAsiaTheme="minorEastAsia"/>
              </w:rPr>
              <w:t>副站长</w:t>
            </w:r>
          </w:p>
        </w:tc>
        <w:tc>
          <w:tcPr>
            <w:tcW w:w="2127" w:type="dxa"/>
            <w:tcBorders>
              <w:top w:val="single" w:color="000000" w:sz="4" w:space="0"/>
              <w:left w:val="nil"/>
              <w:bottom w:val="single" w:color="000000" w:sz="4" w:space="0"/>
              <w:right w:val="single" w:color="auto" w:sz="4" w:space="0"/>
            </w:tcBorders>
            <w:vAlign w:val="center"/>
          </w:tcPr>
          <w:p w14:paraId="74EDDDEF">
            <w:pPr>
              <w:pStyle w:val="572"/>
              <w:jc w:val="center"/>
              <w:rPr>
                <w:rFonts w:asciiTheme="minorEastAsia" w:hAnsiTheme="minorEastAsia" w:eastAsiaTheme="minorEastAsia"/>
              </w:rPr>
            </w:pPr>
            <w:r>
              <w:rPr>
                <w:rFonts w:hint="eastAsia" w:asciiTheme="minorEastAsia" w:hAnsiTheme="minorEastAsia" w:eastAsiaTheme="minorEastAsia"/>
              </w:rPr>
              <w:t>1</w:t>
            </w:r>
          </w:p>
        </w:tc>
        <w:tc>
          <w:tcPr>
            <w:tcW w:w="1984" w:type="dxa"/>
            <w:tcBorders>
              <w:top w:val="single" w:color="000000" w:sz="4" w:space="0"/>
              <w:left w:val="single" w:color="auto" w:sz="4" w:space="0"/>
              <w:bottom w:val="single" w:color="000000" w:sz="4" w:space="0"/>
              <w:right w:val="single" w:color="auto" w:sz="12" w:space="0"/>
            </w:tcBorders>
            <w:vAlign w:val="center"/>
          </w:tcPr>
          <w:p w14:paraId="793AB938">
            <w:pPr>
              <w:pStyle w:val="572"/>
              <w:jc w:val="center"/>
              <w:rPr>
                <w:rFonts w:asciiTheme="minorEastAsia" w:hAnsiTheme="minorEastAsia" w:eastAsiaTheme="minorEastAsia"/>
              </w:rPr>
            </w:pPr>
            <w:r>
              <w:rPr>
                <w:rFonts w:hint="eastAsia" w:asciiTheme="minorEastAsia" w:hAnsiTheme="minorEastAsia" w:eastAsiaTheme="minorEastAsia"/>
              </w:rPr>
              <w:t>管理</w:t>
            </w:r>
          </w:p>
        </w:tc>
      </w:tr>
      <w:tr w14:paraId="3213FC31">
        <w:tblPrEx>
          <w:tblCellMar>
            <w:top w:w="0" w:type="dxa"/>
            <w:left w:w="108" w:type="dxa"/>
            <w:bottom w:w="0" w:type="dxa"/>
            <w:right w:w="108" w:type="dxa"/>
          </w:tblCellMar>
        </w:tblPrEx>
        <w:trPr>
          <w:trHeight w:val="363" w:hRule="exact"/>
          <w:jc w:val="center"/>
        </w:trPr>
        <w:tc>
          <w:tcPr>
            <w:tcW w:w="1495" w:type="dxa"/>
            <w:tcBorders>
              <w:top w:val="single" w:color="000000" w:sz="4" w:space="0"/>
              <w:left w:val="single" w:color="auto" w:sz="12" w:space="0"/>
              <w:bottom w:val="single" w:color="000000" w:sz="4" w:space="0"/>
              <w:right w:val="single" w:color="000000" w:sz="4" w:space="0"/>
            </w:tcBorders>
            <w:vAlign w:val="center"/>
          </w:tcPr>
          <w:p w14:paraId="3E36CE10">
            <w:pPr>
              <w:pStyle w:val="572"/>
              <w:jc w:val="center"/>
              <w:rPr>
                <w:rFonts w:asciiTheme="minorEastAsia" w:hAnsiTheme="minorEastAsia" w:eastAsiaTheme="minorEastAsia"/>
              </w:rPr>
            </w:pPr>
            <w:r>
              <w:rPr>
                <w:rFonts w:asciiTheme="minorEastAsia" w:hAnsiTheme="minorEastAsia" w:eastAsiaTheme="minorEastAsia"/>
              </w:rPr>
              <w:t>3</w:t>
            </w:r>
          </w:p>
        </w:tc>
        <w:tc>
          <w:tcPr>
            <w:tcW w:w="2295" w:type="dxa"/>
            <w:tcBorders>
              <w:top w:val="single" w:color="000000" w:sz="4" w:space="0"/>
              <w:left w:val="nil"/>
              <w:bottom w:val="single" w:color="000000" w:sz="4" w:space="0"/>
              <w:right w:val="single" w:color="000000" w:sz="4" w:space="0"/>
            </w:tcBorders>
            <w:vAlign w:val="center"/>
          </w:tcPr>
          <w:p w14:paraId="2B91CEC3">
            <w:pPr>
              <w:pStyle w:val="572"/>
              <w:jc w:val="center"/>
              <w:rPr>
                <w:rFonts w:asciiTheme="minorEastAsia" w:hAnsiTheme="minorEastAsia" w:eastAsiaTheme="minorEastAsia"/>
              </w:rPr>
            </w:pPr>
            <w:r>
              <w:rPr>
                <w:rFonts w:asciiTheme="minorEastAsia" w:hAnsiTheme="minorEastAsia" w:eastAsiaTheme="minorEastAsia"/>
              </w:rPr>
              <w:t>集输岗</w:t>
            </w:r>
          </w:p>
        </w:tc>
        <w:tc>
          <w:tcPr>
            <w:tcW w:w="2127" w:type="dxa"/>
            <w:tcBorders>
              <w:top w:val="single" w:color="000000" w:sz="4" w:space="0"/>
              <w:left w:val="nil"/>
              <w:bottom w:val="single" w:color="000000" w:sz="4" w:space="0"/>
              <w:right w:val="single" w:color="auto" w:sz="4" w:space="0"/>
            </w:tcBorders>
            <w:vAlign w:val="center"/>
          </w:tcPr>
          <w:p w14:paraId="7F77175F">
            <w:pPr>
              <w:pStyle w:val="572"/>
              <w:jc w:val="center"/>
              <w:rPr>
                <w:rFonts w:asciiTheme="minorEastAsia" w:hAnsiTheme="minorEastAsia" w:eastAsiaTheme="minorEastAsia"/>
              </w:rPr>
            </w:pPr>
            <w:r>
              <w:rPr>
                <w:rFonts w:asciiTheme="minorEastAsia" w:hAnsiTheme="minorEastAsia" w:eastAsiaTheme="minorEastAsia"/>
              </w:rPr>
              <w:t>4</w:t>
            </w:r>
          </w:p>
        </w:tc>
        <w:tc>
          <w:tcPr>
            <w:tcW w:w="1984" w:type="dxa"/>
            <w:tcBorders>
              <w:top w:val="single" w:color="000000" w:sz="4" w:space="0"/>
              <w:left w:val="single" w:color="auto" w:sz="4" w:space="0"/>
              <w:bottom w:val="single" w:color="000000" w:sz="4" w:space="0"/>
              <w:right w:val="single" w:color="auto" w:sz="12" w:space="0"/>
            </w:tcBorders>
            <w:vAlign w:val="center"/>
          </w:tcPr>
          <w:p w14:paraId="68E6D849">
            <w:pPr>
              <w:pStyle w:val="337"/>
              <w:rPr>
                <w:rFonts w:asciiTheme="minorEastAsia" w:hAnsiTheme="minorEastAsia" w:eastAsiaTheme="minorEastAsia"/>
                <w:color w:val="auto"/>
                <w:szCs w:val="21"/>
                <w:lang w:val="en-US" w:eastAsia="zh-CN" w:bidi="en-US"/>
              </w:rPr>
            </w:pPr>
            <w:r>
              <w:rPr>
                <w:rFonts w:hint="eastAsia" w:asciiTheme="minorEastAsia" w:hAnsiTheme="minorEastAsia" w:eastAsiaTheme="minorEastAsia"/>
                <w:color w:val="auto"/>
                <w:szCs w:val="21"/>
                <w:lang w:val="en-US" w:eastAsia="zh-CN" w:bidi="en-US"/>
              </w:rPr>
              <w:t>技术、</w:t>
            </w:r>
            <w:r>
              <w:rPr>
                <w:rFonts w:asciiTheme="minorEastAsia" w:hAnsiTheme="minorEastAsia" w:eastAsiaTheme="minorEastAsia"/>
                <w:color w:val="auto"/>
                <w:szCs w:val="21"/>
                <w:lang w:val="en-US" w:eastAsia="zh-CN" w:bidi="en-US"/>
              </w:rPr>
              <w:t>操作</w:t>
            </w:r>
          </w:p>
        </w:tc>
      </w:tr>
      <w:tr w14:paraId="5244EFB6">
        <w:tblPrEx>
          <w:tblCellMar>
            <w:top w:w="0" w:type="dxa"/>
            <w:left w:w="108" w:type="dxa"/>
            <w:bottom w:w="0" w:type="dxa"/>
            <w:right w:w="108" w:type="dxa"/>
          </w:tblCellMar>
        </w:tblPrEx>
        <w:trPr>
          <w:trHeight w:val="397" w:hRule="exact"/>
          <w:jc w:val="center"/>
        </w:trPr>
        <w:tc>
          <w:tcPr>
            <w:tcW w:w="1495" w:type="dxa"/>
            <w:tcBorders>
              <w:top w:val="single" w:color="000000" w:sz="4" w:space="0"/>
              <w:left w:val="single" w:color="auto" w:sz="12" w:space="0"/>
              <w:bottom w:val="single" w:color="000000" w:sz="4" w:space="0"/>
              <w:right w:val="single" w:color="000000" w:sz="4" w:space="0"/>
            </w:tcBorders>
            <w:vAlign w:val="center"/>
          </w:tcPr>
          <w:p w14:paraId="427E22DC">
            <w:pPr>
              <w:pStyle w:val="572"/>
              <w:jc w:val="center"/>
              <w:rPr>
                <w:rFonts w:asciiTheme="minorEastAsia" w:hAnsiTheme="minorEastAsia" w:eastAsiaTheme="minorEastAsia"/>
              </w:rPr>
            </w:pPr>
            <w:r>
              <w:rPr>
                <w:rFonts w:asciiTheme="minorEastAsia" w:hAnsiTheme="minorEastAsia" w:eastAsiaTheme="minorEastAsia"/>
              </w:rPr>
              <w:t>4</w:t>
            </w:r>
          </w:p>
        </w:tc>
        <w:tc>
          <w:tcPr>
            <w:tcW w:w="2295" w:type="dxa"/>
            <w:tcBorders>
              <w:top w:val="single" w:color="000000" w:sz="4" w:space="0"/>
              <w:left w:val="nil"/>
              <w:bottom w:val="single" w:color="000000" w:sz="4" w:space="0"/>
              <w:right w:val="single" w:color="000000" w:sz="4" w:space="0"/>
            </w:tcBorders>
            <w:vAlign w:val="center"/>
          </w:tcPr>
          <w:p w14:paraId="299D7F89">
            <w:pPr>
              <w:pStyle w:val="572"/>
              <w:jc w:val="center"/>
              <w:rPr>
                <w:rFonts w:asciiTheme="minorEastAsia" w:hAnsiTheme="minorEastAsia" w:eastAsiaTheme="minorEastAsia"/>
              </w:rPr>
            </w:pPr>
            <w:r>
              <w:rPr>
                <w:rFonts w:asciiTheme="minorEastAsia" w:hAnsiTheme="minorEastAsia" w:eastAsiaTheme="minorEastAsia"/>
              </w:rPr>
              <w:t>注水岗</w:t>
            </w:r>
          </w:p>
        </w:tc>
        <w:tc>
          <w:tcPr>
            <w:tcW w:w="2127" w:type="dxa"/>
            <w:tcBorders>
              <w:top w:val="single" w:color="000000" w:sz="4" w:space="0"/>
              <w:left w:val="nil"/>
              <w:bottom w:val="single" w:color="000000" w:sz="4" w:space="0"/>
              <w:right w:val="single" w:color="auto" w:sz="4" w:space="0"/>
            </w:tcBorders>
            <w:vAlign w:val="center"/>
          </w:tcPr>
          <w:p w14:paraId="344E56D4">
            <w:pPr>
              <w:pStyle w:val="572"/>
              <w:jc w:val="center"/>
              <w:rPr>
                <w:rFonts w:asciiTheme="minorEastAsia" w:hAnsiTheme="minorEastAsia" w:eastAsiaTheme="minorEastAsia"/>
              </w:rPr>
            </w:pPr>
            <w:r>
              <w:rPr>
                <w:rFonts w:asciiTheme="minorEastAsia" w:hAnsiTheme="minorEastAsia" w:eastAsiaTheme="minorEastAsia"/>
              </w:rPr>
              <w:t>4</w:t>
            </w:r>
          </w:p>
        </w:tc>
        <w:tc>
          <w:tcPr>
            <w:tcW w:w="1984" w:type="dxa"/>
            <w:tcBorders>
              <w:top w:val="single" w:color="000000" w:sz="4" w:space="0"/>
              <w:left w:val="single" w:color="auto" w:sz="4" w:space="0"/>
              <w:bottom w:val="single" w:color="000000" w:sz="4" w:space="0"/>
              <w:right w:val="single" w:color="auto" w:sz="12" w:space="0"/>
            </w:tcBorders>
            <w:vAlign w:val="center"/>
          </w:tcPr>
          <w:p w14:paraId="5C9BF482">
            <w:pPr>
              <w:pStyle w:val="337"/>
              <w:rPr>
                <w:rFonts w:asciiTheme="minorEastAsia" w:hAnsiTheme="minorEastAsia" w:eastAsiaTheme="minorEastAsia"/>
                <w:color w:val="auto"/>
                <w:szCs w:val="21"/>
                <w:lang w:val="en-US" w:eastAsia="zh-CN" w:bidi="en-US"/>
              </w:rPr>
            </w:pPr>
            <w:r>
              <w:rPr>
                <w:rFonts w:hint="eastAsia" w:asciiTheme="minorEastAsia" w:hAnsiTheme="minorEastAsia" w:eastAsiaTheme="minorEastAsia"/>
                <w:color w:val="auto"/>
                <w:szCs w:val="21"/>
                <w:lang w:val="en-US" w:eastAsia="zh-CN" w:bidi="en-US"/>
              </w:rPr>
              <w:t>技术、</w:t>
            </w:r>
            <w:r>
              <w:rPr>
                <w:rFonts w:asciiTheme="minorEastAsia" w:hAnsiTheme="minorEastAsia" w:eastAsiaTheme="minorEastAsia"/>
                <w:color w:val="auto"/>
                <w:szCs w:val="21"/>
                <w:lang w:val="en-US" w:eastAsia="zh-CN" w:bidi="en-US"/>
              </w:rPr>
              <w:t>操作</w:t>
            </w:r>
          </w:p>
        </w:tc>
      </w:tr>
      <w:tr w14:paraId="4BFBE361">
        <w:tblPrEx>
          <w:tblCellMar>
            <w:top w:w="0" w:type="dxa"/>
            <w:left w:w="108" w:type="dxa"/>
            <w:bottom w:w="0" w:type="dxa"/>
            <w:right w:w="108" w:type="dxa"/>
          </w:tblCellMar>
        </w:tblPrEx>
        <w:trPr>
          <w:trHeight w:val="397" w:hRule="exact"/>
          <w:jc w:val="center"/>
        </w:trPr>
        <w:tc>
          <w:tcPr>
            <w:tcW w:w="1495" w:type="dxa"/>
            <w:tcBorders>
              <w:top w:val="single" w:color="000000" w:sz="4" w:space="0"/>
              <w:left w:val="single" w:color="auto" w:sz="12" w:space="0"/>
              <w:bottom w:val="single" w:color="000000" w:sz="4" w:space="0"/>
              <w:right w:val="single" w:color="000000" w:sz="4" w:space="0"/>
            </w:tcBorders>
            <w:vAlign w:val="center"/>
          </w:tcPr>
          <w:p w14:paraId="784D6C02">
            <w:pPr>
              <w:pStyle w:val="572"/>
              <w:jc w:val="center"/>
              <w:rPr>
                <w:rFonts w:asciiTheme="minorEastAsia" w:hAnsiTheme="minorEastAsia" w:eastAsiaTheme="minorEastAsia"/>
              </w:rPr>
            </w:pPr>
            <w:r>
              <w:rPr>
                <w:rFonts w:asciiTheme="minorEastAsia" w:hAnsiTheme="minorEastAsia" w:eastAsiaTheme="minorEastAsia"/>
              </w:rPr>
              <w:t>5</w:t>
            </w:r>
          </w:p>
        </w:tc>
        <w:tc>
          <w:tcPr>
            <w:tcW w:w="2295" w:type="dxa"/>
            <w:tcBorders>
              <w:top w:val="single" w:color="000000" w:sz="4" w:space="0"/>
              <w:left w:val="nil"/>
              <w:bottom w:val="single" w:color="000000" w:sz="4" w:space="0"/>
              <w:right w:val="single" w:color="000000" w:sz="4" w:space="0"/>
            </w:tcBorders>
            <w:vAlign w:val="center"/>
          </w:tcPr>
          <w:p w14:paraId="4F8C116D">
            <w:pPr>
              <w:pStyle w:val="572"/>
              <w:jc w:val="center"/>
              <w:rPr>
                <w:rFonts w:asciiTheme="minorEastAsia" w:hAnsiTheme="minorEastAsia" w:eastAsiaTheme="minorEastAsia"/>
              </w:rPr>
            </w:pPr>
            <w:r>
              <w:rPr>
                <w:rFonts w:hint="eastAsia" w:asciiTheme="minorEastAsia" w:hAnsiTheme="minorEastAsia" w:eastAsiaTheme="minorEastAsia"/>
              </w:rPr>
              <w:t>气处理</w:t>
            </w:r>
            <w:r>
              <w:rPr>
                <w:rFonts w:asciiTheme="minorEastAsia" w:hAnsiTheme="minorEastAsia" w:eastAsiaTheme="minorEastAsia"/>
              </w:rPr>
              <w:t>岗</w:t>
            </w:r>
          </w:p>
        </w:tc>
        <w:tc>
          <w:tcPr>
            <w:tcW w:w="2127" w:type="dxa"/>
            <w:tcBorders>
              <w:top w:val="single" w:color="000000" w:sz="4" w:space="0"/>
              <w:left w:val="nil"/>
              <w:bottom w:val="single" w:color="000000" w:sz="4" w:space="0"/>
              <w:right w:val="single" w:color="auto" w:sz="4" w:space="0"/>
            </w:tcBorders>
            <w:vAlign w:val="center"/>
          </w:tcPr>
          <w:p w14:paraId="65407072">
            <w:pPr>
              <w:pStyle w:val="572"/>
              <w:jc w:val="center"/>
              <w:rPr>
                <w:rFonts w:asciiTheme="minorEastAsia" w:hAnsiTheme="minorEastAsia" w:eastAsiaTheme="minorEastAsia"/>
              </w:rPr>
            </w:pPr>
            <w:r>
              <w:rPr>
                <w:rFonts w:hint="eastAsia" w:asciiTheme="minorEastAsia" w:hAnsiTheme="minorEastAsia" w:eastAsiaTheme="minorEastAsia"/>
              </w:rPr>
              <w:t>33</w:t>
            </w:r>
          </w:p>
        </w:tc>
        <w:tc>
          <w:tcPr>
            <w:tcW w:w="1984" w:type="dxa"/>
            <w:tcBorders>
              <w:top w:val="single" w:color="000000" w:sz="4" w:space="0"/>
              <w:left w:val="single" w:color="auto" w:sz="4" w:space="0"/>
              <w:bottom w:val="single" w:color="000000" w:sz="4" w:space="0"/>
              <w:right w:val="single" w:color="auto" w:sz="12" w:space="0"/>
            </w:tcBorders>
            <w:vAlign w:val="center"/>
          </w:tcPr>
          <w:p w14:paraId="668EB6E1">
            <w:pPr>
              <w:pStyle w:val="337"/>
              <w:rPr>
                <w:rFonts w:asciiTheme="minorEastAsia" w:hAnsiTheme="minorEastAsia" w:eastAsiaTheme="minorEastAsia"/>
                <w:color w:val="auto"/>
                <w:szCs w:val="21"/>
                <w:lang w:val="en-US" w:eastAsia="zh-CN" w:bidi="en-US"/>
              </w:rPr>
            </w:pPr>
            <w:r>
              <w:rPr>
                <w:rFonts w:hint="eastAsia" w:asciiTheme="minorEastAsia" w:hAnsiTheme="minorEastAsia" w:eastAsiaTheme="minorEastAsia"/>
                <w:color w:val="auto"/>
                <w:szCs w:val="21"/>
                <w:lang w:val="en-US" w:eastAsia="zh-CN" w:bidi="en-US"/>
              </w:rPr>
              <w:t>技术、</w:t>
            </w:r>
            <w:r>
              <w:rPr>
                <w:rFonts w:asciiTheme="minorEastAsia" w:hAnsiTheme="minorEastAsia" w:eastAsiaTheme="minorEastAsia"/>
                <w:color w:val="auto"/>
                <w:szCs w:val="21"/>
                <w:lang w:val="en-US" w:eastAsia="zh-CN" w:bidi="en-US"/>
              </w:rPr>
              <w:t>操作</w:t>
            </w:r>
          </w:p>
        </w:tc>
      </w:tr>
      <w:tr w14:paraId="45143F60">
        <w:tblPrEx>
          <w:tblCellMar>
            <w:top w:w="0" w:type="dxa"/>
            <w:left w:w="108" w:type="dxa"/>
            <w:bottom w:w="0" w:type="dxa"/>
            <w:right w:w="108" w:type="dxa"/>
          </w:tblCellMar>
        </w:tblPrEx>
        <w:trPr>
          <w:trHeight w:val="295" w:hRule="exact"/>
          <w:jc w:val="center"/>
        </w:trPr>
        <w:tc>
          <w:tcPr>
            <w:tcW w:w="1495" w:type="dxa"/>
            <w:tcBorders>
              <w:top w:val="single" w:color="000000" w:sz="4" w:space="0"/>
              <w:left w:val="single" w:color="auto" w:sz="12" w:space="0"/>
              <w:bottom w:val="single" w:color="000000" w:sz="4" w:space="0"/>
              <w:right w:val="single" w:color="000000" w:sz="4" w:space="0"/>
            </w:tcBorders>
            <w:vAlign w:val="center"/>
          </w:tcPr>
          <w:p w14:paraId="09D294C5">
            <w:pPr>
              <w:pStyle w:val="572"/>
              <w:jc w:val="center"/>
              <w:rPr>
                <w:rFonts w:asciiTheme="minorEastAsia" w:hAnsiTheme="minorEastAsia" w:eastAsiaTheme="minorEastAsia"/>
              </w:rPr>
            </w:pPr>
            <w:r>
              <w:rPr>
                <w:rFonts w:hint="eastAsia" w:asciiTheme="minorEastAsia" w:hAnsiTheme="minorEastAsia" w:eastAsiaTheme="minorEastAsia"/>
              </w:rPr>
              <w:t>6</w:t>
            </w:r>
          </w:p>
        </w:tc>
        <w:tc>
          <w:tcPr>
            <w:tcW w:w="2295" w:type="dxa"/>
            <w:tcBorders>
              <w:top w:val="single" w:color="000000" w:sz="4" w:space="0"/>
              <w:left w:val="nil"/>
              <w:bottom w:val="single" w:color="000000" w:sz="4" w:space="0"/>
              <w:right w:val="single" w:color="000000" w:sz="4" w:space="0"/>
            </w:tcBorders>
            <w:vAlign w:val="center"/>
          </w:tcPr>
          <w:p w14:paraId="4831ED52">
            <w:pPr>
              <w:pStyle w:val="572"/>
              <w:jc w:val="center"/>
              <w:rPr>
                <w:rFonts w:asciiTheme="minorEastAsia" w:hAnsiTheme="minorEastAsia" w:eastAsiaTheme="minorEastAsia"/>
              </w:rPr>
            </w:pPr>
            <w:r>
              <w:rPr>
                <w:rFonts w:asciiTheme="minorEastAsia" w:hAnsiTheme="minorEastAsia" w:eastAsiaTheme="minorEastAsia"/>
              </w:rPr>
              <w:t>加热炉</w:t>
            </w:r>
          </w:p>
        </w:tc>
        <w:tc>
          <w:tcPr>
            <w:tcW w:w="2127" w:type="dxa"/>
            <w:tcBorders>
              <w:top w:val="single" w:color="000000" w:sz="4" w:space="0"/>
              <w:left w:val="nil"/>
              <w:bottom w:val="single" w:color="000000" w:sz="4" w:space="0"/>
              <w:right w:val="single" w:color="auto" w:sz="4" w:space="0"/>
            </w:tcBorders>
            <w:vAlign w:val="center"/>
          </w:tcPr>
          <w:p w14:paraId="6DC277A2">
            <w:pPr>
              <w:pStyle w:val="572"/>
              <w:jc w:val="center"/>
              <w:rPr>
                <w:rFonts w:asciiTheme="minorEastAsia" w:hAnsiTheme="minorEastAsia" w:eastAsiaTheme="minorEastAsia"/>
              </w:rPr>
            </w:pPr>
            <w:r>
              <w:rPr>
                <w:rFonts w:asciiTheme="minorEastAsia" w:hAnsiTheme="minorEastAsia" w:eastAsiaTheme="minorEastAsia"/>
              </w:rPr>
              <w:t>4</w:t>
            </w:r>
          </w:p>
        </w:tc>
        <w:tc>
          <w:tcPr>
            <w:tcW w:w="1984" w:type="dxa"/>
            <w:tcBorders>
              <w:top w:val="single" w:color="000000" w:sz="4" w:space="0"/>
              <w:left w:val="single" w:color="auto" w:sz="4" w:space="0"/>
              <w:bottom w:val="single" w:color="000000" w:sz="4" w:space="0"/>
              <w:right w:val="single" w:color="auto" w:sz="12" w:space="0"/>
            </w:tcBorders>
            <w:vAlign w:val="center"/>
          </w:tcPr>
          <w:p w14:paraId="172D7ED0">
            <w:pPr>
              <w:pStyle w:val="337"/>
              <w:rPr>
                <w:rFonts w:asciiTheme="minorEastAsia" w:hAnsiTheme="minorEastAsia" w:eastAsiaTheme="minorEastAsia"/>
                <w:color w:val="auto"/>
                <w:szCs w:val="21"/>
                <w:lang w:val="en-US" w:eastAsia="en-US" w:bidi="en-US"/>
              </w:rPr>
            </w:pPr>
            <w:r>
              <w:rPr>
                <w:rFonts w:hint="eastAsia" w:asciiTheme="minorEastAsia" w:hAnsiTheme="minorEastAsia" w:eastAsiaTheme="minorEastAsia"/>
                <w:color w:val="auto"/>
                <w:szCs w:val="21"/>
                <w:lang w:val="en-US" w:eastAsia="zh-CN" w:bidi="en-US"/>
              </w:rPr>
              <w:t>技术、</w:t>
            </w:r>
            <w:r>
              <w:rPr>
                <w:rFonts w:asciiTheme="minorEastAsia" w:hAnsiTheme="minorEastAsia" w:eastAsiaTheme="minorEastAsia"/>
                <w:color w:val="auto"/>
                <w:szCs w:val="21"/>
                <w:lang w:val="en-US" w:eastAsia="zh-CN" w:bidi="en-US"/>
              </w:rPr>
              <w:t>操作</w:t>
            </w:r>
          </w:p>
        </w:tc>
      </w:tr>
      <w:tr w14:paraId="26793DAA">
        <w:tblPrEx>
          <w:tblCellMar>
            <w:top w:w="0" w:type="dxa"/>
            <w:left w:w="108" w:type="dxa"/>
            <w:bottom w:w="0" w:type="dxa"/>
            <w:right w:w="108" w:type="dxa"/>
          </w:tblCellMar>
        </w:tblPrEx>
        <w:trPr>
          <w:trHeight w:val="397" w:hRule="exact"/>
          <w:jc w:val="center"/>
        </w:trPr>
        <w:tc>
          <w:tcPr>
            <w:tcW w:w="1495" w:type="dxa"/>
            <w:tcBorders>
              <w:top w:val="single" w:color="000000" w:sz="4" w:space="0"/>
              <w:left w:val="single" w:color="auto" w:sz="12" w:space="0"/>
              <w:bottom w:val="single" w:color="000000" w:sz="4" w:space="0"/>
              <w:right w:val="single" w:color="000000" w:sz="4" w:space="0"/>
            </w:tcBorders>
            <w:vAlign w:val="center"/>
          </w:tcPr>
          <w:p w14:paraId="3B3F3E60">
            <w:pPr>
              <w:pStyle w:val="572"/>
              <w:jc w:val="center"/>
              <w:rPr>
                <w:rFonts w:asciiTheme="minorEastAsia" w:hAnsiTheme="minorEastAsia" w:eastAsiaTheme="minorEastAsia"/>
              </w:rPr>
            </w:pPr>
            <w:r>
              <w:rPr>
                <w:rFonts w:hint="eastAsia" w:asciiTheme="minorEastAsia" w:hAnsiTheme="minorEastAsia" w:eastAsiaTheme="minorEastAsia"/>
              </w:rPr>
              <w:t>7</w:t>
            </w:r>
          </w:p>
        </w:tc>
        <w:tc>
          <w:tcPr>
            <w:tcW w:w="2295" w:type="dxa"/>
            <w:tcBorders>
              <w:top w:val="single" w:color="000000" w:sz="4" w:space="0"/>
              <w:left w:val="nil"/>
              <w:bottom w:val="single" w:color="000000" w:sz="4" w:space="0"/>
              <w:right w:val="single" w:color="000000" w:sz="4" w:space="0"/>
            </w:tcBorders>
            <w:vAlign w:val="center"/>
          </w:tcPr>
          <w:p w14:paraId="71711DF5">
            <w:pPr>
              <w:pStyle w:val="572"/>
              <w:jc w:val="center"/>
              <w:rPr>
                <w:rFonts w:asciiTheme="minorEastAsia" w:hAnsiTheme="minorEastAsia" w:eastAsiaTheme="minorEastAsia"/>
              </w:rPr>
            </w:pPr>
            <w:r>
              <w:rPr>
                <w:rFonts w:hint="eastAsia" w:asciiTheme="minorEastAsia" w:hAnsiTheme="minorEastAsia" w:eastAsiaTheme="minorEastAsia"/>
              </w:rPr>
              <w:t>气发机岗</w:t>
            </w:r>
          </w:p>
        </w:tc>
        <w:tc>
          <w:tcPr>
            <w:tcW w:w="2127" w:type="dxa"/>
            <w:tcBorders>
              <w:top w:val="single" w:color="000000" w:sz="4" w:space="0"/>
              <w:left w:val="nil"/>
              <w:bottom w:val="single" w:color="000000" w:sz="4" w:space="0"/>
              <w:right w:val="single" w:color="auto" w:sz="4" w:space="0"/>
            </w:tcBorders>
            <w:vAlign w:val="center"/>
          </w:tcPr>
          <w:p w14:paraId="44F6987F">
            <w:pPr>
              <w:pStyle w:val="572"/>
              <w:jc w:val="center"/>
              <w:rPr>
                <w:rFonts w:asciiTheme="minorEastAsia" w:hAnsiTheme="minorEastAsia" w:eastAsiaTheme="minorEastAsia"/>
              </w:rPr>
            </w:pPr>
            <w:r>
              <w:rPr>
                <w:rFonts w:hint="eastAsia" w:asciiTheme="minorEastAsia" w:hAnsiTheme="minorEastAsia" w:eastAsiaTheme="minorEastAsia"/>
              </w:rPr>
              <w:t>8</w:t>
            </w:r>
          </w:p>
        </w:tc>
        <w:tc>
          <w:tcPr>
            <w:tcW w:w="1984" w:type="dxa"/>
            <w:tcBorders>
              <w:top w:val="single" w:color="000000" w:sz="4" w:space="0"/>
              <w:left w:val="single" w:color="auto" w:sz="4" w:space="0"/>
              <w:bottom w:val="single" w:color="000000" w:sz="4" w:space="0"/>
              <w:right w:val="single" w:color="auto" w:sz="12" w:space="0"/>
            </w:tcBorders>
            <w:vAlign w:val="center"/>
          </w:tcPr>
          <w:p w14:paraId="3290DC18">
            <w:pPr>
              <w:pStyle w:val="337"/>
              <w:rPr>
                <w:rFonts w:asciiTheme="minorEastAsia" w:hAnsiTheme="minorEastAsia" w:eastAsiaTheme="minorEastAsia"/>
                <w:color w:val="auto"/>
                <w:szCs w:val="21"/>
                <w:lang w:val="en-US" w:eastAsia="zh-CN" w:bidi="en-US"/>
              </w:rPr>
            </w:pPr>
            <w:r>
              <w:rPr>
                <w:rFonts w:hint="eastAsia" w:asciiTheme="minorEastAsia" w:hAnsiTheme="minorEastAsia" w:eastAsiaTheme="minorEastAsia"/>
                <w:color w:val="auto"/>
                <w:szCs w:val="21"/>
                <w:lang w:val="en-US" w:eastAsia="zh-CN" w:bidi="en-US"/>
              </w:rPr>
              <w:t>技术、</w:t>
            </w:r>
            <w:r>
              <w:rPr>
                <w:rFonts w:asciiTheme="minorEastAsia" w:hAnsiTheme="minorEastAsia" w:eastAsiaTheme="minorEastAsia"/>
                <w:color w:val="auto"/>
                <w:szCs w:val="21"/>
                <w:lang w:val="en-US" w:eastAsia="zh-CN" w:bidi="en-US"/>
              </w:rPr>
              <w:t>操作</w:t>
            </w:r>
          </w:p>
        </w:tc>
      </w:tr>
      <w:tr w14:paraId="6A070606">
        <w:tblPrEx>
          <w:tblCellMar>
            <w:top w:w="0" w:type="dxa"/>
            <w:left w:w="108" w:type="dxa"/>
            <w:bottom w:w="0" w:type="dxa"/>
            <w:right w:w="108" w:type="dxa"/>
          </w:tblCellMar>
        </w:tblPrEx>
        <w:trPr>
          <w:trHeight w:val="305" w:hRule="exact"/>
          <w:jc w:val="center"/>
        </w:trPr>
        <w:tc>
          <w:tcPr>
            <w:tcW w:w="1495" w:type="dxa"/>
            <w:tcBorders>
              <w:top w:val="single" w:color="000000" w:sz="4" w:space="0"/>
              <w:left w:val="single" w:color="auto" w:sz="12" w:space="0"/>
              <w:bottom w:val="single" w:color="000000" w:sz="4" w:space="0"/>
              <w:right w:val="single" w:color="000000" w:sz="4" w:space="0"/>
            </w:tcBorders>
            <w:vAlign w:val="center"/>
          </w:tcPr>
          <w:p w14:paraId="2C496515">
            <w:pPr>
              <w:pStyle w:val="572"/>
              <w:jc w:val="center"/>
              <w:rPr>
                <w:rFonts w:asciiTheme="minorEastAsia" w:hAnsiTheme="minorEastAsia" w:eastAsiaTheme="minorEastAsia"/>
              </w:rPr>
            </w:pPr>
            <w:r>
              <w:rPr>
                <w:rFonts w:hint="eastAsia" w:asciiTheme="minorEastAsia" w:hAnsiTheme="minorEastAsia" w:eastAsiaTheme="minorEastAsia"/>
              </w:rPr>
              <w:t>8</w:t>
            </w:r>
          </w:p>
        </w:tc>
        <w:tc>
          <w:tcPr>
            <w:tcW w:w="2295" w:type="dxa"/>
            <w:tcBorders>
              <w:top w:val="single" w:color="000000" w:sz="4" w:space="0"/>
              <w:left w:val="nil"/>
              <w:bottom w:val="single" w:color="000000" w:sz="4" w:space="0"/>
              <w:right w:val="single" w:color="000000" w:sz="4" w:space="0"/>
            </w:tcBorders>
            <w:vAlign w:val="center"/>
          </w:tcPr>
          <w:p w14:paraId="27AAB99E">
            <w:pPr>
              <w:pStyle w:val="572"/>
              <w:jc w:val="center"/>
              <w:rPr>
                <w:rFonts w:asciiTheme="minorEastAsia" w:hAnsiTheme="minorEastAsia" w:eastAsiaTheme="minorEastAsia"/>
              </w:rPr>
            </w:pPr>
            <w:r>
              <w:rPr>
                <w:rFonts w:hint="eastAsia" w:asciiTheme="minorEastAsia" w:hAnsiTheme="minorEastAsia" w:eastAsiaTheme="minorEastAsia"/>
              </w:rPr>
              <w:t>中控岗</w:t>
            </w:r>
          </w:p>
        </w:tc>
        <w:tc>
          <w:tcPr>
            <w:tcW w:w="2127" w:type="dxa"/>
            <w:tcBorders>
              <w:top w:val="single" w:color="000000" w:sz="4" w:space="0"/>
              <w:left w:val="nil"/>
              <w:bottom w:val="single" w:color="000000" w:sz="4" w:space="0"/>
              <w:right w:val="single" w:color="auto" w:sz="4" w:space="0"/>
            </w:tcBorders>
            <w:vAlign w:val="center"/>
          </w:tcPr>
          <w:p w14:paraId="72D03CC8">
            <w:pPr>
              <w:pStyle w:val="572"/>
              <w:jc w:val="center"/>
              <w:rPr>
                <w:rFonts w:asciiTheme="minorEastAsia" w:hAnsiTheme="minorEastAsia" w:eastAsiaTheme="minorEastAsia"/>
              </w:rPr>
            </w:pPr>
            <w:r>
              <w:rPr>
                <w:rFonts w:hint="eastAsia" w:asciiTheme="minorEastAsia" w:hAnsiTheme="minorEastAsia" w:eastAsiaTheme="minorEastAsia"/>
              </w:rPr>
              <w:t>4</w:t>
            </w:r>
          </w:p>
        </w:tc>
        <w:tc>
          <w:tcPr>
            <w:tcW w:w="1984" w:type="dxa"/>
            <w:tcBorders>
              <w:top w:val="single" w:color="000000" w:sz="4" w:space="0"/>
              <w:left w:val="single" w:color="auto" w:sz="4" w:space="0"/>
              <w:bottom w:val="single" w:color="000000" w:sz="4" w:space="0"/>
              <w:right w:val="single" w:color="auto" w:sz="12" w:space="0"/>
            </w:tcBorders>
            <w:vAlign w:val="center"/>
          </w:tcPr>
          <w:p w14:paraId="4F1CBE7A">
            <w:pPr>
              <w:pStyle w:val="337"/>
              <w:rPr>
                <w:rFonts w:asciiTheme="minorEastAsia" w:hAnsiTheme="minorEastAsia" w:eastAsiaTheme="minorEastAsia"/>
                <w:color w:val="auto"/>
                <w:szCs w:val="21"/>
                <w:lang w:val="en-US" w:eastAsia="zh-CN" w:bidi="en-US"/>
              </w:rPr>
            </w:pPr>
            <w:r>
              <w:rPr>
                <w:rFonts w:hint="eastAsia" w:asciiTheme="minorEastAsia" w:hAnsiTheme="minorEastAsia" w:eastAsiaTheme="minorEastAsia"/>
                <w:color w:val="auto"/>
                <w:szCs w:val="21"/>
                <w:lang w:val="en-US" w:eastAsia="zh-CN" w:bidi="en-US"/>
              </w:rPr>
              <w:t>技术、</w:t>
            </w:r>
            <w:r>
              <w:rPr>
                <w:rFonts w:asciiTheme="minorEastAsia" w:hAnsiTheme="minorEastAsia" w:eastAsiaTheme="minorEastAsia"/>
                <w:color w:val="auto"/>
                <w:szCs w:val="21"/>
                <w:lang w:val="en-US" w:eastAsia="zh-CN" w:bidi="en-US"/>
              </w:rPr>
              <w:t>操作</w:t>
            </w:r>
          </w:p>
        </w:tc>
      </w:tr>
      <w:tr w14:paraId="7FD58220">
        <w:tblPrEx>
          <w:tblCellMar>
            <w:top w:w="0" w:type="dxa"/>
            <w:left w:w="108" w:type="dxa"/>
            <w:bottom w:w="0" w:type="dxa"/>
            <w:right w:w="108" w:type="dxa"/>
          </w:tblCellMar>
        </w:tblPrEx>
        <w:trPr>
          <w:trHeight w:val="267" w:hRule="exact"/>
          <w:jc w:val="center"/>
        </w:trPr>
        <w:tc>
          <w:tcPr>
            <w:tcW w:w="1495" w:type="dxa"/>
            <w:tcBorders>
              <w:top w:val="single" w:color="000000" w:sz="4" w:space="0"/>
              <w:left w:val="single" w:color="auto" w:sz="12" w:space="0"/>
              <w:bottom w:val="single" w:color="000000" w:sz="4" w:space="0"/>
              <w:right w:val="single" w:color="000000" w:sz="4" w:space="0"/>
            </w:tcBorders>
            <w:vAlign w:val="center"/>
          </w:tcPr>
          <w:p w14:paraId="3F108647">
            <w:pPr>
              <w:pStyle w:val="572"/>
              <w:jc w:val="center"/>
              <w:rPr>
                <w:rFonts w:asciiTheme="minorEastAsia" w:hAnsiTheme="minorEastAsia" w:eastAsiaTheme="minorEastAsia"/>
              </w:rPr>
            </w:pPr>
            <w:r>
              <w:rPr>
                <w:rFonts w:hint="eastAsia" w:asciiTheme="minorEastAsia" w:hAnsiTheme="minorEastAsia" w:eastAsiaTheme="minorEastAsia"/>
              </w:rPr>
              <w:t>9</w:t>
            </w:r>
          </w:p>
        </w:tc>
        <w:tc>
          <w:tcPr>
            <w:tcW w:w="2295" w:type="dxa"/>
            <w:tcBorders>
              <w:top w:val="single" w:color="000000" w:sz="4" w:space="0"/>
              <w:left w:val="nil"/>
              <w:bottom w:val="single" w:color="000000" w:sz="4" w:space="0"/>
              <w:right w:val="single" w:color="000000" w:sz="4" w:space="0"/>
            </w:tcBorders>
            <w:vAlign w:val="center"/>
          </w:tcPr>
          <w:p w14:paraId="179FF652">
            <w:pPr>
              <w:pStyle w:val="572"/>
              <w:jc w:val="center"/>
              <w:rPr>
                <w:rFonts w:asciiTheme="minorEastAsia" w:hAnsiTheme="minorEastAsia" w:eastAsiaTheme="minorEastAsia"/>
              </w:rPr>
            </w:pPr>
            <w:r>
              <w:rPr>
                <w:rFonts w:asciiTheme="minorEastAsia" w:hAnsiTheme="minorEastAsia" w:eastAsiaTheme="minorEastAsia"/>
              </w:rPr>
              <w:t>维修岗</w:t>
            </w:r>
          </w:p>
        </w:tc>
        <w:tc>
          <w:tcPr>
            <w:tcW w:w="2127" w:type="dxa"/>
            <w:tcBorders>
              <w:top w:val="single" w:color="000000" w:sz="4" w:space="0"/>
              <w:left w:val="nil"/>
              <w:bottom w:val="single" w:color="000000" w:sz="4" w:space="0"/>
              <w:right w:val="single" w:color="auto" w:sz="4" w:space="0"/>
            </w:tcBorders>
            <w:vAlign w:val="center"/>
          </w:tcPr>
          <w:p w14:paraId="0C888314">
            <w:pPr>
              <w:pStyle w:val="572"/>
              <w:jc w:val="center"/>
              <w:rPr>
                <w:rFonts w:asciiTheme="minorEastAsia" w:hAnsiTheme="minorEastAsia" w:eastAsiaTheme="minorEastAsia"/>
              </w:rPr>
            </w:pPr>
            <w:r>
              <w:rPr>
                <w:rFonts w:asciiTheme="minorEastAsia" w:hAnsiTheme="minorEastAsia" w:eastAsiaTheme="minorEastAsia"/>
              </w:rPr>
              <w:t>4</w:t>
            </w:r>
          </w:p>
        </w:tc>
        <w:tc>
          <w:tcPr>
            <w:tcW w:w="1984" w:type="dxa"/>
            <w:tcBorders>
              <w:top w:val="single" w:color="000000" w:sz="4" w:space="0"/>
              <w:left w:val="single" w:color="auto" w:sz="4" w:space="0"/>
              <w:bottom w:val="single" w:color="000000" w:sz="4" w:space="0"/>
              <w:right w:val="single" w:color="auto" w:sz="12" w:space="0"/>
            </w:tcBorders>
            <w:vAlign w:val="center"/>
          </w:tcPr>
          <w:p w14:paraId="37ACE07F">
            <w:pPr>
              <w:pStyle w:val="572"/>
              <w:jc w:val="center"/>
              <w:rPr>
                <w:rFonts w:asciiTheme="minorEastAsia" w:hAnsiTheme="minorEastAsia" w:eastAsiaTheme="minorEastAsia"/>
              </w:rPr>
            </w:pPr>
            <w:r>
              <w:rPr>
                <w:rFonts w:hint="eastAsia" w:asciiTheme="minorEastAsia" w:hAnsiTheme="minorEastAsia" w:eastAsiaTheme="minorEastAsia"/>
                <w:lang w:bidi="en-US"/>
              </w:rPr>
              <w:t>技术、</w:t>
            </w:r>
            <w:r>
              <w:rPr>
                <w:rFonts w:hint="eastAsia" w:asciiTheme="minorEastAsia" w:hAnsiTheme="minorEastAsia" w:eastAsiaTheme="minorEastAsia"/>
              </w:rPr>
              <w:t>操作</w:t>
            </w:r>
          </w:p>
        </w:tc>
      </w:tr>
      <w:tr w14:paraId="78FAC50D">
        <w:tblPrEx>
          <w:tblCellMar>
            <w:top w:w="0" w:type="dxa"/>
            <w:left w:w="108" w:type="dxa"/>
            <w:bottom w:w="0" w:type="dxa"/>
            <w:right w:w="108" w:type="dxa"/>
          </w:tblCellMar>
        </w:tblPrEx>
        <w:trPr>
          <w:trHeight w:val="397" w:hRule="exact"/>
          <w:jc w:val="center"/>
        </w:trPr>
        <w:tc>
          <w:tcPr>
            <w:tcW w:w="1495" w:type="dxa"/>
            <w:tcBorders>
              <w:top w:val="single" w:color="000000" w:sz="4" w:space="0"/>
              <w:left w:val="single" w:color="auto" w:sz="12" w:space="0"/>
              <w:bottom w:val="single" w:color="auto" w:sz="12" w:space="0"/>
              <w:right w:val="single" w:color="000000" w:sz="4" w:space="0"/>
            </w:tcBorders>
            <w:vAlign w:val="center"/>
          </w:tcPr>
          <w:p w14:paraId="34C04BD0">
            <w:pPr>
              <w:pStyle w:val="572"/>
              <w:jc w:val="center"/>
              <w:rPr>
                <w:rFonts w:asciiTheme="minorEastAsia" w:hAnsiTheme="minorEastAsia" w:eastAsiaTheme="minorEastAsia"/>
              </w:rPr>
            </w:pPr>
            <w:r>
              <w:rPr>
                <w:rFonts w:asciiTheme="minorEastAsia" w:hAnsiTheme="minorEastAsia" w:eastAsiaTheme="minorEastAsia"/>
              </w:rPr>
              <w:t>合计</w:t>
            </w:r>
          </w:p>
        </w:tc>
        <w:tc>
          <w:tcPr>
            <w:tcW w:w="2295" w:type="dxa"/>
            <w:tcBorders>
              <w:top w:val="single" w:color="000000" w:sz="4" w:space="0"/>
              <w:left w:val="nil"/>
              <w:bottom w:val="single" w:color="auto" w:sz="12" w:space="0"/>
              <w:right w:val="single" w:color="000000" w:sz="4" w:space="0"/>
            </w:tcBorders>
            <w:vAlign w:val="center"/>
          </w:tcPr>
          <w:p w14:paraId="062D23A3">
            <w:pPr>
              <w:pStyle w:val="572"/>
              <w:jc w:val="center"/>
              <w:rPr>
                <w:rFonts w:asciiTheme="minorEastAsia" w:hAnsiTheme="minorEastAsia" w:eastAsiaTheme="minorEastAsia"/>
              </w:rPr>
            </w:pPr>
          </w:p>
        </w:tc>
        <w:tc>
          <w:tcPr>
            <w:tcW w:w="2127" w:type="dxa"/>
            <w:tcBorders>
              <w:top w:val="single" w:color="000000" w:sz="4" w:space="0"/>
              <w:left w:val="nil"/>
              <w:bottom w:val="single" w:color="auto" w:sz="12" w:space="0"/>
              <w:right w:val="single" w:color="auto" w:sz="4" w:space="0"/>
            </w:tcBorders>
            <w:vAlign w:val="center"/>
          </w:tcPr>
          <w:p w14:paraId="4B6AAF54">
            <w:pPr>
              <w:pStyle w:val="572"/>
              <w:jc w:val="center"/>
              <w:rPr>
                <w:rFonts w:asciiTheme="minorEastAsia" w:hAnsiTheme="minorEastAsia" w:eastAsiaTheme="minorEastAsia"/>
              </w:rPr>
            </w:pPr>
            <w:r>
              <w:rPr>
                <w:rFonts w:hint="eastAsia" w:asciiTheme="minorEastAsia" w:hAnsiTheme="minorEastAsia" w:eastAsiaTheme="minorEastAsia"/>
              </w:rPr>
              <w:t>63</w:t>
            </w:r>
          </w:p>
        </w:tc>
        <w:tc>
          <w:tcPr>
            <w:tcW w:w="1984" w:type="dxa"/>
            <w:tcBorders>
              <w:top w:val="single" w:color="000000" w:sz="4" w:space="0"/>
              <w:left w:val="single" w:color="auto" w:sz="4" w:space="0"/>
              <w:bottom w:val="single" w:color="auto" w:sz="12" w:space="0"/>
              <w:right w:val="single" w:color="auto" w:sz="12" w:space="0"/>
            </w:tcBorders>
            <w:vAlign w:val="center"/>
          </w:tcPr>
          <w:p w14:paraId="1EF365A3">
            <w:pPr>
              <w:pStyle w:val="572"/>
              <w:jc w:val="center"/>
              <w:rPr>
                <w:rFonts w:asciiTheme="minorEastAsia" w:hAnsiTheme="minorEastAsia" w:eastAsiaTheme="minorEastAsia"/>
              </w:rPr>
            </w:pPr>
          </w:p>
        </w:tc>
      </w:tr>
    </w:tbl>
    <w:p w14:paraId="2C00D48A">
      <w:pPr>
        <w:spacing w:line="240" w:lineRule="auto"/>
        <w:ind w:firstLine="482"/>
        <w:rPr>
          <w:b/>
          <w:bCs/>
          <w:szCs w:val="24"/>
          <w:lang w:eastAsia="zh-CN"/>
        </w:rPr>
      </w:pPr>
    </w:p>
    <w:p w14:paraId="544CBCA4">
      <w:pPr>
        <w:ind w:firstLine="480"/>
        <w:rPr>
          <w:snapToGrid w:val="0"/>
          <w:lang w:eastAsia="zh-CN"/>
        </w:rPr>
        <w:sectPr>
          <w:pgSz w:w="11907" w:h="16840"/>
          <w:pgMar w:top="1440" w:right="1797" w:bottom="1440" w:left="1797" w:header="851" w:footer="992" w:gutter="0"/>
          <w:cols w:space="720" w:num="1"/>
          <w:docGrid w:linePitch="326" w:charSpace="0"/>
        </w:sectPr>
      </w:pPr>
    </w:p>
    <w:bookmarkEnd w:id="137"/>
    <w:bookmarkEnd w:id="146"/>
    <w:bookmarkEnd w:id="147"/>
    <w:bookmarkEnd w:id="148"/>
    <w:p w14:paraId="15A405C0">
      <w:pPr>
        <w:pStyle w:val="2"/>
        <w:rPr>
          <w:lang w:eastAsia="zh-CN"/>
        </w:rPr>
      </w:pPr>
      <w:bookmarkStart w:id="149" w:name="_Toc408413923"/>
      <w:bookmarkStart w:id="150" w:name="_Toc279676586"/>
      <w:bookmarkStart w:id="151" w:name="_Toc287598123"/>
      <w:bookmarkStart w:id="152" w:name="_Toc189535407"/>
      <w:bookmarkStart w:id="153" w:name="_Toc248649418"/>
      <w:r>
        <w:rPr>
          <w:lang w:eastAsia="zh-CN"/>
        </w:rPr>
        <w:t>3工程分析</w:t>
      </w:r>
      <w:bookmarkEnd w:id="149"/>
    </w:p>
    <w:p w14:paraId="51B84C06">
      <w:pPr>
        <w:ind w:firstLine="480"/>
        <w:rPr>
          <w:rFonts w:asciiTheme="minorEastAsia" w:hAnsiTheme="minorEastAsia" w:eastAsiaTheme="minorEastAsia"/>
          <w:lang w:eastAsia="zh-CN"/>
        </w:rPr>
      </w:pPr>
      <w:r>
        <w:rPr>
          <w:rFonts w:asciiTheme="minorEastAsia" w:hAnsiTheme="minorEastAsia" w:eastAsiaTheme="minorEastAsia"/>
          <w:lang w:eastAsia="zh-CN"/>
        </w:rPr>
        <w:t>本项目工程主要包括钻井工程、集输工程、注水工程、掺水工程、辅助工程（道路工程、防腐保温工程）、公用工程。</w:t>
      </w:r>
    </w:p>
    <w:p w14:paraId="6CAA50E2">
      <w:pPr>
        <w:pStyle w:val="3"/>
        <w:rPr>
          <w:lang w:eastAsia="zh-CN"/>
        </w:rPr>
      </w:pPr>
      <w:bookmarkStart w:id="154" w:name="_Toc408413924"/>
      <w:r>
        <w:rPr>
          <w:lang w:eastAsia="zh-CN"/>
        </w:rPr>
        <w:t>3.1主体工程</w:t>
      </w:r>
      <w:bookmarkEnd w:id="154"/>
    </w:p>
    <w:p w14:paraId="1AD3F767">
      <w:pPr>
        <w:pStyle w:val="4"/>
        <w:rPr>
          <w:lang w:eastAsia="zh-CN"/>
        </w:rPr>
      </w:pPr>
      <w:bookmarkStart w:id="155" w:name="_Toc408413925"/>
      <w:r>
        <w:rPr>
          <w:lang w:eastAsia="zh-CN"/>
        </w:rPr>
        <w:t>3.1.1钻井工程</w:t>
      </w:r>
      <w:bookmarkEnd w:id="155"/>
    </w:p>
    <w:p w14:paraId="1C4614EB">
      <w:pPr>
        <w:ind w:firstLine="480"/>
        <w:rPr>
          <w:rFonts w:asciiTheme="minorEastAsia" w:hAnsiTheme="minorEastAsia" w:eastAsiaTheme="minorEastAsia"/>
          <w:lang w:eastAsia="zh-CN"/>
        </w:rPr>
      </w:pPr>
      <w:r>
        <w:rPr>
          <w:rFonts w:asciiTheme="minorEastAsia" w:hAnsiTheme="minorEastAsia" w:eastAsiaTheme="minorEastAsia"/>
          <w:lang w:eastAsia="zh-CN"/>
        </w:rPr>
        <w:t>1、钻井</w:t>
      </w:r>
    </w:p>
    <w:p w14:paraId="6A7566EA">
      <w:pPr>
        <w:ind w:firstLine="480"/>
        <w:rPr>
          <w:rFonts w:asciiTheme="minorEastAsia" w:hAnsiTheme="minorEastAsia" w:eastAsiaTheme="minorEastAsia"/>
          <w:lang w:eastAsia="zh-CN"/>
        </w:rPr>
      </w:pPr>
      <w:r>
        <w:rPr>
          <w:rFonts w:asciiTheme="minorEastAsia" w:hAnsiTheme="minorEastAsia" w:eastAsiaTheme="minorEastAsia"/>
          <w:lang w:eastAsia="zh-CN"/>
        </w:rPr>
        <w:t>本项目</w:t>
      </w:r>
      <w:r>
        <w:rPr>
          <w:rFonts w:hint="eastAsia" w:asciiTheme="minorEastAsia" w:hAnsiTheme="minorEastAsia" w:eastAsiaTheme="minorEastAsia"/>
          <w:lang w:eastAsia="zh-CN"/>
        </w:rPr>
        <w:t>至2022年部署油水井</w:t>
      </w:r>
      <w:r>
        <w:rPr>
          <w:rFonts w:asciiTheme="minorEastAsia" w:hAnsiTheme="minorEastAsia" w:eastAsiaTheme="minorEastAsia"/>
          <w:lang w:eastAsia="zh-CN"/>
        </w:rPr>
        <w:t>总数为</w:t>
      </w:r>
      <w:r>
        <w:rPr>
          <w:rFonts w:hint="eastAsia" w:asciiTheme="minorEastAsia" w:hAnsiTheme="minorEastAsia" w:eastAsiaTheme="minorEastAsia"/>
          <w:lang w:eastAsia="zh-CN"/>
        </w:rPr>
        <w:t>162</w:t>
      </w:r>
      <w:r>
        <w:rPr>
          <w:rFonts w:asciiTheme="minorEastAsia" w:hAnsiTheme="minorEastAsia" w:eastAsiaTheme="minorEastAsia"/>
          <w:lang w:eastAsia="zh-CN"/>
        </w:rPr>
        <w:t>口，依托</w:t>
      </w:r>
      <w:r>
        <w:rPr>
          <w:rFonts w:hint="eastAsia" w:asciiTheme="minorEastAsia" w:hAnsiTheme="minorEastAsia" w:eastAsiaTheme="minorEastAsia"/>
          <w:lang w:eastAsia="zh-CN"/>
        </w:rPr>
        <w:t>现有69</w:t>
      </w:r>
      <w:r>
        <w:rPr>
          <w:rFonts w:asciiTheme="minorEastAsia" w:hAnsiTheme="minorEastAsia" w:eastAsiaTheme="minorEastAsia"/>
          <w:lang w:eastAsia="zh-CN"/>
        </w:rPr>
        <w:t>口</w:t>
      </w:r>
      <w:r>
        <w:rPr>
          <w:rFonts w:hint="eastAsia" w:asciiTheme="minorEastAsia" w:hAnsiTheme="minorEastAsia" w:eastAsiaTheme="minorEastAsia"/>
          <w:lang w:eastAsia="zh-CN"/>
        </w:rPr>
        <w:t>，</w:t>
      </w:r>
      <w:r>
        <w:rPr>
          <w:rFonts w:asciiTheme="minorEastAsia" w:hAnsiTheme="minorEastAsia" w:eastAsiaTheme="minorEastAsia"/>
          <w:lang w:eastAsia="zh-CN"/>
        </w:rPr>
        <w:t>新建</w:t>
      </w:r>
      <w:r>
        <w:rPr>
          <w:rFonts w:hint="eastAsia" w:asciiTheme="minorEastAsia" w:hAnsiTheme="minorEastAsia" w:eastAsiaTheme="minorEastAsia"/>
          <w:lang w:eastAsia="zh-CN"/>
        </w:rPr>
        <w:t>93</w:t>
      </w:r>
      <w:r>
        <w:rPr>
          <w:rFonts w:asciiTheme="minorEastAsia" w:hAnsiTheme="minorEastAsia" w:eastAsiaTheme="minorEastAsia"/>
          <w:lang w:eastAsia="zh-CN"/>
        </w:rPr>
        <w:t>口。每口油</w:t>
      </w:r>
      <w:r>
        <w:rPr>
          <w:rFonts w:hint="eastAsia" w:asciiTheme="minorEastAsia" w:hAnsiTheme="minorEastAsia" w:eastAsiaTheme="minorEastAsia"/>
          <w:lang w:eastAsia="zh-CN"/>
        </w:rPr>
        <w:t>水</w:t>
      </w:r>
      <w:r>
        <w:rPr>
          <w:rFonts w:asciiTheme="minorEastAsia" w:hAnsiTheme="minorEastAsia" w:eastAsiaTheme="minorEastAsia"/>
          <w:lang w:eastAsia="zh-CN"/>
        </w:rPr>
        <w:t>井占地1500m</w:t>
      </w:r>
      <w:r>
        <w:rPr>
          <w:rFonts w:asciiTheme="minorEastAsia" w:hAnsiTheme="minorEastAsia" w:eastAsiaTheme="minorEastAsia"/>
          <w:vertAlign w:val="superscript"/>
          <w:lang w:eastAsia="zh-CN"/>
        </w:rPr>
        <w:t>2</w:t>
      </w:r>
      <w:bookmarkStart w:id="156" w:name="OLE_LINK16"/>
      <w:bookmarkStart w:id="157" w:name="OLE_LINK17"/>
      <w:r>
        <w:rPr>
          <w:rFonts w:asciiTheme="minorEastAsia" w:hAnsiTheme="minorEastAsia" w:eastAsiaTheme="minorEastAsia"/>
          <w:lang w:eastAsia="zh-CN"/>
        </w:rPr>
        <w:t>（50m×30m</w:t>
      </w:r>
      <w:r>
        <w:rPr>
          <w:rFonts w:hint="eastAsia" w:asciiTheme="minorEastAsia" w:hAnsiTheme="minorEastAsia" w:eastAsiaTheme="minorEastAsia"/>
          <w:lang w:eastAsia="zh-CN"/>
        </w:rPr>
        <w:t>），</w:t>
      </w:r>
      <w:r>
        <w:rPr>
          <w:rFonts w:asciiTheme="minorEastAsia" w:hAnsiTheme="minorEastAsia" w:eastAsiaTheme="minorEastAsia"/>
          <w:lang w:eastAsia="zh-CN"/>
        </w:rPr>
        <w:t>包括油井平台、抽油机、围栏等，每口注水井占地900m</w:t>
      </w:r>
      <w:r>
        <w:rPr>
          <w:rFonts w:asciiTheme="minorEastAsia" w:hAnsiTheme="minorEastAsia" w:eastAsiaTheme="minorEastAsia"/>
          <w:vertAlign w:val="superscript"/>
          <w:lang w:eastAsia="zh-CN"/>
        </w:rPr>
        <w:t>2</w:t>
      </w:r>
      <w:r>
        <w:rPr>
          <w:rFonts w:asciiTheme="minorEastAsia" w:hAnsiTheme="minorEastAsia" w:eastAsiaTheme="minorEastAsia"/>
          <w:lang w:eastAsia="zh-CN"/>
        </w:rPr>
        <w:t>（30m×30m）。油井采用正方形和三角形布井方式</w:t>
      </w:r>
      <w:r>
        <w:rPr>
          <w:rFonts w:hint="eastAsia" w:asciiTheme="minorEastAsia" w:hAnsiTheme="minorEastAsia" w:eastAsiaTheme="minorEastAsia"/>
          <w:lang w:eastAsia="zh-CN"/>
        </w:rPr>
        <w:t>，</w:t>
      </w:r>
      <w:r>
        <w:rPr>
          <w:rFonts w:asciiTheme="minorEastAsia" w:hAnsiTheme="minorEastAsia" w:eastAsiaTheme="minorEastAsia"/>
          <w:lang w:eastAsia="zh-CN"/>
        </w:rPr>
        <w:t>井距</w:t>
      </w:r>
      <w:r>
        <w:rPr>
          <w:rFonts w:hint="eastAsia" w:asciiTheme="minorEastAsia" w:hAnsiTheme="minorEastAsia" w:eastAsiaTheme="minorEastAsia"/>
          <w:lang w:eastAsia="zh-CN"/>
        </w:rPr>
        <w:t>约</w:t>
      </w:r>
      <w:r>
        <w:rPr>
          <w:rFonts w:asciiTheme="minorEastAsia" w:hAnsiTheme="minorEastAsia" w:eastAsiaTheme="minorEastAsia"/>
          <w:lang w:eastAsia="zh-CN"/>
        </w:rPr>
        <w:t>250m。油井井深1160-1550m，注水井井深1200m-2300m。</w:t>
      </w:r>
    </w:p>
    <w:bookmarkEnd w:id="156"/>
    <w:bookmarkEnd w:id="157"/>
    <w:p w14:paraId="4BC25469">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2、泥浆池</w:t>
      </w:r>
    </w:p>
    <w:p w14:paraId="54D19633">
      <w:pPr>
        <w:ind w:firstLine="480"/>
        <w:rPr>
          <w:rFonts w:asciiTheme="minorEastAsia" w:hAnsiTheme="minorEastAsia" w:eastAsiaTheme="minorEastAsia"/>
          <w:lang w:eastAsia="zh-CN"/>
        </w:rPr>
      </w:pPr>
      <w:r>
        <w:rPr>
          <w:rFonts w:asciiTheme="minorEastAsia" w:hAnsiTheme="minorEastAsia" w:eastAsiaTheme="minorEastAsia"/>
          <w:lang w:eastAsia="zh-CN"/>
        </w:rPr>
        <w:t>本项目拟建泥浆池</w:t>
      </w:r>
      <w:r>
        <w:rPr>
          <w:rFonts w:hint="eastAsia" w:asciiTheme="minorEastAsia" w:hAnsiTheme="minorEastAsia" w:eastAsiaTheme="minorEastAsia"/>
          <w:lang w:eastAsia="zh-CN"/>
        </w:rPr>
        <w:t>93</w:t>
      </w:r>
      <w:r>
        <w:rPr>
          <w:rFonts w:asciiTheme="minorEastAsia" w:hAnsiTheme="minorEastAsia" w:eastAsiaTheme="minorEastAsia"/>
          <w:lang w:eastAsia="zh-CN"/>
        </w:rPr>
        <w:t>座。在钻井过程中产生的泥浆全部进入泥浆池内，泥浆池占地</w:t>
      </w:r>
      <w:r>
        <w:rPr>
          <w:rFonts w:hint="eastAsia" w:asciiTheme="minorEastAsia" w:hAnsiTheme="minorEastAsia" w:eastAsiaTheme="minorEastAsia"/>
          <w:lang w:eastAsia="zh-CN"/>
        </w:rPr>
        <w:t>48</w:t>
      </w:r>
      <w:r>
        <w:rPr>
          <w:rFonts w:asciiTheme="minorEastAsia" w:hAnsiTheme="minorEastAsia" w:eastAsiaTheme="minorEastAsia"/>
          <w:lang w:eastAsia="zh-CN"/>
        </w:rPr>
        <w:t>m</w:t>
      </w:r>
      <w:r>
        <w:rPr>
          <w:rFonts w:asciiTheme="minorEastAsia" w:hAnsiTheme="minorEastAsia" w:eastAsiaTheme="minorEastAsia"/>
          <w:vertAlign w:val="superscript"/>
          <w:lang w:eastAsia="zh-CN"/>
        </w:rPr>
        <w:t>2</w:t>
      </w:r>
      <w:r>
        <w:rPr>
          <w:rFonts w:asciiTheme="minorEastAsia" w:hAnsiTheme="minorEastAsia" w:eastAsiaTheme="minorEastAsia"/>
          <w:lang w:eastAsia="zh-CN"/>
        </w:rPr>
        <w:t>（</w:t>
      </w:r>
      <w:r>
        <w:rPr>
          <w:rFonts w:hint="eastAsia" w:asciiTheme="minorEastAsia" w:hAnsiTheme="minorEastAsia" w:eastAsiaTheme="minorEastAsia"/>
          <w:lang w:eastAsia="zh-CN"/>
        </w:rPr>
        <w:t>8</w:t>
      </w:r>
      <w:r>
        <w:rPr>
          <w:rFonts w:asciiTheme="minorEastAsia" w:hAnsiTheme="minorEastAsia" w:eastAsiaTheme="minorEastAsia"/>
          <w:lang w:eastAsia="zh-CN"/>
        </w:rPr>
        <w:t>m×</w:t>
      </w:r>
      <w:r>
        <w:rPr>
          <w:rFonts w:hint="eastAsia" w:asciiTheme="minorEastAsia" w:hAnsiTheme="minorEastAsia" w:eastAsiaTheme="minorEastAsia"/>
          <w:lang w:eastAsia="zh-CN"/>
        </w:rPr>
        <w:t>6</w:t>
      </w:r>
      <w:r>
        <w:rPr>
          <w:rFonts w:asciiTheme="minorEastAsia" w:hAnsiTheme="minorEastAsia" w:eastAsiaTheme="minorEastAsia"/>
          <w:lang w:eastAsia="zh-CN"/>
        </w:rPr>
        <w:t>m×</w:t>
      </w:r>
      <w:r>
        <w:rPr>
          <w:rFonts w:hint="eastAsia" w:asciiTheme="minorEastAsia" w:hAnsiTheme="minorEastAsia" w:eastAsiaTheme="minorEastAsia"/>
          <w:lang w:eastAsia="zh-CN"/>
        </w:rPr>
        <w:t>3</w:t>
      </w:r>
      <w:r>
        <w:rPr>
          <w:rFonts w:asciiTheme="minorEastAsia" w:hAnsiTheme="minorEastAsia" w:eastAsiaTheme="minorEastAsia"/>
          <w:lang w:eastAsia="zh-CN"/>
        </w:rPr>
        <w:t>m），</w:t>
      </w:r>
      <w:r>
        <w:rPr>
          <w:rFonts w:hint="eastAsia" w:asciiTheme="minorEastAsia" w:hAnsiTheme="minorEastAsia" w:eastAsiaTheme="minorEastAsia"/>
          <w:lang w:eastAsia="zh-CN"/>
        </w:rPr>
        <w:t>容积144m</w:t>
      </w:r>
      <w:r>
        <w:rPr>
          <w:rFonts w:hint="eastAsia" w:asciiTheme="minorEastAsia" w:hAnsiTheme="minorEastAsia" w:eastAsiaTheme="minorEastAsia"/>
          <w:vertAlign w:val="superscript"/>
          <w:lang w:eastAsia="zh-CN"/>
        </w:rPr>
        <w:t>3</w:t>
      </w:r>
      <w:r>
        <w:rPr>
          <w:rFonts w:hint="eastAsia" w:asciiTheme="minorEastAsia" w:hAnsiTheme="minorEastAsia" w:eastAsiaTheme="minorEastAsia"/>
          <w:lang w:eastAsia="zh-CN"/>
        </w:rPr>
        <w:t>，</w:t>
      </w:r>
      <w:r>
        <w:rPr>
          <w:rFonts w:asciiTheme="minorEastAsia" w:hAnsiTheme="minorEastAsia" w:eastAsiaTheme="minorEastAsia"/>
          <w:lang w:eastAsia="zh-CN"/>
        </w:rPr>
        <w:t>对泥浆池底部和四壁进行防渗，泥浆固化后用表土回填覆盖，恢复植被。</w:t>
      </w:r>
    </w:p>
    <w:p w14:paraId="57AC13D5">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乌里雅斯太油田泥浆池由任丘市华北油田华维石油工程有限公司负责处理，采用油田废弃泥浆固化粉进行固化处理。泥浆固化粉是根据不同类型和种类的钻井泥浆及其不同的化学成分，选取不同基础配方配制而成的一种复合处理剂。它由几种化学原料组合而成，通过采取一定的技术工艺处理方案，能够使钻井废泥浆达到无害化标准“（86）环监字第114号”和“（91）环科标字第086号”，最终可以实现覆土还田。</w:t>
      </w:r>
    </w:p>
    <w:p w14:paraId="0199D1FD">
      <w:pPr>
        <w:pStyle w:val="4"/>
        <w:rPr>
          <w:lang w:eastAsia="zh-CN"/>
        </w:rPr>
      </w:pPr>
      <w:bookmarkStart w:id="158" w:name="_Toc408413926"/>
      <w:r>
        <w:rPr>
          <w:lang w:eastAsia="zh-CN"/>
        </w:rPr>
        <w:t>3.1.2集输工程</w:t>
      </w:r>
      <w:bookmarkEnd w:id="158"/>
    </w:p>
    <w:p w14:paraId="060D2472">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1、集油主流程</w:t>
      </w:r>
    </w:p>
    <w:p w14:paraId="4416AC8F">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乌里雅斯太</w:t>
      </w:r>
      <w:r>
        <w:rPr>
          <w:rFonts w:asciiTheme="minorEastAsia" w:hAnsiTheme="minorEastAsia" w:eastAsiaTheme="minorEastAsia"/>
          <w:lang w:eastAsia="zh-CN"/>
        </w:rPr>
        <w:t>油田</w:t>
      </w:r>
      <w:r>
        <w:rPr>
          <w:rFonts w:hint="eastAsia" w:asciiTheme="minorEastAsia" w:hAnsiTheme="minorEastAsia" w:eastAsiaTheme="minorEastAsia"/>
          <w:lang w:eastAsia="zh-CN"/>
        </w:rPr>
        <w:t>太53断块采用</w:t>
      </w:r>
      <w:r>
        <w:rPr>
          <w:rFonts w:asciiTheme="minorEastAsia" w:hAnsiTheme="minorEastAsia" w:eastAsiaTheme="minorEastAsia"/>
          <w:lang w:eastAsia="zh-CN"/>
        </w:rPr>
        <w:t>三管伴热工艺进行原油的集输。三管伴热流程是把热水通过单独的管道，增压送到井口，回水管道与集油管线保温在一起，一直伴随到到联合站，利用两管之间的换热，达到安全集油的目的。</w:t>
      </w:r>
      <w:r>
        <w:rPr>
          <w:rFonts w:hint="eastAsia" w:asciiTheme="minorEastAsia" w:hAnsiTheme="minorEastAsia" w:eastAsiaTheme="minorEastAsia"/>
          <w:lang w:eastAsia="zh-CN"/>
        </w:rPr>
        <w:t>雅斯联合站接收单井混合液，进入两相分离器分出大部分气体，剩余油气水混合物进入来液换热器升温后进入三相分离器脱水合格后进入1000m</w:t>
      </w:r>
      <w:r>
        <w:rPr>
          <w:rFonts w:hint="eastAsia" w:asciiTheme="minorEastAsia" w:hAnsiTheme="minorEastAsia" w:eastAsiaTheme="minorEastAsia"/>
          <w:vertAlign w:val="superscript"/>
          <w:lang w:eastAsia="zh-CN"/>
        </w:rPr>
        <w:t>3</w:t>
      </w:r>
      <w:r>
        <w:rPr>
          <w:rFonts w:hint="eastAsia" w:asciiTheme="minorEastAsia" w:hAnsiTheme="minorEastAsia" w:eastAsiaTheme="minorEastAsia"/>
          <w:lang w:eastAsia="zh-CN"/>
        </w:rPr>
        <w:t>沉降罐，经给油泵增压后与阿乌宝线2号站来液一起经升温后外输至阿乌宝线4号站。</w:t>
      </w:r>
    </w:p>
    <w:p w14:paraId="44D2079D">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站内生产用热水由燃气加热炉提供。</w:t>
      </w:r>
    </w:p>
    <w:p w14:paraId="37EE0CB5">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2、</w:t>
      </w:r>
      <w:r>
        <w:rPr>
          <w:rFonts w:asciiTheme="minorEastAsia" w:hAnsiTheme="minorEastAsia" w:eastAsiaTheme="minorEastAsia"/>
          <w:lang w:eastAsia="zh-CN"/>
        </w:rPr>
        <w:t>单井集输</w:t>
      </w:r>
    </w:p>
    <w:p w14:paraId="519F4A53">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乌里雅斯太</w:t>
      </w:r>
      <w:r>
        <w:rPr>
          <w:rFonts w:asciiTheme="minorEastAsia" w:hAnsiTheme="minorEastAsia" w:eastAsiaTheme="minorEastAsia"/>
          <w:lang w:eastAsia="zh-CN"/>
        </w:rPr>
        <w:t>油田</w:t>
      </w:r>
      <w:r>
        <w:rPr>
          <w:rFonts w:hint="eastAsia" w:asciiTheme="minorEastAsia" w:hAnsiTheme="minorEastAsia" w:eastAsiaTheme="minorEastAsia"/>
          <w:lang w:eastAsia="zh-CN"/>
        </w:rPr>
        <w:t>太27断块采用</w:t>
      </w:r>
      <w:r>
        <w:rPr>
          <w:rFonts w:asciiTheme="minorEastAsia" w:hAnsiTheme="minorEastAsia" w:eastAsiaTheme="minorEastAsia"/>
          <w:lang w:eastAsia="zh-CN"/>
        </w:rPr>
        <w:t>单井生产，单井</w:t>
      </w:r>
      <w:r>
        <w:rPr>
          <w:rFonts w:hint="eastAsia" w:asciiTheme="minorEastAsia" w:hAnsiTheme="minorEastAsia" w:eastAsiaTheme="minorEastAsia"/>
          <w:lang w:eastAsia="zh-CN"/>
        </w:rPr>
        <w:t>数</w:t>
      </w:r>
      <w:r>
        <w:rPr>
          <w:rFonts w:asciiTheme="minorEastAsia" w:hAnsiTheme="minorEastAsia" w:eastAsiaTheme="minorEastAsia"/>
          <w:lang w:eastAsia="zh-CN"/>
        </w:rPr>
        <w:t>量少，产量低，采用拉油方式，拉运到</w:t>
      </w:r>
      <w:r>
        <w:rPr>
          <w:rFonts w:hint="eastAsia" w:asciiTheme="minorEastAsia" w:hAnsiTheme="minorEastAsia" w:eastAsiaTheme="minorEastAsia"/>
          <w:lang w:eastAsia="zh-CN"/>
        </w:rPr>
        <w:t>雅斯联合站</w:t>
      </w:r>
      <w:r>
        <w:rPr>
          <w:rFonts w:asciiTheme="minorEastAsia" w:hAnsiTheme="minorEastAsia" w:eastAsiaTheme="minorEastAsia"/>
          <w:lang w:eastAsia="zh-CN"/>
        </w:rPr>
        <w:t>。</w:t>
      </w:r>
    </w:p>
    <w:p w14:paraId="7124E103">
      <w:pPr>
        <w:ind w:firstLine="480"/>
        <w:outlineLvl w:val="0"/>
        <w:rPr>
          <w:rFonts w:asciiTheme="minorEastAsia" w:hAnsiTheme="minorEastAsia" w:eastAsiaTheme="minorEastAsia"/>
          <w:lang w:eastAsia="zh-CN"/>
        </w:rPr>
      </w:pPr>
      <w:r>
        <w:rPr>
          <w:rFonts w:hint="eastAsia" w:asciiTheme="minorEastAsia" w:hAnsiTheme="minorEastAsia" w:eastAsiaTheme="minorEastAsia"/>
          <w:lang w:eastAsia="zh-CN"/>
        </w:rPr>
        <w:t>3</w:t>
      </w:r>
      <w:r>
        <w:rPr>
          <w:rFonts w:asciiTheme="minorEastAsia" w:hAnsiTheme="minorEastAsia" w:eastAsiaTheme="minorEastAsia"/>
          <w:lang w:eastAsia="zh-CN"/>
        </w:rPr>
        <w:t>、集油、掺水管线</w:t>
      </w:r>
    </w:p>
    <w:p w14:paraId="5F497ED9">
      <w:pPr>
        <w:ind w:firstLine="480"/>
        <w:rPr>
          <w:rFonts w:asciiTheme="minorEastAsia" w:hAnsiTheme="minorEastAsia" w:eastAsiaTheme="minorEastAsia"/>
          <w:lang w:eastAsia="zh-CN"/>
        </w:rPr>
      </w:pPr>
      <w:r>
        <w:rPr>
          <w:rFonts w:asciiTheme="minorEastAsia" w:hAnsiTheme="minorEastAsia" w:eastAsiaTheme="minorEastAsia"/>
          <w:lang w:eastAsia="zh-CN"/>
        </w:rPr>
        <w:t>油田内部建设集油</w:t>
      </w:r>
      <w:r>
        <w:rPr>
          <w:rFonts w:hint="eastAsia" w:asciiTheme="minorEastAsia" w:hAnsiTheme="minorEastAsia" w:eastAsiaTheme="minorEastAsia"/>
          <w:lang w:eastAsia="zh-CN"/>
        </w:rPr>
        <w:t>、</w:t>
      </w:r>
      <w:r>
        <w:rPr>
          <w:rFonts w:asciiTheme="minorEastAsia" w:hAnsiTheme="minorEastAsia" w:eastAsiaTheme="minorEastAsia"/>
          <w:lang w:eastAsia="zh-CN"/>
        </w:rPr>
        <w:t>掺水管线（</w:t>
      </w:r>
      <w:r>
        <w:rPr>
          <w:rFonts w:hint="eastAsia" w:asciiTheme="minorEastAsia" w:hAnsiTheme="minorEastAsia" w:eastAsiaTheme="minorEastAsia"/>
          <w:lang w:eastAsia="zh-CN"/>
        </w:rPr>
        <w:t>D</w:t>
      </w:r>
      <w:r>
        <w:rPr>
          <w:rFonts w:asciiTheme="minorEastAsia" w:hAnsiTheme="minorEastAsia" w:eastAsiaTheme="minorEastAsia"/>
          <w:lang w:eastAsia="zh-CN"/>
        </w:rPr>
        <w:t>89+</w:t>
      </w:r>
      <w:r>
        <w:rPr>
          <w:rFonts w:hint="eastAsia" w:asciiTheme="minorEastAsia" w:hAnsiTheme="minorEastAsia" w:eastAsiaTheme="minorEastAsia"/>
          <w:lang w:eastAsia="zh-CN"/>
        </w:rPr>
        <w:t>D</w:t>
      </w:r>
      <w:r>
        <w:rPr>
          <w:rFonts w:asciiTheme="minorEastAsia" w:hAnsiTheme="minorEastAsia" w:eastAsiaTheme="minorEastAsia"/>
          <w:lang w:eastAsia="zh-CN"/>
        </w:rPr>
        <w:t xml:space="preserve"> 114）</w:t>
      </w:r>
      <w:r>
        <w:rPr>
          <w:rFonts w:hint="eastAsia" w:asciiTheme="minorEastAsia" w:hAnsiTheme="minorEastAsia" w:eastAsiaTheme="minorEastAsia"/>
          <w:lang w:eastAsia="zh-CN"/>
        </w:rPr>
        <w:t>24.0</w:t>
      </w:r>
      <w:r>
        <w:rPr>
          <w:rFonts w:asciiTheme="minorEastAsia" w:hAnsiTheme="minorEastAsia" w:eastAsiaTheme="minorEastAsia"/>
          <w:lang w:eastAsia="zh-CN"/>
        </w:rPr>
        <w:t>km。管线采用地埋敷设，管顶埋深为1.50m，管道下铺设10cm砂砾垫层。</w:t>
      </w:r>
    </w:p>
    <w:p w14:paraId="7BCC426E">
      <w:pPr>
        <w:pStyle w:val="4"/>
        <w:rPr>
          <w:lang w:eastAsia="zh-CN"/>
        </w:rPr>
      </w:pPr>
      <w:bookmarkStart w:id="159" w:name="_Toc408413927"/>
      <w:r>
        <w:rPr>
          <w:lang w:eastAsia="zh-CN"/>
        </w:rPr>
        <w:t>3.1.3注水工程</w:t>
      </w:r>
      <w:bookmarkEnd w:id="159"/>
    </w:p>
    <w:p w14:paraId="32B318B5">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现有雅一接转站内</w:t>
      </w:r>
      <w:r>
        <w:rPr>
          <w:rFonts w:asciiTheme="minorEastAsia" w:hAnsiTheme="minorEastAsia" w:eastAsiaTheme="minorEastAsia"/>
          <w:lang w:eastAsia="zh-CN"/>
        </w:rPr>
        <w:t>建有注水</w:t>
      </w:r>
      <w:r>
        <w:rPr>
          <w:rFonts w:hint="eastAsia" w:asciiTheme="minorEastAsia" w:hAnsiTheme="minorEastAsia" w:eastAsiaTheme="minorEastAsia"/>
          <w:lang w:eastAsia="zh-CN"/>
        </w:rPr>
        <w:t>系统，目前为雅斯油田的太</w:t>
      </w:r>
      <w:r>
        <w:rPr>
          <w:rFonts w:asciiTheme="minorEastAsia" w:hAnsiTheme="minorEastAsia" w:eastAsiaTheme="minorEastAsia"/>
          <w:lang w:eastAsia="zh-CN"/>
        </w:rPr>
        <w:t>53</w:t>
      </w:r>
      <w:r>
        <w:rPr>
          <w:rFonts w:hint="eastAsia" w:asciiTheme="minorEastAsia" w:hAnsiTheme="minorEastAsia" w:eastAsiaTheme="minorEastAsia"/>
          <w:lang w:eastAsia="zh-CN"/>
        </w:rPr>
        <w:t>、太</w:t>
      </w:r>
      <w:r>
        <w:rPr>
          <w:rFonts w:asciiTheme="minorEastAsia" w:hAnsiTheme="minorEastAsia" w:eastAsiaTheme="minorEastAsia"/>
          <w:lang w:eastAsia="zh-CN"/>
        </w:rPr>
        <w:t>27</w:t>
      </w:r>
      <w:r>
        <w:rPr>
          <w:rFonts w:hint="eastAsia" w:asciiTheme="minorEastAsia" w:hAnsiTheme="minorEastAsia" w:eastAsiaTheme="minorEastAsia"/>
          <w:lang w:eastAsia="zh-CN"/>
        </w:rPr>
        <w:t>断块注水，</w:t>
      </w:r>
      <w:r>
        <w:rPr>
          <w:rFonts w:asciiTheme="minorEastAsia" w:hAnsiTheme="minorEastAsia" w:eastAsiaTheme="minorEastAsia"/>
          <w:lang w:eastAsia="zh-CN"/>
        </w:rPr>
        <w:t>采用多井配水单管注水流程</w:t>
      </w:r>
      <w:r>
        <w:rPr>
          <w:rFonts w:hint="eastAsia" w:asciiTheme="minorEastAsia" w:hAnsiTheme="minorEastAsia" w:eastAsiaTheme="minorEastAsia"/>
          <w:lang w:eastAsia="zh-CN"/>
        </w:rPr>
        <w:t>。</w:t>
      </w:r>
    </w:p>
    <w:p w14:paraId="2086172C">
      <w:pPr>
        <w:ind w:firstLine="480"/>
        <w:rPr>
          <w:rFonts w:asciiTheme="minorEastAsia" w:hAnsiTheme="minorEastAsia" w:eastAsiaTheme="minorEastAsia"/>
          <w:lang w:eastAsia="zh-CN"/>
        </w:rPr>
      </w:pPr>
      <w:r>
        <w:rPr>
          <w:rFonts w:asciiTheme="minorEastAsia" w:hAnsiTheme="minorEastAsia" w:eastAsiaTheme="minorEastAsia"/>
          <w:lang w:eastAsia="zh-CN"/>
        </w:rPr>
        <w:t>水源来自污水处理系统处理后的水，不足部分用清水，水源来自</w:t>
      </w:r>
      <w:r>
        <w:rPr>
          <w:rFonts w:hint="eastAsia" w:asciiTheme="minorEastAsia" w:hAnsiTheme="minorEastAsia" w:eastAsiaTheme="minorEastAsia"/>
          <w:lang w:eastAsia="zh-CN"/>
        </w:rPr>
        <w:t>雅一接转站内的2号、3号</w:t>
      </w:r>
      <w:r>
        <w:rPr>
          <w:rFonts w:asciiTheme="minorEastAsia" w:hAnsiTheme="minorEastAsia" w:eastAsiaTheme="minorEastAsia"/>
          <w:lang w:eastAsia="zh-CN"/>
        </w:rPr>
        <w:t>水源井。</w:t>
      </w:r>
    </w:p>
    <w:p w14:paraId="623B092B">
      <w:pPr>
        <w:ind w:firstLine="480"/>
        <w:rPr>
          <w:rFonts w:asciiTheme="minorEastAsia" w:hAnsiTheme="minorEastAsia" w:eastAsiaTheme="minorEastAsia"/>
          <w:lang w:eastAsia="zh-CN"/>
        </w:rPr>
      </w:pPr>
      <w:r>
        <w:rPr>
          <w:rFonts w:asciiTheme="minorEastAsia" w:hAnsiTheme="minorEastAsia" w:eastAsiaTheme="minorEastAsia"/>
          <w:lang w:eastAsia="zh-CN"/>
        </w:rPr>
        <w:t>注水工艺流程如下：</w:t>
      </w:r>
    </w:p>
    <w:p w14:paraId="66965CF4">
      <w:pPr>
        <w:ind w:firstLine="480"/>
        <w:rPr>
          <w:rFonts w:asciiTheme="minorEastAsia" w:hAnsiTheme="minorEastAsia" w:eastAsiaTheme="minorEastAsia"/>
          <w:lang w:eastAsia="zh-CN"/>
        </w:rPr>
      </w:pPr>
      <w:r>
        <w:rPr>
          <w:rFonts w:asciiTheme="minorEastAsia" w:hAnsiTheme="minorEastAsia" w:eastAsiaTheme="minorEastAsia"/>
          <w:lang w:eastAsia="zh-CN"/>
        </w:rPr>
        <w:t>来水→注水储罐→喂水泵→过滤器→注水泵→配水计量阀组→单井注水</w:t>
      </w:r>
    </w:p>
    <w:p w14:paraId="32191524">
      <w:pPr>
        <w:ind w:firstLine="480"/>
        <w:rPr>
          <w:rFonts w:asciiTheme="minorEastAsia" w:hAnsiTheme="minorEastAsia" w:eastAsiaTheme="minorEastAsia"/>
          <w:lang w:eastAsia="zh-CN"/>
        </w:rPr>
      </w:pPr>
      <w:r>
        <w:rPr>
          <w:rFonts w:asciiTheme="minorEastAsia" w:hAnsiTheme="minorEastAsia" w:eastAsiaTheme="minorEastAsia"/>
          <w:lang w:eastAsia="zh-CN"/>
        </w:rPr>
        <w:t>含油废水通过污水处理系统处理合格后全部回注地层。需要补注清水时水源井来水进入清水罐储存，清水经喂水泵提升、过滤器过滤后，由注水泵升压至20MPa，通过配水计量阀组分配计量后，经单井注水管线将水注入地层。</w:t>
      </w:r>
    </w:p>
    <w:p w14:paraId="4C22E4E1">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现有雅一接转站有</w:t>
      </w:r>
      <w:r>
        <w:rPr>
          <w:rFonts w:asciiTheme="minorEastAsia" w:hAnsiTheme="minorEastAsia" w:eastAsiaTheme="minorEastAsia"/>
          <w:lang w:eastAsia="zh-CN"/>
        </w:rPr>
        <w:t>1</w:t>
      </w:r>
      <w:r>
        <w:rPr>
          <w:rFonts w:hint="eastAsia" w:asciiTheme="minorEastAsia" w:hAnsiTheme="minorEastAsia" w:eastAsiaTheme="minorEastAsia"/>
          <w:lang w:eastAsia="zh-CN"/>
        </w:rPr>
        <w:t>条注水干线，规格</w:t>
      </w:r>
      <w:r>
        <w:rPr>
          <w:rFonts w:asciiTheme="minorEastAsia" w:hAnsiTheme="minorEastAsia" w:eastAsiaTheme="minorEastAsia"/>
          <w:lang w:eastAsia="zh-CN"/>
        </w:rPr>
        <w:t>D159×18</w:t>
      </w:r>
      <w:r>
        <w:rPr>
          <w:rFonts w:hint="eastAsia" w:asciiTheme="minorEastAsia" w:hAnsiTheme="minorEastAsia" w:eastAsiaTheme="minorEastAsia"/>
          <w:lang w:eastAsia="zh-CN"/>
        </w:rPr>
        <w:t>，本次工程扩建至6.8</w:t>
      </w:r>
      <w:r>
        <w:rPr>
          <w:rFonts w:asciiTheme="minorEastAsia" w:hAnsiTheme="minorEastAsia" w:eastAsiaTheme="minorEastAsia"/>
          <w:lang w:eastAsia="zh-CN"/>
        </w:rPr>
        <w:t>km</w:t>
      </w:r>
      <w:r>
        <w:rPr>
          <w:rFonts w:hint="eastAsia" w:asciiTheme="minorEastAsia" w:hAnsiTheme="minorEastAsia" w:eastAsiaTheme="minorEastAsia"/>
          <w:lang w:eastAsia="zh-CN"/>
        </w:rPr>
        <w:t>，依托现有管线长度约</w:t>
      </w:r>
      <w:r>
        <w:rPr>
          <w:rFonts w:asciiTheme="minorEastAsia" w:hAnsiTheme="minorEastAsia" w:eastAsiaTheme="minorEastAsia"/>
          <w:lang w:eastAsia="zh-CN"/>
        </w:rPr>
        <w:t>4</w:t>
      </w:r>
      <w:r>
        <w:rPr>
          <w:rFonts w:hint="eastAsia" w:asciiTheme="minorEastAsia" w:hAnsiTheme="minorEastAsia" w:eastAsiaTheme="minorEastAsia"/>
          <w:lang w:eastAsia="zh-CN"/>
        </w:rPr>
        <w:t>.0</w:t>
      </w:r>
      <w:r>
        <w:rPr>
          <w:rFonts w:asciiTheme="minorEastAsia" w:hAnsiTheme="minorEastAsia" w:eastAsiaTheme="minorEastAsia"/>
          <w:lang w:eastAsia="zh-CN"/>
        </w:rPr>
        <w:t>km</w:t>
      </w:r>
      <w:r>
        <w:rPr>
          <w:rFonts w:hint="eastAsia" w:asciiTheme="minorEastAsia" w:hAnsiTheme="minorEastAsia" w:eastAsiaTheme="minorEastAsia"/>
          <w:lang w:eastAsia="zh-CN"/>
        </w:rPr>
        <w:t>。</w:t>
      </w:r>
      <w:r>
        <w:rPr>
          <w:rFonts w:asciiTheme="minorEastAsia" w:hAnsiTheme="minorEastAsia" w:eastAsiaTheme="minorEastAsia"/>
          <w:lang w:eastAsia="zh-CN"/>
        </w:rPr>
        <w:t>注水管道地埋敷设，管顶埋深为2.72m，管道下铺设10cm砂砾垫层。</w:t>
      </w:r>
    </w:p>
    <w:p w14:paraId="4A3AD590">
      <w:pPr>
        <w:pStyle w:val="3"/>
        <w:rPr>
          <w:lang w:eastAsia="zh-CN"/>
        </w:rPr>
      </w:pPr>
      <w:bookmarkStart w:id="160" w:name="_Toc408413928"/>
      <w:r>
        <w:rPr>
          <w:lang w:eastAsia="zh-CN"/>
        </w:rPr>
        <w:t>3.2辅助工程</w:t>
      </w:r>
      <w:bookmarkEnd w:id="160"/>
    </w:p>
    <w:p w14:paraId="04C21B25">
      <w:pPr>
        <w:pStyle w:val="4"/>
        <w:rPr>
          <w:lang w:eastAsia="zh-CN"/>
        </w:rPr>
      </w:pPr>
      <w:bookmarkStart w:id="161" w:name="_Toc408413929"/>
      <w:r>
        <w:rPr>
          <w:lang w:eastAsia="zh-CN"/>
        </w:rPr>
        <w:t>3.2.1道路工程</w:t>
      </w:r>
      <w:bookmarkEnd w:id="161"/>
    </w:p>
    <w:p w14:paraId="5CD57F7E">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乌里雅斯太油田道路工程主要包括油田对外连接道路和油田内部井间巡护道路。油田井间联络道路见图3.2-1。</w:t>
      </w:r>
    </w:p>
    <w:p w14:paraId="7B18E35D">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油田对外连接道路为柏油路，与乌——萨公路相连接，已经建成，路宽6m，长度7.0km。</w:t>
      </w:r>
    </w:p>
    <w:p w14:paraId="5FE166EA">
      <w:pPr>
        <w:ind w:firstLine="480"/>
        <w:rPr>
          <w:rFonts w:asciiTheme="minorEastAsia" w:hAnsiTheme="minorEastAsia" w:eastAsiaTheme="minorEastAsia"/>
          <w:lang w:eastAsia="zh-CN"/>
        </w:rPr>
      </w:pPr>
      <w:r>
        <w:rPr>
          <w:rFonts w:asciiTheme="minorEastAsia" w:hAnsiTheme="minorEastAsia" w:eastAsiaTheme="minorEastAsia"/>
          <w:lang w:eastAsia="zh-CN"/>
        </w:rPr>
        <w:t>油田内部</w:t>
      </w:r>
      <w:r>
        <w:rPr>
          <w:rFonts w:hint="eastAsia" w:asciiTheme="minorEastAsia" w:hAnsiTheme="minorEastAsia" w:eastAsiaTheme="minorEastAsia"/>
          <w:lang w:eastAsia="zh-CN"/>
        </w:rPr>
        <w:t>主要为有</w:t>
      </w:r>
      <w:r>
        <w:rPr>
          <w:rFonts w:asciiTheme="minorEastAsia" w:hAnsiTheme="minorEastAsia" w:eastAsiaTheme="minorEastAsia"/>
          <w:lang w:eastAsia="zh-CN"/>
        </w:rPr>
        <w:t>各单井联络道路</w:t>
      </w:r>
      <w:r>
        <w:rPr>
          <w:rFonts w:hint="eastAsia" w:asciiTheme="minorEastAsia" w:hAnsiTheme="minorEastAsia" w:eastAsiaTheme="minorEastAsia"/>
          <w:lang w:eastAsia="zh-CN"/>
        </w:rPr>
        <w:t>。均为草原自然土路，路两侧加设铁丝围栏，总长18.0km，路面宽4.0m。</w:t>
      </w:r>
    </w:p>
    <w:p w14:paraId="687C49D7">
      <w:pPr>
        <w:ind w:firstLine="480"/>
        <w:rPr>
          <w:rFonts w:asciiTheme="minorEastAsia" w:hAnsiTheme="minorEastAsia" w:eastAsiaTheme="minorEastAsia"/>
          <w:lang w:eastAsia="zh-CN"/>
        </w:rPr>
      </w:pPr>
    </w:p>
    <w:p w14:paraId="29F34E9F">
      <w:pPr>
        <w:pStyle w:val="4"/>
        <w:rPr>
          <w:lang w:eastAsia="zh-CN"/>
        </w:rPr>
      </w:pPr>
      <w:bookmarkStart w:id="162" w:name="_Toc408413930"/>
      <w:r>
        <w:rPr>
          <w:lang w:eastAsia="zh-CN"/>
        </w:rPr>
        <w:t>3.2.2防腐保温工程</w:t>
      </w:r>
      <w:bookmarkEnd w:id="162"/>
    </w:p>
    <w:p w14:paraId="140D381D">
      <w:pPr>
        <w:ind w:firstLine="480"/>
        <w:rPr>
          <w:rFonts w:asciiTheme="minorEastAsia" w:hAnsiTheme="minorEastAsia" w:eastAsiaTheme="minorEastAsia"/>
          <w:lang w:eastAsia="zh-CN"/>
        </w:rPr>
      </w:pPr>
      <w:bookmarkStart w:id="163" w:name="_Toc253148082"/>
      <w:bookmarkStart w:id="164" w:name="_Toc201141085"/>
      <w:bookmarkStart w:id="165" w:name="_Toc253148081"/>
      <w:bookmarkStart w:id="166" w:name="_Toc201141084"/>
      <w:r>
        <w:rPr>
          <w:rFonts w:asciiTheme="minorEastAsia" w:hAnsiTheme="minorEastAsia" w:eastAsiaTheme="minorEastAsia"/>
          <w:lang w:eastAsia="zh-CN"/>
        </w:rPr>
        <w:t>1、埋地管道防腐保温</w:t>
      </w:r>
    </w:p>
    <w:p w14:paraId="7B8A0C98">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乌里雅斯太</w:t>
      </w:r>
      <w:r>
        <w:rPr>
          <w:rFonts w:asciiTheme="minorEastAsia" w:hAnsiTheme="minorEastAsia" w:eastAsiaTheme="minorEastAsia"/>
          <w:lang w:eastAsia="zh-CN"/>
        </w:rPr>
        <w:t>油田埋地管道防腐保温配套结构选择：聚乙烯胶带（外防腐层）＋硬质聚氨酯泡沫塑料（保温层）＋聚乙烯(外保护层、一步成形法)。</w:t>
      </w:r>
    </w:p>
    <w:p w14:paraId="5B82FB36">
      <w:pPr>
        <w:ind w:firstLine="480"/>
        <w:rPr>
          <w:rFonts w:asciiTheme="minorEastAsia" w:hAnsiTheme="minorEastAsia" w:eastAsiaTheme="minorEastAsia"/>
          <w:lang w:eastAsia="zh-CN"/>
        </w:rPr>
      </w:pPr>
      <w:r>
        <w:rPr>
          <w:rFonts w:asciiTheme="minorEastAsia" w:hAnsiTheme="minorEastAsia" w:eastAsiaTheme="minorEastAsia"/>
          <w:lang w:eastAsia="zh-CN"/>
        </w:rPr>
        <w:t xml:space="preserve">对于距离较短且需要伴热的单井管线及站内管线，因需要将油管线及伴热管线一同保温，故其防腐保温结构为：聚乙烯胶带＋硬质聚氨酯泡沫塑料管壳＋聚乙烯冷缠胶带。 </w:t>
      </w:r>
    </w:p>
    <w:p w14:paraId="11B42022">
      <w:pPr>
        <w:ind w:firstLine="480"/>
        <w:rPr>
          <w:rFonts w:asciiTheme="minorEastAsia" w:hAnsiTheme="minorEastAsia" w:eastAsiaTheme="minorEastAsia"/>
          <w:lang w:eastAsia="zh-CN"/>
        </w:rPr>
      </w:pPr>
      <w:r>
        <w:rPr>
          <w:rFonts w:asciiTheme="minorEastAsia" w:hAnsiTheme="minorEastAsia" w:eastAsiaTheme="minorEastAsia"/>
          <w:lang w:eastAsia="zh-CN"/>
        </w:rPr>
        <w:t>2、</w:t>
      </w:r>
      <w:bookmarkEnd w:id="163"/>
      <w:bookmarkEnd w:id="164"/>
      <w:r>
        <w:rPr>
          <w:rFonts w:asciiTheme="minorEastAsia" w:hAnsiTheme="minorEastAsia" w:eastAsiaTheme="minorEastAsia"/>
          <w:lang w:eastAsia="zh-CN"/>
        </w:rPr>
        <w:t>站内地上管道、钢结构及储罐防腐保温</w:t>
      </w:r>
    </w:p>
    <w:p w14:paraId="3C5BF82A">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（1）</w:t>
      </w:r>
      <w:r>
        <w:rPr>
          <w:rFonts w:asciiTheme="minorEastAsia" w:hAnsiTheme="minorEastAsia" w:eastAsiaTheme="minorEastAsia"/>
          <w:lang w:eastAsia="zh-CN"/>
        </w:rPr>
        <w:t>地上不保温管道、钢结构及储罐外防腐</w:t>
      </w:r>
    </w:p>
    <w:p w14:paraId="5924D1A3">
      <w:pPr>
        <w:ind w:firstLine="480"/>
        <w:rPr>
          <w:rFonts w:asciiTheme="minorEastAsia" w:hAnsiTheme="minorEastAsia" w:eastAsiaTheme="minorEastAsia"/>
          <w:lang w:eastAsia="zh-CN"/>
        </w:rPr>
      </w:pPr>
      <w:r>
        <w:rPr>
          <w:rFonts w:asciiTheme="minorEastAsia" w:hAnsiTheme="minorEastAsia" w:eastAsiaTheme="minorEastAsia"/>
          <w:lang w:eastAsia="zh-CN"/>
        </w:rPr>
        <w:t>选择具有优良的耐候性，耐紫外线照射的涂层，涂层配套方案见表3.2</w:t>
      </w:r>
      <w:r>
        <w:rPr>
          <w:rFonts w:hint="eastAsia" w:asciiTheme="minorEastAsia" w:hAnsiTheme="minorEastAsia" w:eastAsiaTheme="minorEastAsia"/>
          <w:lang w:eastAsia="zh-CN"/>
        </w:rPr>
        <w:t>-</w:t>
      </w:r>
      <w:r>
        <w:rPr>
          <w:rFonts w:asciiTheme="minorEastAsia" w:hAnsiTheme="minorEastAsia" w:eastAsiaTheme="minorEastAsia"/>
          <w:lang w:eastAsia="zh-CN"/>
        </w:rPr>
        <w:t>1。</w:t>
      </w:r>
    </w:p>
    <w:p w14:paraId="230E8BF5">
      <w:pPr>
        <w:spacing w:line="240" w:lineRule="auto"/>
        <w:ind w:firstLine="482"/>
        <w:rPr>
          <w:b/>
          <w:bCs/>
          <w:lang w:eastAsia="zh-CN"/>
        </w:rPr>
      </w:pPr>
      <w:r>
        <w:rPr>
          <w:b/>
          <w:bCs/>
          <w:lang w:eastAsia="zh-CN"/>
        </w:rPr>
        <w:t>表3.2</w:t>
      </w:r>
      <w:r>
        <w:rPr>
          <w:rFonts w:hint="eastAsia"/>
          <w:b/>
          <w:bCs/>
          <w:lang w:eastAsia="zh-CN"/>
        </w:rPr>
        <w:t>-</w:t>
      </w:r>
      <w:r>
        <w:rPr>
          <w:b/>
          <w:bCs/>
          <w:lang w:eastAsia="zh-CN"/>
        </w:rPr>
        <w:t xml:space="preserve">1  </w:t>
      </w:r>
      <w:r>
        <w:rPr>
          <w:rFonts w:hint="eastAsia"/>
          <w:b/>
          <w:bCs/>
          <w:lang w:eastAsia="zh-CN"/>
        </w:rPr>
        <w:t xml:space="preserve">  </w:t>
      </w:r>
      <w:r>
        <w:rPr>
          <w:b/>
          <w:bCs/>
          <w:lang w:eastAsia="zh-CN"/>
        </w:rPr>
        <w:t>地上不保温管道、钢结构及储罐外防腐</w:t>
      </w:r>
    </w:p>
    <w:tbl>
      <w:tblPr>
        <w:tblStyle w:val="7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80"/>
        <w:gridCol w:w="1822"/>
        <w:gridCol w:w="1822"/>
        <w:gridCol w:w="3205"/>
      </w:tblGrid>
      <w:tr w14:paraId="2AE931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80" w:type="dxa"/>
            <w:vAlign w:val="center"/>
          </w:tcPr>
          <w:p w14:paraId="523725F9">
            <w:pPr>
              <w:adjustRightInd w:val="0"/>
              <w:snapToGrid w:val="0"/>
              <w:spacing w:line="240" w:lineRule="auto"/>
              <w:ind w:firstLine="0" w:firstLineChars="0"/>
              <w:jc w:val="center"/>
              <w:rPr>
                <w:sz w:val="21"/>
                <w:szCs w:val="21"/>
              </w:rPr>
            </w:pPr>
            <w:r>
              <w:rPr>
                <w:sz w:val="21"/>
                <w:szCs w:val="21"/>
              </w:rPr>
              <w:t>名称</w:t>
            </w:r>
          </w:p>
        </w:tc>
        <w:tc>
          <w:tcPr>
            <w:tcW w:w="1822" w:type="dxa"/>
            <w:vAlign w:val="center"/>
          </w:tcPr>
          <w:p w14:paraId="094F0AC9">
            <w:pPr>
              <w:adjustRightInd w:val="0"/>
              <w:snapToGrid w:val="0"/>
              <w:spacing w:line="240" w:lineRule="auto"/>
              <w:ind w:firstLine="0" w:firstLineChars="0"/>
              <w:jc w:val="center"/>
              <w:rPr>
                <w:sz w:val="21"/>
                <w:szCs w:val="21"/>
              </w:rPr>
            </w:pPr>
            <w:r>
              <w:rPr>
                <w:sz w:val="21"/>
                <w:szCs w:val="21"/>
              </w:rPr>
              <w:t>涂料种类</w:t>
            </w:r>
          </w:p>
        </w:tc>
        <w:tc>
          <w:tcPr>
            <w:tcW w:w="1822" w:type="dxa"/>
            <w:vAlign w:val="center"/>
          </w:tcPr>
          <w:p w14:paraId="62C3E353">
            <w:pPr>
              <w:adjustRightInd w:val="0"/>
              <w:snapToGrid w:val="0"/>
              <w:spacing w:line="240" w:lineRule="auto"/>
              <w:ind w:firstLine="0" w:firstLineChars="0"/>
              <w:jc w:val="center"/>
              <w:rPr>
                <w:sz w:val="21"/>
                <w:szCs w:val="21"/>
              </w:rPr>
            </w:pPr>
            <w:r>
              <w:rPr>
                <w:sz w:val="21"/>
                <w:szCs w:val="21"/>
              </w:rPr>
              <w:t>涂敷遍数</w:t>
            </w:r>
          </w:p>
        </w:tc>
        <w:tc>
          <w:tcPr>
            <w:tcW w:w="3205" w:type="dxa"/>
            <w:vAlign w:val="center"/>
          </w:tcPr>
          <w:p w14:paraId="43884D54">
            <w:pPr>
              <w:adjustRightInd w:val="0"/>
              <w:snapToGrid w:val="0"/>
              <w:spacing w:line="240" w:lineRule="auto"/>
              <w:ind w:firstLine="0" w:firstLineChars="0"/>
              <w:jc w:val="center"/>
              <w:rPr>
                <w:sz w:val="21"/>
                <w:szCs w:val="21"/>
              </w:rPr>
            </w:pPr>
            <w:r>
              <w:rPr>
                <w:sz w:val="21"/>
                <w:szCs w:val="21"/>
              </w:rPr>
              <w:t>干膜最小厚度</w:t>
            </w:r>
          </w:p>
        </w:tc>
      </w:tr>
      <w:tr w14:paraId="6A47E2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80" w:type="dxa"/>
            <w:vAlign w:val="center"/>
          </w:tcPr>
          <w:p w14:paraId="1F43266F">
            <w:pPr>
              <w:adjustRightInd w:val="0"/>
              <w:snapToGrid w:val="0"/>
              <w:spacing w:line="240" w:lineRule="auto"/>
              <w:ind w:firstLine="0" w:firstLineChars="0"/>
              <w:jc w:val="center"/>
              <w:rPr>
                <w:sz w:val="21"/>
                <w:szCs w:val="21"/>
              </w:rPr>
            </w:pPr>
            <w:r>
              <w:rPr>
                <w:sz w:val="21"/>
                <w:szCs w:val="21"/>
              </w:rPr>
              <w:t>底漆</w:t>
            </w:r>
          </w:p>
        </w:tc>
        <w:tc>
          <w:tcPr>
            <w:tcW w:w="1822" w:type="dxa"/>
            <w:vAlign w:val="center"/>
          </w:tcPr>
          <w:p w14:paraId="3B50BEBD">
            <w:pPr>
              <w:adjustRightInd w:val="0"/>
              <w:snapToGrid w:val="0"/>
              <w:spacing w:line="240" w:lineRule="auto"/>
              <w:ind w:firstLine="0" w:firstLineChars="0"/>
              <w:jc w:val="center"/>
              <w:rPr>
                <w:sz w:val="21"/>
                <w:szCs w:val="21"/>
              </w:rPr>
            </w:pPr>
            <w:r>
              <w:rPr>
                <w:sz w:val="21"/>
                <w:szCs w:val="21"/>
              </w:rPr>
              <w:t>环氧带锈底漆</w:t>
            </w:r>
          </w:p>
        </w:tc>
        <w:tc>
          <w:tcPr>
            <w:tcW w:w="1822" w:type="dxa"/>
            <w:vAlign w:val="center"/>
          </w:tcPr>
          <w:p w14:paraId="2184B84B">
            <w:pPr>
              <w:adjustRightInd w:val="0"/>
              <w:snapToGrid w:val="0"/>
              <w:spacing w:line="240" w:lineRule="auto"/>
              <w:ind w:firstLine="0" w:firstLineChars="0"/>
              <w:jc w:val="center"/>
              <w:rPr>
                <w:sz w:val="21"/>
                <w:szCs w:val="21"/>
              </w:rPr>
            </w:pPr>
            <w:r>
              <w:rPr>
                <w:sz w:val="21"/>
                <w:szCs w:val="21"/>
              </w:rPr>
              <w:t>2道</w:t>
            </w:r>
          </w:p>
        </w:tc>
        <w:tc>
          <w:tcPr>
            <w:tcW w:w="3205" w:type="dxa"/>
            <w:vAlign w:val="center"/>
          </w:tcPr>
          <w:p w14:paraId="438E45B8">
            <w:pPr>
              <w:adjustRightInd w:val="0"/>
              <w:snapToGrid w:val="0"/>
              <w:spacing w:line="240" w:lineRule="auto"/>
              <w:ind w:firstLine="0" w:firstLineChars="0"/>
              <w:jc w:val="center"/>
              <w:rPr>
                <w:sz w:val="21"/>
                <w:szCs w:val="21"/>
              </w:rPr>
            </w:pPr>
            <w:r>
              <w:rPr>
                <w:sz w:val="21"/>
                <w:szCs w:val="21"/>
              </w:rPr>
              <w:t>70m</w:t>
            </w:r>
          </w:p>
        </w:tc>
      </w:tr>
      <w:tr w14:paraId="7F45EF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80" w:type="dxa"/>
            <w:vAlign w:val="center"/>
          </w:tcPr>
          <w:p w14:paraId="3451734D">
            <w:pPr>
              <w:adjustRightInd w:val="0"/>
              <w:snapToGrid w:val="0"/>
              <w:spacing w:line="240" w:lineRule="auto"/>
              <w:ind w:firstLine="0" w:firstLineChars="0"/>
              <w:jc w:val="center"/>
              <w:rPr>
                <w:sz w:val="21"/>
                <w:szCs w:val="21"/>
              </w:rPr>
            </w:pPr>
            <w:r>
              <w:rPr>
                <w:sz w:val="21"/>
                <w:szCs w:val="21"/>
              </w:rPr>
              <w:t>面漆</w:t>
            </w:r>
          </w:p>
        </w:tc>
        <w:tc>
          <w:tcPr>
            <w:tcW w:w="1822" w:type="dxa"/>
            <w:vAlign w:val="center"/>
          </w:tcPr>
          <w:p w14:paraId="730FA922">
            <w:pPr>
              <w:adjustRightInd w:val="0"/>
              <w:snapToGrid w:val="0"/>
              <w:spacing w:line="240" w:lineRule="auto"/>
              <w:ind w:firstLine="0" w:firstLineChars="0"/>
              <w:jc w:val="center"/>
              <w:rPr>
                <w:sz w:val="21"/>
                <w:szCs w:val="21"/>
              </w:rPr>
            </w:pPr>
            <w:r>
              <w:rPr>
                <w:sz w:val="21"/>
                <w:szCs w:val="21"/>
              </w:rPr>
              <w:t>高氯化聚乙烯</w:t>
            </w:r>
          </w:p>
        </w:tc>
        <w:tc>
          <w:tcPr>
            <w:tcW w:w="1822" w:type="dxa"/>
            <w:vAlign w:val="center"/>
          </w:tcPr>
          <w:p w14:paraId="5C4C1448">
            <w:pPr>
              <w:adjustRightInd w:val="0"/>
              <w:snapToGrid w:val="0"/>
              <w:spacing w:line="240" w:lineRule="auto"/>
              <w:ind w:firstLine="0" w:firstLineChars="0"/>
              <w:jc w:val="center"/>
              <w:rPr>
                <w:sz w:val="21"/>
                <w:szCs w:val="21"/>
              </w:rPr>
            </w:pPr>
            <w:r>
              <w:rPr>
                <w:sz w:val="21"/>
                <w:szCs w:val="21"/>
              </w:rPr>
              <w:t>2道</w:t>
            </w:r>
          </w:p>
        </w:tc>
        <w:tc>
          <w:tcPr>
            <w:tcW w:w="3205" w:type="dxa"/>
            <w:vAlign w:val="center"/>
          </w:tcPr>
          <w:p w14:paraId="55CB9642">
            <w:pPr>
              <w:adjustRightInd w:val="0"/>
              <w:snapToGrid w:val="0"/>
              <w:spacing w:line="240" w:lineRule="auto"/>
              <w:ind w:firstLine="0" w:firstLineChars="0"/>
              <w:jc w:val="center"/>
              <w:rPr>
                <w:sz w:val="21"/>
                <w:szCs w:val="21"/>
              </w:rPr>
            </w:pPr>
            <w:r>
              <w:rPr>
                <w:sz w:val="21"/>
                <w:szCs w:val="21"/>
              </w:rPr>
              <w:t>70m</w:t>
            </w:r>
          </w:p>
        </w:tc>
      </w:tr>
      <w:tr w14:paraId="3D0927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80" w:type="dxa"/>
            <w:vAlign w:val="center"/>
          </w:tcPr>
          <w:p w14:paraId="484F5EB7">
            <w:pPr>
              <w:adjustRightInd w:val="0"/>
              <w:snapToGrid w:val="0"/>
              <w:spacing w:line="240" w:lineRule="auto"/>
              <w:ind w:firstLine="0" w:firstLineChars="0"/>
              <w:jc w:val="center"/>
              <w:rPr>
                <w:sz w:val="21"/>
                <w:szCs w:val="21"/>
              </w:rPr>
            </w:pPr>
            <w:r>
              <w:rPr>
                <w:sz w:val="21"/>
                <w:szCs w:val="21"/>
              </w:rPr>
              <w:t>合计</w:t>
            </w:r>
          </w:p>
        </w:tc>
        <w:tc>
          <w:tcPr>
            <w:tcW w:w="1822" w:type="dxa"/>
            <w:vAlign w:val="center"/>
          </w:tcPr>
          <w:p w14:paraId="086F7E56">
            <w:pPr>
              <w:adjustRightInd w:val="0"/>
              <w:snapToGrid w:val="0"/>
              <w:spacing w:line="240" w:lineRule="auto"/>
              <w:ind w:firstLine="0" w:firstLineChars="0"/>
              <w:jc w:val="center"/>
              <w:rPr>
                <w:sz w:val="21"/>
                <w:szCs w:val="21"/>
              </w:rPr>
            </w:pPr>
          </w:p>
        </w:tc>
        <w:tc>
          <w:tcPr>
            <w:tcW w:w="1822" w:type="dxa"/>
            <w:vAlign w:val="center"/>
          </w:tcPr>
          <w:p w14:paraId="43AF53C1">
            <w:pPr>
              <w:adjustRightInd w:val="0"/>
              <w:snapToGrid w:val="0"/>
              <w:spacing w:line="240" w:lineRule="auto"/>
              <w:ind w:firstLine="0" w:firstLineChars="0"/>
              <w:jc w:val="center"/>
              <w:rPr>
                <w:sz w:val="21"/>
                <w:szCs w:val="21"/>
              </w:rPr>
            </w:pPr>
            <w:r>
              <w:rPr>
                <w:sz w:val="21"/>
                <w:szCs w:val="21"/>
              </w:rPr>
              <w:t>4道</w:t>
            </w:r>
          </w:p>
        </w:tc>
        <w:tc>
          <w:tcPr>
            <w:tcW w:w="3205" w:type="dxa"/>
            <w:vAlign w:val="center"/>
          </w:tcPr>
          <w:p w14:paraId="1EA3847C">
            <w:pPr>
              <w:adjustRightInd w:val="0"/>
              <w:snapToGrid w:val="0"/>
              <w:spacing w:line="240" w:lineRule="auto"/>
              <w:ind w:firstLine="0" w:firstLineChars="0"/>
              <w:jc w:val="center"/>
              <w:rPr>
                <w:sz w:val="21"/>
                <w:szCs w:val="21"/>
              </w:rPr>
            </w:pPr>
            <w:r>
              <w:rPr>
                <w:sz w:val="21"/>
                <w:szCs w:val="21"/>
              </w:rPr>
              <w:t>140m</w:t>
            </w:r>
          </w:p>
        </w:tc>
      </w:tr>
      <w:tr w14:paraId="0EEF13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29" w:type="dxa"/>
            <w:gridSpan w:val="4"/>
            <w:vAlign w:val="center"/>
          </w:tcPr>
          <w:p w14:paraId="2D2F31CB">
            <w:pPr>
              <w:adjustRightInd w:val="0"/>
              <w:snapToGrid w:val="0"/>
              <w:spacing w:line="240" w:lineRule="auto"/>
              <w:ind w:firstLine="0" w:firstLineChars="0"/>
              <w:jc w:val="center"/>
              <w:rPr>
                <w:sz w:val="21"/>
                <w:szCs w:val="21"/>
                <w:lang w:eastAsia="zh-CN"/>
              </w:rPr>
            </w:pPr>
            <w:r>
              <w:rPr>
                <w:sz w:val="21"/>
                <w:szCs w:val="21"/>
                <w:lang w:eastAsia="zh-CN"/>
              </w:rPr>
              <w:t>地上拱顶储罐罐底外壁</w:t>
            </w:r>
          </w:p>
        </w:tc>
      </w:tr>
      <w:tr w14:paraId="52DDF9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80" w:type="dxa"/>
            <w:vAlign w:val="center"/>
          </w:tcPr>
          <w:p w14:paraId="32CBD553">
            <w:pPr>
              <w:adjustRightInd w:val="0"/>
              <w:snapToGrid w:val="0"/>
              <w:spacing w:line="240" w:lineRule="auto"/>
              <w:ind w:firstLine="0" w:firstLineChars="0"/>
              <w:jc w:val="center"/>
              <w:rPr>
                <w:sz w:val="21"/>
                <w:szCs w:val="21"/>
              </w:rPr>
            </w:pPr>
            <w:r>
              <w:rPr>
                <w:sz w:val="21"/>
                <w:szCs w:val="21"/>
              </w:rPr>
              <w:t>底漆</w:t>
            </w:r>
          </w:p>
        </w:tc>
        <w:tc>
          <w:tcPr>
            <w:tcW w:w="1822" w:type="dxa"/>
            <w:vAlign w:val="center"/>
          </w:tcPr>
          <w:p w14:paraId="27907854">
            <w:pPr>
              <w:adjustRightInd w:val="0"/>
              <w:snapToGrid w:val="0"/>
              <w:spacing w:line="240" w:lineRule="auto"/>
              <w:ind w:firstLine="0" w:firstLineChars="0"/>
              <w:jc w:val="center"/>
              <w:rPr>
                <w:sz w:val="21"/>
                <w:szCs w:val="21"/>
              </w:rPr>
            </w:pPr>
            <w:r>
              <w:rPr>
                <w:sz w:val="21"/>
                <w:szCs w:val="21"/>
              </w:rPr>
              <w:t>无机富锌</w:t>
            </w:r>
          </w:p>
        </w:tc>
        <w:tc>
          <w:tcPr>
            <w:tcW w:w="1822" w:type="dxa"/>
            <w:vAlign w:val="center"/>
          </w:tcPr>
          <w:p w14:paraId="6B43AC00">
            <w:pPr>
              <w:adjustRightInd w:val="0"/>
              <w:snapToGrid w:val="0"/>
              <w:spacing w:line="240" w:lineRule="auto"/>
              <w:ind w:firstLine="0" w:firstLineChars="0"/>
              <w:jc w:val="center"/>
              <w:rPr>
                <w:sz w:val="21"/>
                <w:szCs w:val="21"/>
              </w:rPr>
            </w:pPr>
            <w:r>
              <w:rPr>
                <w:sz w:val="21"/>
                <w:szCs w:val="21"/>
              </w:rPr>
              <w:t>2道</w:t>
            </w:r>
          </w:p>
        </w:tc>
        <w:tc>
          <w:tcPr>
            <w:tcW w:w="3205" w:type="dxa"/>
            <w:vAlign w:val="center"/>
          </w:tcPr>
          <w:p w14:paraId="52D9B3EF">
            <w:pPr>
              <w:adjustRightInd w:val="0"/>
              <w:snapToGrid w:val="0"/>
              <w:spacing w:line="240" w:lineRule="auto"/>
              <w:ind w:firstLine="0" w:firstLineChars="0"/>
              <w:jc w:val="center"/>
              <w:rPr>
                <w:sz w:val="21"/>
                <w:szCs w:val="21"/>
              </w:rPr>
            </w:pPr>
            <w:r>
              <w:rPr>
                <w:sz w:val="21"/>
                <w:szCs w:val="21"/>
              </w:rPr>
              <w:t>150m</w:t>
            </w:r>
          </w:p>
        </w:tc>
      </w:tr>
    </w:tbl>
    <w:p w14:paraId="7A46510E">
      <w:pPr>
        <w:ind w:firstLine="480"/>
        <w:rPr>
          <w:rFonts w:asciiTheme="minorEastAsia" w:hAnsiTheme="minorEastAsia" w:eastAsiaTheme="minorEastAsia"/>
          <w:lang w:eastAsia="zh-CN"/>
        </w:rPr>
      </w:pPr>
      <w:r>
        <w:rPr>
          <w:rFonts w:hint="eastAsia"/>
          <w:lang w:eastAsia="zh-CN"/>
        </w:rPr>
        <w:t>（</w:t>
      </w:r>
      <w:r>
        <w:rPr>
          <w:rFonts w:hint="eastAsia" w:asciiTheme="minorEastAsia" w:hAnsiTheme="minorEastAsia" w:eastAsiaTheme="minorEastAsia"/>
          <w:lang w:eastAsia="zh-CN"/>
        </w:rPr>
        <w:t>2）</w:t>
      </w:r>
      <w:r>
        <w:rPr>
          <w:rFonts w:asciiTheme="minorEastAsia" w:hAnsiTheme="minorEastAsia" w:eastAsiaTheme="minorEastAsia"/>
          <w:lang w:eastAsia="zh-CN"/>
        </w:rPr>
        <w:t>地上保温管道及储罐外防腐保温</w:t>
      </w:r>
    </w:p>
    <w:p w14:paraId="011FF636">
      <w:pPr>
        <w:ind w:firstLine="480"/>
        <w:rPr>
          <w:rFonts w:asciiTheme="minorEastAsia" w:hAnsiTheme="minorEastAsia" w:eastAsiaTheme="minorEastAsia"/>
          <w:lang w:eastAsia="zh-CN"/>
        </w:rPr>
      </w:pPr>
      <w:r>
        <w:rPr>
          <w:rFonts w:asciiTheme="minorEastAsia" w:hAnsiTheme="minorEastAsia" w:eastAsiaTheme="minorEastAsia"/>
          <w:lang w:eastAsia="zh-CN"/>
        </w:rPr>
        <w:t>选择具有耐高温性，能满足防水、防潮、耐老化的涂层；选择具有较低的导热系数，较好的憎水性，较高强度的保温材料。防腐保温配套方案见表3.2</w:t>
      </w:r>
      <w:r>
        <w:rPr>
          <w:rFonts w:hint="eastAsia" w:asciiTheme="minorEastAsia" w:hAnsiTheme="minorEastAsia" w:eastAsiaTheme="minorEastAsia"/>
          <w:lang w:eastAsia="zh-CN"/>
        </w:rPr>
        <w:t>-</w:t>
      </w:r>
      <w:r>
        <w:rPr>
          <w:rFonts w:asciiTheme="minorEastAsia" w:hAnsiTheme="minorEastAsia" w:eastAsiaTheme="minorEastAsia"/>
          <w:lang w:eastAsia="zh-CN"/>
        </w:rPr>
        <w:t>2。</w:t>
      </w:r>
    </w:p>
    <w:p w14:paraId="592DFEFA">
      <w:pPr>
        <w:spacing w:line="240" w:lineRule="auto"/>
        <w:ind w:firstLine="482"/>
        <w:rPr>
          <w:b/>
          <w:bCs/>
          <w:lang w:eastAsia="zh-CN"/>
        </w:rPr>
      </w:pPr>
      <w:r>
        <w:rPr>
          <w:b/>
          <w:bCs/>
          <w:lang w:eastAsia="zh-CN"/>
        </w:rPr>
        <w:t>表3.2</w:t>
      </w:r>
      <w:r>
        <w:rPr>
          <w:rFonts w:hint="eastAsia"/>
          <w:b/>
          <w:bCs/>
          <w:lang w:eastAsia="zh-CN"/>
        </w:rPr>
        <w:t>-</w:t>
      </w:r>
      <w:r>
        <w:rPr>
          <w:b/>
          <w:bCs/>
          <w:lang w:eastAsia="zh-CN"/>
        </w:rPr>
        <w:t xml:space="preserve">2  </w:t>
      </w:r>
      <w:r>
        <w:rPr>
          <w:rFonts w:hint="eastAsia"/>
          <w:b/>
          <w:bCs/>
          <w:lang w:eastAsia="zh-CN"/>
        </w:rPr>
        <w:t xml:space="preserve">  </w:t>
      </w:r>
      <w:r>
        <w:rPr>
          <w:b/>
          <w:bCs/>
          <w:lang w:eastAsia="zh-CN"/>
        </w:rPr>
        <w:t>地上保温管道、储罐外防腐保温</w:t>
      </w:r>
    </w:p>
    <w:tbl>
      <w:tblPr>
        <w:tblStyle w:val="7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20"/>
        <w:gridCol w:w="2303"/>
        <w:gridCol w:w="2253"/>
        <w:gridCol w:w="2253"/>
      </w:tblGrid>
      <w:tr w14:paraId="7E9D4E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20" w:type="dxa"/>
            <w:vAlign w:val="center"/>
          </w:tcPr>
          <w:p w14:paraId="3259525C">
            <w:pPr>
              <w:adjustRightInd w:val="0"/>
              <w:snapToGrid w:val="0"/>
              <w:spacing w:line="240" w:lineRule="auto"/>
              <w:ind w:firstLine="0" w:firstLineChars="0"/>
              <w:jc w:val="center"/>
              <w:rPr>
                <w:sz w:val="21"/>
                <w:szCs w:val="21"/>
              </w:rPr>
            </w:pPr>
            <w:r>
              <w:rPr>
                <w:sz w:val="21"/>
                <w:szCs w:val="21"/>
              </w:rPr>
              <w:t>名称</w:t>
            </w:r>
          </w:p>
        </w:tc>
        <w:tc>
          <w:tcPr>
            <w:tcW w:w="2303" w:type="dxa"/>
            <w:vAlign w:val="center"/>
          </w:tcPr>
          <w:p w14:paraId="6216D667">
            <w:pPr>
              <w:adjustRightInd w:val="0"/>
              <w:snapToGrid w:val="0"/>
              <w:spacing w:line="240" w:lineRule="auto"/>
              <w:ind w:firstLine="0" w:firstLineChars="0"/>
              <w:jc w:val="center"/>
              <w:rPr>
                <w:sz w:val="21"/>
                <w:szCs w:val="21"/>
              </w:rPr>
            </w:pPr>
            <w:r>
              <w:rPr>
                <w:sz w:val="21"/>
                <w:szCs w:val="21"/>
              </w:rPr>
              <w:t>涂料种类</w:t>
            </w:r>
          </w:p>
        </w:tc>
        <w:tc>
          <w:tcPr>
            <w:tcW w:w="2253" w:type="dxa"/>
            <w:vAlign w:val="center"/>
          </w:tcPr>
          <w:p w14:paraId="52878439">
            <w:pPr>
              <w:adjustRightInd w:val="0"/>
              <w:snapToGrid w:val="0"/>
              <w:spacing w:line="240" w:lineRule="auto"/>
              <w:ind w:firstLine="0" w:firstLineChars="0"/>
              <w:jc w:val="center"/>
              <w:rPr>
                <w:sz w:val="21"/>
                <w:szCs w:val="21"/>
              </w:rPr>
            </w:pPr>
            <w:r>
              <w:rPr>
                <w:sz w:val="21"/>
                <w:szCs w:val="21"/>
              </w:rPr>
              <w:t>涂敷遍数</w:t>
            </w:r>
          </w:p>
        </w:tc>
        <w:tc>
          <w:tcPr>
            <w:tcW w:w="2253" w:type="dxa"/>
            <w:vAlign w:val="center"/>
          </w:tcPr>
          <w:p w14:paraId="19F0744F">
            <w:pPr>
              <w:adjustRightInd w:val="0"/>
              <w:snapToGrid w:val="0"/>
              <w:spacing w:line="240" w:lineRule="auto"/>
              <w:ind w:firstLine="0" w:firstLineChars="0"/>
              <w:jc w:val="center"/>
              <w:rPr>
                <w:sz w:val="21"/>
                <w:szCs w:val="21"/>
              </w:rPr>
            </w:pPr>
            <w:r>
              <w:rPr>
                <w:sz w:val="21"/>
                <w:szCs w:val="21"/>
              </w:rPr>
              <w:t>干膜最小厚度</w:t>
            </w:r>
          </w:p>
        </w:tc>
      </w:tr>
      <w:tr w14:paraId="4E15E7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720" w:type="dxa"/>
            <w:vAlign w:val="center"/>
          </w:tcPr>
          <w:p w14:paraId="1DD0A953">
            <w:pPr>
              <w:adjustRightInd w:val="0"/>
              <w:snapToGrid w:val="0"/>
              <w:spacing w:line="240" w:lineRule="auto"/>
              <w:ind w:firstLine="0" w:firstLineChars="0"/>
              <w:jc w:val="center"/>
              <w:rPr>
                <w:sz w:val="21"/>
                <w:szCs w:val="21"/>
              </w:rPr>
            </w:pPr>
            <w:r>
              <w:rPr>
                <w:sz w:val="21"/>
                <w:szCs w:val="21"/>
              </w:rPr>
              <w:t>底漆</w:t>
            </w:r>
          </w:p>
        </w:tc>
        <w:tc>
          <w:tcPr>
            <w:tcW w:w="2303" w:type="dxa"/>
            <w:vAlign w:val="center"/>
          </w:tcPr>
          <w:p w14:paraId="7059C9CA">
            <w:pPr>
              <w:adjustRightInd w:val="0"/>
              <w:snapToGrid w:val="0"/>
              <w:spacing w:line="240" w:lineRule="auto"/>
              <w:ind w:firstLine="0" w:firstLineChars="0"/>
              <w:jc w:val="center"/>
              <w:rPr>
                <w:sz w:val="21"/>
                <w:szCs w:val="21"/>
              </w:rPr>
            </w:pPr>
            <w:r>
              <w:rPr>
                <w:sz w:val="21"/>
                <w:szCs w:val="21"/>
              </w:rPr>
              <w:t>无机富锌</w:t>
            </w:r>
          </w:p>
        </w:tc>
        <w:tc>
          <w:tcPr>
            <w:tcW w:w="2253" w:type="dxa"/>
            <w:vAlign w:val="center"/>
          </w:tcPr>
          <w:p w14:paraId="1CA52598">
            <w:pPr>
              <w:adjustRightInd w:val="0"/>
              <w:snapToGrid w:val="0"/>
              <w:spacing w:line="240" w:lineRule="auto"/>
              <w:ind w:firstLine="0" w:firstLineChars="0"/>
              <w:jc w:val="center"/>
              <w:rPr>
                <w:sz w:val="21"/>
                <w:szCs w:val="21"/>
              </w:rPr>
            </w:pPr>
            <w:r>
              <w:rPr>
                <w:sz w:val="21"/>
                <w:szCs w:val="21"/>
              </w:rPr>
              <w:t>1道</w:t>
            </w:r>
          </w:p>
        </w:tc>
        <w:tc>
          <w:tcPr>
            <w:tcW w:w="2253" w:type="dxa"/>
            <w:vAlign w:val="center"/>
          </w:tcPr>
          <w:p w14:paraId="353548E8">
            <w:pPr>
              <w:adjustRightInd w:val="0"/>
              <w:snapToGrid w:val="0"/>
              <w:spacing w:line="240" w:lineRule="auto"/>
              <w:ind w:firstLine="0" w:firstLineChars="0"/>
              <w:jc w:val="center"/>
              <w:rPr>
                <w:sz w:val="21"/>
                <w:szCs w:val="21"/>
              </w:rPr>
            </w:pPr>
            <w:r>
              <w:rPr>
                <w:sz w:val="21"/>
                <w:szCs w:val="21"/>
              </w:rPr>
              <w:t>75m</w:t>
            </w:r>
          </w:p>
        </w:tc>
      </w:tr>
      <w:tr w14:paraId="1C1328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29" w:type="dxa"/>
            <w:gridSpan w:val="4"/>
            <w:vAlign w:val="center"/>
          </w:tcPr>
          <w:p w14:paraId="1EBA02EA">
            <w:pPr>
              <w:adjustRightInd w:val="0"/>
              <w:snapToGrid w:val="0"/>
              <w:spacing w:line="240" w:lineRule="auto"/>
              <w:ind w:firstLine="0" w:firstLineChars="0"/>
              <w:jc w:val="center"/>
              <w:rPr>
                <w:sz w:val="21"/>
                <w:szCs w:val="21"/>
              </w:rPr>
            </w:pPr>
            <w:r>
              <w:rPr>
                <w:sz w:val="21"/>
                <w:szCs w:val="21"/>
              </w:rPr>
              <w:t>保温层：岩棉</w:t>
            </w:r>
          </w:p>
        </w:tc>
      </w:tr>
      <w:tr w14:paraId="6B04F0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529" w:type="dxa"/>
            <w:gridSpan w:val="4"/>
            <w:vAlign w:val="center"/>
          </w:tcPr>
          <w:p w14:paraId="0C6CB5FE">
            <w:pPr>
              <w:adjustRightInd w:val="0"/>
              <w:snapToGrid w:val="0"/>
              <w:spacing w:line="240" w:lineRule="auto"/>
              <w:ind w:firstLine="0" w:firstLineChars="0"/>
              <w:jc w:val="center"/>
              <w:rPr>
                <w:sz w:val="21"/>
                <w:szCs w:val="21"/>
                <w:lang w:eastAsia="zh-CN"/>
              </w:rPr>
            </w:pPr>
            <w:r>
              <w:rPr>
                <w:sz w:val="21"/>
                <w:szCs w:val="21"/>
                <w:lang w:eastAsia="zh-CN"/>
              </w:rPr>
              <w:t>保护层：镀锌钢板厚0.5mm</w:t>
            </w:r>
          </w:p>
        </w:tc>
      </w:tr>
    </w:tbl>
    <w:p w14:paraId="229803F0">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（3）</w:t>
      </w:r>
      <w:r>
        <w:rPr>
          <w:rFonts w:asciiTheme="minorEastAsia" w:hAnsiTheme="minorEastAsia" w:eastAsiaTheme="minorEastAsia"/>
          <w:lang w:eastAsia="zh-CN"/>
        </w:rPr>
        <w:t>储罐内防腐</w:t>
      </w:r>
    </w:p>
    <w:p w14:paraId="3E3B86E1">
      <w:pPr>
        <w:ind w:firstLine="480"/>
        <w:rPr>
          <w:rFonts w:asciiTheme="minorEastAsia" w:hAnsiTheme="minorEastAsia" w:eastAsiaTheme="minorEastAsia"/>
          <w:lang w:eastAsia="zh-CN"/>
        </w:rPr>
      </w:pPr>
      <w:r>
        <w:rPr>
          <w:rFonts w:asciiTheme="minorEastAsia" w:hAnsiTheme="minorEastAsia" w:eastAsiaTheme="minorEastAsia"/>
          <w:lang w:eastAsia="zh-CN"/>
        </w:rPr>
        <w:t>储油罐、沉降罐、储油罐、含油污水储罐等选择具有较好的耐水、耐油及导静电性能的涂层。涂层配套方案见表3.2</w:t>
      </w:r>
      <w:r>
        <w:rPr>
          <w:rFonts w:hint="eastAsia" w:asciiTheme="minorEastAsia" w:hAnsiTheme="minorEastAsia" w:eastAsiaTheme="minorEastAsia"/>
          <w:lang w:eastAsia="zh-CN"/>
        </w:rPr>
        <w:t>-</w:t>
      </w:r>
      <w:r>
        <w:rPr>
          <w:rFonts w:asciiTheme="minorEastAsia" w:hAnsiTheme="minorEastAsia" w:eastAsiaTheme="minorEastAsia"/>
          <w:lang w:eastAsia="zh-CN"/>
        </w:rPr>
        <w:t>3。</w:t>
      </w:r>
    </w:p>
    <w:p w14:paraId="79A0C6C7">
      <w:pPr>
        <w:spacing w:line="240" w:lineRule="auto"/>
        <w:ind w:firstLine="600" w:firstLineChars="249"/>
        <w:rPr>
          <w:b/>
          <w:bCs/>
          <w:lang w:eastAsia="zh-CN"/>
        </w:rPr>
      </w:pPr>
      <w:r>
        <w:rPr>
          <w:b/>
          <w:bCs/>
          <w:lang w:eastAsia="zh-CN"/>
        </w:rPr>
        <w:t>表3.2</w:t>
      </w:r>
      <w:r>
        <w:rPr>
          <w:rFonts w:hint="eastAsia"/>
          <w:b/>
          <w:bCs/>
          <w:lang w:eastAsia="zh-CN"/>
        </w:rPr>
        <w:t>-</w:t>
      </w:r>
      <w:r>
        <w:rPr>
          <w:b/>
          <w:bCs/>
          <w:lang w:eastAsia="zh-CN"/>
        </w:rPr>
        <w:t xml:space="preserve">3  </w:t>
      </w:r>
      <w:r>
        <w:rPr>
          <w:rFonts w:hint="eastAsia"/>
          <w:b/>
          <w:bCs/>
          <w:lang w:eastAsia="zh-CN"/>
        </w:rPr>
        <w:t xml:space="preserve">  </w:t>
      </w:r>
      <w:r>
        <w:rPr>
          <w:b/>
          <w:bCs/>
          <w:lang w:eastAsia="zh-CN"/>
        </w:rPr>
        <w:t>储油罐、含油污水储罐等内防腐</w:t>
      </w:r>
    </w:p>
    <w:tbl>
      <w:tblPr>
        <w:tblStyle w:val="7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05"/>
        <w:gridCol w:w="1943"/>
        <w:gridCol w:w="2166"/>
        <w:gridCol w:w="2915"/>
      </w:tblGrid>
      <w:tr w14:paraId="65930F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05" w:type="dxa"/>
            <w:vAlign w:val="center"/>
          </w:tcPr>
          <w:p w14:paraId="60F41365">
            <w:pPr>
              <w:adjustRightInd w:val="0"/>
              <w:snapToGrid w:val="0"/>
              <w:spacing w:line="240" w:lineRule="auto"/>
              <w:ind w:firstLine="0" w:firstLineChars="0"/>
              <w:jc w:val="center"/>
              <w:rPr>
                <w:sz w:val="21"/>
                <w:szCs w:val="21"/>
              </w:rPr>
            </w:pPr>
            <w:r>
              <w:rPr>
                <w:sz w:val="21"/>
                <w:szCs w:val="21"/>
              </w:rPr>
              <w:t>名称</w:t>
            </w:r>
          </w:p>
        </w:tc>
        <w:tc>
          <w:tcPr>
            <w:tcW w:w="1943" w:type="dxa"/>
            <w:vAlign w:val="center"/>
          </w:tcPr>
          <w:p w14:paraId="5D4A1EC4">
            <w:pPr>
              <w:adjustRightInd w:val="0"/>
              <w:snapToGrid w:val="0"/>
              <w:spacing w:line="240" w:lineRule="auto"/>
              <w:ind w:firstLine="0" w:firstLineChars="0"/>
              <w:jc w:val="center"/>
              <w:rPr>
                <w:sz w:val="21"/>
                <w:szCs w:val="21"/>
              </w:rPr>
            </w:pPr>
            <w:r>
              <w:rPr>
                <w:sz w:val="21"/>
                <w:szCs w:val="21"/>
              </w:rPr>
              <w:t>涂料种类</w:t>
            </w:r>
          </w:p>
        </w:tc>
        <w:tc>
          <w:tcPr>
            <w:tcW w:w="2166" w:type="dxa"/>
            <w:vAlign w:val="center"/>
          </w:tcPr>
          <w:p w14:paraId="7A225C9D">
            <w:pPr>
              <w:adjustRightInd w:val="0"/>
              <w:snapToGrid w:val="0"/>
              <w:spacing w:line="240" w:lineRule="auto"/>
              <w:ind w:firstLine="0" w:firstLineChars="0"/>
              <w:jc w:val="center"/>
              <w:rPr>
                <w:sz w:val="21"/>
                <w:szCs w:val="21"/>
              </w:rPr>
            </w:pPr>
            <w:r>
              <w:rPr>
                <w:sz w:val="21"/>
                <w:szCs w:val="21"/>
              </w:rPr>
              <w:t>涂敷遍数</w:t>
            </w:r>
          </w:p>
        </w:tc>
        <w:tc>
          <w:tcPr>
            <w:tcW w:w="2915" w:type="dxa"/>
            <w:vAlign w:val="center"/>
          </w:tcPr>
          <w:p w14:paraId="3D209122">
            <w:pPr>
              <w:adjustRightInd w:val="0"/>
              <w:snapToGrid w:val="0"/>
              <w:spacing w:line="240" w:lineRule="auto"/>
              <w:ind w:firstLine="0" w:firstLineChars="0"/>
              <w:jc w:val="center"/>
              <w:rPr>
                <w:sz w:val="21"/>
                <w:szCs w:val="21"/>
              </w:rPr>
            </w:pPr>
            <w:r>
              <w:rPr>
                <w:sz w:val="21"/>
                <w:szCs w:val="21"/>
              </w:rPr>
              <w:t>干膜最小厚度</w:t>
            </w:r>
          </w:p>
        </w:tc>
      </w:tr>
      <w:tr w14:paraId="13241E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05" w:type="dxa"/>
            <w:vAlign w:val="center"/>
          </w:tcPr>
          <w:p w14:paraId="0CB50129">
            <w:pPr>
              <w:adjustRightInd w:val="0"/>
              <w:snapToGrid w:val="0"/>
              <w:spacing w:line="240" w:lineRule="auto"/>
              <w:ind w:firstLine="0" w:firstLineChars="0"/>
              <w:jc w:val="center"/>
              <w:rPr>
                <w:sz w:val="21"/>
                <w:szCs w:val="21"/>
              </w:rPr>
            </w:pPr>
            <w:r>
              <w:rPr>
                <w:sz w:val="21"/>
                <w:szCs w:val="21"/>
              </w:rPr>
              <w:t>底漆</w:t>
            </w:r>
          </w:p>
        </w:tc>
        <w:tc>
          <w:tcPr>
            <w:tcW w:w="1943" w:type="dxa"/>
            <w:vAlign w:val="center"/>
          </w:tcPr>
          <w:p w14:paraId="62335D9E">
            <w:pPr>
              <w:adjustRightInd w:val="0"/>
              <w:snapToGrid w:val="0"/>
              <w:spacing w:line="240" w:lineRule="auto"/>
              <w:ind w:firstLine="0" w:firstLineChars="0"/>
              <w:jc w:val="center"/>
              <w:rPr>
                <w:sz w:val="21"/>
                <w:szCs w:val="21"/>
              </w:rPr>
            </w:pPr>
            <w:r>
              <w:rPr>
                <w:sz w:val="21"/>
                <w:szCs w:val="21"/>
              </w:rPr>
              <w:t>导静电环氧涂料</w:t>
            </w:r>
          </w:p>
        </w:tc>
        <w:tc>
          <w:tcPr>
            <w:tcW w:w="2166" w:type="dxa"/>
            <w:vAlign w:val="center"/>
          </w:tcPr>
          <w:p w14:paraId="53C26D88">
            <w:pPr>
              <w:adjustRightInd w:val="0"/>
              <w:snapToGrid w:val="0"/>
              <w:spacing w:line="240" w:lineRule="auto"/>
              <w:ind w:firstLine="0" w:firstLineChars="0"/>
              <w:jc w:val="center"/>
              <w:rPr>
                <w:sz w:val="21"/>
                <w:szCs w:val="21"/>
              </w:rPr>
            </w:pPr>
            <w:r>
              <w:rPr>
                <w:sz w:val="21"/>
                <w:szCs w:val="21"/>
              </w:rPr>
              <w:t>2道</w:t>
            </w:r>
          </w:p>
        </w:tc>
        <w:tc>
          <w:tcPr>
            <w:tcW w:w="2915" w:type="dxa"/>
            <w:vAlign w:val="center"/>
          </w:tcPr>
          <w:p w14:paraId="44FBDA28">
            <w:pPr>
              <w:adjustRightInd w:val="0"/>
              <w:snapToGrid w:val="0"/>
              <w:spacing w:line="240" w:lineRule="auto"/>
              <w:ind w:firstLine="0" w:firstLineChars="0"/>
              <w:jc w:val="center"/>
              <w:rPr>
                <w:sz w:val="21"/>
                <w:szCs w:val="21"/>
              </w:rPr>
            </w:pPr>
            <w:r>
              <w:rPr>
                <w:sz w:val="21"/>
                <w:szCs w:val="21"/>
              </w:rPr>
              <w:t>100m</w:t>
            </w:r>
          </w:p>
        </w:tc>
      </w:tr>
      <w:tr w14:paraId="350DCC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05" w:type="dxa"/>
            <w:vAlign w:val="center"/>
          </w:tcPr>
          <w:p w14:paraId="7A9F0ED6">
            <w:pPr>
              <w:adjustRightInd w:val="0"/>
              <w:snapToGrid w:val="0"/>
              <w:spacing w:line="240" w:lineRule="auto"/>
              <w:ind w:firstLine="0" w:firstLineChars="0"/>
              <w:jc w:val="center"/>
              <w:rPr>
                <w:sz w:val="21"/>
                <w:szCs w:val="21"/>
              </w:rPr>
            </w:pPr>
            <w:r>
              <w:rPr>
                <w:sz w:val="21"/>
                <w:szCs w:val="21"/>
              </w:rPr>
              <w:t>面漆</w:t>
            </w:r>
          </w:p>
        </w:tc>
        <w:tc>
          <w:tcPr>
            <w:tcW w:w="1943" w:type="dxa"/>
            <w:vAlign w:val="center"/>
          </w:tcPr>
          <w:p w14:paraId="60E7735B">
            <w:pPr>
              <w:adjustRightInd w:val="0"/>
              <w:snapToGrid w:val="0"/>
              <w:spacing w:line="240" w:lineRule="auto"/>
              <w:ind w:firstLine="0" w:firstLineChars="0"/>
              <w:jc w:val="center"/>
              <w:rPr>
                <w:sz w:val="21"/>
                <w:szCs w:val="21"/>
              </w:rPr>
            </w:pPr>
            <w:r>
              <w:rPr>
                <w:sz w:val="21"/>
                <w:szCs w:val="21"/>
              </w:rPr>
              <w:t>导静电环氧涂料</w:t>
            </w:r>
          </w:p>
        </w:tc>
        <w:tc>
          <w:tcPr>
            <w:tcW w:w="2166" w:type="dxa"/>
            <w:vAlign w:val="center"/>
          </w:tcPr>
          <w:p w14:paraId="256E14E9">
            <w:pPr>
              <w:adjustRightInd w:val="0"/>
              <w:snapToGrid w:val="0"/>
              <w:spacing w:line="240" w:lineRule="auto"/>
              <w:ind w:firstLine="0" w:firstLineChars="0"/>
              <w:jc w:val="center"/>
              <w:rPr>
                <w:sz w:val="21"/>
                <w:szCs w:val="21"/>
              </w:rPr>
            </w:pPr>
            <w:r>
              <w:rPr>
                <w:sz w:val="21"/>
                <w:szCs w:val="21"/>
              </w:rPr>
              <w:t>2道</w:t>
            </w:r>
          </w:p>
        </w:tc>
        <w:tc>
          <w:tcPr>
            <w:tcW w:w="2915" w:type="dxa"/>
            <w:vAlign w:val="center"/>
          </w:tcPr>
          <w:p w14:paraId="5BDD6CBE">
            <w:pPr>
              <w:adjustRightInd w:val="0"/>
              <w:snapToGrid w:val="0"/>
              <w:spacing w:line="240" w:lineRule="auto"/>
              <w:ind w:firstLine="0" w:firstLineChars="0"/>
              <w:jc w:val="center"/>
              <w:rPr>
                <w:sz w:val="21"/>
                <w:szCs w:val="21"/>
              </w:rPr>
            </w:pPr>
            <w:r>
              <w:rPr>
                <w:sz w:val="21"/>
                <w:szCs w:val="21"/>
              </w:rPr>
              <w:t>100m</w:t>
            </w:r>
          </w:p>
        </w:tc>
      </w:tr>
      <w:tr w14:paraId="3060D1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505" w:type="dxa"/>
            <w:vAlign w:val="center"/>
          </w:tcPr>
          <w:p w14:paraId="04C3F18E">
            <w:pPr>
              <w:adjustRightInd w:val="0"/>
              <w:snapToGrid w:val="0"/>
              <w:spacing w:line="240" w:lineRule="auto"/>
              <w:ind w:firstLine="0" w:firstLineChars="0"/>
              <w:jc w:val="center"/>
              <w:rPr>
                <w:sz w:val="21"/>
                <w:szCs w:val="21"/>
              </w:rPr>
            </w:pPr>
            <w:r>
              <w:rPr>
                <w:sz w:val="21"/>
                <w:szCs w:val="21"/>
              </w:rPr>
              <w:t>合计</w:t>
            </w:r>
          </w:p>
        </w:tc>
        <w:tc>
          <w:tcPr>
            <w:tcW w:w="1943" w:type="dxa"/>
            <w:vAlign w:val="center"/>
          </w:tcPr>
          <w:p w14:paraId="611AD09F">
            <w:pPr>
              <w:adjustRightInd w:val="0"/>
              <w:snapToGrid w:val="0"/>
              <w:spacing w:line="240" w:lineRule="auto"/>
              <w:ind w:firstLine="0" w:firstLineChars="0"/>
              <w:jc w:val="center"/>
              <w:rPr>
                <w:sz w:val="21"/>
                <w:szCs w:val="21"/>
              </w:rPr>
            </w:pPr>
          </w:p>
        </w:tc>
        <w:tc>
          <w:tcPr>
            <w:tcW w:w="2166" w:type="dxa"/>
            <w:vAlign w:val="center"/>
          </w:tcPr>
          <w:p w14:paraId="4852FAAF">
            <w:pPr>
              <w:adjustRightInd w:val="0"/>
              <w:snapToGrid w:val="0"/>
              <w:spacing w:line="240" w:lineRule="auto"/>
              <w:ind w:firstLine="0" w:firstLineChars="0"/>
              <w:jc w:val="center"/>
              <w:rPr>
                <w:sz w:val="21"/>
                <w:szCs w:val="21"/>
              </w:rPr>
            </w:pPr>
          </w:p>
        </w:tc>
        <w:tc>
          <w:tcPr>
            <w:tcW w:w="2915" w:type="dxa"/>
            <w:vAlign w:val="center"/>
          </w:tcPr>
          <w:p w14:paraId="58AB3F57">
            <w:pPr>
              <w:adjustRightInd w:val="0"/>
              <w:snapToGrid w:val="0"/>
              <w:spacing w:line="240" w:lineRule="auto"/>
              <w:ind w:firstLine="0" w:firstLineChars="0"/>
              <w:jc w:val="center"/>
              <w:rPr>
                <w:sz w:val="21"/>
                <w:szCs w:val="21"/>
              </w:rPr>
            </w:pPr>
            <w:r>
              <w:rPr>
                <w:sz w:val="21"/>
                <w:szCs w:val="21"/>
              </w:rPr>
              <w:t>200m</w:t>
            </w:r>
          </w:p>
        </w:tc>
      </w:tr>
      <w:bookmarkEnd w:id="165"/>
      <w:bookmarkEnd w:id="166"/>
    </w:tbl>
    <w:p w14:paraId="2A177FC9">
      <w:pPr>
        <w:pStyle w:val="3"/>
        <w:rPr>
          <w:lang w:eastAsia="zh-CN"/>
        </w:rPr>
      </w:pPr>
      <w:bookmarkStart w:id="167" w:name="_Toc408413931"/>
      <w:r>
        <w:rPr>
          <w:lang w:eastAsia="zh-CN"/>
        </w:rPr>
        <w:t>3.3公用工程</w:t>
      </w:r>
      <w:bookmarkEnd w:id="167"/>
    </w:p>
    <w:p w14:paraId="0EC3DD66">
      <w:pPr>
        <w:pStyle w:val="4"/>
        <w:rPr>
          <w:lang w:eastAsia="zh-CN"/>
        </w:rPr>
      </w:pPr>
      <w:bookmarkStart w:id="168" w:name="_Toc408413932"/>
      <w:r>
        <w:rPr>
          <w:lang w:eastAsia="zh-CN"/>
        </w:rPr>
        <w:t>3.3.1给排水</w:t>
      </w:r>
      <w:bookmarkEnd w:id="168"/>
    </w:p>
    <w:p w14:paraId="208E0372">
      <w:pPr>
        <w:ind w:firstLine="480"/>
        <w:rPr>
          <w:rFonts w:asciiTheme="minorEastAsia" w:hAnsiTheme="minorEastAsia" w:eastAsiaTheme="minorEastAsia"/>
          <w:lang w:eastAsia="zh-CN"/>
        </w:rPr>
      </w:pPr>
      <w:r>
        <w:rPr>
          <w:rFonts w:asciiTheme="minorEastAsia" w:hAnsiTheme="minorEastAsia" w:eastAsiaTheme="minorEastAsia"/>
          <w:lang w:eastAsia="zh-CN"/>
        </w:rPr>
        <w:t>1、水源</w:t>
      </w:r>
    </w:p>
    <w:p w14:paraId="6ECE4B21">
      <w:pPr>
        <w:ind w:firstLine="480"/>
        <w:rPr>
          <w:rFonts w:asciiTheme="minorEastAsia" w:hAnsiTheme="minorEastAsia" w:eastAsiaTheme="minorEastAsia"/>
          <w:lang w:eastAsia="zh-CN"/>
        </w:rPr>
      </w:pPr>
      <w:r>
        <w:rPr>
          <w:rFonts w:asciiTheme="minorEastAsia" w:hAnsiTheme="minorEastAsia" w:eastAsiaTheme="minorEastAsia"/>
          <w:lang w:eastAsia="zh-CN"/>
        </w:rPr>
        <w:t>本项目生产和生活用水，</w:t>
      </w:r>
      <w:r>
        <w:rPr>
          <w:rFonts w:hint="eastAsia" w:asciiTheme="minorEastAsia" w:hAnsiTheme="minorEastAsia" w:eastAsiaTheme="minorEastAsia"/>
          <w:lang w:eastAsia="zh-CN"/>
        </w:rPr>
        <w:t>依托现有</w:t>
      </w:r>
      <w:r>
        <w:rPr>
          <w:rFonts w:asciiTheme="minorEastAsia" w:hAnsiTheme="minorEastAsia" w:eastAsiaTheme="minorEastAsia"/>
          <w:lang w:eastAsia="zh-CN"/>
        </w:rPr>
        <w:t>的</w:t>
      </w:r>
      <w:r>
        <w:rPr>
          <w:rFonts w:hint="eastAsia" w:asciiTheme="minorEastAsia" w:hAnsiTheme="minorEastAsia" w:eastAsiaTheme="minorEastAsia"/>
          <w:lang w:eastAsia="zh-CN"/>
        </w:rPr>
        <w:t>3</w:t>
      </w:r>
      <w:r>
        <w:rPr>
          <w:rFonts w:asciiTheme="minorEastAsia" w:hAnsiTheme="minorEastAsia" w:eastAsiaTheme="minorEastAsia"/>
          <w:lang w:eastAsia="zh-CN"/>
        </w:rPr>
        <w:t>眼水源井（机电井），</w:t>
      </w:r>
      <w:r>
        <w:rPr>
          <w:rFonts w:hint="eastAsia" w:asciiTheme="minorEastAsia" w:hAnsiTheme="minorEastAsia" w:eastAsiaTheme="minorEastAsia"/>
          <w:lang w:eastAsia="zh-CN"/>
        </w:rPr>
        <w:t>1号井单井出水量</w:t>
      </w:r>
      <w:r>
        <w:rPr>
          <w:rFonts w:asciiTheme="minorEastAsia" w:hAnsiTheme="minorEastAsia" w:eastAsiaTheme="minorEastAsia"/>
          <w:lang w:eastAsia="zh-CN"/>
        </w:rPr>
        <w:t>5m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/h</w:t>
      </w:r>
      <w:r>
        <w:rPr>
          <w:rFonts w:hint="eastAsia" w:asciiTheme="minorEastAsia" w:hAnsiTheme="minorEastAsia" w:eastAsiaTheme="minorEastAsia"/>
          <w:lang w:eastAsia="zh-CN"/>
        </w:rPr>
        <w:t>，专门供生活用水；2号、3号水源井出水量2</w:t>
      </w:r>
      <w:r>
        <w:rPr>
          <w:rFonts w:asciiTheme="minorEastAsia" w:hAnsiTheme="minorEastAsia" w:eastAsiaTheme="minorEastAsia"/>
          <w:lang w:eastAsia="zh-CN"/>
        </w:rPr>
        <w:t>5m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/h</w:t>
      </w:r>
      <w:r>
        <w:rPr>
          <w:rFonts w:hint="eastAsia" w:asciiTheme="minorEastAsia" w:hAnsiTheme="minorEastAsia" w:eastAsiaTheme="minorEastAsia"/>
          <w:lang w:eastAsia="zh-CN"/>
        </w:rPr>
        <w:t>（600m</w:t>
      </w:r>
      <w:r>
        <w:rPr>
          <w:rFonts w:hint="eastAsia" w:asciiTheme="minorEastAsia" w:hAnsiTheme="minorEastAsia" w:eastAsiaTheme="minorEastAsia"/>
          <w:vertAlign w:val="superscript"/>
          <w:lang w:eastAsia="zh-CN"/>
        </w:rPr>
        <w:t>3</w:t>
      </w:r>
      <w:r>
        <w:rPr>
          <w:rFonts w:hint="eastAsia" w:asciiTheme="minorEastAsia" w:hAnsiTheme="minorEastAsia" w:eastAsiaTheme="minorEastAsia"/>
          <w:lang w:eastAsia="zh-CN"/>
        </w:rPr>
        <w:t>/d），经预测乌里雅斯太油田最大注水量在2016年，为18.36×10</w:t>
      </w:r>
      <w:r>
        <w:rPr>
          <w:rFonts w:hint="eastAsia" w:asciiTheme="minorEastAsia" w:hAnsiTheme="minorEastAsia" w:eastAsiaTheme="minorEastAsia"/>
          <w:vertAlign w:val="superscript"/>
          <w:lang w:eastAsia="zh-CN"/>
        </w:rPr>
        <w:t>4</w:t>
      </w:r>
      <w:r>
        <w:rPr>
          <w:rFonts w:hint="eastAsia" w:asciiTheme="minorEastAsia" w:hAnsiTheme="minorEastAsia" w:eastAsiaTheme="minorEastAsia"/>
          <w:lang w:eastAsia="zh-CN"/>
        </w:rPr>
        <w:t xml:space="preserve"> m</w:t>
      </w:r>
      <w:r>
        <w:rPr>
          <w:rFonts w:hint="eastAsia" w:asciiTheme="minorEastAsia" w:hAnsiTheme="minorEastAsia" w:eastAsiaTheme="minorEastAsia"/>
          <w:vertAlign w:val="superscript"/>
          <w:lang w:eastAsia="zh-CN"/>
        </w:rPr>
        <w:t>3</w:t>
      </w:r>
      <w:r>
        <w:rPr>
          <w:rFonts w:hint="eastAsia" w:asciiTheme="minorEastAsia" w:hAnsiTheme="minorEastAsia" w:eastAsiaTheme="minorEastAsia"/>
          <w:lang w:eastAsia="zh-CN"/>
        </w:rPr>
        <w:t>/a（即503.01 m</w:t>
      </w:r>
      <w:r>
        <w:rPr>
          <w:rFonts w:hint="eastAsia" w:asciiTheme="minorEastAsia" w:hAnsiTheme="minorEastAsia" w:eastAsiaTheme="minorEastAsia"/>
          <w:vertAlign w:val="superscript"/>
          <w:lang w:eastAsia="zh-CN"/>
        </w:rPr>
        <w:t>3</w:t>
      </w:r>
      <w:r>
        <w:rPr>
          <w:rFonts w:hint="eastAsia" w:asciiTheme="minorEastAsia" w:hAnsiTheme="minorEastAsia" w:eastAsiaTheme="minorEastAsia"/>
          <w:lang w:eastAsia="zh-CN"/>
        </w:rPr>
        <w:t>/d），需要补注清水14.98×10</w:t>
      </w:r>
      <w:r>
        <w:rPr>
          <w:rFonts w:hint="eastAsia" w:asciiTheme="minorEastAsia" w:hAnsiTheme="minorEastAsia" w:eastAsiaTheme="minorEastAsia"/>
          <w:vertAlign w:val="superscript"/>
          <w:lang w:eastAsia="zh-CN"/>
        </w:rPr>
        <w:t>4</w:t>
      </w:r>
      <w:r>
        <w:rPr>
          <w:rFonts w:hint="eastAsia" w:asciiTheme="minorEastAsia" w:hAnsiTheme="minorEastAsia" w:eastAsiaTheme="minorEastAsia"/>
          <w:lang w:eastAsia="zh-CN"/>
        </w:rPr>
        <w:t xml:space="preserve"> m</w:t>
      </w:r>
      <w:r>
        <w:rPr>
          <w:rFonts w:hint="eastAsia" w:asciiTheme="minorEastAsia" w:hAnsiTheme="minorEastAsia" w:eastAsiaTheme="minorEastAsia"/>
          <w:vertAlign w:val="superscript"/>
          <w:lang w:eastAsia="zh-CN"/>
        </w:rPr>
        <w:t>3</w:t>
      </w:r>
      <w:r>
        <w:rPr>
          <w:rFonts w:hint="eastAsia" w:asciiTheme="minorEastAsia" w:hAnsiTheme="minorEastAsia" w:eastAsiaTheme="minorEastAsia"/>
          <w:lang w:eastAsia="zh-CN"/>
        </w:rPr>
        <w:t>/a(即 410.48 m</w:t>
      </w:r>
      <w:r>
        <w:rPr>
          <w:rFonts w:hint="eastAsia" w:asciiTheme="minorEastAsia" w:hAnsiTheme="minorEastAsia" w:eastAsiaTheme="minorEastAsia"/>
          <w:vertAlign w:val="superscript"/>
          <w:lang w:eastAsia="zh-CN"/>
        </w:rPr>
        <w:t>3</w:t>
      </w:r>
      <w:r>
        <w:rPr>
          <w:rFonts w:hint="eastAsia" w:asciiTheme="minorEastAsia" w:hAnsiTheme="minorEastAsia" w:eastAsiaTheme="minorEastAsia"/>
          <w:lang w:eastAsia="zh-CN"/>
        </w:rPr>
        <w:t>/d)，水源井供水能力能满足供水要求。</w:t>
      </w:r>
    </w:p>
    <w:p w14:paraId="15359C8A">
      <w:pPr>
        <w:ind w:firstLine="480"/>
        <w:rPr>
          <w:rFonts w:asciiTheme="minorEastAsia" w:hAnsiTheme="minorEastAsia" w:eastAsiaTheme="minorEastAsia"/>
          <w:lang w:eastAsia="zh-CN"/>
        </w:rPr>
      </w:pPr>
      <w:r>
        <w:rPr>
          <w:rFonts w:asciiTheme="minorEastAsia" w:hAnsiTheme="minorEastAsia" w:eastAsiaTheme="minorEastAsia"/>
          <w:lang w:eastAsia="zh-CN"/>
        </w:rPr>
        <w:t>2、给水系统</w:t>
      </w:r>
    </w:p>
    <w:p w14:paraId="5275D164">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（1）</w:t>
      </w:r>
      <w:r>
        <w:rPr>
          <w:rFonts w:asciiTheme="minorEastAsia" w:hAnsiTheme="minorEastAsia" w:eastAsiaTheme="minorEastAsia"/>
          <w:lang w:eastAsia="zh-CN"/>
        </w:rPr>
        <w:t>生产给水系统</w:t>
      </w:r>
    </w:p>
    <w:p w14:paraId="4268DCEA">
      <w:pPr>
        <w:ind w:firstLine="480"/>
        <w:rPr>
          <w:rFonts w:asciiTheme="minorEastAsia" w:hAnsiTheme="minorEastAsia" w:eastAsiaTheme="minorEastAsia"/>
          <w:lang w:eastAsia="zh-CN"/>
        </w:rPr>
      </w:pPr>
      <w:r>
        <w:rPr>
          <w:rFonts w:asciiTheme="minorEastAsia" w:hAnsiTheme="minorEastAsia" w:eastAsiaTheme="minorEastAsia"/>
          <w:lang w:eastAsia="zh-CN"/>
        </w:rPr>
        <w:t>本项目生产用水主要为采油注水</w:t>
      </w:r>
      <w:r>
        <w:rPr>
          <w:rFonts w:hint="eastAsia" w:asciiTheme="minorEastAsia" w:hAnsiTheme="minorEastAsia" w:eastAsiaTheme="minorEastAsia"/>
          <w:lang w:eastAsia="zh-CN"/>
        </w:rPr>
        <w:t>，</w:t>
      </w:r>
      <w:r>
        <w:rPr>
          <w:rFonts w:asciiTheme="minorEastAsia" w:hAnsiTheme="minorEastAsia" w:eastAsiaTheme="minorEastAsia"/>
          <w:lang w:eastAsia="zh-CN"/>
        </w:rPr>
        <w:t>地下水由水源井通过潜水泵、管线输送到</w:t>
      </w:r>
      <w:r>
        <w:rPr>
          <w:rFonts w:hint="eastAsia" w:asciiTheme="minorEastAsia" w:hAnsiTheme="minorEastAsia" w:eastAsiaTheme="minorEastAsia"/>
          <w:lang w:eastAsia="zh-CN"/>
        </w:rPr>
        <w:t>站场注</w:t>
      </w:r>
      <w:r>
        <w:rPr>
          <w:rFonts w:asciiTheme="minorEastAsia" w:hAnsiTheme="minorEastAsia" w:eastAsiaTheme="minorEastAsia"/>
          <w:lang w:eastAsia="zh-CN"/>
        </w:rPr>
        <w:t>水罐储存，</w:t>
      </w:r>
      <w:r>
        <w:rPr>
          <w:rFonts w:hint="eastAsia" w:asciiTheme="minorEastAsia" w:hAnsiTheme="minorEastAsia" w:eastAsiaTheme="minorEastAsia"/>
          <w:lang w:eastAsia="zh-CN"/>
        </w:rPr>
        <w:t>经</w:t>
      </w:r>
      <w:r>
        <w:rPr>
          <w:rFonts w:asciiTheme="minorEastAsia" w:hAnsiTheme="minorEastAsia" w:eastAsiaTheme="minorEastAsia"/>
          <w:lang w:eastAsia="zh-CN"/>
        </w:rPr>
        <w:t>高压注水泵将清水注入地下。</w:t>
      </w:r>
      <w:r>
        <w:rPr>
          <w:rFonts w:hint="eastAsia" w:asciiTheme="minorEastAsia" w:hAnsiTheme="minorEastAsia" w:eastAsiaTheme="minorEastAsia"/>
          <w:lang w:eastAsia="zh-CN"/>
        </w:rPr>
        <w:t>另外，雅斯联合站</w:t>
      </w:r>
      <w:r>
        <w:rPr>
          <w:rFonts w:asciiTheme="minorEastAsia" w:hAnsiTheme="minorEastAsia" w:eastAsiaTheme="minorEastAsia"/>
          <w:lang w:eastAsia="zh-CN"/>
        </w:rPr>
        <w:t>含油污水经污水处理系统处理后全部回注地层。注水水质指标按照</w:t>
      </w:r>
      <w:r>
        <w:rPr>
          <w:rFonts w:hint="eastAsia" w:asciiTheme="minorEastAsia" w:hAnsiTheme="minorEastAsia" w:eastAsiaTheme="minorEastAsia"/>
          <w:lang w:eastAsia="zh-CN"/>
        </w:rPr>
        <w:t>（</w:t>
      </w:r>
      <w:r>
        <w:rPr>
          <w:rFonts w:asciiTheme="minorEastAsia" w:hAnsiTheme="minorEastAsia" w:eastAsiaTheme="minorEastAsia"/>
          <w:lang w:eastAsia="zh-CN"/>
        </w:rPr>
        <w:t>SY/T5329-2012</w:t>
      </w:r>
      <w:r>
        <w:rPr>
          <w:rFonts w:hint="eastAsia" w:asciiTheme="minorEastAsia" w:hAnsiTheme="minorEastAsia" w:eastAsiaTheme="minorEastAsia"/>
          <w:lang w:eastAsia="zh-CN"/>
        </w:rPr>
        <w:t>）</w:t>
      </w:r>
      <w:r>
        <w:rPr>
          <w:rFonts w:asciiTheme="minorEastAsia" w:hAnsiTheme="minorEastAsia" w:eastAsiaTheme="minorEastAsia"/>
          <w:lang w:eastAsia="zh-CN"/>
        </w:rPr>
        <w:t>《碎屑岩油藏注水水质推荐指标及分析方法》执行</w:t>
      </w:r>
      <w:r>
        <w:rPr>
          <w:rFonts w:hint="eastAsia" w:asciiTheme="minorEastAsia" w:hAnsiTheme="minorEastAsia" w:eastAsiaTheme="minorEastAsia"/>
          <w:lang w:eastAsia="zh-CN"/>
        </w:rPr>
        <w:t>。</w:t>
      </w:r>
    </w:p>
    <w:p w14:paraId="66CB9ACF">
      <w:pPr>
        <w:ind w:firstLine="480"/>
        <w:outlineLvl w:val="0"/>
        <w:rPr>
          <w:rFonts w:asciiTheme="minorEastAsia" w:hAnsiTheme="minorEastAsia" w:eastAsiaTheme="minorEastAsia"/>
          <w:lang w:eastAsia="zh-CN"/>
        </w:rPr>
      </w:pPr>
      <w:r>
        <w:rPr>
          <w:rFonts w:hint="eastAsia" w:asciiTheme="minorEastAsia" w:hAnsiTheme="minorEastAsia" w:eastAsiaTheme="minorEastAsia"/>
          <w:lang w:eastAsia="zh-CN"/>
        </w:rPr>
        <w:t>（2）</w:t>
      </w:r>
      <w:r>
        <w:rPr>
          <w:rFonts w:asciiTheme="minorEastAsia" w:hAnsiTheme="minorEastAsia" w:eastAsiaTheme="minorEastAsia"/>
          <w:lang w:eastAsia="zh-CN"/>
        </w:rPr>
        <w:t>生活给水系统</w:t>
      </w:r>
    </w:p>
    <w:p w14:paraId="2C5125CD">
      <w:pPr>
        <w:ind w:firstLine="480"/>
        <w:rPr>
          <w:rFonts w:asciiTheme="minorEastAsia" w:hAnsiTheme="minorEastAsia" w:eastAsiaTheme="minorEastAsia"/>
          <w:lang w:eastAsia="zh-CN"/>
        </w:rPr>
      </w:pPr>
      <w:r>
        <w:rPr>
          <w:rFonts w:asciiTheme="minorEastAsia" w:hAnsiTheme="minorEastAsia" w:eastAsiaTheme="minorEastAsia"/>
          <w:lang w:eastAsia="zh-CN"/>
        </w:rPr>
        <w:t>生活用水来自水源井，</w:t>
      </w:r>
      <w:r>
        <w:rPr>
          <w:rFonts w:hint="eastAsia" w:asciiTheme="minorEastAsia" w:hAnsiTheme="minorEastAsia" w:eastAsiaTheme="minorEastAsia"/>
          <w:lang w:eastAsia="zh-CN"/>
        </w:rPr>
        <w:t>联合站内站场配有</w:t>
      </w:r>
      <w:r>
        <w:rPr>
          <w:rFonts w:asciiTheme="minorEastAsia" w:hAnsiTheme="minorEastAsia" w:eastAsiaTheme="minorEastAsia"/>
          <w:lang w:eastAsia="zh-CN"/>
        </w:rPr>
        <w:t>生活供水管道。</w:t>
      </w:r>
      <w:r>
        <w:rPr>
          <w:rFonts w:hint="eastAsia" w:asciiTheme="minorEastAsia" w:hAnsiTheme="minorEastAsia" w:eastAsiaTheme="minorEastAsia"/>
          <w:lang w:eastAsia="zh-CN"/>
        </w:rPr>
        <w:t xml:space="preserve"> 整个作业区在雅斯联合站内</w:t>
      </w:r>
      <w:r>
        <w:rPr>
          <w:rFonts w:asciiTheme="minorEastAsia" w:hAnsiTheme="minorEastAsia" w:eastAsiaTheme="minorEastAsia"/>
          <w:lang w:eastAsia="zh-CN"/>
        </w:rPr>
        <w:t>集中办公、生活点，</w:t>
      </w:r>
      <w:r>
        <w:rPr>
          <w:rFonts w:hint="eastAsia" w:asciiTheme="minorEastAsia" w:hAnsiTheme="minorEastAsia" w:eastAsiaTheme="minorEastAsia"/>
          <w:lang w:eastAsia="zh-CN"/>
        </w:rPr>
        <w:t>劳动定员63</w:t>
      </w:r>
      <w:r>
        <w:rPr>
          <w:rFonts w:asciiTheme="minorEastAsia" w:hAnsiTheme="minorEastAsia" w:eastAsiaTheme="minorEastAsia"/>
          <w:lang w:eastAsia="zh-CN"/>
        </w:rPr>
        <w:t>人。生活污水经地埋式一体化处理装置处理后</w:t>
      </w:r>
      <w:r>
        <w:rPr>
          <w:rFonts w:hint="eastAsia" w:asciiTheme="minorEastAsia" w:hAnsiTheme="minorEastAsia" w:eastAsiaTheme="minorEastAsia"/>
          <w:lang w:eastAsia="zh-CN"/>
        </w:rPr>
        <w:t>排入蒸发池</w:t>
      </w:r>
      <w:r>
        <w:rPr>
          <w:rFonts w:asciiTheme="minorEastAsia" w:hAnsiTheme="minorEastAsia" w:eastAsiaTheme="minorEastAsia"/>
          <w:lang w:eastAsia="zh-CN"/>
        </w:rPr>
        <w:t>用于绿化</w:t>
      </w:r>
      <w:r>
        <w:rPr>
          <w:rFonts w:hint="eastAsia" w:asciiTheme="minorEastAsia" w:hAnsiTheme="minorEastAsia" w:eastAsiaTheme="minorEastAsia"/>
          <w:lang w:eastAsia="zh-CN"/>
        </w:rPr>
        <w:t>或者</w:t>
      </w:r>
      <w:r>
        <w:rPr>
          <w:rFonts w:asciiTheme="minorEastAsia" w:hAnsiTheme="minorEastAsia" w:eastAsiaTheme="minorEastAsia"/>
          <w:lang w:eastAsia="zh-CN"/>
        </w:rPr>
        <w:t>降尘。</w:t>
      </w:r>
    </w:p>
    <w:p w14:paraId="6D46CB09">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3、用水量</w:t>
      </w:r>
    </w:p>
    <w:p w14:paraId="3FD532E3">
      <w:pPr>
        <w:ind w:firstLine="480"/>
        <w:rPr>
          <w:rFonts w:asciiTheme="minorEastAsia" w:hAnsiTheme="minorEastAsia" w:eastAsiaTheme="minorEastAsia"/>
          <w:lang w:eastAsia="zh-CN"/>
        </w:rPr>
      </w:pPr>
      <w:r>
        <w:rPr>
          <w:rFonts w:asciiTheme="minorEastAsia" w:hAnsiTheme="minorEastAsia" w:eastAsiaTheme="minorEastAsia"/>
          <w:lang w:eastAsia="zh-CN"/>
        </w:rPr>
        <w:t>本项目用水主要为注水、掺水、职工生活用水、锅炉补水、绿化用水、道路抑尘洒水、消防用水等</w:t>
      </w:r>
      <w:r>
        <w:rPr>
          <w:rFonts w:hint="eastAsia" w:asciiTheme="minorEastAsia" w:hAnsiTheme="minorEastAsia" w:eastAsiaTheme="minorEastAsia"/>
          <w:lang w:eastAsia="zh-CN"/>
        </w:rPr>
        <w:t>，其中注水以预测最大注水年2016年计算。</w:t>
      </w:r>
      <w:r>
        <w:rPr>
          <w:rFonts w:asciiTheme="minorEastAsia" w:hAnsiTheme="minorEastAsia" w:eastAsiaTheme="minorEastAsia"/>
          <w:lang w:eastAsia="zh-CN"/>
        </w:rPr>
        <w:t>本项目总用水分量统计见表3.3-</w:t>
      </w:r>
      <w:r>
        <w:rPr>
          <w:rFonts w:hint="eastAsia" w:asciiTheme="minorEastAsia" w:hAnsiTheme="minorEastAsia" w:eastAsiaTheme="minorEastAsia"/>
          <w:lang w:eastAsia="zh-CN"/>
        </w:rPr>
        <w:t>1</w:t>
      </w:r>
      <w:r>
        <w:rPr>
          <w:rFonts w:asciiTheme="minorEastAsia" w:hAnsiTheme="minorEastAsia" w:eastAsiaTheme="minorEastAsia"/>
          <w:lang w:eastAsia="zh-CN"/>
        </w:rPr>
        <w:t>。</w:t>
      </w:r>
    </w:p>
    <w:p w14:paraId="5EE0A005">
      <w:pPr>
        <w:ind w:firstLine="480"/>
        <w:rPr>
          <w:rFonts w:asciiTheme="minorEastAsia" w:hAnsiTheme="minorEastAsia" w:eastAsiaTheme="minorEastAsia"/>
          <w:lang w:eastAsia="zh-CN"/>
        </w:rPr>
      </w:pPr>
    </w:p>
    <w:p w14:paraId="0A574048">
      <w:pPr>
        <w:ind w:firstLine="480"/>
        <w:rPr>
          <w:rFonts w:asciiTheme="minorEastAsia" w:hAnsiTheme="minorEastAsia" w:eastAsiaTheme="minorEastAsia"/>
          <w:lang w:eastAsia="zh-CN"/>
        </w:rPr>
      </w:pPr>
    </w:p>
    <w:p w14:paraId="0898C712">
      <w:pPr>
        <w:ind w:firstLine="480"/>
        <w:rPr>
          <w:rFonts w:asciiTheme="minorEastAsia" w:hAnsiTheme="minorEastAsia" w:eastAsiaTheme="minorEastAsia"/>
          <w:lang w:eastAsia="zh-CN"/>
        </w:rPr>
      </w:pPr>
    </w:p>
    <w:p w14:paraId="03F0AF47">
      <w:pPr>
        <w:ind w:firstLine="480"/>
        <w:rPr>
          <w:rFonts w:asciiTheme="minorEastAsia" w:hAnsiTheme="minorEastAsia" w:eastAsiaTheme="minorEastAsia"/>
          <w:lang w:eastAsia="zh-CN"/>
        </w:rPr>
      </w:pPr>
    </w:p>
    <w:p w14:paraId="3A363715">
      <w:pPr>
        <w:ind w:firstLine="480"/>
        <w:rPr>
          <w:rFonts w:asciiTheme="minorEastAsia" w:hAnsiTheme="minorEastAsia" w:eastAsiaTheme="minorEastAsia"/>
          <w:lang w:eastAsia="zh-CN"/>
        </w:rPr>
      </w:pPr>
    </w:p>
    <w:p w14:paraId="068667F9">
      <w:pPr>
        <w:ind w:firstLine="480"/>
        <w:rPr>
          <w:rFonts w:asciiTheme="minorEastAsia" w:hAnsiTheme="minorEastAsia" w:eastAsiaTheme="minorEastAsia"/>
          <w:lang w:eastAsia="zh-CN"/>
        </w:rPr>
      </w:pPr>
    </w:p>
    <w:p w14:paraId="19437B25">
      <w:pPr>
        <w:ind w:firstLine="480"/>
        <w:rPr>
          <w:rFonts w:asciiTheme="minorEastAsia" w:hAnsiTheme="minorEastAsia" w:eastAsiaTheme="minorEastAsia"/>
          <w:lang w:eastAsia="zh-CN"/>
        </w:rPr>
      </w:pPr>
    </w:p>
    <w:p w14:paraId="07A77162">
      <w:pPr>
        <w:spacing w:line="240" w:lineRule="auto"/>
        <w:ind w:firstLine="836" w:firstLineChars="347"/>
        <w:rPr>
          <w:b/>
          <w:bCs/>
          <w:lang w:eastAsia="zh-CN"/>
        </w:rPr>
      </w:pPr>
      <w:r>
        <w:rPr>
          <w:b/>
          <w:bCs/>
          <w:lang w:eastAsia="zh-CN"/>
        </w:rPr>
        <w:t>表3.3-</w:t>
      </w:r>
      <w:r>
        <w:rPr>
          <w:rFonts w:hint="eastAsia"/>
          <w:b/>
          <w:bCs/>
          <w:lang w:eastAsia="zh-CN"/>
        </w:rPr>
        <w:t>1</w:t>
      </w:r>
      <w:r>
        <w:rPr>
          <w:b/>
          <w:bCs/>
          <w:lang w:eastAsia="zh-CN"/>
        </w:rPr>
        <w:t xml:space="preserve">  </w:t>
      </w:r>
      <w:r>
        <w:rPr>
          <w:rFonts w:hint="eastAsia"/>
          <w:b/>
          <w:bCs/>
          <w:lang w:eastAsia="zh-CN"/>
        </w:rPr>
        <w:t xml:space="preserve">    </w:t>
      </w:r>
      <w:r>
        <w:rPr>
          <w:b/>
          <w:bCs/>
          <w:lang w:eastAsia="zh-CN"/>
        </w:rPr>
        <w:t>用排水量统计表</w:t>
      </w:r>
    </w:p>
    <w:tbl>
      <w:tblPr>
        <w:tblStyle w:val="7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7"/>
        <w:gridCol w:w="1559"/>
        <w:gridCol w:w="1418"/>
        <w:gridCol w:w="1559"/>
        <w:gridCol w:w="3160"/>
      </w:tblGrid>
      <w:tr w14:paraId="471D34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2" w:hRule="atLeast"/>
        </w:trPr>
        <w:tc>
          <w:tcPr>
            <w:tcW w:w="817" w:type="dxa"/>
            <w:vAlign w:val="center"/>
          </w:tcPr>
          <w:p w14:paraId="1B346B31">
            <w:pPr>
              <w:adjustRightInd w:val="0"/>
              <w:snapToGrid w:val="0"/>
              <w:spacing w:line="240" w:lineRule="auto"/>
              <w:ind w:firstLine="0" w:firstLineChars="0"/>
              <w:jc w:val="center"/>
              <w:rPr>
                <w:sz w:val="21"/>
                <w:szCs w:val="21"/>
              </w:rPr>
            </w:pPr>
            <w:r>
              <w:rPr>
                <w:sz w:val="21"/>
                <w:szCs w:val="21"/>
              </w:rPr>
              <w:t>序号</w:t>
            </w:r>
          </w:p>
        </w:tc>
        <w:tc>
          <w:tcPr>
            <w:tcW w:w="1559" w:type="dxa"/>
            <w:vAlign w:val="center"/>
          </w:tcPr>
          <w:p w14:paraId="79CF96B1">
            <w:pPr>
              <w:adjustRightInd w:val="0"/>
              <w:snapToGrid w:val="0"/>
              <w:spacing w:line="240" w:lineRule="auto"/>
              <w:ind w:firstLine="0" w:firstLineChars="0"/>
              <w:jc w:val="center"/>
              <w:rPr>
                <w:sz w:val="21"/>
                <w:szCs w:val="21"/>
              </w:rPr>
            </w:pPr>
            <w:r>
              <w:rPr>
                <w:sz w:val="21"/>
                <w:szCs w:val="21"/>
              </w:rPr>
              <w:t>用水名称</w:t>
            </w:r>
          </w:p>
        </w:tc>
        <w:tc>
          <w:tcPr>
            <w:tcW w:w="1418" w:type="dxa"/>
            <w:vAlign w:val="center"/>
          </w:tcPr>
          <w:p w14:paraId="7DC39EB2">
            <w:pPr>
              <w:adjustRightInd w:val="0"/>
              <w:snapToGrid w:val="0"/>
              <w:spacing w:line="240" w:lineRule="auto"/>
              <w:ind w:firstLine="0" w:firstLineChars="0"/>
              <w:jc w:val="center"/>
              <w:rPr>
                <w:sz w:val="21"/>
                <w:szCs w:val="21"/>
                <w:lang w:eastAsia="zh-CN"/>
              </w:rPr>
            </w:pPr>
            <w:r>
              <w:rPr>
                <w:rFonts w:hint="eastAsia"/>
                <w:sz w:val="21"/>
                <w:szCs w:val="21"/>
                <w:lang w:eastAsia="zh-CN"/>
              </w:rPr>
              <w:t>最大</w:t>
            </w:r>
          </w:p>
          <w:p w14:paraId="133070A8">
            <w:pPr>
              <w:adjustRightInd w:val="0"/>
              <w:snapToGrid w:val="0"/>
              <w:spacing w:line="240" w:lineRule="auto"/>
              <w:ind w:firstLine="0" w:firstLineChars="0"/>
              <w:jc w:val="center"/>
              <w:rPr>
                <w:sz w:val="21"/>
                <w:szCs w:val="21"/>
              </w:rPr>
            </w:pPr>
            <w:r>
              <w:rPr>
                <w:sz w:val="21"/>
                <w:szCs w:val="21"/>
              </w:rPr>
              <w:t>日用水量(t/d)</w:t>
            </w:r>
          </w:p>
        </w:tc>
        <w:tc>
          <w:tcPr>
            <w:tcW w:w="1559" w:type="dxa"/>
            <w:vAlign w:val="center"/>
          </w:tcPr>
          <w:p w14:paraId="26C9E5EA">
            <w:pPr>
              <w:adjustRightInd w:val="0"/>
              <w:snapToGrid w:val="0"/>
              <w:spacing w:line="240" w:lineRule="auto"/>
              <w:ind w:firstLine="0" w:firstLineChars="0"/>
              <w:jc w:val="center"/>
              <w:rPr>
                <w:sz w:val="21"/>
                <w:szCs w:val="21"/>
                <w:lang w:eastAsia="zh-CN"/>
              </w:rPr>
            </w:pPr>
            <w:r>
              <w:rPr>
                <w:rFonts w:hint="eastAsia"/>
                <w:sz w:val="21"/>
                <w:szCs w:val="21"/>
                <w:lang w:eastAsia="zh-CN"/>
              </w:rPr>
              <w:t>最大</w:t>
            </w:r>
          </w:p>
          <w:p w14:paraId="13170440">
            <w:pPr>
              <w:adjustRightInd w:val="0"/>
              <w:snapToGrid w:val="0"/>
              <w:spacing w:line="240" w:lineRule="auto"/>
              <w:ind w:firstLine="0" w:firstLineChars="0"/>
              <w:jc w:val="center"/>
              <w:rPr>
                <w:sz w:val="21"/>
                <w:szCs w:val="21"/>
              </w:rPr>
            </w:pPr>
            <w:r>
              <w:rPr>
                <w:sz w:val="21"/>
                <w:szCs w:val="21"/>
              </w:rPr>
              <w:t>日排水量(t/d)</w:t>
            </w:r>
          </w:p>
        </w:tc>
        <w:tc>
          <w:tcPr>
            <w:tcW w:w="3160" w:type="dxa"/>
            <w:vAlign w:val="center"/>
          </w:tcPr>
          <w:p w14:paraId="27B8D91E">
            <w:pPr>
              <w:adjustRightInd w:val="0"/>
              <w:snapToGrid w:val="0"/>
              <w:spacing w:line="240" w:lineRule="auto"/>
              <w:ind w:firstLine="0" w:firstLineChars="0"/>
              <w:jc w:val="center"/>
              <w:rPr>
                <w:sz w:val="21"/>
                <w:szCs w:val="21"/>
              </w:rPr>
            </w:pPr>
            <w:r>
              <w:rPr>
                <w:sz w:val="21"/>
                <w:szCs w:val="21"/>
              </w:rPr>
              <w:t>备注</w:t>
            </w:r>
          </w:p>
        </w:tc>
      </w:tr>
      <w:tr w14:paraId="285316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2" w:hRule="atLeast"/>
        </w:trPr>
        <w:tc>
          <w:tcPr>
            <w:tcW w:w="817" w:type="dxa"/>
            <w:vAlign w:val="center"/>
          </w:tcPr>
          <w:p w14:paraId="6B1A2262">
            <w:pPr>
              <w:adjustRightInd w:val="0"/>
              <w:snapToGrid w:val="0"/>
              <w:spacing w:line="240" w:lineRule="auto"/>
              <w:ind w:firstLine="0" w:firstLineChars="0"/>
              <w:jc w:val="center"/>
              <w:rPr>
                <w:sz w:val="21"/>
                <w:szCs w:val="21"/>
              </w:rPr>
            </w:pPr>
            <w:r>
              <w:rPr>
                <w:sz w:val="21"/>
                <w:szCs w:val="21"/>
              </w:rPr>
              <w:t>1</w:t>
            </w:r>
          </w:p>
        </w:tc>
        <w:tc>
          <w:tcPr>
            <w:tcW w:w="1559" w:type="dxa"/>
            <w:vAlign w:val="center"/>
          </w:tcPr>
          <w:p w14:paraId="4FBB81A5">
            <w:pPr>
              <w:adjustRightInd w:val="0"/>
              <w:snapToGrid w:val="0"/>
              <w:spacing w:line="240" w:lineRule="auto"/>
              <w:ind w:firstLine="0" w:firstLineChars="0"/>
              <w:jc w:val="center"/>
              <w:rPr>
                <w:sz w:val="21"/>
                <w:szCs w:val="21"/>
              </w:rPr>
            </w:pPr>
            <w:r>
              <w:rPr>
                <w:sz w:val="21"/>
                <w:szCs w:val="21"/>
              </w:rPr>
              <w:t>职工生活用水</w:t>
            </w:r>
          </w:p>
        </w:tc>
        <w:tc>
          <w:tcPr>
            <w:tcW w:w="1418" w:type="dxa"/>
            <w:vAlign w:val="center"/>
          </w:tcPr>
          <w:p w14:paraId="15EFAB43">
            <w:pPr>
              <w:adjustRightInd w:val="0"/>
              <w:snapToGrid w:val="0"/>
              <w:spacing w:line="240" w:lineRule="auto"/>
              <w:ind w:firstLine="0" w:firstLineChars="0"/>
              <w:jc w:val="center"/>
              <w:rPr>
                <w:sz w:val="21"/>
                <w:szCs w:val="21"/>
                <w:lang w:eastAsia="zh-CN"/>
              </w:rPr>
            </w:pPr>
            <w:r>
              <w:rPr>
                <w:rFonts w:hint="eastAsia"/>
                <w:sz w:val="21"/>
                <w:szCs w:val="21"/>
                <w:lang w:eastAsia="zh-CN"/>
              </w:rPr>
              <w:t>6.17</w:t>
            </w:r>
          </w:p>
        </w:tc>
        <w:tc>
          <w:tcPr>
            <w:tcW w:w="1559" w:type="dxa"/>
            <w:vAlign w:val="center"/>
          </w:tcPr>
          <w:p w14:paraId="5D658FAF">
            <w:pPr>
              <w:adjustRightInd w:val="0"/>
              <w:snapToGrid w:val="0"/>
              <w:spacing w:line="240" w:lineRule="auto"/>
              <w:ind w:firstLine="0" w:firstLineChars="0"/>
              <w:jc w:val="center"/>
              <w:rPr>
                <w:sz w:val="21"/>
                <w:szCs w:val="21"/>
                <w:lang w:eastAsia="zh-CN"/>
              </w:rPr>
            </w:pPr>
            <w:r>
              <w:rPr>
                <w:rFonts w:hint="eastAsia"/>
                <w:sz w:val="21"/>
                <w:szCs w:val="21"/>
                <w:lang w:eastAsia="zh-CN"/>
              </w:rPr>
              <w:t>5.25</w:t>
            </w:r>
          </w:p>
        </w:tc>
        <w:tc>
          <w:tcPr>
            <w:tcW w:w="3160" w:type="dxa"/>
            <w:vAlign w:val="center"/>
          </w:tcPr>
          <w:p w14:paraId="69B65D7A">
            <w:pPr>
              <w:adjustRightInd w:val="0"/>
              <w:snapToGrid w:val="0"/>
              <w:spacing w:line="240" w:lineRule="auto"/>
              <w:ind w:firstLine="0" w:firstLineChars="0"/>
              <w:jc w:val="center"/>
              <w:rPr>
                <w:sz w:val="21"/>
                <w:szCs w:val="21"/>
                <w:lang w:eastAsia="zh-CN"/>
              </w:rPr>
            </w:pPr>
            <w:r>
              <w:rPr>
                <w:sz w:val="21"/>
                <w:szCs w:val="21"/>
                <w:lang w:eastAsia="zh-CN"/>
              </w:rPr>
              <w:t>用水定额：98L/d·人，</w:t>
            </w:r>
            <w:r>
              <w:rPr>
                <w:rFonts w:hint="eastAsia"/>
                <w:sz w:val="21"/>
                <w:szCs w:val="21"/>
                <w:lang w:eastAsia="zh-CN"/>
              </w:rPr>
              <w:t>劳动定员63</w:t>
            </w:r>
            <w:r>
              <w:rPr>
                <w:sz w:val="21"/>
                <w:szCs w:val="21"/>
                <w:lang w:eastAsia="zh-CN"/>
              </w:rPr>
              <w:t>人，排污系数0.85</w:t>
            </w:r>
          </w:p>
        </w:tc>
      </w:tr>
      <w:tr w14:paraId="42F87A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2" w:hRule="atLeast"/>
        </w:trPr>
        <w:tc>
          <w:tcPr>
            <w:tcW w:w="817" w:type="dxa"/>
            <w:vAlign w:val="center"/>
          </w:tcPr>
          <w:p w14:paraId="33749FEC">
            <w:pPr>
              <w:adjustRightInd w:val="0"/>
              <w:snapToGrid w:val="0"/>
              <w:spacing w:line="240" w:lineRule="auto"/>
              <w:ind w:firstLine="0" w:firstLineChars="0"/>
              <w:jc w:val="center"/>
              <w:rPr>
                <w:sz w:val="21"/>
                <w:szCs w:val="21"/>
                <w:lang w:eastAsia="zh-CN"/>
              </w:rPr>
            </w:pPr>
            <w:r>
              <w:rPr>
                <w:sz w:val="21"/>
                <w:szCs w:val="21"/>
                <w:lang w:eastAsia="zh-CN"/>
              </w:rPr>
              <w:t>2</w:t>
            </w:r>
          </w:p>
        </w:tc>
        <w:tc>
          <w:tcPr>
            <w:tcW w:w="1559" w:type="dxa"/>
            <w:vAlign w:val="center"/>
          </w:tcPr>
          <w:p w14:paraId="7A5A50EA">
            <w:pPr>
              <w:adjustRightInd w:val="0"/>
              <w:snapToGrid w:val="0"/>
              <w:spacing w:line="240" w:lineRule="auto"/>
              <w:ind w:firstLine="0" w:firstLineChars="0"/>
              <w:jc w:val="center"/>
              <w:rPr>
                <w:sz w:val="21"/>
                <w:szCs w:val="21"/>
                <w:lang w:eastAsia="zh-CN"/>
              </w:rPr>
            </w:pPr>
            <w:r>
              <w:rPr>
                <w:sz w:val="21"/>
                <w:szCs w:val="21"/>
                <w:lang w:eastAsia="zh-CN"/>
              </w:rPr>
              <w:t>锅炉补水</w:t>
            </w:r>
          </w:p>
        </w:tc>
        <w:tc>
          <w:tcPr>
            <w:tcW w:w="1418" w:type="dxa"/>
            <w:vAlign w:val="center"/>
          </w:tcPr>
          <w:p w14:paraId="595DB030">
            <w:pPr>
              <w:adjustRightInd w:val="0"/>
              <w:snapToGrid w:val="0"/>
              <w:spacing w:line="240" w:lineRule="auto"/>
              <w:ind w:firstLine="0" w:firstLineChars="0"/>
              <w:jc w:val="center"/>
              <w:rPr>
                <w:sz w:val="21"/>
                <w:szCs w:val="21"/>
                <w:lang w:eastAsia="zh-CN"/>
              </w:rPr>
            </w:pPr>
            <w:r>
              <w:rPr>
                <w:sz w:val="21"/>
                <w:szCs w:val="21"/>
                <w:lang w:eastAsia="zh-CN"/>
              </w:rPr>
              <w:t>1</w:t>
            </w:r>
            <w:r>
              <w:rPr>
                <w:rFonts w:hint="eastAsia"/>
                <w:sz w:val="21"/>
                <w:szCs w:val="21"/>
                <w:lang w:eastAsia="zh-CN"/>
              </w:rPr>
              <w:t>0</w:t>
            </w:r>
            <w:r>
              <w:rPr>
                <w:sz w:val="21"/>
                <w:szCs w:val="21"/>
                <w:lang w:eastAsia="zh-CN"/>
              </w:rPr>
              <w:t>.</w:t>
            </w:r>
            <w:r>
              <w:rPr>
                <w:rFonts w:hint="eastAsia"/>
                <w:sz w:val="21"/>
                <w:szCs w:val="21"/>
                <w:lang w:eastAsia="zh-CN"/>
              </w:rPr>
              <w:t>6</w:t>
            </w:r>
            <w:r>
              <w:rPr>
                <w:sz w:val="21"/>
                <w:szCs w:val="21"/>
                <w:lang w:eastAsia="zh-CN"/>
              </w:rPr>
              <w:t>8</w:t>
            </w:r>
          </w:p>
        </w:tc>
        <w:tc>
          <w:tcPr>
            <w:tcW w:w="1559" w:type="dxa"/>
            <w:vAlign w:val="center"/>
          </w:tcPr>
          <w:p w14:paraId="1FACFC8A">
            <w:pPr>
              <w:adjustRightInd w:val="0"/>
              <w:snapToGrid w:val="0"/>
              <w:spacing w:line="240" w:lineRule="auto"/>
              <w:ind w:firstLine="0" w:firstLineChars="0"/>
              <w:jc w:val="center"/>
              <w:rPr>
                <w:sz w:val="21"/>
                <w:szCs w:val="21"/>
                <w:lang w:eastAsia="zh-CN"/>
              </w:rPr>
            </w:pPr>
            <w:r>
              <w:rPr>
                <w:sz w:val="21"/>
                <w:szCs w:val="21"/>
              </w:rPr>
              <w:t>——</w:t>
            </w:r>
          </w:p>
        </w:tc>
        <w:tc>
          <w:tcPr>
            <w:tcW w:w="3160" w:type="dxa"/>
            <w:vAlign w:val="center"/>
          </w:tcPr>
          <w:p w14:paraId="270B00D5">
            <w:pPr>
              <w:adjustRightInd w:val="0"/>
              <w:snapToGrid w:val="0"/>
              <w:spacing w:line="240" w:lineRule="auto"/>
              <w:ind w:firstLine="0" w:firstLineChars="0"/>
              <w:jc w:val="center"/>
              <w:rPr>
                <w:sz w:val="21"/>
                <w:szCs w:val="21"/>
                <w:lang w:eastAsia="zh-CN"/>
              </w:rPr>
            </w:pPr>
            <w:r>
              <w:rPr>
                <w:rFonts w:hint="eastAsia"/>
                <w:sz w:val="21"/>
                <w:szCs w:val="21"/>
                <w:lang w:eastAsia="zh-CN"/>
              </w:rPr>
              <w:t>联合站内燃气</w:t>
            </w:r>
            <w:r>
              <w:rPr>
                <w:sz w:val="21"/>
                <w:szCs w:val="21"/>
                <w:lang w:eastAsia="zh-CN"/>
              </w:rPr>
              <w:t>锅炉</w:t>
            </w:r>
            <w:r>
              <w:rPr>
                <w:rFonts w:hint="eastAsia"/>
                <w:sz w:val="21"/>
                <w:szCs w:val="21"/>
                <w:lang w:eastAsia="zh-CN"/>
              </w:rPr>
              <w:t>。</w:t>
            </w:r>
          </w:p>
        </w:tc>
      </w:tr>
      <w:tr w14:paraId="516FC8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2" w:hRule="atLeast"/>
        </w:trPr>
        <w:tc>
          <w:tcPr>
            <w:tcW w:w="817" w:type="dxa"/>
            <w:vAlign w:val="center"/>
          </w:tcPr>
          <w:p w14:paraId="45AE1EE1">
            <w:pPr>
              <w:adjustRightInd w:val="0"/>
              <w:snapToGrid w:val="0"/>
              <w:spacing w:line="240" w:lineRule="auto"/>
              <w:ind w:firstLine="0" w:firstLineChars="0"/>
              <w:jc w:val="center"/>
              <w:rPr>
                <w:sz w:val="21"/>
                <w:szCs w:val="21"/>
                <w:lang w:eastAsia="zh-CN"/>
              </w:rPr>
            </w:pPr>
            <w:r>
              <w:rPr>
                <w:sz w:val="21"/>
                <w:szCs w:val="21"/>
                <w:lang w:eastAsia="zh-CN"/>
              </w:rPr>
              <w:t>3</w:t>
            </w:r>
          </w:p>
        </w:tc>
        <w:tc>
          <w:tcPr>
            <w:tcW w:w="1559" w:type="dxa"/>
            <w:vAlign w:val="center"/>
          </w:tcPr>
          <w:p w14:paraId="6C1E1575">
            <w:pPr>
              <w:adjustRightInd w:val="0"/>
              <w:snapToGrid w:val="0"/>
              <w:spacing w:line="240" w:lineRule="auto"/>
              <w:ind w:firstLine="0" w:firstLineChars="0"/>
              <w:jc w:val="center"/>
              <w:rPr>
                <w:sz w:val="21"/>
                <w:szCs w:val="21"/>
                <w:lang w:eastAsia="zh-CN"/>
              </w:rPr>
            </w:pPr>
            <w:r>
              <w:rPr>
                <w:sz w:val="21"/>
                <w:szCs w:val="21"/>
                <w:lang w:eastAsia="zh-CN"/>
              </w:rPr>
              <w:t>生产注水</w:t>
            </w:r>
          </w:p>
        </w:tc>
        <w:tc>
          <w:tcPr>
            <w:tcW w:w="1418" w:type="dxa"/>
            <w:vAlign w:val="center"/>
          </w:tcPr>
          <w:p w14:paraId="4D501C5B">
            <w:pPr>
              <w:adjustRightInd w:val="0"/>
              <w:snapToGrid w:val="0"/>
              <w:spacing w:line="240" w:lineRule="auto"/>
              <w:ind w:firstLine="0" w:firstLineChars="0"/>
              <w:jc w:val="center"/>
              <w:rPr>
                <w:sz w:val="21"/>
                <w:szCs w:val="21"/>
                <w:lang w:eastAsia="zh-CN"/>
              </w:rPr>
            </w:pPr>
            <w:r>
              <w:rPr>
                <w:rFonts w:hint="eastAsia"/>
                <w:sz w:val="21"/>
                <w:szCs w:val="21"/>
                <w:lang w:eastAsia="zh-CN"/>
              </w:rPr>
              <w:t>503.01</w:t>
            </w:r>
          </w:p>
        </w:tc>
        <w:tc>
          <w:tcPr>
            <w:tcW w:w="1559" w:type="dxa"/>
            <w:vAlign w:val="center"/>
          </w:tcPr>
          <w:p w14:paraId="2C92036C">
            <w:pPr>
              <w:adjustRightInd w:val="0"/>
              <w:snapToGrid w:val="0"/>
              <w:spacing w:line="240" w:lineRule="auto"/>
              <w:ind w:firstLine="0" w:firstLineChars="0"/>
              <w:jc w:val="center"/>
              <w:rPr>
                <w:sz w:val="21"/>
                <w:szCs w:val="21"/>
              </w:rPr>
            </w:pPr>
            <w:r>
              <w:rPr>
                <w:sz w:val="21"/>
                <w:szCs w:val="21"/>
              </w:rPr>
              <w:t>——</w:t>
            </w:r>
          </w:p>
        </w:tc>
        <w:tc>
          <w:tcPr>
            <w:tcW w:w="3160" w:type="dxa"/>
            <w:vAlign w:val="center"/>
          </w:tcPr>
          <w:p w14:paraId="717DD22C">
            <w:pPr>
              <w:adjustRightInd w:val="0"/>
              <w:snapToGrid w:val="0"/>
              <w:spacing w:line="240" w:lineRule="auto"/>
              <w:ind w:firstLine="0" w:firstLineChars="0"/>
              <w:jc w:val="center"/>
              <w:rPr>
                <w:sz w:val="21"/>
                <w:szCs w:val="21"/>
                <w:lang w:eastAsia="zh-CN"/>
              </w:rPr>
            </w:pPr>
            <w:r>
              <w:rPr>
                <w:sz w:val="21"/>
                <w:szCs w:val="21"/>
                <w:lang w:eastAsia="zh-CN"/>
              </w:rPr>
              <w:t>注水部分来自</w:t>
            </w:r>
            <w:r>
              <w:rPr>
                <w:rFonts w:hint="eastAsia"/>
                <w:sz w:val="21"/>
                <w:szCs w:val="21"/>
                <w:lang w:eastAsia="zh-CN"/>
              </w:rPr>
              <w:t>供水水井</w:t>
            </w:r>
            <w:r>
              <w:rPr>
                <w:sz w:val="21"/>
                <w:szCs w:val="21"/>
                <w:lang w:eastAsia="zh-CN"/>
              </w:rPr>
              <w:t>新鲜水</w:t>
            </w:r>
            <w:r>
              <w:rPr>
                <w:rFonts w:hint="eastAsia"/>
                <w:sz w:val="21"/>
                <w:szCs w:val="21"/>
                <w:lang w:eastAsia="zh-CN"/>
              </w:rPr>
              <w:t>（410.48）</w:t>
            </w:r>
            <w:r>
              <w:rPr>
                <w:sz w:val="21"/>
                <w:szCs w:val="21"/>
                <w:lang w:eastAsia="zh-CN"/>
              </w:rPr>
              <w:t>，部分来自污水处理系统处理过的水</w:t>
            </w:r>
            <w:r>
              <w:rPr>
                <w:rFonts w:hint="eastAsia"/>
                <w:sz w:val="21"/>
                <w:szCs w:val="21"/>
                <w:lang w:eastAsia="zh-CN"/>
              </w:rPr>
              <w:t>（92.53）</w:t>
            </w:r>
            <w:r>
              <w:rPr>
                <w:sz w:val="21"/>
                <w:szCs w:val="21"/>
                <w:lang w:eastAsia="zh-CN"/>
              </w:rPr>
              <w:t>。</w:t>
            </w:r>
          </w:p>
        </w:tc>
      </w:tr>
      <w:tr w14:paraId="7B85DC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2" w:hRule="atLeast"/>
        </w:trPr>
        <w:tc>
          <w:tcPr>
            <w:tcW w:w="817" w:type="dxa"/>
            <w:vAlign w:val="center"/>
          </w:tcPr>
          <w:p w14:paraId="0573A1B3">
            <w:pPr>
              <w:adjustRightInd w:val="0"/>
              <w:snapToGrid w:val="0"/>
              <w:spacing w:line="240" w:lineRule="auto"/>
              <w:ind w:firstLine="0" w:firstLineChars="0"/>
              <w:jc w:val="center"/>
              <w:rPr>
                <w:sz w:val="21"/>
                <w:szCs w:val="21"/>
                <w:lang w:eastAsia="zh-CN"/>
              </w:rPr>
            </w:pPr>
            <w:r>
              <w:rPr>
                <w:sz w:val="21"/>
                <w:szCs w:val="21"/>
                <w:lang w:eastAsia="zh-CN"/>
              </w:rPr>
              <w:t>4</w:t>
            </w:r>
          </w:p>
        </w:tc>
        <w:tc>
          <w:tcPr>
            <w:tcW w:w="1559" w:type="dxa"/>
            <w:vAlign w:val="center"/>
          </w:tcPr>
          <w:p w14:paraId="3E786625">
            <w:pPr>
              <w:adjustRightInd w:val="0"/>
              <w:snapToGrid w:val="0"/>
              <w:spacing w:line="240" w:lineRule="auto"/>
              <w:ind w:firstLine="0" w:firstLineChars="0"/>
              <w:jc w:val="center"/>
              <w:rPr>
                <w:sz w:val="21"/>
                <w:szCs w:val="21"/>
              </w:rPr>
            </w:pPr>
            <w:r>
              <w:rPr>
                <w:sz w:val="21"/>
                <w:szCs w:val="21"/>
              </w:rPr>
              <w:t>生产掺水</w:t>
            </w:r>
          </w:p>
        </w:tc>
        <w:tc>
          <w:tcPr>
            <w:tcW w:w="1418" w:type="dxa"/>
            <w:vAlign w:val="center"/>
          </w:tcPr>
          <w:p w14:paraId="27947441">
            <w:pPr>
              <w:adjustRightInd w:val="0"/>
              <w:snapToGrid w:val="0"/>
              <w:spacing w:line="240" w:lineRule="auto"/>
              <w:ind w:firstLine="0" w:firstLineChars="0"/>
              <w:jc w:val="center"/>
              <w:rPr>
                <w:sz w:val="21"/>
                <w:szCs w:val="21"/>
                <w:lang w:eastAsia="zh-CN"/>
              </w:rPr>
            </w:pPr>
            <w:r>
              <w:rPr>
                <w:rFonts w:hint="eastAsia"/>
                <w:sz w:val="21"/>
                <w:szCs w:val="21"/>
                <w:lang w:eastAsia="zh-CN"/>
              </w:rPr>
              <w:t>39.0</w:t>
            </w:r>
          </w:p>
        </w:tc>
        <w:tc>
          <w:tcPr>
            <w:tcW w:w="1559" w:type="dxa"/>
            <w:vAlign w:val="center"/>
          </w:tcPr>
          <w:p w14:paraId="7B3BFA9C">
            <w:pPr>
              <w:adjustRightInd w:val="0"/>
              <w:snapToGrid w:val="0"/>
              <w:spacing w:line="240" w:lineRule="auto"/>
              <w:ind w:firstLine="0" w:firstLineChars="0"/>
              <w:jc w:val="center"/>
              <w:rPr>
                <w:sz w:val="21"/>
                <w:szCs w:val="21"/>
              </w:rPr>
            </w:pPr>
            <w:r>
              <w:rPr>
                <w:sz w:val="21"/>
                <w:szCs w:val="21"/>
              </w:rPr>
              <w:t>——</w:t>
            </w:r>
          </w:p>
        </w:tc>
        <w:tc>
          <w:tcPr>
            <w:tcW w:w="3160" w:type="dxa"/>
            <w:vAlign w:val="center"/>
          </w:tcPr>
          <w:p w14:paraId="04E1102E">
            <w:pPr>
              <w:adjustRightInd w:val="0"/>
              <w:snapToGrid w:val="0"/>
              <w:spacing w:line="240" w:lineRule="auto"/>
              <w:ind w:firstLine="0" w:firstLineChars="0"/>
              <w:jc w:val="center"/>
              <w:rPr>
                <w:sz w:val="21"/>
                <w:szCs w:val="21"/>
                <w:lang w:eastAsia="zh-CN"/>
              </w:rPr>
            </w:pPr>
            <w:r>
              <w:rPr>
                <w:rFonts w:hint="eastAsia"/>
                <w:sz w:val="21"/>
                <w:szCs w:val="21"/>
                <w:lang w:eastAsia="zh-CN"/>
              </w:rPr>
              <w:t>最大掺水量按照每口油井0.5m</w:t>
            </w:r>
            <w:r>
              <w:rPr>
                <w:rFonts w:hint="eastAsia"/>
                <w:sz w:val="21"/>
                <w:szCs w:val="21"/>
                <w:vertAlign w:val="superscript"/>
                <w:lang w:eastAsia="zh-CN"/>
              </w:rPr>
              <w:t>3</w:t>
            </w:r>
            <w:r>
              <w:rPr>
                <w:rFonts w:hint="eastAsia"/>
                <w:sz w:val="21"/>
                <w:szCs w:val="21"/>
                <w:lang w:eastAsia="zh-CN"/>
              </w:rPr>
              <w:t>/d，以预测太53断块布置最多油井数计算。</w:t>
            </w:r>
            <w:r>
              <w:rPr>
                <w:sz w:val="21"/>
                <w:szCs w:val="21"/>
                <w:lang w:eastAsia="zh-CN"/>
              </w:rPr>
              <w:t>掺水来自沉降罐。</w:t>
            </w:r>
          </w:p>
        </w:tc>
      </w:tr>
      <w:tr w14:paraId="675F62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2" w:hRule="atLeast"/>
        </w:trPr>
        <w:tc>
          <w:tcPr>
            <w:tcW w:w="817" w:type="dxa"/>
            <w:vAlign w:val="center"/>
          </w:tcPr>
          <w:p w14:paraId="0ACAABC4">
            <w:pPr>
              <w:adjustRightInd w:val="0"/>
              <w:snapToGrid w:val="0"/>
              <w:spacing w:line="240" w:lineRule="auto"/>
              <w:ind w:firstLine="0" w:firstLineChars="0"/>
              <w:jc w:val="center"/>
              <w:rPr>
                <w:sz w:val="21"/>
                <w:szCs w:val="21"/>
                <w:lang w:eastAsia="zh-CN"/>
              </w:rPr>
            </w:pPr>
            <w:r>
              <w:rPr>
                <w:sz w:val="21"/>
                <w:szCs w:val="21"/>
                <w:lang w:eastAsia="zh-CN"/>
              </w:rPr>
              <w:t>5</w:t>
            </w:r>
          </w:p>
        </w:tc>
        <w:tc>
          <w:tcPr>
            <w:tcW w:w="1559" w:type="dxa"/>
            <w:vAlign w:val="center"/>
          </w:tcPr>
          <w:p w14:paraId="33B8BC23">
            <w:pPr>
              <w:adjustRightInd w:val="0"/>
              <w:snapToGrid w:val="0"/>
              <w:spacing w:line="240" w:lineRule="auto"/>
              <w:ind w:firstLine="0" w:firstLineChars="0"/>
              <w:jc w:val="center"/>
              <w:rPr>
                <w:sz w:val="21"/>
                <w:szCs w:val="21"/>
                <w:lang w:eastAsia="zh-CN"/>
              </w:rPr>
            </w:pPr>
            <w:r>
              <w:rPr>
                <w:sz w:val="21"/>
                <w:szCs w:val="21"/>
                <w:lang w:eastAsia="zh-CN"/>
              </w:rPr>
              <w:t>过滤反冲洗水</w:t>
            </w:r>
          </w:p>
        </w:tc>
        <w:tc>
          <w:tcPr>
            <w:tcW w:w="1418" w:type="dxa"/>
            <w:vAlign w:val="center"/>
          </w:tcPr>
          <w:p w14:paraId="73232499">
            <w:pPr>
              <w:adjustRightInd w:val="0"/>
              <w:snapToGrid w:val="0"/>
              <w:spacing w:line="240" w:lineRule="auto"/>
              <w:ind w:firstLine="0" w:firstLineChars="0"/>
              <w:jc w:val="center"/>
              <w:rPr>
                <w:sz w:val="21"/>
                <w:szCs w:val="21"/>
                <w:lang w:eastAsia="zh-CN"/>
              </w:rPr>
            </w:pPr>
            <w:r>
              <w:rPr>
                <w:rFonts w:hint="eastAsia"/>
                <w:sz w:val="21"/>
                <w:szCs w:val="21"/>
                <w:lang w:eastAsia="zh-CN"/>
              </w:rPr>
              <w:t>1.0</w:t>
            </w:r>
          </w:p>
        </w:tc>
        <w:tc>
          <w:tcPr>
            <w:tcW w:w="1559" w:type="dxa"/>
            <w:vAlign w:val="center"/>
          </w:tcPr>
          <w:p w14:paraId="23EA8BAD">
            <w:pPr>
              <w:adjustRightInd w:val="0"/>
              <w:snapToGrid w:val="0"/>
              <w:spacing w:line="240" w:lineRule="auto"/>
              <w:ind w:firstLine="0" w:firstLineChars="0"/>
              <w:jc w:val="center"/>
              <w:rPr>
                <w:sz w:val="21"/>
                <w:szCs w:val="21"/>
                <w:lang w:eastAsia="zh-CN"/>
              </w:rPr>
            </w:pPr>
            <w:r>
              <w:rPr>
                <w:sz w:val="21"/>
                <w:szCs w:val="21"/>
                <w:lang w:eastAsia="zh-CN"/>
              </w:rPr>
              <w:t>0.</w:t>
            </w:r>
            <w:r>
              <w:rPr>
                <w:rFonts w:hint="eastAsia"/>
                <w:sz w:val="21"/>
                <w:szCs w:val="21"/>
                <w:lang w:eastAsia="zh-CN"/>
              </w:rPr>
              <w:t>85</w:t>
            </w:r>
          </w:p>
        </w:tc>
        <w:tc>
          <w:tcPr>
            <w:tcW w:w="3160" w:type="dxa"/>
            <w:vAlign w:val="center"/>
          </w:tcPr>
          <w:p w14:paraId="75A540C0">
            <w:pPr>
              <w:adjustRightInd w:val="0"/>
              <w:snapToGrid w:val="0"/>
              <w:spacing w:line="240" w:lineRule="auto"/>
              <w:ind w:firstLine="0" w:firstLineChars="0"/>
              <w:jc w:val="center"/>
              <w:rPr>
                <w:sz w:val="21"/>
                <w:szCs w:val="21"/>
                <w:lang w:eastAsia="zh-CN"/>
              </w:rPr>
            </w:pPr>
            <w:r>
              <w:rPr>
                <w:sz w:val="21"/>
                <w:szCs w:val="21"/>
                <w:lang w:eastAsia="zh-CN"/>
              </w:rPr>
              <w:t>含油废水处理系统过滤反冲洗水，用清水，排污系数0.85。</w:t>
            </w:r>
          </w:p>
        </w:tc>
      </w:tr>
      <w:tr w14:paraId="5FE376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2" w:hRule="atLeast"/>
        </w:trPr>
        <w:tc>
          <w:tcPr>
            <w:tcW w:w="817" w:type="dxa"/>
            <w:vAlign w:val="center"/>
          </w:tcPr>
          <w:p w14:paraId="5AE52B1B">
            <w:pPr>
              <w:adjustRightInd w:val="0"/>
              <w:snapToGrid w:val="0"/>
              <w:spacing w:line="240" w:lineRule="auto"/>
              <w:ind w:firstLine="0" w:firstLineChars="0"/>
              <w:jc w:val="center"/>
              <w:rPr>
                <w:sz w:val="21"/>
                <w:szCs w:val="21"/>
                <w:lang w:eastAsia="zh-CN"/>
              </w:rPr>
            </w:pPr>
            <w:r>
              <w:rPr>
                <w:sz w:val="21"/>
                <w:szCs w:val="21"/>
                <w:lang w:eastAsia="zh-CN"/>
              </w:rPr>
              <w:t>5</w:t>
            </w:r>
          </w:p>
        </w:tc>
        <w:tc>
          <w:tcPr>
            <w:tcW w:w="1559" w:type="dxa"/>
            <w:vAlign w:val="center"/>
          </w:tcPr>
          <w:p w14:paraId="72E65B40">
            <w:pPr>
              <w:adjustRightInd w:val="0"/>
              <w:snapToGrid w:val="0"/>
              <w:spacing w:line="240" w:lineRule="auto"/>
              <w:ind w:firstLine="0" w:firstLineChars="0"/>
              <w:jc w:val="center"/>
              <w:rPr>
                <w:sz w:val="21"/>
                <w:szCs w:val="21"/>
              </w:rPr>
            </w:pPr>
            <w:r>
              <w:rPr>
                <w:sz w:val="21"/>
                <w:szCs w:val="21"/>
                <w:lang w:eastAsia="zh-CN"/>
              </w:rPr>
              <w:t>绿化、</w:t>
            </w:r>
            <w:r>
              <w:rPr>
                <w:sz w:val="21"/>
                <w:szCs w:val="21"/>
              </w:rPr>
              <w:t>用水</w:t>
            </w:r>
          </w:p>
        </w:tc>
        <w:tc>
          <w:tcPr>
            <w:tcW w:w="1418" w:type="dxa"/>
            <w:vAlign w:val="center"/>
          </w:tcPr>
          <w:p w14:paraId="3BE5B0CC">
            <w:pPr>
              <w:adjustRightInd w:val="0"/>
              <w:snapToGrid w:val="0"/>
              <w:spacing w:line="240" w:lineRule="auto"/>
              <w:ind w:firstLine="0" w:firstLineChars="0"/>
              <w:jc w:val="center"/>
              <w:rPr>
                <w:sz w:val="21"/>
                <w:szCs w:val="21"/>
                <w:lang w:eastAsia="zh-CN"/>
              </w:rPr>
            </w:pPr>
            <w:r>
              <w:rPr>
                <w:rFonts w:hint="eastAsia"/>
                <w:sz w:val="21"/>
                <w:szCs w:val="21"/>
                <w:lang w:eastAsia="zh-CN"/>
              </w:rPr>
              <w:t>2.35</w:t>
            </w:r>
          </w:p>
        </w:tc>
        <w:tc>
          <w:tcPr>
            <w:tcW w:w="1559" w:type="dxa"/>
            <w:vAlign w:val="center"/>
          </w:tcPr>
          <w:p w14:paraId="4EA19CD4">
            <w:pPr>
              <w:adjustRightInd w:val="0"/>
              <w:snapToGrid w:val="0"/>
              <w:spacing w:line="240" w:lineRule="auto"/>
              <w:ind w:firstLine="0" w:firstLineChars="0"/>
              <w:jc w:val="center"/>
              <w:rPr>
                <w:sz w:val="21"/>
                <w:szCs w:val="21"/>
              </w:rPr>
            </w:pPr>
            <w:r>
              <w:rPr>
                <w:sz w:val="21"/>
                <w:szCs w:val="21"/>
              </w:rPr>
              <w:t>——</w:t>
            </w:r>
          </w:p>
        </w:tc>
        <w:tc>
          <w:tcPr>
            <w:tcW w:w="3160" w:type="dxa"/>
            <w:vAlign w:val="center"/>
          </w:tcPr>
          <w:p w14:paraId="007AD325">
            <w:pPr>
              <w:adjustRightInd w:val="0"/>
              <w:snapToGrid w:val="0"/>
              <w:spacing w:line="240" w:lineRule="auto"/>
              <w:ind w:firstLine="0" w:firstLineChars="0"/>
              <w:jc w:val="center"/>
              <w:rPr>
                <w:sz w:val="21"/>
                <w:szCs w:val="21"/>
                <w:lang w:eastAsia="zh-CN"/>
              </w:rPr>
            </w:pPr>
            <w:r>
              <w:rPr>
                <w:rFonts w:hint="eastAsia"/>
                <w:sz w:val="21"/>
                <w:szCs w:val="21"/>
                <w:lang w:eastAsia="zh-CN"/>
              </w:rPr>
              <w:t>根据情况调节</w:t>
            </w:r>
            <w:r>
              <w:rPr>
                <w:sz w:val="21"/>
                <w:szCs w:val="21"/>
                <w:lang w:eastAsia="zh-CN"/>
              </w:rPr>
              <w:t>绿化</w:t>
            </w:r>
            <w:r>
              <w:rPr>
                <w:rFonts w:hint="eastAsia"/>
                <w:sz w:val="21"/>
                <w:szCs w:val="21"/>
                <w:lang w:eastAsia="zh-CN"/>
              </w:rPr>
              <w:t>用水量</w:t>
            </w:r>
          </w:p>
        </w:tc>
      </w:tr>
      <w:tr w14:paraId="656351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2" w:hRule="atLeast"/>
        </w:trPr>
        <w:tc>
          <w:tcPr>
            <w:tcW w:w="817" w:type="dxa"/>
            <w:vAlign w:val="center"/>
          </w:tcPr>
          <w:p w14:paraId="749EC90D">
            <w:pPr>
              <w:adjustRightInd w:val="0"/>
              <w:snapToGrid w:val="0"/>
              <w:spacing w:line="240" w:lineRule="auto"/>
              <w:ind w:firstLine="0" w:firstLineChars="0"/>
              <w:jc w:val="center"/>
              <w:rPr>
                <w:sz w:val="21"/>
                <w:szCs w:val="21"/>
                <w:lang w:eastAsia="zh-CN"/>
              </w:rPr>
            </w:pPr>
            <w:r>
              <w:rPr>
                <w:sz w:val="21"/>
                <w:szCs w:val="21"/>
                <w:lang w:eastAsia="zh-CN"/>
              </w:rPr>
              <w:t>6</w:t>
            </w:r>
          </w:p>
        </w:tc>
        <w:tc>
          <w:tcPr>
            <w:tcW w:w="1559" w:type="dxa"/>
            <w:vAlign w:val="center"/>
          </w:tcPr>
          <w:p w14:paraId="7A28674B">
            <w:pPr>
              <w:adjustRightInd w:val="0"/>
              <w:snapToGrid w:val="0"/>
              <w:spacing w:line="240" w:lineRule="auto"/>
              <w:ind w:firstLine="0" w:firstLineChars="0"/>
              <w:jc w:val="center"/>
              <w:rPr>
                <w:sz w:val="21"/>
                <w:szCs w:val="21"/>
                <w:lang w:eastAsia="zh-CN"/>
              </w:rPr>
            </w:pPr>
            <w:r>
              <w:rPr>
                <w:sz w:val="21"/>
                <w:szCs w:val="21"/>
                <w:lang w:eastAsia="zh-CN"/>
              </w:rPr>
              <w:t>道路抑尘洒水</w:t>
            </w:r>
          </w:p>
        </w:tc>
        <w:tc>
          <w:tcPr>
            <w:tcW w:w="1418" w:type="dxa"/>
            <w:vAlign w:val="center"/>
          </w:tcPr>
          <w:p w14:paraId="4F963D51">
            <w:pPr>
              <w:adjustRightInd w:val="0"/>
              <w:snapToGrid w:val="0"/>
              <w:spacing w:line="240" w:lineRule="auto"/>
              <w:ind w:firstLine="0" w:firstLineChars="0"/>
              <w:jc w:val="center"/>
              <w:rPr>
                <w:sz w:val="21"/>
                <w:szCs w:val="21"/>
                <w:lang w:eastAsia="zh-CN"/>
              </w:rPr>
            </w:pPr>
            <w:r>
              <w:rPr>
                <w:rFonts w:hint="eastAsia"/>
                <w:sz w:val="21"/>
                <w:szCs w:val="21"/>
                <w:lang w:eastAsia="zh-CN"/>
              </w:rPr>
              <w:t>2</w:t>
            </w:r>
            <w:r>
              <w:rPr>
                <w:sz w:val="21"/>
                <w:szCs w:val="21"/>
                <w:lang w:eastAsia="zh-CN"/>
              </w:rPr>
              <w:t>.</w:t>
            </w:r>
            <w:r>
              <w:rPr>
                <w:rFonts w:hint="eastAsia"/>
                <w:sz w:val="21"/>
                <w:szCs w:val="21"/>
                <w:lang w:eastAsia="zh-CN"/>
              </w:rPr>
              <w:t>6</w:t>
            </w:r>
            <w:r>
              <w:rPr>
                <w:sz w:val="21"/>
                <w:szCs w:val="21"/>
                <w:lang w:eastAsia="zh-CN"/>
              </w:rPr>
              <w:t>5</w:t>
            </w:r>
          </w:p>
        </w:tc>
        <w:tc>
          <w:tcPr>
            <w:tcW w:w="1559" w:type="dxa"/>
            <w:vAlign w:val="center"/>
          </w:tcPr>
          <w:p w14:paraId="233A76E7">
            <w:pPr>
              <w:adjustRightInd w:val="0"/>
              <w:snapToGrid w:val="0"/>
              <w:spacing w:line="240" w:lineRule="auto"/>
              <w:ind w:firstLine="0" w:firstLineChars="0"/>
              <w:jc w:val="center"/>
              <w:rPr>
                <w:sz w:val="21"/>
                <w:szCs w:val="21"/>
              </w:rPr>
            </w:pPr>
          </w:p>
        </w:tc>
        <w:tc>
          <w:tcPr>
            <w:tcW w:w="3160" w:type="dxa"/>
            <w:vAlign w:val="center"/>
          </w:tcPr>
          <w:p w14:paraId="4D621E77">
            <w:pPr>
              <w:adjustRightInd w:val="0"/>
              <w:snapToGrid w:val="0"/>
              <w:spacing w:line="240" w:lineRule="auto"/>
              <w:ind w:firstLine="0" w:firstLineChars="0"/>
              <w:jc w:val="center"/>
              <w:rPr>
                <w:sz w:val="21"/>
                <w:szCs w:val="21"/>
                <w:lang w:eastAsia="zh-CN"/>
              </w:rPr>
            </w:pPr>
            <w:r>
              <w:rPr>
                <w:rFonts w:hint="eastAsia"/>
                <w:sz w:val="21"/>
                <w:szCs w:val="21"/>
                <w:lang w:eastAsia="zh-CN"/>
              </w:rPr>
              <w:t>根据情况调节洒水用水量</w:t>
            </w:r>
          </w:p>
        </w:tc>
      </w:tr>
      <w:tr w14:paraId="4D1042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2" w:hRule="atLeast"/>
        </w:trPr>
        <w:tc>
          <w:tcPr>
            <w:tcW w:w="817" w:type="dxa"/>
            <w:vAlign w:val="center"/>
          </w:tcPr>
          <w:p w14:paraId="1554229A">
            <w:pPr>
              <w:adjustRightInd w:val="0"/>
              <w:snapToGrid w:val="0"/>
              <w:spacing w:line="240" w:lineRule="auto"/>
              <w:ind w:firstLine="0" w:firstLineChars="0"/>
              <w:jc w:val="center"/>
              <w:rPr>
                <w:sz w:val="21"/>
                <w:szCs w:val="21"/>
                <w:lang w:eastAsia="zh-CN"/>
              </w:rPr>
            </w:pPr>
          </w:p>
        </w:tc>
        <w:tc>
          <w:tcPr>
            <w:tcW w:w="1559" w:type="dxa"/>
            <w:vAlign w:val="center"/>
          </w:tcPr>
          <w:p w14:paraId="2682AD28">
            <w:pPr>
              <w:adjustRightInd w:val="0"/>
              <w:snapToGrid w:val="0"/>
              <w:spacing w:line="240" w:lineRule="auto"/>
              <w:ind w:firstLine="0" w:firstLineChars="0"/>
              <w:jc w:val="center"/>
              <w:rPr>
                <w:sz w:val="21"/>
                <w:szCs w:val="21"/>
                <w:lang w:eastAsia="zh-CN"/>
              </w:rPr>
            </w:pPr>
            <w:r>
              <w:rPr>
                <w:rFonts w:hint="eastAsia"/>
                <w:sz w:val="21"/>
                <w:szCs w:val="21"/>
                <w:lang w:eastAsia="zh-CN"/>
              </w:rPr>
              <w:t>合计</w:t>
            </w:r>
          </w:p>
        </w:tc>
        <w:tc>
          <w:tcPr>
            <w:tcW w:w="1418" w:type="dxa"/>
            <w:vAlign w:val="center"/>
          </w:tcPr>
          <w:p w14:paraId="125F39E3">
            <w:pPr>
              <w:adjustRightInd w:val="0"/>
              <w:snapToGrid w:val="0"/>
              <w:spacing w:line="240" w:lineRule="auto"/>
              <w:ind w:firstLine="0" w:firstLineChars="0"/>
              <w:jc w:val="center"/>
              <w:rPr>
                <w:sz w:val="21"/>
                <w:szCs w:val="21"/>
                <w:lang w:eastAsia="zh-CN"/>
              </w:rPr>
            </w:pPr>
            <w:r>
              <w:rPr>
                <w:rFonts w:hint="eastAsia"/>
                <w:sz w:val="21"/>
                <w:szCs w:val="21"/>
                <w:lang w:eastAsia="zh-CN"/>
              </w:rPr>
              <w:t>564.86</w:t>
            </w:r>
          </w:p>
        </w:tc>
        <w:tc>
          <w:tcPr>
            <w:tcW w:w="1559" w:type="dxa"/>
            <w:vAlign w:val="center"/>
          </w:tcPr>
          <w:p w14:paraId="56244B0C">
            <w:pPr>
              <w:adjustRightInd w:val="0"/>
              <w:snapToGrid w:val="0"/>
              <w:spacing w:line="240" w:lineRule="auto"/>
              <w:ind w:firstLine="0" w:firstLineChars="0"/>
              <w:jc w:val="center"/>
              <w:rPr>
                <w:sz w:val="21"/>
                <w:szCs w:val="21"/>
              </w:rPr>
            </w:pPr>
            <w:r>
              <w:rPr>
                <w:rFonts w:hint="eastAsia"/>
                <w:sz w:val="21"/>
                <w:szCs w:val="21"/>
                <w:lang w:eastAsia="zh-CN"/>
              </w:rPr>
              <w:t>6.09</w:t>
            </w:r>
          </w:p>
        </w:tc>
        <w:tc>
          <w:tcPr>
            <w:tcW w:w="3160" w:type="dxa"/>
            <w:vAlign w:val="center"/>
          </w:tcPr>
          <w:p w14:paraId="58B55ADE">
            <w:pPr>
              <w:adjustRightInd w:val="0"/>
              <w:snapToGrid w:val="0"/>
              <w:spacing w:line="240" w:lineRule="auto"/>
              <w:ind w:firstLine="0" w:firstLineChars="0"/>
              <w:jc w:val="center"/>
              <w:rPr>
                <w:sz w:val="21"/>
                <w:szCs w:val="21"/>
                <w:lang w:eastAsia="zh-CN"/>
              </w:rPr>
            </w:pPr>
          </w:p>
        </w:tc>
      </w:tr>
      <w:tr w14:paraId="467F66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2" w:hRule="atLeast"/>
        </w:trPr>
        <w:tc>
          <w:tcPr>
            <w:tcW w:w="817" w:type="dxa"/>
            <w:vAlign w:val="center"/>
          </w:tcPr>
          <w:p w14:paraId="294C3EA9">
            <w:pPr>
              <w:adjustRightInd w:val="0"/>
              <w:snapToGrid w:val="0"/>
              <w:spacing w:line="240" w:lineRule="auto"/>
              <w:ind w:firstLine="0" w:firstLineChars="0"/>
              <w:jc w:val="center"/>
              <w:rPr>
                <w:sz w:val="21"/>
                <w:szCs w:val="21"/>
                <w:lang w:eastAsia="zh-CN"/>
              </w:rPr>
            </w:pPr>
            <w:r>
              <w:rPr>
                <w:sz w:val="21"/>
                <w:szCs w:val="21"/>
                <w:lang w:eastAsia="zh-CN"/>
              </w:rPr>
              <w:t>7</w:t>
            </w:r>
          </w:p>
        </w:tc>
        <w:tc>
          <w:tcPr>
            <w:tcW w:w="1559" w:type="dxa"/>
            <w:vAlign w:val="center"/>
          </w:tcPr>
          <w:p w14:paraId="65A12C09">
            <w:pPr>
              <w:adjustRightInd w:val="0"/>
              <w:snapToGrid w:val="0"/>
              <w:spacing w:line="240" w:lineRule="auto"/>
              <w:ind w:firstLine="0" w:firstLineChars="0"/>
              <w:jc w:val="center"/>
              <w:rPr>
                <w:sz w:val="21"/>
                <w:szCs w:val="21"/>
              </w:rPr>
            </w:pPr>
            <w:r>
              <w:rPr>
                <w:sz w:val="21"/>
                <w:szCs w:val="21"/>
              </w:rPr>
              <w:t>消防用水</w:t>
            </w:r>
          </w:p>
        </w:tc>
        <w:tc>
          <w:tcPr>
            <w:tcW w:w="1418" w:type="dxa"/>
            <w:vAlign w:val="center"/>
          </w:tcPr>
          <w:p w14:paraId="5E9852A0">
            <w:pPr>
              <w:adjustRightInd w:val="0"/>
              <w:snapToGrid w:val="0"/>
              <w:spacing w:line="240" w:lineRule="auto"/>
              <w:ind w:firstLine="0" w:firstLineChars="0"/>
              <w:jc w:val="center"/>
              <w:rPr>
                <w:sz w:val="21"/>
                <w:szCs w:val="21"/>
                <w:lang w:eastAsia="zh-CN"/>
              </w:rPr>
            </w:pPr>
            <w:r>
              <w:rPr>
                <w:rFonts w:hint="eastAsia"/>
                <w:sz w:val="21"/>
                <w:szCs w:val="21"/>
                <w:lang w:eastAsia="zh-CN"/>
              </w:rPr>
              <w:t>972m</w:t>
            </w:r>
            <w:r>
              <w:rPr>
                <w:rFonts w:hint="eastAsia"/>
                <w:sz w:val="21"/>
                <w:szCs w:val="21"/>
                <w:vertAlign w:val="superscript"/>
                <w:lang w:eastAsia="zh-CN"/>
              </w:rPr>
              <w:t>3</w:t>
            </w:r>
            <w:r>
              <w:rPr>
                <w:rFonts w:hint="eastAsia"/>
                <w:sz w:val="21"/>
                <w:szCs w:val="21"/>
                <w:lang w:eastAsia="zh-CN"/>
              </w:rPr>
              <w:t>/次</w:t>
            </w:r>
          </w:p>
        </w:tc>
        <w:tc>
          <w:tcPr>
            <w:tcW w:w="1559" w:type="dxa"/>
            <w:vAlign w:val="center"/>
          </w:tcPr>
          <w:p w14:paraId="14B31A5B">
            <w:pPr>
              <w:adjustRightInd w:val="0"/>
              <w:snapToGrid w:val="0"/>
              <w:spacing w:line="240" w:lineRule="auto"/>
              <w:ind w:firstLine="0" w:firstLineChars="0"/>
              <w:jc w:val="center"/>
              <w:rPr>
                <w:sz w:val="21"/>
                <w:szCs w:val="21"/>
              </w:rPr>
            </w:pPr>
            <w:r>
              <w:rPr>
                <w:sz w:val="21"/>
                <w:szCs w:val="21"/>
              </w:rPr>
              <w:t>——</w:t>
            </w:r>
          </w:p>
        </w:tc>
        <w:tc>
          <w:tcPr>
            <w:tcW w:w="3160" w:type="dxa"/>
            <w:vAlign w:val="center"/>
          </w:tcPr>
          <w:p w14:paraId="768564F7">
            <w:pPr>
              <w:adjustRightInd w:val="0"/>
              <w:snapToGrid w:val="0"/>
              <w:spacing w:line="240" w:lineRule="auto"/>
              <w:ind w:firstLine="0" w:firstLineChars="0"/>
              <w:jc w:val="center"/>
              <w:rPr>
                <w:sz w:val="21"/>
                <w:szCs w:val="21"/>
              </w:rPr>
            </w:pPr>
            <w:r>
              <w:rPr>
                <w:rFonts w:hint="eastAsia"/>
                <w:sz w:val="21"/>
                <w:szCs w:val="21"/>
                <w:lang w:eastAsia="zh-CN"/>
              </w:rPr>
              <w:t>不确定时间</w:t>
            </w:r>
            <w:r>
              <w:rPr>
                <w:sz w:val="21"/>
                <w:szCs w:val="21"/>
              </w:rPr>
              <w:t>用水</w:t>
            </w:r>
          </w:p>
        </w:tc>
      </w:tr>
    </w:tbl>
    <w:p w14:paraId="33E0A623">
      <w:pPr>
        <w:adjustRightInd w:val="0"/>
        <w:snapToGrid w:val="0"/>
        <w:spacing w:afterLines="50"/>
        <w:ind w:firstLine="0" w:firstLineChars="0"/>
        <w:rPr>
          <w:sz w:val="18"/>
          <w:szCs w:val="18"/>
          <w:lang w:eastAsia="zh-CN"/>
        </w:rPr>
      </w:pPr>
      <w:r>
        <w:rPr>
          <w:sz w:val="18"/>
          <w:szCs w:val="18"/>
          <w:lang w:eastAsia="zh-CN"/>
        </w:rPr>
        <w:t>注：消防用水为</w:t>
      </w:r>
      <w:r>
        <w:rPr>
          <w:rFonts w:hint="eastAsia"/>
          <w:sz w:val="18"/>
          <w:szCs w:val="18"/>
          <w:lang w:eastAsia="zh-CN"/>
        </w:rPr>
        <w:t>不确定时间</w:t>
      </w:r>
      <w:r>
        <w:rPr>
          <w:sz w:val="18"/>
          <w:szCs w:val="18"/>
          <w:lang w:eastAsia="zh-CN"/>
        </w:rPr>
        <w:t>用水</w:t>
      </w:r>
      <w:r>
        <w:rPr>
          <w:rFonts w:hint="eastAsia"/>
          <w:sz w:val="18"/>
          <w:szCs w:val="18"/>
          <w:lang w:eastAsia="zh-CN"/>
        </w:rPr>
        <w:t>，</w:t>
      </w:r>
      <w:r>
        <w:rPr>
          <w:sz w:val="18"/>
          <w:szCs w:val="18"/>
          <w:lang w:eastAsia="zh-CN"/>
        </w:rPr>
        <w:t>不参与计算。</w:t>
      </w:r>
    </w:p>
    <w:p w14:paraId="2CA6DCC1">
      <w:pPr>
        <w:ind w:firstLine="480"/>
        <w:rPr>
          <w:rFonts w:asciiTheme="minorEastAsia" w:hAnsiTheme="minorEastAsia" w:eastAsiaTheme="minorEastAsia"/>
          <w:lang w:eastAsia="zh-CN"/>
        </w:rPr>
      </w:pPr>
      <w:bookmarkStart w:id="169" w:name="_Toc338663483"/>
      <w:bookmarkStart w:id="170" w:name="_Toc279676606"/>
      <w:r>
        <w:rPr>
          <w:rFonts w:asciiTheme="minorEastAsia" w:hAnsiTheme="minorEastAsia" w:eastAsiaTheme="minorEastAsia"/>
          <w:lang w:eastAsia="zh-CN"/>
        </w:rPr>
        <w:t>4、水平衡分析</w:t>
      </w:r>
      <w:bookmarkEnd w:id="169"/>
      <w:bookmarkEnd w:id="170"/>
    </w:p>
    <w:p w14:paraId="3D98B135">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项目总用水量564.86</w:t>
      </w:r>
      <w:r>
        <w:rPr>
          <w:rFonts w:asciiTheme="minorEastAsia" w:hAnsiTheme="minorEastAsia" w:eastAsiaTheme="minorEastAsia"/>
          <w:lang w:eastAsia="zh-CN"/>
        </w:rPr>
        <w:t>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w:t>
      </w:r>
      <w:r>
        <w:rPr>
          <w:rFonts w:hint="eastAsia" w:asciiTheme="minorEastAsia" w:hAnsiTheme="minorEastAsia" w:eastAsiaTheme="minorEastAsia"/>
          <w:lang w:eastAsia="zh-CN"/>
        </w:rPr>
        <w:t>d，其中日补充清水428.33</w:t>
      </w:r>
      <w:r>
        <w:rPr>
          <w:rFonts w:asciiTheme="minorEastAsia" w:hAnsiTheme="minorEastAsia" w:eastAsiaTheme="minorEastAsia"/>
          <w:lang w:eastAsia="zh-CN"/>
        </w:rPr>
        <w:t>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/d</w:t>
      </w:r>
      <w:r>
        <w:rPr>
          <w:rFonts w:hint="eastAsia" w:asciiTheme="minorEastAsia" w:hAnsiTheme="minorEastAsia" w:eastAsiaTheme="minorEastAsia"/>
          <w:lang w:eastAsia="zh-CN"/>
        </w:rPr>
        <w:t>，主要包括职工生活用水、锅炉补水、生产注水（部分）、过滤反冲洗水。生活用水6.17</w:t>
      </w:r>
      <w:r>
        <w:rPr>
          <w:rFonts w:asciiTheme="minorEastAsia" w:hAnsiTheme="minorEastAsia" w:eastAsiaTheme="minorEastAsia"/>
          <w:lang w:eastAsia="zh-CN"/>
        </w:rPr>
        <w:t>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/d</w:t>
      </w:r>
      <w:r>
        <w:rPr>
          <w:rFonts w:hint="eastAsia" w:asciiTheme="minorEastAsia" w:hAnsiTheme="minorEastAsia" w:eastAsiaTheme="minorEastAsia"/>
          <w:lang w:eastAsia="zh-CN"/>
        </w:rPr>
        <w:t>，由1号水源井供给，生产补充清水422.16</w:t>
      </w:r>
      <w:r>
        <w:rPr>
          <w:rFonts w:asciiTheme="minorEastAsia" w:hAnsiTheme="minorEastAsia" w:eastAsiaTheme="minorEastAsia"/>
          <w:lang w:eastAsia="zh-CN"/>
        </w:rPr>
        <w:t>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/d</w:t>
      </w:r>
      <w:r>
        <w:rPr>
          <w:rFonts w:hint="eastAsia" w:asciiTheme="minorEastAsia" w:hAnsiTheme="minorEastAsia" w:eastAsiaTheme="minorEastAsia"/>
          <w:lang w:eastAsia="zh-CN"/>
        </w:rPr>
        <w:t>，由2号、3号水源井供给。</w:t>
      </w:r>
    </w:p>
    <w:p w14:paraId="32DB581D">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雅斯联合站</w:t>
      </w:r>
      <w:r>
        <w:rPr>
          <w:rFonts w:asciiTheme="minorEastAsia" w:hAnsiTheme="minorEastAsia" w:eastAsiaTheme="minorEastAsia"/>
          <w:lang w:eastAsia="zh-CN"/>
        </w:rPr>
        <w:t>生活污水经地埋式一体化处理设施</w:t>
      </w:r>
      <w:r>
        <w:rPr>
          <w:rFonts w:hint="eastAsia" w:asciiTheme="minorEastAsia" w:hAnsiTheme="minorEastAsia" w:eastAsiaTheme="minorEastAsia"/>
          <w:lang w:eastAsia="zh-CN"/>
        </w:rPr>
        <w:t xml:space="preserve"> WSZ-3</w:t>
      </w:r>
      <w:r>
        <w:rPr>
          <w:rFonts w:asciiTheme="minorEastAsia" w:hAnsiTheme="minorEastAsia" w:eastAsiaTheme="minorEastAsia"/>
          <w:lang w:eastAsia="zh-CN"/>
        </w:rPr>
        <w:t>处理后进入蒸发池储存，部分用于绿化降尘，部分用于道路洒水。生产废水经污水处理系统处理后全部回注地层。</w:t>
      </w:r>
    </w:p>
    <w:p w14:paraId="3AFA234F">
      <w:pPr>
        <w:ind w:firstLine="480"/>
        <w:rPr>
          <w:rFonts w:asciiTheme="minorEastAsia" w:hAnsiTheme="minorEastAsia" w:eastAsiaTheme="minorEastAsia"/>
          <w:lang w:eastAsia="zh-CN"/>
        </w:rPr>
      </w:pPr>
      <w:r>
        <w:rPr>
          <w:rFonts w:asciiTheme="minorEastAsia" w:hAnsiTheme="minorEastAsia" w:eastAsiaTheme="minorEastAsia"/>
          <w:lang w:eastAsia="zh-CN"/>
        </w:rPr>
        <w:t xml:space="preserve"> 本项目水平衡情况见图3.3-1。</w:t>
      </w:r>
    </w:p>
    <w:p w14:paraId="587704BD">
      <w:pPr>
        <w:ind w:firstLine="480"/>
        <w:rPr>
          <w:lang w:eastAsia="zh-CN"/>
        </w:rPr>
      </w:pPr>
      <w:r>
        <w:rPr>
          <w:lang w:eastAsia="zh-CN" w:bidi="ar-SA"/>
        </w:rPr>
        <w:drawing>
          <wp:inline distT="0" distB="0" distL="0" distR="0">
            <wp:extent cx="5286375" cy="3867150"/>
            <wp:effectExtent l="19050" t="0" r="9525"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noChangeArrowheads="1"/>
                    </pic:cNvPicPr>
                  </pic:nvPicPr>
                  <pic:blipFill>
                    <a:blip r:embed="rId26"/>
                    <a:srcRect l="27068" t="19621" r="26096" b="19548"/>
                    <a:stretch>
                      <a:fillRect/>
                    </a:stretch>
                  </pic:blipFill>
                  <pic:spPr>
                    <a:xfrm>
                      <a:off x="0" y="0"/>
                      <a:ext cx="5286375" cy="3867150"/>
                    </a:xfrm>
                    <a:prstGeom prst="rect">
                      <a:avLst/>
                    </a:prstGeom>
                    <a:noFill/>
                    <a:ln w="9525">
                      <a:noFill/>
                      <a:miter lim="800000"/>
                      <a:headEnd/>
                      <a:tailEnd/>
                    </a:ln>
                  </pic:spPr>
                </pic:pic>
              </a:graphicData>
            </a:graphic>
          </wp:inline>
        </w:drawing>
      </w:r>
    </w:p>
    <w:p w14:paraId="15751F66">
      <w:pPr>
        <w:ind w:firstLine="0" w:firstLineChars="0"/>
        <w:rPr>
          <w:lang w:eastAsia="zh-CN"/>
        </w:rPr>
      </w:pPr>
    </w:p>
    <w:p w14:paraId="4664DE8D">
      <w:pPr>
        <w:ind w:firstLine="482"/>
        <w:jc w:val="center"/>
        <w:rPr>
          <w:b/>
          <w:bCs/>
          <w:lang w:eastAsia="zh-CN"/>
        </w:rPr>
      </w:pPr>
      <w:r>
        <w:rPr>
          <w:rFonts w:hint="eastAsia"/>
          <w:b/>
          <w:bCs/>
          <w:lang w:eastAsia="zh-CN"/>
        </w:rPr>
        <w:t>图3.3-1  水平衡图（单位：</w:t>
      </w:r>
      <w:r>
        <w:rPr>
          <w:lang w:eastAsia="zh-CN"/>
        </w:rPr>
        <w:t>m</w:t>
      </w:r>
      <w:r>
        <w:rPr>
          <w:vertAlign w:val="superscript"/>
          <w:lang w:eastAsia="zh-CN"/>
        </w:rPr>
        <w:t>3</w:t>
      </w:r>
      <w:r>
        <w:rPr>
          <w:lang w:eastAsia="zh-CN"/>
        </w:rPr>
        <w:t>/</w:t>
      </w:r>
      <w:r>
        <w:rPr>
          <w:rFonts w:hint="eastAsia"/>
          <w:lang w:eastAsia="zh-CN"/>
        </w:rPr>
        <w:t>d</w:t>
      </w:r>
      <w:r>
        <w:rPr>
          <w:rFonts w:hint="eastAsia"/>
          <w:b/>
          <w:bCs/>
          <w:lang w:eastAsia="zh-CN"/>
        </w:rPr>
        <w:t>）</w:t>
      </w:r>
    </w:p>
    <w:p w14:paraId="59F98C8C">
      <w:pPr>
        <w:pStyle w:val="4"/>
        <w:rPr>
          <w:lang w:eastAsia="zh-CN"/>
        </w:rPr>
      </w:pPr>
      <w:bookmarkStart w:id="171" w:name="_Toc408413933"/>
      <w:r>
        <w:rPr>
          <w:lang w:eastAsia="zh-CN"/>
        </w:rPr>
        <w:t>3.3.2供热</w:t>
      </w:r>
      <w:bookmarkEnd w:id="171"/>
    </w:p>
    <w:p w14:paraId="2DA7B034">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乌里雅斯太油田现有热源为站内燃气发电机余热回收装置及1台1000kw加热炉。雅斯联合站扩建后热负荷增加，将新建1台3000kw管式加热炉。燃料主要为雅斯联合站内油气分离产生的伴生气。</w:t>
      </w:r>
    </w:p>
    <w:p w14:paraId="5E7C32C5">
      <w:pPr>
        <w:pStyle w:val="4"/>
        <w:rPr>
          <w:lang w:eastAsia="zh-CN"/>
        </w:rPr>
      </w:pPr>
      <w:bookmarkStart w:id="172" w:name="_Toc408413934"/>
      <w:bookmarkStart w:id="173" w:name="_Toc279676607"/>
      <w:bookmarkStart w:id="174" w:name="_Toc338663476"/>
      <w:bookmarkStart w:id="175" w:name="_Toc280020067"/>
      <w:r>
        <w:rPr>
          <w:lang w:eastAsia="zh-CN"/>
        </w:rPr>
        <w:t>3.3.3供电</w:t>
      </w:r>
      <w:bookmarkEnd w:id="172"/>
    </w:p>
    <w:p w14:paraId="76EFC8C9">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乌里雅斯太</w:t>
      </w:r>
      <w:r>
        <w:rPr>
          <w:rFonts w:asciiTheme="minorEastAsia" w:hAnsiTheme="minorEastAsia" w:eastAsiaTheme="minorEastAsia"/>
          <w:lang w:eastAsia="zh-CN"/>
        </w:rPr>
        <w:t>油田</w:t>
      </w:r>
      <w:r>
        <w:rPr>
          <w:rFonts w:hint="eastAsia" w:asciiTheme="minorEastAsia" w:hAnsiTheme="minorEastAsia" w:eastAsiaTheme="minorEastAsia"/>
          <w:lang w:eastAsia="zh-CN"/>
        </w:rPr>
        <w:t>主要由雅斯联合站内的发电站供电，雅斯110kv变电站作为备用电源。发电站内设有2台200kw燃气发电机组、5台500kw、6台400kw燃气发电机组。</w:t>
      </w:r>
    </w:p>
    <w:p w14:paraId="328F3625">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可以满足联合站内生产生活、单井生产以及阿-乌宝线3号站用电需求。</w:t>
      </w:r>
    </w:p>
    <w:p w14:paraId="41FC4412">
      <w:pPr>
        <w:pStyle w:val="4"/>
        <w:rPr>
          <w:lang w:eastAsia="zh-CN"/>
        </w:rPr>
      </w:pPr>
      <w:bookmarkStart w:id="176" w:name="_Toc408413935"/>
      <w:r>
        <w:rPr>
          <w:lang w:eastAsia="zh-CN"/>
        </w:rPr>
        <w:t>3.3.4消防</w:t>
      </w:r>
      <w:bookmarkEnd w:id="176"/>
    </w:p>
    <w:p w14:paraId="0197E4CB">
      <w:pPr>
        <w:ind w:firstLine="480"/>
        <w:rPr>
          <w:rFonts w:asciiTheme="minorEastAsia" w:hAnsiTheme="minorEastAsia" w:eastAsiaTheme="minorEastAsia"/>
          <w:lang w:eastAsia="zh-CN"/>
        </w:rPr>
      </w:pPr>
      <w:r>
        <w:rPr>
          <w:rFonts w:asciiTheme="minorEastAsia" w:hAnsiTheme="minorEastAsia" w:eastAsiaTheme="minorEastAsia"/>
          <w:lang w:eastAsia="zh-CN"/>
        </w:rPr>
        <w:t>本项目消防重点对象为原油储罐和站内原油处理设施及建构筑物等。本项目建筑耐火等级为一级，根据《建筑设计防火规范（GB50016-2006）》、《石油化工企业设计防火规范（GB 50160-92）》的规定，厂区消防按同一时间二次火灾计算，用水量为80</w:t>
      </w:r>
      <w:r>
        <w:rPr>
          <w:rFonts w:hint="eastAsia" w:asciiTheme="minorEastAsia" w:hAnsiTheme="minorEastAsia" w:eastAsiaTheme="minorEastAsia"/>
          <w:lang w:eastAsia="zh-CN"/>
        </w:rPr>
        <w:t>～</w:t>
      </w:r>
      <w:r>
        <w:rPr>
          <w:rFonts w:asciiTheme="minorEastAsia" w:hAnsiTheme="minorEastAsia" w:eastAsiaTheme="minorEastAsia"/>
          <w:lang w:eastAsia="zh-CN"/>
        </w:rPr>
        <w:t>100 L/S，火灾延续时间3小时。</w:t>
      </w:r>
    </w:p>
    <w:p w14:paraId="564BDD67">
      <w:pPr>
        <w:pStyle w:val="4"/>
        <w:rPr>
          <w:lang w:eastAsia="zh-CN"/>
        </w:rPr>
      </w:pPr>
      <w:bookmarkStart w:id="177" w:name="_Toc408413936"/>
      <w:r>
        <w:rPr>
          <w:lang w:eastAsia="zh-CN"/>
        </w:rPr>
        <w:t>3.3.5通信、仪表自控</w:t>
      </w:r>
      <w:bookmarkEnd w:id="177"/>
    </w:p>
    <w:p w14:paraId="3F7F4D2B">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1、通信</w:t>
      </w:r>
    </w:p>
    <w:p w14:paraId="7FD37572">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雅斯联合站现建有光传输系统、高频开关电源系统、工业电视监控系统、软件换系统、数字有线电视传输系统。</w:t>
      </w:r>
    </w:p>
    <w:p w14:paraId="68C0EA45">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从阿尔油田110kV变—乌里雅斯太油田110kV变电力线上架设16芯OPGW光缆，乌里雅斯太油田—乌里雅斯太油田与管道同沟敷设16芯光缆。雅斯联合站已建SDH2.5G光传输系统，已建16口IAD语音网关，通过光传输系统与阿尔软交换局通信，为阿尔通信站软交换系统远端用户。工业电视监控系统由模拟摄像机、DVR组成，已安装室外旋转摄像机4台、室内防爆摄像机2台、室外球型摄像机2台、室内半球型摄像机1台，控制室已安装21寸液晶显示器2台、控制键盘1台。</w:t>
      </w:r>
    </w:p>
    <w:p w14:paraId="1BDF853F">
      <w:pPr>
        <w:ind w:firstLine="480"/>
        <w:outlineLvl w:val="0"/>
        <w:rPr>
          <w:rFonts w:asciiTheme="minorEastAsia" w:hAnsiTheme="minorEastAsia" w:eastAsiaTheme="minorEastAsia"/>
          <w:lang w:eastAsia="zh-CN"/>
        </w:rPr>
      </w:pPr>
      <w:r>
        <w:rPr>
          <w:rFonts w:hint="eastAsia" w:asciiTheme="minorEastAsia" w:hAnsiTheme="minorEastAsia" w:eastAsiaTheme="minorEastAsia"/>
          <w:lang w:eastAsia="zh-CN"/>
        </w:rPr>
        <w:t>2、仪表自动化</w:t>
      </w:r>
    </w:p>
    <w:p w14:paraId="64071B10">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雅斯联合站同时作为阿尔输油管道的3号泵站，设置有控制室和机柜间。但是基于油田和管道的数据相互独立的原则，本次新增PLC对油田数据进行采集。控制室和机柜间依托雅斯联合站内已有控制室和机柜间。</w:t>
      </w:r>
    </w:p>
    <w:p w14:paraId="385D896E">
      <w:pPr>
        <w:pStyle w:val="3"/>
        <w:rPr>
          <w:lang w:eastAsia="zh-CN"/>
        </w:rPr>
      </w:pPr>
      <w:bookmarkStart w:id="178" w:name="_Toc408413937"/>
      <w:r>
        <w:rPr>
          <w:lang w:eastAsia="zh-CN"/>
        </w:rPr>
        <w:t>3.4</w:t>
      </w:r>
      <w:bookmarkStart w:id="179" w:name="_Toc182140846"/>
      <w:r>
        <w:rPr>
          <w:lang w:eastAsia="zh-CN"/>
        </w:rPr>
        <w:t>生产工艺简述</w:t>
      </w:r>
      <w:bookmarkEnd w:id="173"/>
      <w:bookmarkEnd w:id="174"/>
      <w:bookmarkEnd w:id="175"/>
      <w:bookmarkEnd w:id="178"/>
      <w:bookmarkEnd w:id="179"/>
    </w:p>
    <w:p w14:paraId="31401EA4">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乌里雅斯太</w:t>
      </w:r>
      <w:r>
        <w:rPr>
          <w:rFonts w:asciiTheme="minorEastAsia" w:hAnsiTheme="minorEastAsia" w:eastAsiaTheme="minorEastAsia"/>
          <w:lang w:eastAsia="zh-CN"/>
        </w:rPr>
        <w:t>油田开发采用了边开发、边建设、边投产的滚动开发方式，主要包括钻井、采油、集输、联合站等，</w:t>
      </w:r>
      <w:r>
        <w:rPr>
          <w:rFonts w:hint="eastAsia" w:asciiTheme="minorEastAsia" w:hAnsiTheme="minorEastAsia" w:eastAsiaTheme="minorEastAsia"/>
          <w:lang w:eastAsia="zh-CN"/>
        </w:rPr>
        <w:t>油田开发建设</w:t>
      </w:r>
      <w:r>
        <w:rPr>
          <w:rFonts w:asciiTheme="minorEastAsia" w:hAnsiTheme="minorEastAsia" w:eastAsiaTheme="minorEastAsia"/>
          <w:lang w:eastAsia="zh-CN"/>
        </w:rPr>
        <w:t>总工艺流程见图3.4-1。</w:t>
      </w:r>
    </w:p>
    <w:p w14:paraId="28E7000B">
      <w:pPr>
        <w:ind w:firstLine="480"/>
        <w:rPr>
          <w:rFonts w:asciiTheme="minorEastAsia" w:hAnsiTheme="minorEastAsia" w:eastAsiaTheme="minorEastAsia"/>
          <w:lang w:eastAsia="zh-CN"/>
        </w:rPr>
      </w:pPr>
    </w:p>
    <w:p w14:paraId="08DDAAF9">
      <w:pPr>
        <w:ind w:firstLine="480"/>
        <w:rPr>
          <w:rFonts w:asciiTheme="minorEastAsia" w:hAnsiTheme="minorEastAsia" w:eastAsiaTheme="minorEastAsia"/>
          <w:lang w:eastAsia="zh-CN"/>
        </w:rPr>
      </w:pPr>
    </w:p>
    <w:p w14:paraId="58F1A16F">
      <w:pPr>
        <w:ind w:firstLine="480"/>
        <w:rPr>
          <w:rFonts w:asciiTheme="minorEastAsia" w:hAnsiTheme="minorEastAsia" w:eastAsiaTheme="minorEastAsia"/>
          <w:lang w:eastAsia="zh-CN"/>
        </w:rPr>
      </w:pPr>
    </w:p>
    <w:p w14:paraId="5EBE3C81">
      <w:pPr>
        <w:ind w:firstLine="480"/>
        <w:rPr>
          <w:rFonts w:asciiTheme="minorEastAsia" w:hAnsiTheme="minorEastAsia" w:eastAsiaTheme="minorEastAsia"/>
          <w:lang w:eastAsia="zh-CN"/>
        </w:rPr>
      </w:pPr>
    </w:p>
    <w:p w14:paraId="3C896463">
      <w:pPr>
        <w:ind w:firstLine="480"/>
        <w:rPr>
          <w:rFonts w:asciiTheme="minorEastAsia" w:hAnsiTheme="minorEastAsia" w:eastAsiaTheme="minorEastAsia"/>
          <w:lang w:eastAsia="zh-CN"/>
        </w:rPr>
      </w:pPr>
    </w:p>
    <w:p w14:paraId="46680EEA">
      <w:pPr>
        <w:ind w:firstLine="480"/>
        <w:rPr>
          <w:rFonts w:asciiTheme="minorEastAsia" w:hAnsiTheme="minorEastAsia" w:eastAsiaTheme="minorEastAsia"/>
          <w:lang w:eastAsia="zh-CN"/>
        </w:rPr>
      </w:pPr>
    </w:p>
    <w:p w14:paraId="0FAEFBED">
      <w:pPr>
        <w:ind w:firstLine="480"/>
        <w:rPr>
          <w:rFonts w:asciiTheme="minorEastAsia" w:hAnsiTheme="minorEastAsia" w:eastAsiaTheme="minorEastAsia"/>
          <w:lang w:eastAsia="zh-CN"/>
        </w:rPr>
      </w:pPr>
    </w:p>
    <w:p w14:paraId="151D86A4">
      <w:pPr>
        <w:ind w:firstLine="480"/>
        <w:rPr>
          <w:rFonts w:asciiTheme="minorEastAsia" w:hAnsiTheme="minorEastAsia" w:eastAsiaTheme="minorEastAsia"/>
          <w:lang w:eastAsia="zh-CN"/>
        </w:rPr>
      </w:pPr>
    </w:p>
    <w:p w14:paraId="4102F09A">
      <w:pPr>
        <w:ind w:firstLine="480"/>
        <w:rPr>
          <w:rFonts w:asciiTheme="minorEastAsia" w:hAnsiTheme="minorEastAsia" w:eastAsiaTheme="minorEastAsia"/>
          <w:lang w:eastAsia="zh-CN"/>
        </w:rPr>
      </w:pPr>
    </w:p>
    <w:p w14:paraId="45B21D54">
      <w:pPr>
        <w:ind w:firstLine="480"/>
        <w:rPr>
          <w:rFonts w:asciiTheme="minorEastAsia" w:hAnsiTheme="minorEastAsia" w:eastAsiaTheme="minorEastAsia"/>
          <w:lang w:eastAsia="zh-CN"/>
        </w:rPr>
      </w:pPr>
    </w:p>
    <w:p w14:paraId="2DCFD4D8">
      <w:pPr>
        <w:ind w:firstLine="480"/>
        <w:rPr>
          <w:rFonts w:asciiTheme="minorEastAsia" w:hAnsiTheme="minorEastAsia" w:eastAsiaTheme="minorEastAsia"/>
          <w:lang w:eastAsia="zh-CN"/>
        </w:rPr>
      </w:pPr>
    </w:p>
    <w:p w14:paraId="6B31D6B5">
      <w:pPr>
        <w:spacing w:afterLines="50" w:line="520" w:lineRule="exact"/>
        <w:ind w:firstLine="480"/>
        <w:rPr>
          <w:rFonts w:ascii="宋体" w:hAnsi="宋体"/>
          <w:lang w:eastAsia="zh-CN"/>
        </w:rPr>
      </w:pPr>
      <w:r>
        <w:rPr>
          <w:rFonts w:ascii="宋体" w:hAnsi="宋体"/>
          <w:lang w:eastAsia="zh-CN" w:bidi="ar-SA"/>
        </w:rPr>
        <w:drawing>
          <wp:anchor distT="0" distB="0" distL="114300" distR="114300" simplePos="0" relativeHeight="251665408" behindDoc="0" locked="0" layoutInCell="1" allowOverlap="1">
            <wp:simplePos x="0" y="0"/>
            <wp:positionH relativeFrom="column">
              <wp:posOffset>146685</wp:posOffset>
            </wp:positionH>
            <wp:positionV relativeFrom="paragraph">
              <wp:posOffset>16510</wp:posOffset>
            </wp:positionV>
            <wp:extent cx="5212080" cy="3143885"/>
            <wp:effectExtent l="19050" t="0" r="7620" b="0"/>
            <wp:wrapNone/>
            <wp:docPr id="2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1"/>
                    <pic:cNvPicPr>
                      <a:picLocks noChangeAspect="1" noChangeArrowheads="1"/>
                    </pic:cNvPicPr>
                  </pic:nvPicPr>
                  <pic:blipFill>
                    <a:blip r:embed="rId27"/>
                    <a:srcRect l="28847" t="18771" r="25285" b="32826"/>
                    <a:stretch>
                      <a:fillRect/>
                    </a:stretch>
                  </pic:blipFill>
                  <pic:spPr>
                    <a:xfrm>
                      <a:off x="0" y="0"/>
                      <a:ext cx="5212080" cy="3143885"/>
                    </a:xfrm>
                    <a:prstGeom prst="rect">
                      <a:avLst/>
                    </a:prstGeom>
                    <a:noFill/>
                    <a:ln w="9525">
                      <a:noFill/>
                      <a:miter lim="800000"/>
                      <a:headEnd/>
                      <a:tailEnd/>
                    </a:ln>
                  </pic:spPr>
                </pic:pic>
              </a:graphicData>
            </a:graphic>
          </wp:anchor>
        </w:drawing>
      </w:r>
    </w:p>
    <w:p w14:paraId="22A2F7E4">
      <w:pPr>
        <w:spacing w:afterLines="50" w:line="520" w:lineRule="exact"/>
        <w:ind w:firstLine="480"/>
        <w:rPr>
          <w:rFonts w:ascii="宋体" w:hAnsi="宋体"/>
          <w:lang w:eastAsia="zh-CN"/>
        </w:rPr>
      </w:pPr>
    </w:p>
    <w:p w14:paraId="67B1002D">
      <w:pPr>
        <w:spacing w:afterLines="50" w:line="520" w:lineRule="exact"/>
        <w:ind w:firstLine="480"/>
        <w:rPr>
          <w:rFonts w:ascii="宋体" w:hAnsi="宋体"/>
          <w:lang w:eastAsia="zh-CN"/>
        </w:rPr>
      </w:pPr>
    </w:p>
    <w:p w14:paraId="235EAB29">
      <w:pPr>
        <w:spacing w:afterLines="50" w:line="520" w:lineRule="exact"/>
        <w:ind w:firstLine="480"/>
        <w:rPr>
          <w:rFonts w:ascii="宋体" w:hAnsi="宋体"/>
          <w:lang w:eastAsia="zh-CN"/>
        </w:rPr>
      </w:pPr>
    </w:p>
    <w:p w14:paraId="26162720">
      <w:pPr>
        <w:spacing w:afterLines="50" w:line="520" w:lineRule="exact"/>
        <w:ind w:firstLine="480"/>
        <w:rPr>
          <w:rFonts w:ascii="宋体" w:hAnsi="宋体"/>
          <w:lang w:eastAsia="zh-CN"/>
        </w:rPr>
      </w:pPr>
    </w:p>
    <w:p w14:paraId="11F05EA0">
      <w:pPr>
        <w:spacing w:afterLines="50" w:line="520" w:lineRule="exact"/>
        <w:ind w:firstLine="480"/>
        <w:rPr>
          <w:rFonts w:ascii="宋体" w:hAnsi="宋体"/>
          <w:lang w:eastAsia="zh-CN"/>
        </w:rPr>
      </w:pPr>
    </w:p>
    <w:p w14:paraId="3FA3AD48">
      <w:pPr>
        <w:spacing w:afterLines="50" w:line="520" w:lineRule="exact"/>
        <w:ind w:firstLine="480"/>
        <w:rPr>
          <w:rFonts w:ascii="宋体" w:hAnsi="宋体"/>
          <w:lang w:eastAsia="zh-CN"/>
        </w:rPr>
      </w:pPr>
    </w:p>
    <w:p w14:paraId="6985070B">
      <w:pPr>
        <w:spacing w:afterLines="50" w:line="520" w:lineRule="exact"/>
        <w:ind w:firstLine="480"/>
        <w:rPr>
          <w:rFonts w:ascii="宋体" w:hAnsi="宋体"/>
          <w:lang w:eastAsia="zh-CN"/>
        </w:rPr>
      </w:pPr>
    </w:p>
    <w:p w14:paraId="1B600EDC">
      <w:pPr>
        <w:spacing w:afterLines="50" w:line="520" w:lineRule="exact"/>
        <w:ind w:firstLine="1781" w:firstLineChars="739"/>
        <w:rPr>
          <w:rFonts w:asciiTheme="minorEastAsia" w:hAnsiTheme="minorEastAsia" w:eastAsiaTheme="minorEastAsia"/>
          <w:b/>
          <w:lang w:eastAsia="zh-CN"/>
        </w:rPr>
      </w:pPr>
      <w:r>
        <w:rPr>
          <w:rFonts w:asciiTheme="minorEastAsia" w:hAnsiTheme="minorEastAsia" w:eastAsiaTheme="minorEastAsia"/>
          <w:b/>
          <w:lang w:eastAsia="zh-CN"/>
        </w:rPr>
        <w:t>图3.4-1</w:t>
      </w:r>
      <w:r>
        <w:rPr>
          <w:rFonts w:hint="eastAsia" w:asciiTheme="minorEastAsia" w:hAnsiTheme="minorEastAsia" w:eastAsiaTheme="minorEastAsia"/>
          <w:b/>
          <w:lang w:eastAsia="zh-CN"/>
        </w:rPr>
        <w:t xml:space="preserve">      油田开发</w:t>
      </w:r>
      <w:r>
        <w:rPr>
          <w:rFonts w:asciiTheme="minorEastAsia" w:hAnsiTheme="minorEastAsia" w:eastAsiaTheme="minorEastAsia"/>
          <w:b/>
          <w:lang w:eastAsia="zh-CN"/>
        </w:rPr>
        <w:t>工艺流程</w:t>
      </w:r>
    </w:p>
    <w:p w14:paraId="72F1A0B7">
      <w:pPr>
        <w:pStyle w:val="4"/>
        <w:rPr>
          <w:lang w:eastAsia="zh-CN"/>
        </w:rPr>
      </w:pPr>
      <w:bookmarkStart w:id="180" w:name="_Toc182140847"/>
      <w:bookmarkStart w:id="181" w:name="_Toc279676608"/>
      <w:bookmarkStart w:id="182" w:name="_Toc338663477"/>
      <w:bookmarkStart w:id="183" w:name="_Toc408413938"/>
      <w:bookmarkStart w:id="184" w:name="_Toc279676610"/>
      <w:bookmarkStart w:id="185" w:name="_Toc338663479"/>
      <w:bookmarkStart w:id="186" w:name="_Toc309979134"/>
      <w:r>
        <w:rPr>
          <w:lang w:eastAsia="zh-CN"/>
        </w:rPr>
        <w:t>3.4.1</w:t>
      </w:r>
      <w:bookmarkStart w:id="187" w:name="_Toc90725518"/>
      <w:bookmarkStart w:id="188" w:name="_Toc166837760"/>
      <w:r>
        <w:rPr>
          <w:lang w:eastAsia="zh-CN"/>
        </w:rPr>
        <w:t>钻采工艺</w:t>
      </w:r>
      <w:bookmarkEnd w:id="180"/>
      <w:bookmarkEnd w:id="181"/>
      <w:bookmarkEnd w:id="182"/>
      <w:bookmarkEnd w:id="183"/>
      <w:bookmarkEnd w:id="187"/>
      <w:bookmarkEnd w:id="188"/>
    </w:p>
    <w:p w14:paraId="22C1FCD4">
      <w:pPr>
        <w:ind w:firstLine="480"/>
        <w:rPr>
          <w:rFonts w:asciiTheme="minorEastAsia" w:hAnsiTheme="minorEastAsia" w:eastAsiaTheme="minorEastAsia"/>
          <w:lang w:eastAsia="zh-CN"/>
        </w:rPr>
      </w:pPr>
      <w:r>
        <w:rPr>
          <w:rFonts w:asciiTheme="minorEastAsia" w:hAnsiTheme="minorEastAsia" w:eastAsiaTheme="minorEastAsia"/>
          <w:lang w:eastAsia="zh-CN"/>
        </w:rPr>
        <w:t>1、钻井工程</w:t>
      </w:r>
    </w:p>
    <w:p w14:paraId="16E853A4">
      <w:pPr>
        <w:ind w:firstLine="480"/>
        <w:rPr>
          <w:rFonts w:asciiTheme="minorEastAsia" w:hAnsiTheme="minorEastAsia" w:eastAsiaTheme="minorEastAsia"/>
          <w:lang w:eastAsia="zh-CN"/>
        </w:rPr>
      </w:pPr>
      <w:r>
        <w:rPr>
          <w:rFonts w:asciiTheme="minorEastAsia" w:hAnsiTheme="minorEastAsia" w:eastAsiaTheme="minorEastAsia"/>
          <w:lang w:eastAsia="zh-CN"/>
        </w:rPr>
        <w:t>钻井是油田开发的主要工艺过程之一，是认识和了解地下含油构造和进行原油开采的主要手段。钻井一般分为钻探井和钻生产井，钻生产井又分为钻采油井和注水井。</w:t>
      </w:r>
      <w:r>
        <w:rPr>
          <w:rFonts w:hint="eastAsia" w:asciiTheme="minorEastAsia" w:hAnsiTheme="minorEastAsia" w:eastAsiaTheme="minorEastAsia"/>
          <w:lang w:eastAsia="zh-CN"/>
        </w:rPr>
        <w:t>乌里雅斯太</w:t>
      </w:r>
      <w:r>
        <w:rPr>
          <w:rFonts w:asciiTheme="minorEastAsia" w:hAnsiTheme="minorEastAsia" w:eastAsiaTheme="minorEastAsia"/>
          <w:lang w:eastAsia="zh-CN"/>
        </w:rPr>
        <w:t>油田区块为低渗透砂岩油藏，开发方式为人工注水；采油方式为抽油机或螺杆泵采油；</w:t>
      </w:r>
      <w:r>
        <w:rPr>
          <w:rFonts w:hint="eastAsia" w:asciiTheme="minorEastAsia" w:hAnsiTheme="minorEastAsia" w:eastAsiaTheme="minorEastAsia"/>
          <w:lang w:eastAsia="zh-CN"/>
        </w:rPr>
        <w:t>布</w:t>
      </w:r>
      <w:r>
        <w:rPr>
          <w:rFonts w:asciiTheme="minorEastAsia" w:hAnsiTheme="minorEastAsia" w:eastAsiaTheme="minorEastAsia"/>
          <w:lang w:eastAsia="zh-CN"/>
        </w:rPr>
        <w:t>井方式为网格式</w:t>
      </w:r>
      <w:r>
        <w:rPr>
          <w:rFonts w:hint="eastAsia" w:asciiTheme="minorEastAsia" w:hAnsiTheme="minorEastAsia" w:eastAsiaTheme="minorEastAsia"/>
          <w:lang w:eastAsia="zh-CN"/>
        </w:rPr>
        <w:t>布</w:t>
      </w:r>
      <w:r>
        <w:rPr>
          <w:rFonts w:asciiTheme="minorEastAsia" w:hAnsiTheme="minorEastAsia" w:eastAsiaTheme="minorEastAsia"/>
          <w:lang w:eastAsia="zh-CN"/>
        </w:rPr>
        <w:t>井，井距</w:t>
      </w:r>
      <w:r>
        <w:rPr>
          <w:rFonts w:hint="eastAsia" w:asciiTheme="minorEastAsia" w:hAnsiTheme="minorEastAsia" w:eastAsiaTheme="minorEastAsia"/>
          <w:lang w:eastAsia="zh-CN"/>
        </w:rPr>
        <w:t>150m-</w:t>
      </w:r>
      <w:r>
        <w:rPr>
          <w:rFonts w:asciiTheme="minorEastAsia" w:hAnsiTheme="minorEastAsia" w:eastAsiaTheme="minorEastAsia"/>
          <w:lang w:eastAsia="zh-CN"/>
        </w:rPr>
        <w:t>250m。</w:t>
      </w:r>
    </w:p>
    <w:p w14:paraId="748D03F1">
      <w:pPr>
        <w:ind w:firstLine="480"/>
        <w:outlineLvl w:val="0"/>
        <w:rPr>
          <w:rFonts w:asciiTheme="minorEastAsia" w:hAnsiTheme="minorEastAsia" w:eastAsiaTheme="minorEastAsia"/>
          <w:lang w:eastAsia="zh-CN"/>
        </w:rPr>
      </w:pPr>
      <w:r>
        <w:rPr>
          <w:rFonts w:hint="eastAsia" w:asciiTheme="minorEastAsia" w:hAnsiTheme="minorEastAsia" w:eastAsiaTheme="minorEastAsia"/>
          <w:lang w:eastAsia="zh-CN"/>
        </w:rPr>
        <w:t>（1）</w:t>
      </w:r>
      <w:r>
        <w:rPr>
          <w:rFonts w:asciiTheme="minorEastAsia" w:hAnsiTheme="minorEastAsia" w:eastAsiaTheme="minorEastAsia"/>
          <w:lang w:eastAsia="zh-CN"/>
        </w:rPr>
        <w:t>钻井方式</w:t>
      </w:r>
    </w:p>
    <w:p w14:paraId="60C76010">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乌里雅斯太油田采取网格布井</w:t>
      </w:r>
      <w:r>
        <w:rPr>
          <w:rFonts w:asciiTheme="minorEastAsia" w:hAnsiTheme="minorEastAsia" w:eastAsiaTheme="minorEastAsia"/>
          <w:lang w:eastAsia="zh-CN"/>
        </w:rPr>
        <w:t>。根据现有钻井技术和地面条件，采用丛式井技术整体开发，钻井平台的规划本着少占土地、便于钻井施工和采油作业的原则。</w:t>
      </w:r>
      <w:r>
        <w:rPr>
          <w:rFonts w:hint="eastAsia" w:asciiTheme="minorEastAsia" w:hAnsiTheme="minorEastAsia" w:eastAsiaTheme="minorEastAsia"/>
          <w:lang w:eastAsia="zh-CN"/>
        </w:rPr>
        <w:t>本项目属于扩建项目，大部分井场已经形成，新增油水井在现有的区块内布设。</w:t>
      </w:r>
    </w:p>
    <w:p w14:paraId="2A62600A">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（2）井深结构</w:t>
      </w:r>
    </w:p>
    <w:p w14:paraId="0B98D908">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乌里雅斯太油田</w:t>
      </w:r>
      <w:r>
        <w:rPr>
          <w:rFonts w:asciiTheme="minorEastAsia" w:hAnsiTheme="minorEastAsia" w:eastAsiaTheme="minorEastAsia"/>
          <w:lang w:eastAsia="zh-CN"/>
        </w:rPr>
        <w:t>按照油藏</w:t>
      </w:r>
      <w:r>
        <w:rPr>
          <w:rFonts w:hint="eastAsia" w:asciiTheme="minorEastAsia" w:hAnsiTheme="minorEastAsia" w:eastAsiaTheme="minorEastAsia"/>
          <w:lang w:eastAsia="zh-CN"/>
        </w:rPr>
        <w:t>特性</w:t>
      </w:r>
      <w:r>
        <w:rPr>
          <w:rFonts w:asciiTheme="minorEastAsia" w:hAnsiTheme="minorEastAsia" w:eastAsiaTheme="minorEastAsia"/>
          <w:lang w:eastAsia="zh-CN"/>
        </w:rPr>
        <w:t>设计采用注水开发，为满足开发要求，完井方法选择油层套管射孔完井。井身结构设计采用二开完井，一开井深</w:t>
      </w:r>
      <w:r>
        <w:rPr>
          <w:rFonts w:hint="eastAsia" w:asciiTheme="minorEastAsia" w:hAnsiTheme="minorEastAsia" w:eastAsiaTheme="minorEastAsia"/>
          <w:lang w:eastAsia="zh-CN"/>
        </w:rPr>
        <w:t>1</w:t>
      </w:r>
      <w:r>
        <w:rPr>
          <w:rFonts w:asciiTheme="minorEastAsia" w:hAnsiTheme="minorEastAsia" w:eastAsiaTheme="minorEastAsia"/>
          <w:lang w:eastAsia="zh-CN"/>
        </w:rPr>
        <w:t>00m左右，然后下表层套管以封固上部的不稳定地层和井控，二开钻进井深依据其油层的埋藏深度，钻穿目的油层并按开发要求留足口袋，然后下油层套管。钻井结构示意图见图3.4-</w:t>
      </w:r>
      <w:r>
        <w:rPr>
          <w:rFonts w:hint="eastAsia" w:asciiTheme="minorEastAsia" w:hAnsiTheme="minorEastAsia" w:eastAsiaTheme="minorEastAsia"/>
          <w:lang w:eastAsia="zh-CN"/>
        </w:rPr>
        <w:t>2</w:t>
      </w:r>
      <w:r>
        <w:rPr>
          <w:rFonts w:asciiTheme="minorEastAsia" w:hAnsiTheme="minorEastAsia" w:eastAsiaTheme="minorEastAsia"/>
          <w:lang w:eastAsia="zh-CN"/>
        </w:rPr>
        <w:t xml:space="preserve">。  </w:t>
      </w:r>
    </w:p>
    <w:p w14:paraId="4485C719">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（3）钻井液体系</w:t>
      </w:r>
    </w:p>
    <w:p w14:paraId="773FA8D8">
      <w:pPr>
        <w:ind w:firstLine="480"/>
        <w:rPr>
          <w:rFonts w:asciiTheme="minorEastAsia" w:hAnsiTheme="minorEastAsia" w:eastAsiaTheme="minorEastAsia"/>
          <w:lang w:eastAsia="zh-CN"/>
        </w:rPr>
      </w:pPr>
      <w:r>
        <w:rPr>
          <w:rFonts w:asciiTheme="minorEastAsia" w:hAnsiTheme="minorEastAsia" w:eastAsiaTheme="minorEastAsia"/>
          <w:lang w:eastAsia="zh-CN"/>
        </w:rPr>
        <w:t>结合钻井工程方案设计，本区块钻井液总体方案设计如下：即普通水基搬土钻井液和聚合物不分散钻井液。</w:t>
      </w:r>
    </w:p>
    <w:p w14:paraId="121A14BA">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主要使用</w:t>
      </w:r>
      <w:r>
        <w:rPr>
          <w:rFonts w:asciiTheme="minorEastAsia" w:hAnsiTheme="minorEastAsia" w:eastAsiaTheme="minorEastAsia"/>
          <w:lang w:eastAsia="zh-CN"/>
        </w:rPr>
        <w:t>土粉、水解聚丙烯腈-铵盐、消泡剂、乳化剂、钻井液用降粘剂、纯碱、单项压力封闭剂、磺化酚醛树脂、抗高温防塌降滤失剂、羧甲基纤维素、聚合醇、改性淀粉等。</w:t>
      </w:r>
    </w:p>
    <w:p w14:paraId="223D4EE3">
      <w:pPr>
        <w:ind w:firstLine="480"/>
        <w:rPr>
          <w:lang w:eastAsia="zh-CN"/>
        </w:rPr>
      </w:pPr>
      <w:r>
        <w:rPr>
          <w:lang w:eastAsia="zh-CN"/>
        </w:rPr>
        <w:t xml:space="preserve">                                                                                                                                                                                                                                                                                                                              </w:t>
      </w:r>
    </w:p>
    <w:p w14:paraId="3CAC45BC">
      <w:pPr>
        <w:ind w:firstLine="480"/>
        <w:jc w:val="center"/>
        <w:rPr>
          <w:lang w:eastAsia="zh-CN"/>
        </w:rPr>
      </w:pPr>
      <w:r>
        <w:rPr>
          <w:lang w:eastAsia="zh-CN" w:bidi="ar-SA"/>
        </w:rPr>
        <w:drawing>
          <wp:inline distT="0" distB="0" distL="0" distR="0">
            <wp:extent cx="2266950" cy="4000500"/>
            <wp:effectExtent l="19050" t="0" r="0" b="0"/>
            <wp:docPr id="10" name="Picture 1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1"/>
                    <pic:cNvPicPr>
                      <a:picLocks noChangeAspect="1" noChangeArrowheads="1"/>
                    </pic:cNvPicPr>
                  </pic:nvPicPr>
                  <pic:blipFill>
                    <a:blip r:embed="rId28"/>
                    <a:srcRect/>
                    <a:stretch>
                      <a:fillRect/>
                    </a:stretch>
                  </pic:blipFill>
                  <pic:spPr>
                    <a:xfrm>
                      <a:off x="0" y="0"/>
                      <a:ext cx="2266950" cy="4000500"/>
                    </a:xfrm>
                    <a:prstGeom prst="rect">
                      <a:avLst/>
                    </a:prstGeom>
                    <a:noFill/>
                    <a:ln w="9525">
                      <a:noFill/>
                      <a:miter lim="800000"/>
                      <a:headEnd/>
                      <a:tailEnd/>
                    </a:ln>
                  </pic:spPr>
                </pic:pic>
              </a:graphicData>
            </a:graphic>
          </wp:inline>
        </w:drawing>
      </w:r>
    </w:p>
    <w:p w14:paraId="76DB75E0">
      <w:pPr>
        <w:ind w:firstLine="0" w:firstLineChars="0"/>
        <w:jc w:val="center"/>
        <w:rPr>
          <w:b/>
          <w:lang w:eastAsia="zh-CN"/>
        </w:rPr>
      </w:pPr>
      <w:r>
        <w:rPr>
          <w:b/>
          <w:lang w:eastAsia="zh-CN"/>
        </w:rPr>
        <w:t>图3.4-</w:t>
      </w:r>
      <w:r>
        <w:rPr>
          <w:rFonts w:hint="eastAsia"/>
          <w:b/>
          <w:lang w:eastAsia="zh-CN"/>
        </w:rPr>
        <w:t>2</w:t>
      </w:r>
      <w:r>
        <w:rPr>
          <w:b/>
          <w:lang w:eastAsia="zh-CN"/>
        </w:rPr>
        <w:t xml:space="preserve">  钻井结构示意图</w:t>
      </w:r>
    </w:p>
    <w:p w14:paraId="1E836521">
      <w:pPr>
        <w:ind w:firstLine="480"/>
        <w:outlineLvl w:val="0"/>
        <w:rPr>
          <w:rFonts w:asciiTheme="minorEastAsia" w:hAnsiTheme="minorEastAsia" w:eastAsiaTheme="minorEastAsia"/>
          <w:lang w:eastAsia="zh-CN"/>
        </w:rPr>
      </w:pPr>
      <w:r>
        <w:rPr>
          <w:rFonts w:hint="eastAsia" w:asciiTheme="minorEastAsia" w:hAnsiTheme="minorEastAsia" w:eastAsiaTheme="minorEastAsia"/>
          <w:lang w:eastAsia="zh-CN"/>
        </w:rPr>
        <w:t>（4）</w:t>
      </w:r>
      <w:r>
        <w:rPr>
          <w:rFonts w:asciiTheme="minorEastAsia" w:hAnsiTheme="minorEastAsia" w:eastAsiaTheme="minorEastAsia"/>
          <w:lang w:eastAsia="zh-CN"/>
        </w:rPr>
        <w:t>钻井工艺</w:t>
      </w:r>
    </w:p>
    <w:p w14:paraId="3C533EB8">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乌里雅斯太</w:t>
      </w:r>
      <w:r>
        <w:rPr>
          <w:rFonts w:asciiTheme="minorEastAsia" w:hAnsiTheme="minorEastAsia" w:eastAsiaTheme="minorEastAsia"/>
          <w:lang w:eastAsia="zh-CN"/>
        </w:rPr>
        <w:t>油田采用二开井身结构，钻井工艺</w:t>
      </w:r>
      <w:r>
        <w:rPr>
          <w:rFonts w:hint="eastAsia" w:asciiTheme="minorEastAsia" w:hAnsiTheme="minorEastAsia" w:eastAsiaTheme="minorEastAsia"/>
          <w:lang w:eastAsia="zh-CN"/>
        </w:rPr>
        <w:t>示意图，</w:t>
      </w:r>
      <w:r>
        <w:rPr>
          <w:rFonts w:asciiTheme="minorEastAsia" w:hAnsiTheme="minorEastAsia" w:eastAsiaTheme="minorEastAsia"/>
          <w:lang w:eastAsia="zh-CN"/>
        </w:rPr>
        <w:t>见图3.4-</w:t>
      </w:r>
      <w:r>
        <w:rPr>
          <w:rFonts w:hint="eastAsia" w:asciiTheme="minorEastAsia" w:hAnsiTheme="minorEastAsia" w:eastAsiaTheme="minorEastAsia"/>
          <w:lang w:eastAsia="zh-CN"/>
        </w:rPr>
        <w:t>3</w:t>
      </w:r>
      <w:r>
        <w:rPr>
          <w:rFonts w:asciiTheme="minorEastAsia" w:hAnsiTheme="minorEastAsia" w:eastAsiaTheme="minorEastAsia"/>
          <w:lang w:eastAsia="zh-CN"/>
        </w:rPr>
        <w:t>。</w:t>
      </w:r>
    </w:p>
    <w:p w14:paraId="4F16624D">
      <w:pPr>
        <w:ind w:firstLine="480"/>
        <w:rPr>
          <w:lang w:eastAsia="zh-CN"/>
        </w:rPr>
      </w:pPr>
      <w:r>
        <w:rPr>
          <w:lang w:eastAsia="zh-CN" w:bidi="mn-Mong-CN"/>
        </w:rPr>
        <mc:AlternateContent>
          <mc:Choice Requires="wpg">
            <w:drawing>
              <wp:anchor distT="0" distB="0" distL="114300" distR="114300" simplePos="0" relativeHeight="251660288" behindDoc="0" locked="0" layoutInCell="1" allowOverlap="1">
                <wp:simplePos x="0" y="0"/>
                <wp:positionH relativeFrom="column">
                  <wp:posOffset>228600</wp:posOffset>
                </wp:positionH>
                <wp:positionV relativeFrom="paragraph">
                  <wp:posOffset>134620</wp:posOffset>
                </wp:positionV>
                <wp:extent cx="5031105" cy="1138555"/>
                <wp:effectExtent l="19050" t="19050" r="36195" b="61595"/>
                <wp:wrapNone/>
                <wp:docPr id="40" name="Group 1323"/>
                <wp:cNvGraphicFramePr/>
                <a:graphic xmlns:a="http://schemas.openxmlformats.org/drawingml/2006/main">
                  <a:graphicData uri="http://schemas.microsoft.com/office/word/2010/wordprocessingGroup">
                    <wpg:wgp>
                      <wpg:cNvGrpSpPr/>
                      <wpg:grpSpPr>
                        <a:xfrm>
                          <a:off x="0" y="0"/>
                          <a:ext cx="5031105" cy="1138555"/>
                          <a:chOff x="0" y="0"/>
                          <a:chExt cx="8140" cy="1793"/>
                        </a:xfrm>
                      </wpg:grpSpPr>
                      <wps:wsp>
                        <wps:cNvPr id="13" name="Text Box 1191"/>
                        <wps:cNvSpPr txBox="1"/>
                        <wps:spPr>
                          <a:xfrm>
                            <a:off x="0" y="21"/>
                            <a:ext cx="1320" cy="558"/>
                          </a:xfrm>
                          <a:prstGeom prst="rect">
                            <a:avLst/>
                          </a:prstGeom>
                          <a:solidFill>
                            <a:srgbClr val="9BBB59">
                              <a:alpha val="79999"/>
                            </a:srgbClr>
                          </a:solidFill>
                          <a:ln w="38100" cap="flat" cmpd="sng">
                            <a:solidFill>
                              <a:srgbClr val="F2F2F2"/>
                            </a:solidFill>
                            <a:prstDash val="solid"/>
                            <a:miter/>
                            <a:headEnd type="none" w="med" len="med"/>
                            <a:tailEnd type="none" w="med" len="med"/>
                          </a:ln>
                          <a:effectLst>
                            <a:outerShdw dist="28398" dir="3806096" algn="ctr" rotWithShape="0">
                              <a:srgbClr val="4E6128">
                                <a:alpha val="50000"/>
                              </a:srgbClr>
                            </a:outerShdw>
                          </a:effectLst>
                        </wps:spPr>
                        <wps:txbx>
                          <w:txbxContent>
                            <w:p w14:paraId="3D296E0F">
                              <w:pPr>
                                <w:ind w:firstLine="0" w:firstLineChars="0"/>
                                <w:jc w:val="center"/>
                                <w:rPr>
                                  <w:szCs w:val="21"/>
                                </w:rPr>
                              </w:pPr>
                              <w:r>
                                <w:rPr>
                                  <w:rFonts w:hint="eastAsia"/>
                                  <w:szCs w:val="21"/>
                                </w:rPr>
                                <w:t>钻前准备</w:t>
                              </w:r>
                            </w:p>
                          </w:txbxContent>
                        </wps:txbx>
                        <wps:bodyPr upright="1"/>
                      </wps:wsp>
                      <wps:wsp>
                        <wps:cNvPr id="14" name="Text Box 1192"/>
                        <wps:cNvSpPr txBox="1"/>
                        <wps:spPr>
                          <a:xfrm>
                            <a:off x="1736" y="21"/>
                            <a:ext cx="1409" cy="558"/>
                          </a:xfrm>
                          <a:prstGeom prst="rect">
                            <a:avLst/>
                          </a:prstGeom>
                          <a:solidFill>
                            <a:srgbClr val="9BBB59">
                              <a:alpha val="79999"/>
                            </a:srgbClr>
                          </a:solidFill>
                          <a:ln w="38100" cap="flat" cmpd="sng">
                            <a:solidFill>
                              <a:srgbClr val="F2F2F2"/>
                            </a:solidFill>
                            <a:prstDash val="solid"/>
                            <a:miter/>
                            <a:headEnd type="none" w="med" len="med"/>
                            <a:tailEnd type="none" w="med" len="med"/>
                          </a:ln>
                          <a:effectLst>
                            <a:outerShdw dist="28398" dir="3806096" algn="ctr" rotWithShape="0">
                              <a:srgbClr val="4E6128">
                                <a:alpha val="50000"/>
                              </a:srgbClr>
                            </a:outerShdw>
                          </a:effectLst>
                        </wps:spPr>
                        <wps:txbx>
                          <w:txbxContent>
                            <w:p w14:paraId="526668F5">
                              <w:pPr>
                                <w:ind w:firstLine="0" w:firstLineChars="0"/>
                                <w:rPr>
                                  <w:szCs w:val="21"/>
                                </w:rPr>
                              </w:pPr>
                              <w:r>
                                <w:rPr>
                                  <w:rFonts w:hint="eastAsia"/>
                                  <w:szCs w:val="21"/>
                                </w:rPr>
                                <w:t>设备安装</w:t>
                              </w:r>
                            </w:p>
                          </w:txbxContent>
                        </wps:txbx>
                        <wps:bodyPr upright="1"/>
                      </wps:wsp>
                      <wps:wsp>
                        <wps:cNvPr id="15" name="Text Box 1193"/>
                        <wps:cNvSpPr txBox="1"/>
                        <wps:spPr>
                          <a:xfrm>
                            <a:off x="3487" y="10"/>
                            <a:ext cx="1409" cy="569"/>
                          </a:xfrm>
                          <a:prstGeom prst="rect">
                            <a:avLst/>
                          </a:prstGeom>
                          <a:solidFill>
                            <a:srgbClr val="9BBB59">
                              <a:alpha val="79999"/>
                            </a:srgbClr>
                          </a:solidFill>
                          <a:ln w="38100" cap="flat" cmpd="sng">
                            <a:solidFill>
                              <a:srgbClr val="F2F2F2"/>
                            </a:solidFill>
                            <a:prstDash val="solid"/>
                            <a:miter/>
                            <a:headEnd type="none" w="med" len="med"/>
                            <a:tailEnd type="none" w="med" len="med"/>
                          </a:ln>
                          <a:effectLst>
                            <a:outerShdw dist="28398" dir="3806096" algn="ctr" rotWithShape="0">
                              <a:srgbClr val="4E6128">
                                <a:alpha val="50000"/>
                              </a:srgbClr>
                            </a:outerShdw>
                          </a:effectLst>
                        </wps:spPr>
                        <wps:txbx>
                          <w:txbxContent>
                            <w:p w14:paraId="3849D19C">
                              <w:pPr>
                                <w:ind w:firstLine="0" w:firstLineChars="0"/>
                                <w:jc w:val="center"/>
                                <w:rPr>
                                  <w:szCs w:val="21"/>
                                </w:rPr>
                              </w:pPr>
                              <w:r>
                                <w:rPr>
                                  <w:rFonts w:hint="eastAsia"/>
                                  <w:szCs w:val="21"/>
                                </w:rPr>
                                <w:t>一开钻进</w:t>
                              </w:r>
                            </w:p>
                          </w:txbxContent>
                        </wps:txbx>
                        <wps:bodyPr upright="1"/>
                      </wps:wsp>
                      <wps:wsp>
                        <wps:cNvPr id="16" name="Text Box 1194"/>
                        <wps:cNvSpPr txBox="1"/>
                        <wps:spPr>
                          <a:xfrm>
                            <a:off x="5280" y="0"/>
                            <a:ext cx="1567" cy="579"/>
                          </a:xfrm>
                          <a:prstGeom prst="rect">
                            <a:avLst/>
                          </a:prstGeom>
                          <a:solidFill>
                            <a:srgbClr val="9BBB59">
                              <a:alpha val="79999"/>
                            </a:srgbClr>
                          </a:solidFill>
                          <a:ln w="38100" cap="flat" cmpd="sng">
                            <a:solidFill>
                              <a:srgbClr val="F2F2F2"/>
                            </a:solidFill>
                            <a:prstDash val="solid"/>
                            <a:miter/>
                            <a:headEnd type="none" w="med" len="med"/>
                            <a:tailEnd type="none" w="med" len="med"/>
                          </a:ln>
                          <a:effectLst>
                            <a:outerShdw dist="28398" dir="3806096" algn="ctr" rotWithShape="0">
                              <a:srgbClr val="4E6128">
                                <a:alpha val="50000"/>
                              </a:srgbClr>
                            </a:outerShdw>
                          </a:effectLst>
                        </wps:spPr>
                        <wps:txbx>
                          <w:txbxContent>
                            <w:p w14:paraId="0150A55F">
                              <w:pPr>
                                <w:ind w:firstLine="0" w:firstLineChars="0"/>
                                <w:rPr>
                                  <w:szCs w:val="21"/>
                                </w:rPr>
                              </w:pPr>
                              <w:r>
                                <w:rPr>
                                  <w:rFonts w:hint="eastAsia"/>
                                  <w:szCs w:val="21"/>
                                </w:rPr>
                                <w:t>下表层套管</w:t>
                              </w:r>
                            </w:p>
                          </w:txbxContent>
                        </wps:txbx>
                        <wps:bodyPr upright="1"/>
                      </wps:wsp>
                      <wps:wsp>
                        <wps:cNvPr id="17" name="Text Box 1195"/>
                        <wps:cNvSpPr txBox="1"/>
                        <wps:spPr>
                          <a:xfrm>
                            <a:off x="375" y="1214"/>
                            <a:ext cx="1410" cy="579"/>
                          </a:xfrm>
                          <a:prstGeom prst="rect">
                            <a:avLst/>
                          </a:prstGeom>
                          <a:solidFill>
                            <a:srgbClr val="9BBB59">
                              <a:alpha val="79999"/>
                            </a:srgbClr>
                          </a:solidFill>
                          <a:ln w="38100" cap="flat" cmpd="sng">
                            <a:solidFill>
                              <a:srgbClr val="F2F2F2"/>
                            </a:solidFill>
                            <a:prstDash val="solid"/>
                            <a:miter/>
                            <a:headEnd type="none" w="med" len="med"/>
                            <a:tailEnd type="none" w="med" len="med"/>
                          </a:ln>
                          <a:effectLst>
                            <a:outerShdw dist="28398" dir="3806096" algn="ctr" rotWithShape="0">
                              <a:srgbClr val="4E6128">
                                <a:alpha val="50000"/>
                              </a:srgbClr>
                            </a:outerShdw>
                          </a:effectLst>
                        </wps:spPr>
                        <wps:txbx>
                          <w:txbxContent>
                            <w:p w14:paraId="0943FC11">
                              <w:pPr>
                                <w:ind w:firstLine="0" w:firstLineChars="0"/>
                                <w:jc w:val="center"/>
                                <w:rPr>
                                  <w:szCs w:val="21"/>
                                </w:rPr>
                              </w:pPr>
                              <w:r>
                                <w:rPr>
                                  <w:rFonts w:hint="eastAsia"/>
                                  <w:szCs w:val="21"/>
                                </w:rPr>
                                <w:t>二开钻进</w:t>
                              </w:r>
                            </w:p>
                          </w:txbxContent>
                        </wps:txbx>
                        <wps:bodyPr upright="1"/>
                      </wps:wsp>
                      <wps:wsp>
                        <wps:cNvPr id="18" name="Text Box 1196"/>
                        <wps:cNvSpPr txBox="1"/>
                        <wps:spPr>
                          <a:xfrm>
                            <a:off x="2160" y="1199"/>
                            <a:ext cx="1095" cy="594"/>
                          </a:xfrm>
                          <a:prstGeom prst="rect">
                            <a:avLst/>
                          </a:prstGeom>
                          <a:solidFill>
                            <a:srgbClr val="9BBB59">
                              <a:alpha val="79999"/>
                            </a:srgbClr>
                          </a:solidFill>
                          <a:ln w="38100" cap="flat" cmpd="sng">
                            <a:solidFill>
                              <a:srgbClr val="F2F2F2"/>
                            </a:solidFill>
                            <a:prstDash val="solid"/>
                            <a:miter/>
                            <a:headEnd type="none" w="med" len="med"/>
                            <a:tailEnd type="none" w="med" len="med"/>
                          </a:ln>
                          <a:effectLst>
                            <a:outerShdw dist="28398" dir="3806096" algn="ctr" rotWithShape="0">
                              <a:srgbClr val="4E6128">
                                <a:alpha val="50000"/>
                              </a:srgbClr>
                            </a:outerShdw>
                          </a:effectLst>
                        </wps:spPr>
                        <wps:txbx>
                          <w:txbxContent>
                            <w:p w14:paraId="30071C31">
                              <w:pPr>
                                <w:ind w:firstLine="0" w:firstLineChars="0"/>
                                <w:jc w:val="center"/>
                                <w:rPr>
                                  <w:szCs w:val="21"/>
                                </w:rPr>
                              </w:pPr>
                              <w:r>
                                <w:rPr>
                                  <w:rFonts w:hint="eastAsia"/>
                                  <w:szCs w:val="21"/>
                                </w:rPr>
                                <w:t>电 测</w:t>
                              </w:r>
                            </w:p>
                          </w:txbxContent>
                        </wps:txbx>
                        <wps:bodyPr upright="1"/>
                      </wps:wsp>
                      <wps:wsp>
                        <wps:cNvPr id="19" name="Text Box 1197"/>
                        <wps:cNvSpPr txBox="1"/>
                        <wps:spPr>
                          <a:xfrm>
                            <a:off x="3600" y="1201"/>
                            <a:ext cx="1112" cy="592"/>
                          </a:xfrm>
                          <a:prstGeom prst="rect">
                            <a:avLst/>
                          </a:prstGeom>
                          <a:solidFill>
                            <a:srgbClr val="9BBB59">
                              <a:alpha val="79999"/>
                            </a:srgbClr>
                          </a:solidFill>
                          <a:ln w="38100" cap="flat" cmpd="sng">
                            <a:solidFill>
                              <a:srgbClr val="F2F2F2"/>
                            </a:solidFill>
                            <a:prstDash val="solid"/>
                            <a:miter/>
                            <a:headEnd type="none" w="med" len="med"/>
                            <a:tailEnd type="none" w="med" len="med"/>
                          </a:ln>
                          <a:effectLst>
                            <a:outerShdw dist="28398" dir="3806096" algn="ctr" rotWithShape="0">
                              <a:srgbClr val="4E6128">
                                <a:alpha val="50000"/>
                              </a:srgbClr>
                            </a:outerShdw>
                          </a:effectLst>
                        </wps:spPr>
                        <wps:txbx>
                          <w:txbxContent>
                            <w:p w14:paraId="0AB66E64">
                              <w:pPr>
                                <w:ind w:firstLine="0" w:firstLineChars="0"/>
                                <w:jc w:val="center"/>
                                <w:rPr>
                                  <w:szCs w:val="21"/>
                                </w:rPr>
                              </w:pPr>
                              <w:r>
                                <w:rPr>
                                  <w:rFonts w:hint="eastAsia"/>
                                  <w:szCs w:val="21"/>
                                </w:rPr>
                                <w:t>下套管</w:t>
                              </w:r>
                            </w:p>
                          </w:txbxContent>
                        </wps:txbx>
                        <wps:bodyPr upright="1"/>
                      </wps:wsp>
                      <wps:wsp>
                        <wps:cNvPr id="20" name="Text Box 1198"/>
                        <wps:cNvSpPr txBox="1"/>
                        <wps:spPr>
                          <a:xfrm>
                            <a:off x="7200" y="0"/>
                            <a:ext cx="940" cy="579"/>
                          </a:xfrm>
                          <a:prstGeom prst="rect">
                            <a:avLst/>
                          </a:prstGeom>
                          <a:solidFill>
                            <a:srgbClr val="9BBB59">
                              <a:alpha val="79999"/>
                            </a:srgbClr>
                          </a:solidFill>
                          <a:ln w="38100" cap="flat" cmpd="sng">
                            <a:solidFill>
                              <a:srgbClr val="F2F2F2"/>
                            </a:solidFill>
                            <a:prstDash val="solid"/>
                            <a:miter/>
                            <a:headEnd type="none" w="med" len="med"/>
                            <a:tailEnd type="none" w="med" len="med"/>
                          </a:ln>
                          <a:effectLst>
                            <a:outerShdw dist="28398" dir="3806096" algn="ctr" rotWithShape="0">
                              <a:srgbClr val="4E6128">
                                <a:alpha val="50000"/>
                              </a:srgbClr>
                            </a:outerShdw>
                          </a:effectLst>
                        </wps:spPr>
                        <wps:txbx>
                          <w:txbxContent>
                            <w:p w14:paraId="30B56545">
                              <w:pPr>
                                <w:ind w:firstLine="0" w:firstLineChars="0"/>
                                <w:jc w:val="center"/>
                                <w:rPr>
                                  <w:szCs w:val="21"/>
                                </w:rPr>
                              </w:pPr>
                              <w:r>
                                <w:rPr>
                                  <w:rFonts w:hint="eastAsia"/>
                                  <w:szCs w:val="21"/>
                                </w:rPr>
                                <w:t>固</w:t>
                              </w:r>
                              <w:r>
                                <w:rPr>
                                  <w:rFonts w:hint="eastAsia"/>
                                  <w:szCs w:val="21"/>
                                  <w:lang w:eastAsia="zh-CN"/>
                                </w:rPr>
                                <w:t>井</w:t>
                              </w:r>
                              <w:r>
                                <w:rPr>
                                  <w:rFonts w:hint="eastAsia"/>
                                  <w:szCs w:val="21"/>
                                </w:rPr>
                                <w:t xml:space="preserve"> 井</w:t>
                              </w:r>
                            </w:p>
                          </w:txbxContent>
                        </wps:txbx>
                        <wps:bodyPr upright="1"/>
                      </wps:wsp>
                      <wps:wsp>
                        <wps:cNvPr id="21" name="Text Box 1199"/>
                        <wps:cNvSpPr txBox="1"/>
                        <wps:spPr>
                          <a:xfrm>
                            <a:off x="5040" y="1214"/>
                            <a:ext cx="939" cy="579"/>
                          </a:xfrm>
                          <a:prstGeom prst="rect">
                            <a:avLst/>
                          </a:prstGeom>
                          <a:solidFill>
                            <a:srgbClr val="9BBB59">
                              <a:alpha val="79999"/>
                            </a:srgbClr>
                          </a:solidFill>
                          <a:ln w="38100" cap="flat" cmpd="sng">
                            <a:solidFill>
                              <a:srgbClr val="F2F2F2"/>
                            </a:solidFill>
                            <a:prstDash val="solid"/>
                            <a:miter/>
                            <a:headEnd type="none" w="med" len="med"/>
                            <a:tailEnd type="none" w="med" len="med"/>
                          </a:ln>
                          <a:effectLst>
                            <a:outerShdw dist="28398" dir="3806096" algn="ctr" rotWithShape="0">
                              <a:srgbClr val="4E6128">
                                <a:alpha val="50000"/>
                              </a:srgbClr>
                            </a:outerShdw>
                          </a:effectLst>
                        </wps:spPr>
                        <wps:txbx>
                          <w:txbxContent>
                            <w:p w14:paraId="1A7EF37D">
                              <w:pPr>
                                <w:ind w:firstLine="0" w:firstLineChars="0"/>
                                <w:rPr>
                                  <w:szCs w:val="21"/>
                                </w:rPr>
                              </w:pPr>
                              <w:r>
                                <w:rPr>
                                  <w:rFonts w:hint="eastAsia"/>
                                  <w:szCs w:val="21"/>
                                </w:rPr>
                                <w:t>固</w:t>
                              </w:r>
                              <w:r>
                                <w:rPr>
                                  <w:rFonts w:hint="eastAsia"/>
                                  <w:szCs w:val="21"/>
                                  <w:lang w:eastAsia="zh-CN"/>
                                </w:rPr>
                                <w:t>井</w:t>
                              </w:r>
                              <w:r>
                                <w:rPr>
                                  <w:rFonts w:hint="eastAsia"/>
                                  <w:szCs w:val="21"/>
                                </w:rPr>
                                <w:t xml:space="preserve"> 井</w:t>
                              </w:r>
                            </w:p>
                          </w:txbxContent>
                        </wps:txbx>
                        <wps:bodyPr upright="1"/>
                      </wps:wsp>
                      <wps:wsp>
                        <wps:cNvPr id="25" name="Line 1200"/>
                        <wps:cNvCnPr/>
                        <wps:spPr>
                          <a:xfrm>
                            <a:off x="1320" y="416"/>
                            <a:ext cx="387" cy="0"/>
                          </a:xfrm>
                          <a:prstGeom prst="line">
                            <a:avLst/>
                          </a:prstGeom>
                          <a:ln w="9525" cap="flat" cmpd="sng">
                            <a:solidFill>
                              <a:srgbClr val="000000"/>
                            </a:solidFill>
                            <a:prstDash val="solid"/>
                            <a:headEnd type="none" w="med" len="med"/>
                            <a:tailEnd type="stealth" w="med" len="med"/>
                          </a:ln>
                        </wps:spPr>
                        <wps:bodyPr upright="1"/>
                      </wps:wsp>
                      <wps:wsp>
                        <wps:cNvPr id="26" name="Text Box 1201"/>
                        <wps:cNvSpPr txBox="1"/>
                        <wps:spPr>
                          <a:xfrm>
                            <a:off x="6360" y="1231"/>
                            <a:ext cx="939" cy="562"/>
                          </a:xfrm>
                          <a:prstGeom prst="rect">
                            <a:avLst/>
                          </a:prstGeom>
                          <a:solidFill>
                            <a:srgbClr val="9BBB59">
                              <a:alpha val="79999"/>
                            </a:srgbClr>
                          </a:solidFill>
                          <a:ln w="38100" cap="flat" cmpd="sng">
                            <a:solidFill>
                              <a:srgbClr val="F2F2F2"/>
                            </a:solidFill>
                            <a:prstDash val="solid"/>
                            <a:miter/>
                            <a:headEnd type="none" w="med" len="med"/>
                            <a:tailEnd type="none" w="med" len="med"/>
                          </a:ln>
                          <a:effectLst>
                            <a:outerShdw dist="28398" dir="3806096" algn="ctr" rotWithShape="0">
                              <a:srgbClr val="4E6128">
                                <a:alpha val="50000"/>
                              </a:srgbClr>
                            </a:outerShdw>
                          </a:effectLst>
                        </wps:spPr>
                        <wps:txbx>
                          <w:txbxContent>
                            <w:p w14:paraId="527EC26C">
                              <w:pPr>
                                <w:ind w:firstLine="0" w:firstLineChars="0"/>
                                <w:jc w:val="center"/>
                                <w:rPr>
                                  <w:szCs w:val="21"/>
                                </w:rPr>
                              </w:pPr>
                              <w:r>
                                <w:rPr>
                                  <w:rFonts w:hint="eastAsia"/>
                                  <w:szCs w:val="21"/>
                                  <w:lang w:eastAsia="zh-CN"/>
                                </w:rPr>
                                <w:t>完井</w:t>
                              </w:r>
                              <w:r>
                                <w:rPr>
                                  <w:rFonts w:hint="eastAsia"/>
                                  <w:szCs w:val="21"/>
                                </w:rPr>
                                <w:t xml:space="preserve"> 井</w:t>
                              </w:r>
                            </w:p>
                          </w:txbxContent>
                        </wps:txbx>
                        <wps:bodyPr upright="1"/>
                      </wps:wsp>
                      <wps:wsp>
                        <wps:cNvPr id="27" name="Line 1202"/>
                        <wps:cNvCnPr/>
                        <wps:spPr>
                          <a:xfrm>
                            <a:off x="3120" y="401"/>
                            <a:ext cx="387" cy="0"/>
                          </a:xfrm>
                          <a:prstGeom prst="line">
                            <a:avLst/>
                          </a:prstGeom>
                          <a:ln w="9525" cap="flat" cmpd="sng">
                            <a:solidFill>
                              <a:srgbClr val="000000"/>
                            </a:solidFill>
                            <a:prstDash val="solid"/>
                            <a:headEnd type="none" w="med" len="med"/>
                            <a:tailEnd type="stealth" w="med" len="med"/>
                          </a:ln>
                        </wps:spPr>
                        <wps:bodyPr upright="1"/>
                      </wps:wsp>
                      <wps:wsp>
                        <wps:cNvPr id="28" name="Line 1203"/>
                        <wps:cNvCnPr/>
                        <wps:spPr>
                          <a:xfrm>
                            <a:off x="4920" y="414"/>
                            <a:ext cx="387" cy="0"/>
                          </a:xfrm>
                          <a:prstGeom prst="line">
                            <a:avLst/>
                          </a:prstGeom>
                          <a:ln w="9525" cap="flat" cmpd="sng">
                            <a:solidFill>
                              <a:srgbClr val="000000"/>
                            </a:solidFill>
                            <a:prstDash val="solid"/>
                            <a:headEnd type="none" w="med" len="med"/>
                            <a:tailEnd type="stealth" w="med" len="med"/>
                          </a:ln>
                        </wps:spPr>
                        <wps:bodyPr upright="1"/>
                      </wps:wsp>
                      <wps:wsp>
                        <wps:cNvPr id="29" name="Line 1204"/>
                        <wps:cNvCnPr/>
                        <wps:spPr>
                          <a:xfrm>
                            <a:off x="6840" y="401"/>
                            <a:ext cx="387" cy="0"/>
                          </a:xfrm>
                          <a:prstGeom prst="line">
                            <a:avLst/>
                          </a:prstGeom>
                          <a:ln w="9525" cap="flat" cmpd="sng">
                            <a:solidFill>
                              <a:srgbClr val="000000"/>
                            </a:solidFill>
                            <a:prstDash val="solid"/>
                            <a:headEnd type="none" w="med" len="med"/>
                            <a:tailEnd type="stealth" w="med" len="med"/>
                          </a:ln>
                        </wps:spPr>
                        <wps:bodyPr upright="1"/>
                      </wps:wsp>
                      <wps:wsp>
                        <wps:cNvPr id="35" name="Line 1205"/>
                        <wps:cNvCnPr/>
                        <wps:spPr>
                          <a:xfrm>
                            <a:off x="0" y="1630"/>
                            <a:ext cx="387" cy="0"/>
                          </a:xfrm>
                          <a:prstGeom prst="line">
                            <a:avLst/>
                          </a:prstGeom>
                          <a:ln w="9525" cap="flat" cmpd="sng">
                            <a:solidFill>
                              <a:srgbClr val="000000"/>
                            </a:solidFill>
                            <a:prstDash val="solid"/>
                            <a:headEnd type="none" w="med" len="med"/>
                            <a:tailEnd type="stealth" w="med" len="med"/>
                          </a:ln>
                        </wps:spPr>
                        <wps:bodyPr upright="1"/>
                      </wps:wsp>
                      <wps:wsp>
                        <wps:cNvPr id="36" name="Line 1206"/>
                        <wps:cNvCnPr/>
                        <wps:spPr>
                          <a:xfrm>
                            <a:off x="1800" y="1630"/>
                            <a:ext cx="387" cy="0"/>
                          </a:xfrm>
                          <a:prstGeom prst="line">
                            <a:avLst/>
                          </a:prstGeom>
                          <a:ln w="9525" cap="flat" cmpd="sng">
                            <a:solidFill>
                              <a:srgbClr val="000000"/>
                            </a:solidFill>
                            <a:prstDash val="solid"/>
                            <a:headEnd type="none" w="med" len="med"/>
                            <a:tailEnd type="stealth" w="med" len="med"/>
                          </a:ln>
                        </wps:spPr>
                        <wps:bodyPr upright="1"/>
                      </wps:wsp>
                      <wps:wsp>
                        <wps:cNvPr id="37" name="Line 1207"/>
                        <wps:cNvCnPr/>
                        <wps:spPr>
                          <a:xfrm>
                            <a:off x="3240" y="1617"/>
                            <a:ext cx="387" cy="0"/>
                          </a:xfrm>
                          <a:prstGeom prst="line">
                            <a:avLst/>
                          </a:prstGeom>
                          <a:ln w="9525" cap="flat" cmpd="sng">
                            <a:solidFill>
                              <a:srgbClr val="000000"/>
                            </a:solidFill>
                            <a:prstDash val="solid"/>
                            <a:headEnd type="none" w="med" len="med"/>
                            <a:tailEnd type="stealth" w="med" len="med"/>
                          </a:ln>
                        </wps:spPr>
                        <wps:bodyPr upright="1"/>
                      </wps:wsp>
                      <wps:wsp>
                        <wps:cNvPr id="38" name="Line 1208"/>
                        <wps:cNvCnPr/>
                        <wps:spPr>
                          <a:xfrm>
                            <a:off x="4680" y="1630"/>
                            <a:ext cx="387" cy="0"/>
                          </a:xfrm>
                          <a:prstGeom prst="line">
                            <a:avLst/>
                          </a:prstGeom>
                          <a:ln w="9525" cap="flat" cmpd="sng">
                            <a:solidFill>
                              <a:srgbClr val="000000"/>
                            </a:solidFill>
                            <a:prstDash val="solid"/>
                            <a:headEnd type="none" w="med" len="med"/>
                            <a:tailEnd type="stealth" w="med" len="med"/>
                          </a:ln>
                        </wps:spPr>
                        <wps:bodyPr upright="1"/>
                      </wps:wsp>
                      <wps:wsp>
                        <wps:cNvPr id="39" name="Line 1209"/>
                        <wps:cNvCnPr/>
                        <wps:spPr>
                          <a:xfrm>
                            <a:off x="6000" y="1630"/>
                            <a:ext cx="387" cy="0"/>
                          </a:xfrm>
                          <a:prstGeom prst="line">
                            <a:avLst/>
                          </a:prstGeom>
                          <a:ln w="9525" cap="flat" cmpd="sng">
                            <a:solidFill>
                              <a:srgbClr val="000000"/>
                            </a:solidFill>
                            <a:prstDash val="solid"/>
                            <a:headEnd type="none" w="med" len="med"/>
                            <a:tailEnd type="stealth" w="med" len="med"/>
                          </a:ln>
                        </wps:spPr>
                        <wps:bodyPr upright="1"/>
                      </wps:wsp>
                    </wpg:wgp>
                  </a:graphicData>
                </a:graphic>
              </wp:anchor>
            </w:drawing>
          </mc:Choice>
          <mc:Fallback>
            <w:pict>
              <v:group id="Group 1323" o:spid="_x0000_s1026" o:spt="203" style="position:absolute;left:0pt;margin-left:18pt;margin-top:10.6pt;height:89.65pt;width:396.15pt;z-index:251660288;mso-width-relative:page;mso-height-relative:page;" coordsize="8140,1793" o:gfxdata="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">
                <o:lock v:ext="edit" aspectratio="f"/>
                <v:shape id="Text Box 1191" o:spid="_x0000_s1026" o:spt="202" type="#_x0000_t202" style="position:absolute;left:0;top:21;height:558;width:1320;" fillcolor="#9BBB59" filled="t" stroked="t" coordsize="21600,21600" o:gfxdata="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WZMDrsAAADb&#10;AAAADwAAAAAAAAABACAAAAAiAAAAZHJzL2Rvd25yZXYueG1sUEsBAhQAFAAAAAgAh07iQDMvBZ47&#10;AAAAOQAAABAAAAAAAAAAAQAgAAAACgEAAGRycy9zaGFwZXhtbC54bWxQSwUGAAAAAAYABgBbAQAA&#10;tAMAAAAA&#10;">
                  <v:fill on="t" opacity="52428f" focussize="0,0"/>
                  <v:stroke weight="3pt" color="#F2F2F2" joinstyle="miter"/>
                  <v:imagedata o:title=""/>
                  <o:lock v:ext="edit" aspectratio="f"/>
                  <v:shadow on="t" color="#4E6128" opacity="32768f" offset="1pt,2pt" origin="0f,0f" matrix="65536f,0f,0f,65536f"/>
                  <v:textbox>
                    <w:txbxContent>
                      <w:p w14:paraId="3D296E0F">
                        <w:pPr>
                          <w:ind w:firstLine="0" w:firstLineChars="0"/>
                          <w:jc w:val="center"/>
                          <w:rPr>
                            <w:szCs w:val="21"/>
                          </w:rPr>
                        </w:pPr>
                        <w:r>
                          <w:rPr>
                            <w:rFonts w:hint="eastAsia"/>
                            <w:szCs w:val="21"/>
                          </w:rPr>
                          <w:t>钻前准备</w:t>
                        </w:r>
                      </w:p>
                    </w:txbxContent>
                  </v:textbox>
                </v:shape>
                <v:shape id="Text Box 1192" o:spid="_x0000_s1026" o:spt="202" type="#_x0000_t202" style="position:absolute;left:1736;top:21;height:558;width:1409;" fillcolor="#9BBB59" filled="t" stroked="t" coordsize="21600,21600" o:gfxdata="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o/UersAAADb&#10;AAAADwAAAAAAAAABACAAAAAiAAAAZHJzL2Rvd25yZXYueG1sUEsBAhQAFAAAAAgAh07iQDMvBZ47&#10;AAAAOQAAABAAAAAAAAAAAQAgAAAACgEAAGRycy9zaGFwZXhtbC54bWxQSwUGAAAAAAYABgBbAQAA&#10;tAMAAAAA&#10;">
                  <v:fill on="t" opacity="52428f" focussize="0,0"/>
                  <v:stroke weight="3pt" color="#F2F2F2" joinstyle="miter"/>
                  <v:imagedata o:title=""/>
                  <o:lock v:ext="edit" aspectratio="f"/>
                  <v:shadow on="t" color="#4E6128" opacity="32768f" offset="1pt,2pt" origin="0f,0f" matrix="65536f,0f,0f,65536f"/>
                  <v:textbox>
                    <w:txbxContent>
                      <w:p w14:paraId="526668F5">
                        <w:pPr>
                          <w:ind w:firstLine="0" w:firstLineChars="0"/>
                          <w:rPr>
                            <w:szCs w:val="21"/>
                          </w:rPr>
                        </w:pPr>
                        <w:r>
                          <w:rPr>
                            <w:rFonts w:hint="eastAsia"/>
                            <w:szCs w:val="21"/>
                          </w:rPr>
                          <w:t>设备安装</w:t>
                        </w:r>
                      </w:p>
                    </w:txbxContent>
                  </v:textbox>
                </v:shape>
                <v:shape id="Text Box 1193" o:spid="_x0000_s1026" o:spt="202" type="#_x0000_t202" style="position:absolute;left:3487;top:10;height:569;width:1409;" fillcolor="#9BBB59" filled="t" stroked="t" coordsize="21600,21600" o:gfxdata="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cNx4bsAAADb&#10;AAAADwAAAAAAAAABACAAAAAiAAAAZHJzL2Rvd25yZXYueG1sUEsBAhQAFAAAAAgAh07iQDMvBZ47&#10;AAAAOQAAABAAAAAAAAAAAQAgAAAACgEAAGRycy9zaGFwZXhtbC54bWxQSwUGAAAAAAYABgBbAQAA&#10;tAMAAAAA&#10;">
                  <v:fill on="t" opacity="52428f" focussize="0,0"/>
                  <v:stroke weight="3pt" color="#F2F2F2" joinstyle="miter"/>
                  <v:imagedata o:title=""/>
                  <o:lock v:ext="edit" aspectratio="f"/>
                  <v:shadow on="t" color="#4E6128" opacity="32768f" offset="1pt,2pt" origin="0f,0f" matrix="65536f,0f,0f,65536f"/>
                  <v:textbox>
                    <w:txbxContent>
                      <w:p w14:paraId="3849D19C">
                        <w:pPr>
                          <w:ind w:firstLine="0" w:firstLineChars="0"/>
                          <w:jc w:val="center"/>
                          <w:rPr>
                            <w:szCs w:val="21"/>
                          </w:rPr>
                        </w:pPr>
                        <w:r>
                          <w:rPr>
                            <w:rFonts w:hint="eastAsia"/>
                            <w:szCs w:val="21"/>
                          </w:rPr>
                          <w:t>一开钻进</w:t>
                        </w:r>
                      </w:p>
                    </w:txbxContent>
                  </v:textbox>
                </v:shape>
                <v:shape id="Text Box 1194" o:spid="_x0000_s1026" o:spt="202" type="#_x0000_t202" style="position:absolute;left:5280;top:0;height:579;width:1567;" fillcolor="#9BBB59" filled="t" stroked="t" coordsize="21600,21600" o:gfxdata="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Ee+WugAAANsA&#10;AAAPAAAAAAAAAAEAIAAAACIAAABkcnMvZG93bnJldi54bWxQSwECFAAUAAAACACHTuJAMy8FnjsA&#10;AAA5AAAAEAAAAAAAAAABACAAAAAJAQAAZHJzL3NoYXBleG1sLnhtbFBLBQYAAAAABgAGAFsBAACz&#10;AwAAAAA=&#10;">
                  <v:fill on="t" opacity="52428f" focussize="0,0"/>
                  <v:stroke weight="3pt" color="#F2F2F2" joinstyle="miter"/>
                  <v:imagedata o:title=""/>
                  <o:lock v:ext="edit" aspectratio="f"/>
                  <v:shadow on="t" color="#4E6128" opacity="32768f" offset="1pt,2pt" origin="0f,0f" matrix="65536f,0f,0f,65536f"/>
                  <v:textbox>
                    <w:txbxContent>
                      <w:p w14:paraId="0150A55F">
                        <w:pPr>
                          <w:ind w:firstLine="0" w:firstLineChars="0"/>
                          <w:rPr>
                            <w:szCs w:val="21"/>
                          </w:rPr>
                        </w:pPr>
                        <w:r>
                          <w:rPr>
                            <w:rFonts w:hint="eastAsia"/>
                            <w:szCs w:val="21"/>
                          </w:rPr>
                          <w:t>下表层套管</w:t>
                        </w:r>
                      </w:p>
                    </w:txbxContent>
                  </v:textbox>
                </v:shape>
                <v:shape id="Text Box 1195" o:spid="_x0000_s1026" o:spt="202" type="#_x0000_t202" style="position:absolute;left:375;top:1214;height:579;width:1410;" fillcolor="#9BBB59" filled="t" stroked="t" coordsize="21600,21600" o:gfxdata="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l1KDbsAAADb&#10;AAAADwAAAAAAAAABACAAAAAiAAAAZHJzL2Rvd25yZXYueG1sUEsBAhQAFAAAAAgAh07iQDMvBZ47&#10;AAAAOQAAABAAAAAAAAAAAQAgAAAACgEAAGRycy9zaGFwZXhtbC54bWxQSwUGAAAAAAYABgBbAQAA&#10;tAMAAAAA&#10;">
                  <v:fill on="t" opacity="52428f" focussize="0,0"/>
                  <v:stroke weight="3pt" color="#F2F2F2" joinstyle="miter"/>
                  <v:imagedata o:title=""/>
                  <o:lock v:ext="edit" aspectratio="f"/>
                  <v:shadow on="t" color="#4E6128" opacity="32768f" offset="1pt,2pt" origin="0f,0f" matrix="65536f,0f,0f,65536f"/>
                  <v:textbox>
                    <w:txbxContent>
                      <w:p w14:paraId="0943FC11">
                        <w:pPr>
                          <w:ind w:firstLine="0" w:firstLineChars="0"/>
                          <w:jc w:val="center"/>
                          <w:rPr>
                            <w:szCs w:val="21"/>
                          </w:rPr>
                        </w:pPr>
                        <w:r>
                          <w:rPr>
                            <w:rFonts w:hint="eastAsia"/>
                            <w:szCs w:val="21"/>
                          </w:rPr>
                          <w:t>二开钻进</w:t>
                        </w:r>
                      </w:p>
                    </w:txbxContent>
                  </v:textbox>
                </v:shape>
                <v:shape id="Text Box 1196" o:spid="_x0000_s1026" o:spt="202" type="#_x0000_t202" style="position:absolute;left:2160;top:1199;height:594;width:1095;" fillcolor="#9BBB59" filled="t" stroked="t" coordsize="21600,21600" o:gfxdata="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C3n+8AAAA&#10;2wAAAA8AAAAAAAAAAQAgAAAAIgAAAGRycy9kb3ducmV2LnhtbFBLAQIUABQAAAAIAIdO4kAzLwWe&#10;OwAAADkAAAAQAAAAAAAAAAEAIAAAAAsBAABkcnMvc2hhcGV4bWwueG1sUEsFBgAAAAAGAAYAWwEA&#10;ALUDAAAAAA==&#10;">
                  <v:fill on="t" opacity="52428f" focussize="0,0"/>
                  <v:stroke weight="3pt" color="#F2F2F2" joinstyle="miter"/>
                  <v:imagedata o:title=""/>
                  <o:lock v:ext="edit" aspectratio="f"/>
                  <v:shadow on="t" color="#4E6128" opacity="32768f" offset="1pt,2pt" origin="0f,0f" matrix="65536f,0f,0f,65536f"/>
                  <v:textbox>
                    <w:txbxContent>
                      <w:p w14:paraId="30071C31">
                        <w:pPr>
                          <w:ind w:firstLine="0" w:firstLineChars="0"/>
                          <w:jc w:val="center"/>
                          <w:rPr>
                            <w:szCs w:val="21"/>
                          </w:rPr>
                        </w:pPr>
                        <w:r>
                          <w:rPr>
                            <w:rFonts w:hint="eastAsia"/>
                            <w:szCs w:val="21"/>
                          </w:rPr>
                          <w:t>电 测</w:t>
                        </w:r>
                      </w:p>
                    </w:txbxContent>
                  </v:textbox>
                </v:shape>
                <v:shape id="Text Box 1197" o:spid="_x0000_s1026" o:spt="202" type="#_x0000_t202" style="position:absolute;left:3600;top:1201;height:592;width:1112;" fillcolor="#9BBB59" filled="t" stroked="t" coordsize="21600,21600" o:gfxdata="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jnvkugAAANsA&#10;AAAPAAAAAAAAAAEAIAAAACIAAABkcnMvZG93bnJldi54bWxQSwECFAAUAAAACACHTuJAMy8FnjsA&#10;AAA5AAAAEAAAAAAAAAABACAAAAAJAQAAZHJzL3NoYXBleG1sLnhtbFBLBQYAAAAABgAGAFsBAACz&#10;AwAAAAA=&#10;">
                  <v:fill on="t" opacity="52428f" focussize="0,0"/>
                  <v:stroke weight="3pt" color="#F2F2F2" joinstyle="miter"/>
                  <v:imagedata o:title=""/>
                  <o:lock v:ext="edit" aspectratio="f"/>
                  <v:shadow on="t" color="#4E6128" opacity="32768f" offset="1pt,2pt" origin="0f,0f" matrix="65536f,0f,0f,65536f"/>
                  <v:textbox>
                    <w:txbxContent>
                      <w:p w14:paraId="0AB66E64">
                        <w:pPr>
                          <w:ind w:firstLine="0" w:firstLineChars="0"/>
                          <w:jc w:val="center"/>
                          <w:rPr>
                            <w:szCs w:val="21"/>
                          </w:rPr>
                        </w:pPr>
                        <w:r>
                          <w:rPr>
                            <w:rFonts w:hint="eastAsia"/>
                            <w:szCs w:val="21"/>
                          </w:rPr>
                          <w:t>下套管</w:t>
                        </w:r>
                      </w:p>
                    </w:txbxContent>
                  </v:textbox>
                </v:shape>
                <v:shape id="Text Box 1198" o:spid="_x0000_s1026" o:spt="202" type="#_x0000_t202" style="position:absolute;left:7200;top:0;height:579;width:940;" fillcolor="#9BBB59" filled="t" stroked="t" coordsize="21600,21600" o:gfxdata="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IfYGMS2AAAA2wAAAA8A&#10;AAAAAAAAAQAgAAAAIgAAAGRycy9kb3ducmV2LnhtbFBLAQIUABQAAAAIAIdO4kAzLwWeOwAAADkA&#10;AAAQAAAAAAAAAAEAIAAAAAUBAABkcnMvc2hhcGV4bWwueG1sUEsFBgAAAAAGAAYAWwEAAK8DAAAA&#10;AA==&#10;">
                  <v:fill on="t" opacity="52428f" focussize="0,0"/>
                  <v:stroke weight="3pt" color="#F2F2F2" joinstyle="miter"/>
                  <v:imagedata o:title=""/>
                  <o:lock v:ext="edit" aspectratio="f"/>
                  <v:shadow on="t" color="#4E6128" opacity="32768f" offset="1pt,2pt" origin="0f,0f" matrix="65536f,0f,0f,65536f"/>
                  <v:textbox>
                    <w:txbxContent>
                      <w:p w14:paraId="30B56545">
                        <w:pPr>
                          <w:ind w:firstLine="0" w:firstLineChars="0"/>
                          <w:jc w:val="center"/>
                          <w:rPr>
                            <w:szCs w:val="21"/>
                          </w:rPr>
                        </w:pPr>
                        <w:r>
                          <w:rPr>
                            <w:rFonts w:hint="eastAsia"/>
                            <w:szCs w:val="21"/>
                          </w:rPr>
                          <w:t>固</w:t>
                        </w:r>
                        <w:r>
                          <w:rPr>
                            <w:rFonts w:hint="eastAsia"/>
                            <w:szCs w:val="21"/>
                            <w:lang w:eastAsia="zh-CN"/>
                          </w:rPr>
                          <w:t>井</w:t>
                        </w:r>
                        <w:r>
                          <w:rPr>
                            <w:rFonts w:hint="eastAsia"/>
                            <w:szCs w:val="21"/>
                          </w:rPr>
                          <w:t xml:space="preserve"> 井</w:t>
                        </w:r>
                      </w:p>
                    </w:txbxContent>
                  </v:textbox>
                </v:shape>
                <v:shape id="Text Box 1199" o:spid="_x0000_s1026" o:spt="202" type="#_x0000_t202" style="position:absolute;left:5040;top:1214;height:579;width:939;" fillcolor="#9BBB59" filled="t" stroked="t" coordsize="21600,21600" o:gfxdata="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6JS9X7gAAADbAAAA&#10;DwAAAAAAAAABACAAAAAiAAAAZHJzL2Rvd25yZXYueG1sUEsBAhQAFAAAAAgAh07iQDMvBZ47AAAA&#10;OQAAABAAAAAAAAAAAQAgAAAABwEAAGRycy9zaGFwZXhtbC54bWxQSwUGAAAAAAYABgBbAQAAsQMA&#10;AAAA&#10;">
                  <v:fill on="t" opacity="52428f" focussize="0,0"/>
                  <v:stroke weight="3pt" color="#F2F2F2" joinstyle="miter"/>
                  <v:imagedata o:title=""/>
                  <o:lock v:ext="edit" aspectratio="f"/>
                  <v:shadow on="t" color="#4E6128" opacity="32768f" offset="1pt,2pt" origin="0f,0f" matrix="65536f,0f,0f,65536f"/>
                  <v:textbox>
                    <w:txbxContent>
                      <w:p w14:paraId="1A7EF37D">
                        <w:pPr>
                          <w:ind w:firstLine="0" w:firstLineChars="0"/>
                          <w:rPr>
                            <w:szCs w:val="21"/>
                          </w:rPr>
                        </w:pPr>
                        <w:r>
                          <w:rPr>
                            <w:rFonts w:hint="eastAsia"/>
                            <w:szCs w:val="21"/>
                          </w:rPr>
                          <w:t>固</w:t>
                        </w:r>
                        <w:r>
                          <w:rPr>
                            <w:rFonts w:hint="eastAsia"/>
                            <w:szCs w:val="21"/>
                            <w:lang w:eastAsia="zh-CN"/>
                          </w:rPr>
                          <w:t>井</w:t>
                        </w:r>
                        <w:r>
                          <w:rPr>
                            <w:rFonts w:hint="eastAsia"/>
                            <w:szCs w:val="21"/>
                          </w:rPr>
                          <w:t xml:space="preserve"> 井</w:t>
                        </w:r>
                      </w:p>
                    </w:txbxContent>
                  </v:textbox>
                </v:shape>
                <v:line id="Line 1200" o:spid="_x0000_s1026" o:spt="20" style="position:absolute;left:1320;top:416;height:0;width:387;" filled="f" stroked="t" coordsize="21600,21600" o:gfxdata="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Atxi8AAAA&#10;2w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shape id="Text Box 1201" o:spid="_x0000_s1026" o:spt="202" type="#_x0000_t202" style="position:absolute;left:6360;top:1231;height:562;width:939;" fillcolor="#9BBB59" filled="t" stroked="t" coordsize="21600,21600" o:gfxdata="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9JSu8AAAA&#10;2wAAAA8AAAAAAAAAAQAgAAAAIgAAAGRycy9kb3ducmV2LnhtbFBLAQIUABQAAAAIAIdO4kAzLwWe&#10;OwAAADkAAAAQAAAAAAAAAAEAIAAAAAsBAABkcnMvc2hhcGV4bWwueG1sUEsFBgAAAAAGAAYAWwEA&#10;ALUDAAAAAA==&#10;">
                  <v:fill on="t" opacity="52428f" focussize="0,0"/>
                  <v:stroke weight="3pt" color="#F2F2F2" joinstyle="miter"/>
                  <v:imagedata o:title=""/>
                  <o:lock v:ext="edit" aspectratio="f"/>
                  <v:shadow on="t" color="#4E6128" opacity="32768f" offset="1pt,2pt" origin="0f,0f" matrix="65536f,0f,0f,65536f"/>
                  <v:textbox>
                    <w:txbxContent>
                      <w:p w14:paraId="527EC26C">
                        <w:pPr>
                          <w:ind w:firstLine="0" w:firstLineChars="0"/>
                          <w:jc w:val="center"/>
                          <w:rPr>
                            <w:szCs w:val="21"/>
                          </w:rPr>
                        </w:pPr>
                        <w:r>
                          <w:rPr>
                            <w:rFonts w:hint="eastAsia"/>
                            <w:szCs w:val="21"/>
                            <w:lang w:eastAsia="zh-CN"/>
                          </w:rPr>
                          <w:t>完井</w:t>
                        </w:r>
                        <w:r>
                          <w:rPr>
                            <w:rFonts w:hint="eastAsia"/>
                            <w:szCs w:val="21"/>
                          </w:rPr>
                          <w:t xml:space="preserve"> 井</w:t>
                        </w:r>
                      </w:p>
                    </w:txbxContent>
                  </v:textbox>
                </v:shape>
                <v:line id="Line 1202" o:spid="_x0000_s1026" o:spt="20" style="position:absolute;left:3120;top:401;height:0;width:387;" filled="f" stroked="t" coordsize="21600,21600" o:gfxdata="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oz0ugAAANsA&#10;AAAPAAAAAAAAAAEAIAAAACIAAABkcnMvZG93bnJldi54bWxQSwECFAAUAAAACACHTuJAMy8FnjsA&#10;AAA5AAAAEAAAAAAAAAABACAAAAAJAQAAZHJzL3NoYXBleG1sLnhtbFBLBQYAAAAABgAGAFsBAACz&#10;AwAAAAA=&#10;">
                  <v:fill on="f" focussize="0,0"/>
                  <v:stroke color="#000000" joinstyle="round" endarrow="classic"/>
                  <v:imagedata o:title=""/>
                  <o:lock v:ext="edit" aspectratio="f"/>
                </v:line>
                <v:line id="Line 1203" o:spid="_x0000_s1026" o:spt="20" style="position:absolute;left:4920;top:414;height:0;width:387;" filled="f" stroked="t" coordsize="21600,21600" o:gfxdata="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z8EYhrUAAADbAAAADwAA&#10;AAAAAAABACAAAAAiAAAAZHJzL2Rvd25yZXYueG1sUEsBAhQAFAAAAAgAh07iQDMvBZ47AAAAOQAA&#10;ABAAAAAAAAAAAQAgAAAABAEAAGRycy9zaGFwZXhtbC54bWxQSwUGAAAAAAYABgBbAQAArgMAAAAA&#10;">
                  <v:fill on="f" focussize="0,0"/>
                  <v:stroke color="#000000" joinstyle="round" endarrow="classic"/>
                  <v:imagedata o:title=""/>
                  <o:lock v:ext="edit" aspectratio="f"/>
                </v:line>
                <v:line id="Line 1204" o:spid="_x0000_s1026" o:spt="20" style="position:absolute;left:6840;top:401;height:0;width:387;" filled="f" stroked="t" coordsize="21600,21600" o:gfxdata="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jb0dugAAANsA&#10;AAAPAAAAAAAAAAEAIAAAACIAAABkcnMvZG93bnJldi54bWxQSwECFAAUAAAACACHTuJAMy8FnjsA&#10;AAA5AAAAEAAAAAAAAAABACAAAAAJAQAAZHJzL3NoYXBleG1sLnhtbFBLBQYAAAAABgAGAFsBAACz&#10;AwAAAAA=&#10;">
                  <v:fill on="f" focussize="0,0"/>
                  <v:stroke color="#000000" joinstyle="round" endarrow="classic"/>
                  <v:imagedata o:title=""/>
                  <o:lock v:ext="edit" aspectratio="f"/>
                </v:line>
                <v:line id="Line 1205" o:spid="_x0000_s1026" o:spt="20" style="position:absolute;left:0;top:1630;height:0;width:387;" filled="f" stroked="t" coordsize="21600,21600" o:gfxdata="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QZIcW8AAAA&#10;2w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line id="Line 1206" o:spid="_x0000_s1026" o:spt="20" style="position:absolute;left:1800;top:1630;height:0;width:387;" filled="f" stroked="t" coordsize="21600,21600" o:gfxdata="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Lv7K8AAAA&#10;2w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line id="Line 1207" o:spid="_x0000_s1026" o:spt="20" style="position:absolute;left:3240;top:1617;height:0;width:387;" filled="f" stroked="t" coordsize="21600,21600" o:gfxdata="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4caKbsAAADb&#10;AAAADwAAAAAAAAABACAAAAAiAAAAZHJzL2Rvd25yZXYueG1sUEsBAhQAFAAAAAgAh07iQDMvBZ47&#10;AAAAOQAAABAAAAAAAAAAAQAgAAAACgEAAGRycy9zaGFwZXhtbC54bWxQSwUGAAAAAAYABgBbAQAA&#10;tAMAAAAA&#10;">
                  <v:fill on="f" focussize="0,0"/>
                  <v:stroke color="#000000" joinstyle="round" endarrow="classic"/>
                  <v:imagedata o:title=""/>
                  <o:lock v:ext="edit" aspectratio="f"/>
                </v:line>
                <v:line id="Line 1208" o:spid="_x0000_s1026" o:spt="20" style="position:absolute;left:4680;top:1630;height:0;width:387;" filled="f" stroked="t" coordsize="21600,21600" o:gfxdata="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oYjlu5AAAA2wAA&#10;AA8AAAAAAAAAAQAgAAAAIgAAAGRycy9kb3ducmV2LnhtbFBLAQIUABQAAAAIAIdO4kAzLwWeOwAA&#10;ADkAAAAQAAAAAAAAAAEAIAAAAAgBAABkcnMvc2hhcGV4bWwueG1sUEsFBgAAAAAGAAYAWwEAALID&#10;AAAAAA==&#10;">
                  <v:fill on="f" focussize="0,0"/>
                  <v:stroke color="#000000" joinstyle="round" endarrow="classic"/>
                  <v:imagedata o:title=""/>
                  <o:lock v:ext="edit" aspectratio="f"/>
                </v:line>
                <v:line id="Line 1209" o:spid="_x0000_s1026" o:spt="20" style="position:absolute;left:6000;top:1630;height:0;width:387;" filled="f" stroked="t" coordsize="21600,21600" o:gfxdata="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VQrwLsAAADb&#10;AAAADwAAAAAAAAABACAAAAAiAAAAZHJzL2Rvd25yZXYueG1sUEsBAhQAFAAAAAgAh07iQDMvBZ47&#10;AAAAOQAAABAAAAAAAAAAAQAgAAAACgEAAGRycy9zaGFwZXhtbC54bWxQSwUGAAAAAAYABgBbAQAA&#10;tAMAAAAA&#10;">
                  <v:fill on="f" focussize="0,0"/>
                  <v:stroke color="#000000" joinstyle="round" endarrow="classic"/>
                  <v:imagedata o:title=""/>
                  <o:lock v:ext="edit" aspectratio="f"/>
                </v:line>
              </v:group>
            </w:pict>
          </mc:Fallback>
        </mc:AlternateContent>
      </w:r>
    </w:p>
    <w:p w14:paraId="4430F4DD">
      <w:pPr>
        <w:ind w:firstLine="480"/>
        <w:rPr>
          <w:lang w:eastAsia="zh-CN"/>
        </w:rPr>
      </w:pPr>
    </w:p>
    <w:p w14:paraId="5D629E9B">
      <w:pPr>
        <w:ind w:firstLine="480"/>
        <w:rPr>
          <w:lang w:eastAsia="zh-CN"/>
        </w:rPr>
      </w:pPr>
    </w:p>
    <w:p w14:paraId="5D17064A">
      <w:pPr>
        <w:ind w:firstLine="480"/>
        <w:rPr>
          <w:lang w:eastAsia="zh-CN"/>
        </w:rPr>
      </w:pPr>
    </w:p>
    <w:p w14:paraId="1E248A29">
      <w:pPr>
        <w:ind w:firstLine="480"/>
        <w:rPr>
          <w:lang w:eastAsia="zh-CN"/>
        </w:rPr>
      </w:pPr>
    </w:p>
    <w:p w14:paraId="16069B7D">
      <w:pPr>
        <w:ind w:firstLine="480"/>
        <w:rPr>
          <w:lang w:eastAsia="zh-CN"/>
        </w:rPr>
      </w:pPr>
    </w:p>
    <w:p w14:paraId="2DA9C3A6">
      <w:pPr>
        <w:ind w:firstLine="0" w:firstLineChars="0"/>
        <w:jc w:val="center"/>
        <w:rPr>
          <w:b/>
          <w:lang w:eastAsia="zh-CN"/>
        </w:rPr>
      </w:pPr>
      <w:r>
        <w:rPr>
          <w:b/>
          <w:lang w:eastAsia="zh-CN"/>
        </w:rPr>
        <w:t>图3.4-</w:t>
      </w:r>
      <w:r>
        <w:rPr>
          <w:rFonts w:hint="eastAsia"/>
          <w:b/>
          <w:lang w:eastAsia="zh-CN"/>
        </w:rPr>
        <w:t>3</w:t>
      </w:r>
      <w:r>
        <w:rPr>
          <w:b/>
          <w:lang w:eastAsia="zh-CN"/>
        </w:rPr>
        <w:t xml:space="preserve">  钻井工艺流程图</w:t>
      </w:r>
    </w:p>
    <w:p w14:paraId="0C42C7D1">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钻井主要工艺简述：</w:t>
      </w:r>
    </w:p>
    <w:p w14:paraId="22A97887">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①</w:t>
      </w:r>
      <w:r>
        <w:rPr>
          <w:rFonts w:asciiTheme="minorEastAsia" w:hAnsiTheme="minorEastAsia" w:eastAsiaTheme="minorEastAsia"/>
          <w:lang w:eastAsia="zh-CN"/>
        </w:rPr>
        <w:t>钻前准备：包括平整井场和立井架。</w:t>
      </w:r>
    </w:p>
    <w:p w14:paraId="53F80AB9">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②</w:t>
      </w:r>
      <w:r>
        <w:rPr>
          <w:rFonts w:asciiTheme="minorEastAsia" w:hAnsiTheme="minorEastAsia" w:eastAsiaTheme="minorEastAsia"/>
          <w:lang w:eastAsia="zh-CN"/>
        </w:rPr>
        <w:t>设备安装：安装钻井设备，如柴油机、挖泥浆池等。</w:t>
      </w:r>
    </w:p>
    <w:p w14:paraId="28D0921E">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③</w:t>
      </w:r>
      <w:r>
        <w:rPr>
          <w:rFonts w:asciiTheme="minorEastAsia" w:hAnsiTheme="minorEastAsia" w:eastAsiaTheme="minorEastAsia"/>
          <w:lang w:eastAsia="zh-CN"/>
        </w:rPr>
        <w:t>一开钻进：组合一开钻具下钻，下钻深度100m左右。</w:t>
      </w:r>
    </w:p>
    <w:p w14:paraId="30BC94C6">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④</w:t>
      </w:r>
      <w:r>
        <w:rPr>
          <w:rFonts w:asciiTheme="minorEastAsia" w:hAnsiTheme="minorEastAsia" w:eastAsiaTheme="minorEastAsia"/>
          <w:lang w:eastAsia="zh-CN"/>
        </w:rPr>
        <w:t>下表层套管：</w:t>
      </w:r>
      <w:r>
        <w:fldChar w:fldCharType="begin"/>
      </w:r>
      <w:r>
        <w:instrText xml:space="preserve"> HYPERLINK "http://baike.baidu.com/view/94625.htm" \t "_blank" </w:instrText>
      </w:r>
      <w:r>
        <w:fldChar w:fldCharType="separate"/>
      </w:r>
      <w:r>
        <w:rPr>
          <w:rFonts w:asciiTheme="minorEastAsia" w:hAnsiTheme="minorEastAsia" w:eastAsiaTheme="minorEastAsia"/>
          <w:lang w:eastAsia="zh-CN"/>
        </w:rPr>
        <w:t>钻井</w:t>
      </w:r>
      <w:r>
        <w:rPr>
          <w:rFonts w:asciiTheme="minorEastAsia" w:hAnsiTheme="minorEastAsia" w:eastAsiaTheme="minorEastAsia"/>
          <w:lang w:eastAsia="zh-CN"/>
        </w:rPr>
        <w:fldChar w:fldCharType="end"/>
      </w:r>
      <w:r>
        <w:rPr>
          <w:rFonts w:asciiTheme="minorEastAsia" w:hAnsiTheme="minorEastAsia" w:eastAsiaTheme="minorEastAsia"/>
          <w:lang w:eastAsia="zh-CN"/>
        </w:rPr>
        <w:t>开孔后钻到</w:t>
      </w:r>
      <w:r>
        <w:fldChar w:fldCharType="begin"/>
      </w:r>
      <w:r>
        <w:instrText xml:space="preserve"> HYPERLINK "http://baike.baidu.com/view/523379.htm" \t "_blank" </w:instrText>
      </w:r>
      <w:r>
        <w:fldChar w:fldCharType="separate"/>
      </w:r>
      <w:r>
        <w:rPr>
          <w:rFonts w:asciiTheme="minorEastAsia" w:hAnsiTheme="minorEastAsia" w:eastAsiaTheme="minorEastAsia"/>
          <w:lang w:eastAsia="zh-CN"/>
        </w:rPr>
        <w:t>表土层</w:t>
      </w:r>
      <w:r>
        <w:rPr>
          <w:rFonts w:asciiTheme="minorEastAsia" w:hAnsiTheme="minorEastAsia" w:eastAsiaTheme="minorEastAsia"/>
          <w:lang w:eastAsia="zh-CN"/>
        </w:rPr>
        <w:fldChar w:fldCharType="end"/>
      </w:r>
      <w:r>
        <w:rPr>
          <w:rFonts w:asciiTheme="minorEastAsia" w:hAnsiTheme="minorEastAsia" w:eastAsiaTheme="minorEastAsia"/>
          <w:lang w:eastAsia="zh-CN"/>
        </w:rPr>
        <w:t>以下的</w:t>
      </w:r>
      <w:r>
        <w:fldChar w:fldCharType="begin"/>
      </w:r>
      <w:r>
        <w:instrText xml:space="preserve"> HYPERLINK "http://baike.baidu.com/view/829062.htm" \t "_blank" </w:instrText>
      </w:r>
      <w:r>
        <w:fldChar w:fldCharType="separate"/>
      </w:r>
      <w:r>
        <w:rPr>
          <w:rFonts w:asciiTheme="minorEastAsia" w:hAnsiTheme="minorEastAsia" w:eastAsiaTheme="minorEastAsia"/>
          <w:lang w:eastAsia="zh-CN"/>
        </w:rPr>
        <w:t>基岩</w:t>
      </w:r>
      <w:r>
        <w:rPr>
          <w:rFonts w:asciiTheme="minorEastAsia" w:hAnsiTheme="minorEastAsia" w:eastAsiaTheme="minorEastAsia"/>
          <w:lang w:eastAsia="zh-CN"/>
        </w:rPr>
        <w:fldChar w:fldCharType="end"/>
      </w:r>
      <w:r>
        <w:rPr>
          <w:rFonts w:asciiTheme="minorEastAsia" w:hAnsiTheme="minorEastAsia" w:eastAsiaTheme="minorEastAsia"/>
          <w:lang w:eastAsia="zh-CN"/>
        </w:rPr>
        <w:t>，或钻达一定深度，下入表层套管。主要作用：隔离上部</w:t>
      </w:r>
      <w:r>
        <w:fldChar w:fldCharType="begin"/>
      </w:r>
      <w:r>
        <w:instrText xml:space="preserve"> HYPERLINK "http://baike.baidu.com/view/548166.htm" \t "_blank" </w:instrText>
      </w:r>
      <w:r>
        <w:fldChar w:fldCharType="separate"/>
      </w:r>
      <w:r>
        <w:rPr>
          <w:rFonts w:asciiTheme="minorEastAsia" w:hAnsiTheme="minorEastAsia" w:eastAsiaTheme="minorEastAsia"/>
          <w:lang w:eastAsia="zh-CN"/>
        </w:rPr>
        <w:t>含水层</w:t>
      </w:r>
      <w:r>
        <w:rPr>
          <w:rFonts w:asciiTheme="minorEastAsia" w:hAnsiTheme="minorEastAsia" w:eastAsiaTheme="minorEastAsia"/>
          <w:lang w:eastAsia="zh-CN"/>
        </w:rPr>
        <w:fldChar w:fldCharType="end"/>
      </w:r>
      <w:r>
        <w:rPr>
          <w:rFonts w:asciiTheme="minorEastAsia" w:hAnsiTheme="minorEastAsia" w:eastAsiaTheme="minorEastAsia"/>
          <w:lang w:eastAsia="zh-CN"/>
        </w:rPr>
        <w:t>，不使</w:t>
      </w:r>
      <w:r>
        <w:fldChar w:fldCharType="begin"/>
      </w:r>
      <w:r>
        <w:instrText xml:space="preserve"> HYPERLINK "http://baike.baidu.com/view/42765.htm" \t "_blank" </w:instrText>
      </w:r>
      <w:r>
        <w:fldChar w:fldCharType="separate"/>
      </w:r>
      <w:r>
        <w:rPr>
          <w:rFonts w:asciiTheme="minorEastAsia" w:hAnsiTheme="minorEastAsia" w:eastAsiaTheme="minorEastAsia"/>
          <w:lang w:eastAsia="zh-CN"/>
        </w:rPr>
        <w:t>地面水</w:t>
      </w:r>
      <w:r>
        <w:rPr>
          <w:rFonts w:asciiTheme="minorEastAsia" w:hAnsiTheme="minorEastAsia" w:eastAsiaTheme="minorEastAsia"/>
          <w:lang w:eastAsia="zh-CN"/>
        </w:rPr>
        <w:fldChar w:fldCharType="end"/>
      </w:r>
      <w:r>
        <w:rPr>
          <w:rFonts w:asciiTheme="minorEastAsia" w:hAnsiTheme="minorEastAsia" w:eastAsiaTheme="minorEastAsia"/>
          <w:lang w:eastAsia="zh-CN"/>
        </w:rPr>
        <w:t>和表层</w:t>
      </w:r>
      <w:r>
        <w:fldChar w:fldCharType="begin"/>
      </w:r>
      <w:r>
        <w:instrText xml:space="preserve"> HYPERLINK "http://baike.baidu.com/view/36813.htm" \t "_blank" </w:instrText>
      </w:r>
      <w:r>
        <w:fldChar w:fldCharType="separate"/>
      </w:r>
      <w:r>
        <w:rPr>
          <w:rFonts w:asciiTheme="minorEastAsia" w:hAnsiTheme="minorEastAsia" w:eastAsiaTheme="minorEastAsia"/>
          <w:lang w:eastAsia="zh-CN"/>
        </w:rPr>
        <w:t>地下水</w:t>
      </w:r>
      <w:r>
        <w:rPr>
          <w:rFonts w:asciiTheme="minorEastAsia" w:hAnsiTheme="minorEastAsia" w:eastAsiaTheme="minorEastAsia"/>
          <w:lang w:eastAsia="zh-CN"/>
        </w:rPr>
        <w:fldChar w:fldCharType="end"/>
      </w:r>
      <w:r>
        <w:rPr>
          <w:rFonts w:asciiTheme="minorEastAsia" w:hAnsiTheme="minorEastAsia" w:eastAsiaTheme="minorEastAsia"/>
          <w:lang w:eastAsia="zh-CN"/>
        </w:rPr>
        <w:t>渗入</w:t>
      </w:r>
      <w:r>
        <w:fldChar w:fldCharType="begin"/>
      </w:r>
      <w:r>
        <w:instrText xml:space="preserve"> HYPERLINK "http://baike.baidu.com/view/880831.htm" \t "_blank" </w:instrText>
      </w:r>
      <w:r>
        <w:fldChar w:fldCharType="separate"/>
      </w:r>
      <w:r>
        <w:rPr>
          <w:rFonts w:asciiTheme="minorEastAsia" w:hAnsiTheme="minorEastAsia" w:eastAsiaTheme="minorEastAsia"/>
          <w:lang w:eastAsia="zh-CN"/>
        </w:rPr>
        <w:t>井筒</w:t>
      </w:r>
      <w:r>
        <w:rPr>
          <w:rFonts w:asciiTheme="minorEastAsia" w:hAnsiTheme="minorEastAsia" w:eastAsiaTheme="minorEastAsia"/>
          <w:lang w:eastAsia="zh-CN"/>
        </w:rPr>
        <w:fldChar w:fldCharType="end"/>
      </w:r>
      <w:r>
        <w:rPr>
          <w:rFonts w:asciiTheme="minorEastAsia" w:hAnsiTheme="minorEastAsia" w:eastAsiaTheme="minorEastAsia"/>
          <w:lang w:eastAsia="zh-CN"/>
        </w:rPr>
        <w:t>；保护</w:t>
      </w:r>
      <w:r>
        <w:fldChar w:fldCharType="begin"/>
      </w:r>
      <w:r>
        <w:instrText xml:space="preserve"> HYPERLINK "http://baike.baidu.com/view/807360.htm" \t "_blank" </w:instrText>
      </w:r>
      <w:r>
        <w:fldChar w:fldCharType="separate"/>
      </w:r>
      <w:r>
        <w:rPr>
          <w:rFonts w:asciiTheme="minorEastAsia" w:hAnsiTheme="minorEastAsia" w:eastAsiaTheme="minorEastAsia"/>
          <w:lang w:eastAsia="zh-CN"/>
        </w:rPr>
        <w:t>井口</w:t>
      </w:r>
      <w:r>
        <w:rPr>
          <w:rFonts w:asciiTheme="minorEastAsia" w:hAnsiTheme="minorEastAsia" w:eastAsiaTheme="minorEastAsia"/>
          <w:lang w:eastAsia="zh-CN"/>
        </w:rPr>
        <w:fldChar w:fldCharType="end"/>
      </w:r>
      <w:r>
        <w:rPr>
          <w:rFonts w:asciiTheme="minorEastAsia" w:hAnsiTheme="minorEastAsia" w:eastAsiaTheme="minorEastAsia"/>
          <w:lang w:eastAsia="zh-CN"/>
        </w:rPr>
        <w:t>，加固表土层井段的</w:t>
      </w:r>
      <w:r>
        <w:fldChar w:fldCharType="begin"/>
      </w:r>
      <w:r>
        <w:instrText xml:space="preserve"> HYPERLINK "http://baike.baidu.com/view/3846594.htm" \t "_blank" </w:instrText>
      </w:r>
      <w:r>
        <w:fldChar w:fldCharType="separate"/>
      </w:r>
      <w:r>
        <w:rPr>
          <w:rFonts w:asciiTheme="minorEastAsia" w:hAnsiTheme="minorEastAsia" w:eastAsiaTheme="minorEastAsia"/>
          <w:lang w:eastAsia="zh-CN"/>
        </w:rPr>
        <w:t>井壁</w:t>
      </w:r>
      <w:r>
        <w:rPr>
          <w:rFonts w:asciiTheme="minorEastAsia" w:hAnsiTheme="minorEastAsia" w:eastAsiaTheme="minorEastAsia"/>
          <w:lang w:eastAsia="zh-CN"/>
        </w:rPr>
        <w:fldChar w:fldCharType="end"/>
      </w:r>
      <w:r>
        <w:rPr>
          <w:rFonts w:asciiTheme="minorEastAsia" w:hAnsiTheme="minorEastAsia" w:eastAsiaTheme="minorEastAsia"/>
          <w:lang w:eastAsia="zh-CN"/>
        </w:rPr>
        <w:t>；</w:t>
      </w:r>
      <w:r>
        <w:rPr>
          <w:rFonts w:hint="eastAsia" w:asciiTheme="minorEastAsia" w:hAnsiTheme="minorEastAsia" w:eastAsiaTheme="minorEastAsia"/>
          <w:lang w:eastAsia="zh-CN"/>
        </w:rPr>
        <w:t>在钻井全过程均要</w:t>
      </w:r>
      <w:r>
        <w:rPr>
          <w:rFonts w:asciiTheme="minorEastAsia" w:hAnsiTheme="minorEastAsia" w:eastAsiaTheme="minorEastAsia"/>
          <w:lang w:eastAsia="zh-CN"/>
        </w:rPr>
        <w:t>在表层套管上安装</w:t>
      </w:r>
      <w:r>
        <w:fldChar w:fldCharType="begin"/>
      </w:r>
      <w:r>
        <w:instrText xml:space="preserve"> HYPERLINK "http://baike.baidu.com/view/2145415.htm" \t "_blank" </w:instrText>
      </w:r>
      <w:r>
        <w:fldChar w:fldCharType="separate"/>
      </w:r>
      <w:r>
        <w:rPr>
          <w:rFonts w:asciiTheme="minorEastAsia" w:hAnsiTheme="minorEastAsia" w:eastAsiaTheme="minorEastAsia"/>
          <w:lang w:eastAsia="zh-CN"/>
        </w:rPr>
        <w:t>防喷器</w:t>
      </w:r>
      <w:r>
        <w:rPr>
          <w:rFonts w:asciiTheme="minorEastAsia" w:hAnsiTheme="minorEastAsia" w:eastAsiaTheme="minorEastAsia"/>
          <w:lang w:eastAsia="zh-CN"/>
        </w:rPr>
        <w:fldChar w:fldCharType="end"/>
      </w:r>
      <w:r>
        <w:rPr>
          <w:rFonts w:asciiTheme="minorEastAsia" w:hAnsiTheme="minorEastAsia" w:eastAsiaTheme="minorEastAsia"/>
          <w:lang w:eastAsia="zh-CN"/>
        </w:rPr>
        <w:t>预防</w:t>
      </w:r>
      <w:r>
        <w:fldChar w:fldCharType="begin"/>
      </w:r>
      <w:r>
        <w:instrText xml:space="preserve"> HYPERLINK "http://baike.baidu.com/view/341213.htm" \t "_blank" </w:instrText>
      </w:r>
      <w:r>
        <w:fldChar w:fldCharType="separate"/>
      </w:r>
      <w:r>
        <w:rPr>
          <w:rFonts w:asciiTheme="minorEastAsia" w:hAnsiTheme="minorEastAsia" w:eastAsiaTheme="minorEastAsia"/>
          <w:lang w:eastAsia="zh-CN"/>
        </w:rPr>
        <w:t>井喷</w:t>
      </w:r>
      <w:r>
        <w:rPr>
          <w:rFonts w:asciiTheme="minorEastAsia" w:hAnsiTheme="minorEastAsia" w:eastAsiaTheme="minorEastAsia"/>
          <w:lang w:eastAsia="zh-CN"/>
        </w:rPr>
        <w:fldChar w:fldCharType="end"/>
      </w:r>
      <w:r>
        <w:rPr>
          <w:rFonts w:asciiTheme="minorEastAsia" w:hAnsiTheme="minorEastAsia" w:eastAsiaTheme="minorEastAsia"/>
          <w:lang w:eastAsia="zh-CN"/>
        </w:rPr>
        <w:t>。</w:t>
      </w:r>
    </w:p>
    <w:p w14:paraId="0AD52188">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⑤</w:t>
      </w:r>
      <w:r>
        <w:rPr>
          <w:rFonts w:asciiTheme="minorEastAsia" w:hAnsiTheme="minorEastAsia" w:eastAsiaTheme="minorEastAsia"/>
          <w:lang w:eastAsia="zh-CN"/>
        </w:rPr>
        <w:t>固井：用水泥封堵表层套管与井壁之间的间隙。水泥浆需返出井口，起到隔离</w:t>
      </w:r>
      <w:r>
        <w:fldChar w:fldCharType="begin"/>
      </w:r>
      <w:r>
        <w:instrText xml:space="preserve"> HYPERLINK "http://baike.baidu.com/view/66093.htm" \t "_blank" </w:instrText>
      </w:r>
      <w:r>
        <w:fldChar w:fldCharType="separate"/>
      </w:r>
      <w:r>
        <w:rPr>
          <w:rFonts w:asciiTheme="minorEastAsia" w:hAnsiTheme="minorEastAsia" w:eastAsiaTheme="minorEastAsia"/>
          <w:lang w:eastAsia="zh-CN"/>
        </w:rPr>
        <w:t>地层</w:t>
      </w:r>
      <w:r>
        <w:rPr>
          <w:rFonts w:asciiTheme="minorEastAsia" w:hAnsiTheme="minorEastAsia" w:eastAsiaTheme="minorEastAsia"/>
          <w:lang w:eastAsia="zh-CN"/>
        </w:rPr>
        <w:fldChar w:fldCharType="end"/>
      </w:r>
      <w:r>
        <w:rPr>
          <w:rFonts w:asciiTheme="minorEastAsia" w:hAnsiTheme="minorEastAsia" w:eastAsiaTheme="minorEastAsia"/>
          <w:lang w:eastAsia="zh-CN"/>
        </w:rPr>
        <w:t>和保护井壁的作用。</w:t>
      </w:r>
    </w:p>
    <w:p w14:paraId="5FE9654F">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⑥</w:t>
      </w:r>
      <w:r>
        <w:rPr>
          <w:rFonts w:asciiTheme="minorEastAsia" w:hAnsiTheme="minorEastAsia" w:eastAsiaTheme="minorEastAsia"/>
          <w:lang w:eastAsia="zh-CN"/>
        </w:rPr>
        <w:t>二开钻进：组合二开钻具，下钻钻至目的层，一般2000m</w:t>
      </w:r>
      <w:r>
        <w:rPr>
          <w:rFonts w:hint="eastAsia" w:asciiTheme="minorEastAsia" w:hAnsiTheme="minorEastAsia" w:eastAsiaTheme="minorEastAsia"/>
          <w:lang w:eastAsia="zh-CN"/>
        </w:rPr>
        <w:t>～</w:t>
      </w:r>
      <w:r>
        <w:rPr>
          <w:rFonts w:asciiTheme="minorEastAsia" w:hAnsiTheme="minorEastAsia" w:eastAsiaTheme="minorEastAsia"/>
          <w:lang w:eastAsia="zh-CN"/>
        </w:rPr>
        <w:t>3000m左右。</w:t>
      </w:r>
    </w:p>
    <w:p w14:paraId="7B358C03">
      <w:pPr>
        <w:ind w:firstLine="480"/>
        <w:rPr>
          <w:rFonts w:asciiTheme="minorEastAsia" w:hAnsiTheme="minorEastAsia" w:eastAsiaTheme="minorEastAsia"/>
          <w:lang w:eastAsia="zh-CN"/>
        </w:rPr>
      </w:pPr>
      <w:r>
        <w:rPr>
          <w:rFonts w:asciiTheme="minorEastAsia" w:hAnsiTheme="minorEastAsia" w:eastAsiaTheme="minorEastAsia"/>
          <w:lang w:eastAsia="zh-CN"/>
        </w:rPr>
        <w:t>电测：根据地质需要，选用适合的测井项目对钻开地层进行电测，最终根据电测曲线了解地层的特征及地层含油、气情况。电测在钻井期及采油期都需要进行。</w:t>
      </w:r>
    </w:p>
    <w:p w14:paraId="46A8E192">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⑦</w:t>
      </w:r>
      <w:r>
        <w:rPr>
          <w:rFonts w:asciiTheme="minorEastAsia" w:hAnsiTheme="minorEastAsia" w:eastAsiaTheme="minorEastAsia"/>
          <w:lang w:eastAsia="zh-CN"/>
        </w:rPr>
        <w:t>下套管：套管需一直下到穿过的油气层并留足口袋（油层以下套管称口袋）。套管的作用是</w:t>
      </w:r>
      <w:r>
        <w:fldChar w:fldCharType="begin"/>
      </w:r>
      <w:r>
        <w:instrText xml:space="preserve"> HYPERLINK "http://baike.baidu.com/view/8168543.htm" \t "_blank" </w:instrText>
      </w:r>
      <w:r>
        <w:fldChar w:fldCharType="separate"/>
      </w:r>
      <w:r>
        <w:rPr>
          <w:rFonts w:asciiTheme="minorEastAsia" w:hAnsiTheme="minorEastAsia" w:eastAsiaTheme="minorEastAsia"/>
          <w:lang w:eastAsia="zh-CN"/>
        </w:rPr>
        <w:t>采出液</w:t>
      </w:r>
      <w:r>
        <w:rPr>
          <w:rFonts w:asciiTheme="minorEastAsia" w:hAnsiTheme="minorEastAsia" w:eastAsiaTheme="minorEastAsia"/>
          <w:lang w:eastAsia="zh-CN"/>
        </w:rPr>
        <w:fldChar w:fldCharType="end"/>
      </w:r>
      <w:r>
        <w:rPr>
          <w:rFonts w:asciiTheme="minorEastAsia" w:hAnsiTheme="minorEastAsia" w:eastAsiaTheme="minorEastAsia"/>
          <w:lang w:eastAsia="zh-CN"/>
        </w:rPr>
        <w:t>到地面的通道，把采出液与全部</w:t>
      </w:r>
      <w:r>
        <w:fldChar w:fldCharType="begin"/>
      </w:r>
      <w:r>
        <w:instrText xml:space="preserve"> HYPERLINK "http://baike.baidu.com/view/66093.htm" \t "_blank" </w:instrText>
      </w:r>
      <w:r>
        <w:fldChar w:fldCharType="separate"/>
      </w:r>
      <w:r>
        <w:rPr>
          <w:rFonts w:asciiTheme="minorEastAsia" w:hAnsiTheme="minorEastAsia" w:eastAsiaTheme="minorEastAsia"/>
          <w:lang w:eastAsia="zh-CN"/>
        </w:rPr>
        <w:t>地层</w:t>
      </w:r>
      <w:r>
        <w:rPr>
          <w:rFonts w:asciiTheme="minorEastAsia" w:hAnsiTheme="minorEastAsia" w:eastAsiaTheme="minorEastAsia"/>
          <w:lang w:eastAsia="zh-CN"/>
        </w:rPr>
        <w:fldChar w:fldCharType="end"/>
      </w:r>
      <w:r>
        <w:rPr>
          <w:rFonts w:asciiTheme="minorEastAsia" w:hAnsiTheme="minorEastAsia" w:eastAsiaTheme="minorEastAsia"/>
          <w:lang w:eastAsia="zh-CN"/>
        </w:rPr>
        <w:t>隔绝，保证压力不泄漏。油层套管在油井转入生产之后，其质量要保证能够维持一定的开采年限。</w:t>
      </w:r>
    </w:p>
    <w:p w14:paraId="15D572BC">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⑧</w:t>
      </w:r>
      <w:r>
        <w:rPr>
          <w:rFonts w:asciiTheme="minorEastAsia" w:hAnsiTheme="minorEastAsia" w:eastAsiaTheme="minorEastAsia"/>
          <w:lang w:eastAsia="zh-CN"/>
        </w:rPr>
        <w:t>固井</w:t>
      </w:r>
      <w:r>
        <w:rPr>
          <w:rFonts w:hint="eastAsia" w:asciiTheme="minorEastAsia" w:hAnsiTheme="minorEastAsia" w:eastAsiaTheme="minorEastAsia"/>
          <w:lang w:eastAsia="zh-CN"/>
        </w:rPr>
        <w:t>：</w:t>
      </w:r>
      <w:r>
        <w:rPr>
          <w:rFonts w:asciiTheme="minorEastAsia" w:hAnsiTheme="minorEastAsia" w:eastAsiaTheme="minorEastAsia"/>
          <w:lang w:eastAsia="zh-CN"/>
        </w:rPr>
        <w:t>用水泥封堵套管与井壁之间的间隙，将套管固定在井内，把泥浆和其他流体从井内替出。</w:t>
      </w:r>
    </w:p>
    <w:p w14:paraId="72E3144A">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⑨</w:t>
      </w:r>
      <w:r>
        <w:rPr>
          <w:rFonts w:asciiTheme="minorEastAsia" w:hAnsiTheme="minorEastAsia" w:eastAsiaTheme="minorEastAsia"/>
          <w:lang w:eastAsia="zh-CN"/>
        </w:rPr>
        <w:t>完井：完井是钻井的最后一个重要环节，根据地层的不同性质，确定完井的方法（如射孔、下泵、试油等），使油气与井底连通，安装井底与井口装置。</w:t>
      </w:r>
    </w:p>
    <w:p w14:paraId="2B1181DE">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（5）</w:t>
      </w:r>
      <w:r>
        <w:rPr>
          <w:rFonts w:asciiTheme="minorEastAsia" w:hAnsiTheme="minorEastAsia" w:eastAsiaTheme="minorEastAsia"/>
          <w:lang w:eastAsia="zh-CN"/>
        </w:rPr>
        <w:t>井下作业</w:t>
      </w:r>
    </w:p>
    <w:p w14:paraId="4D882E88">
      <w:pPr>
        <w:ind w:firstLine="480"/>
        <w:rPr>
          <w:rFonts w:asciiTheme="minorEastAsia" w:hAnsiTheme="minorEastAsia" w:eastAsiaTheme="minorEastAsia"/>
          <w:lang w:eastAsia="zh-CN"/>
        </w:rPr>
      </w:pPr>
      <w:r>
        <w:rPr>
          <w:rFonts w:asciiTheme="minorEastAsia" w:hAnsiTheme="minorEastAsia" w:eastAsiaTheme="minorEastAsia"/>
          <w:lang w:eastAsia="zh-CN"/>
        </w:rPr>
        <w:t>根据油藏类型和油井本身性质不同，需要进行井下作业的种类和方法也不同，如对低渗透井层及生产过程堵塞，需要进行酸化、解堵等油层改造措施；生产过程井下机具维护及砂蜡清除等。</w:t>
      </w:r>
    </w:p>
    <w:p w14:paraId="2D282305">
      <w:pPr>
        <w:pStyle w:val="4"/>
        <w:rPr>
          <w:lang w:eastAsia="zh-CN"/>
        </w:rPr>
      </w:pPr>
      <w:bookmarkStart w:id="189" w:name="_Toc287598146"/>
      <w:bookmarkStart w:id="190" w:name="_Toc279676609"/>
      <w:bookmarkStart w:id="191" w:name="_Toc408413939"/>
      <w:bookmarkStart w:id="192" w:name="_Toc182140848"/>
      <w:r>
        <w:rPr>
          <w:lang w:eastAsia="zh-CN"/>
        </w:rPr>
        <w:t>3.4.2采油工艺</w:t>
      </w:r>
      <w:bookmarkEnd w:id="189"/>
      <w:bookmarkEnd w:id="190"/>
      <w:bookmarkEnd w:id="191"/>
      <w:bookmarkEnd w:id="192"/>
    </w:p>
    <w:p w14:paraId="107082ED">
      <w:pPr>
        <w:ind w:firstLine="480"/>
        <w:rPr>
          <w:rFonts w:asciiTheme="minorEastAsia" w:hAnsiTheme="minorEastAsia" w:eastAsiaTheme="minorEastAsia"/>
          <w:lang w:eastAsia="zh-CN"/>
        </w:rPr>
      </w:pPr>
      <w:r>
        <w:rPr>
          <w:rFonts w:asciiTheme="minorEastAsia" w:hAnsiTheme="minorEastAsia" w:eastAsiaTheme="minorEastAsia"/>
          <w:lang w:eastAsia="zh-CN"/>
        </w:rPr>
        <w:t>采油就是通过各种工艺方法使埋藏在地下的原油流进油井并在地面进入油气集输系统。</w:t>
      </w:r>
    </w:p>
    <w:p w14:paraId="49C5873E">
      <w:pPr>
        <w:ind w:firstLine="480"/>
        <w:rPr>
          <w:rFonts w:asciiTheme="minorEastAsia" w:hAnsiTheme="minorEastAsia" w:eastAsiaTheme="minorEastAsia"/>
          <w:lang w:eastAsia="zh-CN"/>
        </w:rPr>
      </w:pPr>
      <w:r>
        <w:rPr>
          <w:rFonts w:asciiTheme="minorEastAsia" w:hAnsiTheme="minorEastAsia" w:eastAsiaTheme="minorEastAsia"/>
          <w:lang w:eastAsia="zh-CN"/>
        </w:rPr>
        <w:t>油田在开采过程中为了保持地层压力，提高原油的采收率，需要向油层中注水或注汽。乌里雅斯太油田为水驱采油，采用经过处理的采出水废水及清水注水，并采用分层注水的方式。注水过程主要为：通井（用专业工具清理井壁上的污物）、刮管（用专业工具清理井底），要求在射孔井段反复刮三次；下分层注水管柱；反洗井，待返出水质合格，憋压释放封隔器；利用</w:t>
      </w:r>
      <w:r>
        <w:rPr>
          <w:rFonts w:hint="eastAsia" w:asciiTheme="minorEastAsia" w:hAnsiTheme="minorEastAsia" w:eastAsiaTheme="minorEastAsia"/>
          <w:lang w:eastAsia="zh-CN"/>
        </w:rPr>
        <w:t>配水器</w:t>
      </w:r>
      <w:r>
        <w:rPr>
          <w:rFonts w:asciiTheme="minorEastAsia" w:hAnsiTheme="minorEastAsia" w:eastAsiaTheme="minorEastAsia"/>
          <w:lang w:eastAsia="zh-CN"/>
        </w:rPr>
        <w:t>（各层注水量控制器）分层注水</w:t>
      </w:r>
      <w:r>
        <w:rPr>
          <w:rFonts w:hint="eastAsia" w:asciiTheme="minorEastAsia" w:hAnsiTheme="minorEastAsia" w:eastAsiaTheme="minorEastAsia"/>
          <w:lang w:eastAsia="zh-CN"/>
        </w:rPr>
        <w:t>，</w:t>
      </w:r>
      <w:r>
        <w:rPr>
          <w:rFonts w:asciiTheme="minorEastAsia" w:hAnsiTheme="minorEastAsia" w:eastAsiaTheme="minorEastAsia"/>
          <w:lang w:eastAsia="zh-CN"/>
        </w:rPr>
        <w:t>视层段配水量选择水嘴进行测试调配。</w:t>
      </w:r>
    </w:p>
    <w:p w14:paraId="1503BF25">
      <w:pPr>
        <w:pStyle w:val="4"/>
        <w:rPr>
          <w:lang w:eastAsia="zh-CN"/>
        </w:rPr>
      </w:pPr>
      <w:bookmarkStart w:id="193" w:name="_Toc338663480"/>
      <w:bookmarkStart w:id="194" w:name="_Toc309979135"/>
      <w:bookmarkStart w:id="195" w:name="_Toc408413940"/>
      <w:r>
        <w:rPr>
          <w:lang w:eastAsia="zh-CN"/>
        </w:rPr>
        <w:t>3.4.3</w:t>
      </w:r>
      <w:bookmarkEnd w:id="193"/>
      <w:bookmarkEnd w:id="194"/>
      <w:r>
        <w:rPr>
          <w:lang w:eastAsia="zh-CN"/>
        </w:rPr>
        <w:t>报废井措施</w:t>
      </w:r>
      <w:bookmarkEnd w:id="195"/>
    </w:p>
    <w:p w14:paraId="06B4CD37">
      <w:pPr>
        <w:ind w:firstLine="480"/>
        <w:rPr>
          <w:rFonts w:asciiTheme="minorEastAsia" w:hAnsiTheme="minorEastAsia" w:eastAsiaTheme="minorEastAsia"/>
          <w:lang w:eastAsia="zh-CN"/>
        </w:rPr>
      </w:pPr>
      <w:r>
        <w:rPr>
          <w:rFonts w:asciiTheme="minorEastAsia" w:hAnsiTheme="minorEastAsia" w:eastAsiaTheme="minorEastAsia"/>
          <w:lang w:eastAsia="zh-CN"/>
        </w:rPr>
        <w:t>油井油田开发过程报废井包括地质报废井和工程报废井两种类型。油田井报废后，根据不同的报废类型，所采取的处置措施是不同的。</w:t>
      </w:r>
    </w:p>
    <w:p w14:paraId="40CD498A">
      <w:pPr>
        <w:ind w:firstLine="480"/>
        <w:rPr>
          <w:rFonts w:asciiTheme="minorEastAsia" w:hAnsiTheme="minorEastAsia" w:eastAsiaTheme="minorEastAsia"/>
          <w:lang w:eastAsia="zh-CN"/>
        </w:rPr>
      </w:pPr>
      <w:r>
        <w:rPr>
          <w:rFonts w:asciiTheme="minorEastAsia" w:hAnsiTheme="minorEastAsia" w:eastAsiaTheme="minorEastAsia"/>
          <w:lang w:eastAsia="zh-CN"/>
        </w:rPr>
        <w:t>地质报废井：在井下油层井段打水泥塞进行封堵。</w:t>
      </w:r>
    </w:p>
    <w:p w14:paraId="35EF08BC">
      <w:pPr>
        <w:ind w:firstLine="480"/>
        <w:rPr>
          <w:rFonts w:asciiTheme="minorEastAsia" w:hAnsiTheme="minorEastAsia" w:eastAsiaTheme="minorEastAsia"/>
          <w:lang w:eastAsia="zh-CN"/>
        </w:rPr>
      </w:pPr>
      <w:r>
        <w:rPr>
          <w:rFonts w:asciiTheme="minorEastAsia" w:hAnsiTheme="minorEastAsia" w:eastAsiaTheme="minorEastAsia"/>
          <w:lang w:eastAsia="zh-CN"/>
        </w:rPr>
        <w:t>工程报废井：</w:t>
      </w:r>
      <w:r>
        <w:rPr>
          <w:rFonts w:hint="eastAsia" w:asciiTheme="minorEastAsia" w:hAnsiTheme="minorEastAsia" w:eastAsiaTheme="minorEastAsia"/>
          <w:lang w:eastAsia="zh-CN"/>
        </w:rPr>
        <w:t>根据不同的套管结构，在油层段、套管水泥反高点和井口分别打水泥塞封井，井口做护墩，以待将来开发。</w:t>
      </w:r>
    </w:p>
    <w:p w14:paraId="2BA2FB50">
      <w:pPr>
        <w:ind w:firstLine="480"/>
        <w:rPr>
          <w:rFonts w:asciiTheme="minorEastAsia" w:hAnsiTheme="minorEastAsia" w:eastAsiaTheme="minorEastAsia"/>
          <w:lang w:eastAsia="zh-CN"/>
        </w:rPr>
      </w:pPr>
      <w:r>
        <w:rPr>
          <w:rFonts w:asciiTheme="minorEastAsia" w:hAnsiTheme="minorEastAsia" w:eastAsiaTheme="minorEastAsia"/>
          <w:lang w:eastAsia="zh-CN"/>
        </w:rPr>
        <w:t>报废井井口护墩从地面以下80cm，地面以上60cm，直径60cm的圆柱状。护墩内部为直径5mm的钢筋骨架网，要求编制的骨架网钢筋密度为5cm×5cm×5cm。护墩外表应为光滑的水泥面，顶面有清晰的刻印刷漆的红色井号标示，四周应表明</w:t>
      </w:r>
      <w:r>
        <w:rPr>
          <w:rFonts w:hint="eastAsia" w:asciiTheme="minorEastAsia" w:hAnsiTheme="minorEastAsia" w:eastAsiaTheme="minorEastAsia"/>
          <w:lang w:eastAsia="zh-CN"/>
        </w:rPr>
        <w:t>“</w:t>
      </w:r>
      <w:r>
        <w:rPr>
          <w:rFonts w:asciiTheme="minorEastAsia" w:hAnsiTheme="minorEastAsia" w:eastAsiaTheme="minorEastAsia"/>
          <w:lang w:eastAsia="zh-CN"/>
        </w:rPr>
        <w:t>危险勿动！</w:t>
      </w:r>
      <w:r>
        <w:rPr>
          <w:rFonts w:hint="eastAsia" w:asciiTheme="minorEastAsia" w:hAnsiTheme="minorEastAsia" w:eastAsiaTheme="minorEastAsia"/>
          <w:lang w:eastAsia="zh-CN"/>
        </w:rPr>
        <w:t>”</w:t>
      </w:r>
      <w:r>
        <w:rPr>
          <w:rFonts w:asciiTheme="minorEastAsia" w:hAnsiTheme="minorEastAsia" w:eastAsiaTheme="minorEastAsia"/>
          <w:lang w:eastAsia="zh-CN"/>
        </w:rPr>
        <w:t>、完井年月日、井号等字样。井号及字样规格为宋体（凹形字），字高20cm。护墩示意图见图3.4-</w:t>
      </w:r>
      <w:r>
        <w:rPr>
          <w:rFonts w:hint="eastAsia" w:asciiTheme="minorEastAsia" w:hAnsiTheme="minorEastAsia" w:eastAsiaTheme="minorEastAsia"/>
          <w:lang w:eastAsia="zh-CN"/>
        </w:rPr>
        <w:t>4</w:t>
      </w:r>
      <w:r>
        <w:rPr>
          <w:rFonts w:asciiTheme="minorEastAsia" w:hAnsiTheme="minorEastAsia" w:eastAsiaTheme="minorEastAsia"/>
          <w:lang w:eastAsia="zh-CN"/>
        </w:rPr>
        <w:t>。</w:t>
      </w:r>
    </w:p>
    <w:p w14:paraId="54D7B316">
      <w:pPr>
        <w:ind w:firstLine="199" w:firstLineChars="83"/>
        <w:jc w:val="center"/>
        <w:rPr>
          <w:lang w:eastAsia="zh-CN"/>
        </w:rPr>
      </w:pPr>
      <w:r>
        <w:rPr>
          <w:lang w:eastAsia="zh-CN" w:bidi="ar-SA"/>
        </w:rPr>
        <w:drawing>
          <wp:anchor distT="0" distB="0" distL="114300" distR="114300" simplePos="0" relativeHeight="251659264" behindDoc="0" locked="0" layoutInCell="1" allowOverlap="1">
            <wp:simplePos x="0" y="0"/>
            <wp:positionH relativeFrom="column">
              <wp:posOffset>1241425</wp:posOffset>
            </wp:positionH>
            <wp:positionV relativeFrom="paragraph">
              <wp:posOffset>24765</wp:posOffset>
            </wp:positionV>
            <wp:extent cx="3230880" cy="2934335"/>
            <wp:effectExtent l="19050" t="0" r="7620" b="0"/>
            <wp:wrapNone/>
            <wp:docPr id="297" name="图片 4191" descr="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4191" descr="10000"/>
                    <pic:cNvPicPr>
                      <a:picLocks noChangeAspect="1" noChangeArrowheads="1"/>
                    </pic:cNvPicPr>
                  </pic:nvPicPr>
                  <pic:blipFill>
                    <a:blip r:embed="rId29"/>
                    <a:srcRect r="2567"/>
                    <a:stretch>
                      <a:fillRect/>
                    </a:stretch>
                  </pic:blipFill>
                  <pic:spPr>
                    <a:xfrm>
                      <a:off x="0" y="0"/>
                      <a:ext cx="3230880" cy="2934335"/>
                    </a:xfrm>
                    <a:prstGeom prst="rect">
                      <a:avLst/>
                    </a:prstGeom>
                    <a:noFill/>
                    <a:ln w="9525">
                      <a:noFill/>
                      <a:miter lim="800000"/>
                      <a:headEnd/>
                      <a:tailEnd/>
                    </a:ln>
                  </pic:spPr>
                </pic:pic>
              </a:graphicData>
            </a:graphic>
          </wp:anchor>
        </w:drawing>
      </w:r>
    </w:p>
    <w:p w14:paraId="1E47718B">
      <w:pPr>
        <w:ind w:firstLine="480"/>
        <w:rPr>
          <w:lang w:eastAsia="zh-CN"/>
        </w:rPr>
      </w:pPr>
    </w:p>
    <w:p w14:paraId="6EE699AB">
      <w:pPr>
        <w:ind w:firstLine="480"/>
        <w:rPr>
          <w:lang w:eastAsia="zh-CN"/>
        </w:rPr>
      </w:pPr>
    </w:p>
    <w:p w14:paraId="60E176B9">
      <w:pPr>
        <w:ind w:firstLine="480"/>
        <w:rPr>
          <w:lang w:eastAsia="zh-CN"/>
        </w:rPr>
      </w:pPr>
    </w:p>
    <w:p w14:paraId="04B70A8C">
      <w:pPr>
        <w:ind w:firstLine="480"/>
        <w:rPr>
          <w:lang w:eastAsia="zh-CN"/>
        </w:rPr>
      </w:pPr>
    </w:p>
    <w:p w14:paraId="7B5A568E">
      <w:pPr>
        <w:ind w:firstLine="480"/>
        <w:rPr>
          <w:lang w:eastAsia="zh-CN"/>
        </w:rPr>
      </w:pPr>
    </w:p>
    <w:p w14:paraId="300BD981">
      <w:pPr>
        <w:ind w:firstLine="480"/>
        <w:rPr>
          <w:lang w:eastAsia="zh-CN"/>
        </w:rPr>
      </w:pPr>
    </w:p>
    <w:p w14:paraId="0291B441">
      <w:pPr>
        <w:ind w:firstLine="480"/>
        <w:rPr>
          <w:lang w:eastAsia="zh-CN"/>
        </w:rPr>
      </w:pPr>
    </w:p>
    <w:p w14:paraId="36F8D6BF">
      <w:pPr>
        <w:ind w:firstLine="480"/>
        <w:rPr>
          <w:lang w:eastAsia="zh-CN"/>
        </w:rPr>
      </w:pPr>
    </w:p>
    <w:p w14:paraId="470A1338">
      <w:pPr>
        <w:ind w:firstLine="480"/>
        <w:rPr>
          <w:lang w:eastAsia="zh-CN"/>
        </w:rPr>
      </w:pPr>
    </w:p>
    <w:p w14:paraId="0C73ED55">
      <w:pPr>
        <w:ind w:firstLine="480"/>
        <w:rPr>
          <w:lang w:eastAsia="zh-CN"/>
        </w:rPr>
      </w:pPr>
    </w:p>
    <w:p w14:paraId="37238AB4">
      <w:pPr>
        <w:ind w:firstLine="480"/>
        <w:rPr>
          <w:lang w:eastAsia="zh-CN"/>
        </w:rPr>
      </w:pPr>
    </w:p>
    <w:p w14:paraId="5F877C64">
      <w:pPr>
        <w:ind w:firstLineChars="83"/>
        <w:jc w:val="center"/>
        <w:rPr>
          <w:b/>
          <w:lang w:eastAsia="zh-CN"/>
        </w:rPr>
      </w:pPr>
      <w:r>
        <w:rPr>
          <w:b/>
          <w:lang w:eastAsia="zh-CN"/>
        </w:rPr>
        <w:t>图3.4-</w:t>
      </w:r>
      <w:r>
        <w:rPr>
          <w:rFonts w:hint="eastAsia"/>
          <w:b/>
          <w:lang w:eastAsia="zh-CN"/>
        </w:rPr>
        <w:t>4</w:t>
      </w:r>
      <w:r>
        <w:rPr>
          <w:b/>
          <w:lang w:eastAsia="zh-CN"/>
        </w:rPr>
        <w:t xml:space="preserve">  封井护墩示意图</w:t>
      </w:r>
    </w:p>
    <w:p w14:paraId="296883A8">
      <w:pPr>
        <w:pStyle w:val="4"/>
        <w:rPr>
          <w:lang w:eastAsia="zh-CN"/>
        </w:rPr>
      </w:pPr>
      <w:bookmarkStart w:id="196" w:name="_Toc408413941"/>
      <w:r>
        <w:rPr>
          <w:lang w:eastAsia="zh-CN"/>
        </w:rPr>
        <w:t>3.4.4集输工艺</w:t>
      </w:r>
      <w:bookmarkEnd w:id="184"/>
      <w:bookmarkEnd w:id="185"/>
      <w:bookmarkEnd w:id="186"/>
      <w:bookmarkEnd w:id="196"/>
    </w:p>
    <w:p w14:paraId="0633131F">
      <w:pPr>
        <w:ind w:firstLine="480"/>
        <w:rPr>
          <w:rFonts w:asciiTheme="minorEastAsia" w:hAnsiTheme="minorEastAsia" w:eastAsiaTheme="minorEastAsia"/>
          <w:lang w:eastAsia="zh-CN"/>
        </w:rPr>
      </w:pPr>
      <w:r>
        <w:rPr>
          <w:rFonts w:asciiTheme="minorEastAsia" w:hAnsiTheme="minorEastAsia" w:eastAsiaTheme="minorEastAsia"/>
          <w:lang w:eastAsia="zh-CN"/>
        </w:rPr>
        <w:t>本次只分析油田内部集输系统工程。</w:t>
      </w:r>
      <w:r>
        <w:rPr>
          <w:rFonts w:hint="eastAsia" w:asciiTheme="minorEastAsia" w:hAnsiTheme="minorEastAsia" w:eastAsiaTheme="minorEastAsia"/>
          <w:lang w:eastAsia="zh-CN"/>
        </w:rPr>
        <w:t>乌里雅斯太</w:t>
      </w:r>
      <w:r>
        <w:rPr>
          <w:rFonts w:asciiTheme="minorEastAsia" w:hAnsiTheme="minorEastAsia" w:eastAsiaTheme="minorEastAsia"/>
          <w:lang w:eastAsia="zh-CN"/>
        </w:rPr>
        <w:t>油田采用了三管伴热工艺进行原油的集输。</w:t>
      </w:r>
    </w:p>
    <w:p w14:paraId="29835076">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1、管线集输</w:t>
      </w:r>
    </w:p>
    <w:p w14:paraId="1E4DD412">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太53</w:t>
      </w:r>
      <w:r>
        <w:rPr>
          <w:rFonts w:asciiTheme="minorEastAsia" w:hAnsiTheme="minorEastAsia" w:eastAsiaTheme="minorEastAsia"/>
          <w:lang w:eastAsia="zh-CN"/>
        </w:rPr>
        <w:t>断块采油区域布设集油管线，单井产出液进入集油管线输送至</w:t>
      </w:r>
      <w:r>
        <w:rPr>
          <w:rFonts w:hint="eastAsia" w:asciiTheme="minorEastAsia" w:hAnsiTheme="minorEastAsia" w:eastAsiaTheme="minorEastAsia"/>
          <w:lang w:eastAsia="zh-CN"/>
        </w:rPr>
        <w:t>雅斯</w:t>
      </w:r>
      <w:r>
        <w:rPr>
          <w:rFonts w:asciiTheme="minorEastAsia" w:hAnsiTheme="minorEastAsia" w:eastAsiaTheme="minorEastAsia"/>
          <w:lang w:eastAsia="zh-CN"/>
        </w:rPr>
        <w:t>合站，</w:t>
      </w:r>
      <w:r>
        <w:rPr>
          <w:rFonts w:hint="eastAsia" w:asciiTheme="minorEastAsia" w:hAnsiTheme="minorEastAsia" w:eastAsiaTheme="minorEastAsia"/>
          <w:lang w:eastAsia="zh-CN"/>
        </w:rPr>
        <w:t>太27</w:t>
      </w:r>
      <w:r>
        <w:rPr>
          <w:rFonts w:asciiTheme="minorEastAsia" w:hAnsiTheme="minorEastAsia" w:eastAsiaTheme="minorEastAsia"/>
          <w:lang w:eastAsia="zh-CN"/>
        </w:rPr>
        <w:t>断块单井产出液</w:t>
      </w:r>
      <w:r>
        <w:rPr>
          <w:rFonts w:hint="eastAsia" w:asciiTheme="minorEastAsia" w:hAnsiTheme="minorEastAsia" w:eastAsiaTheme="minorEastAsia"/>
          <w:lang w:eastAsia="zh-CN"/>
        </w:rPr>
        <w:t>暂存入单井储罐内</w:t>
      </w:r>
      <w:r>
        <w:rPr>
          <w:rFonts w:asciiTheme="minorEastAsia" w:hAnsiTheme="minorEastAsia" w:eastAsiaTheme="minorEastAsia"/>
          <w:lang w:eastAsia="zh-CN"/>
        </w:rPr>
        <w:t>，</w:t>
      </w:r>
      <w:r>
        <w:rPr>
          <w:rFonts w:hint="eastAsia" w:asciiTheme="minorEastAsia" w:hAnsiTheme="minorEastAsia" w:eastAsiaTheme="minorEastAsia"/>
          <w:lang w:eastAsia="zh-CN"/>
        </w:rPr>
        <w:t>经汽车运至雅斯联合站，雅斯联合站接收单井混合液，进入两相分离器分出大部分气体，剩余油气水混合物进入来液换热器升温后进入三相分离器脱水合格后进入500m</w:t>
      </w:r>
      <w:r>
        <w:rPr>
          <w:rFonts w:hint="eastAsia" w:asciiTheme="minorEastAsia" w:hAnsiTheme="minorEastAsia" w:eastAsiaTheme="minorEastAsia"/>
          <w:vertAlign w:val="superscript"/>
          <w:lang w:eastAsia="zh-CN"/>
        </w:rPr>
        <w:t>3</w:t>
      </w:r>
      <w:r>
        <w:rPr>
          <w:rFonts w:hint="eastAsia" w:asciiTheme="minorEastAsia" w:hAnsiTheme="minorEastAsia" w:eastAsiaTheme="minorEastAsia"/>
          <w:lang w:eastAsia="zh-CN"/>
        </w:rPr>
        <w:t>沉降罐，经给油泵增压后与阿乌宝线2号站来液一起进加热炉升温后外输至阿乌宝线4号站。</w:t>
      </w:r>
      <w:r>
        <w:rPr>
          <w:rFonts w:asciiTheme="minorEastAsia" w:hAnsiTheme="minorEastAsia" w:eastAsiaTheme="minorEastAsia"/>
          <w:lang w:eastAsia="zh-CN"/>
        </w:rPr>
        <w:t>分离出的含油废水经污水处理系统处理后全部回注。集油工艺见图3.4-</w:t>
      </w:r>
      <w:r>
        <w:rPr>
          <w:rFonts w:hint="eastAsia" w:asciiTheme="minorEastAsia" w:hAnsiTheme="minorEastAsia" w:eastAsiaTheme="minorEastAsia"/>
          <w:lang w:eastAsia="zh-CN"/>
        </w:rPr>
        <w:t>5</w:t>
      </w:r>
      <w:r>
        <w:rPr>
          <w:rFonts w:asciiTheme="minorEastAsia" w:hAnsiTheme="minorEastAsia" w:eastAsiaTheme="minorEastAsia"/>
          <w:lang w:eastAsia="zh-CN"/>
        </w:rPr>
        <w:t>。</w:t>
      </w:r>
    </w:p>
    <w:p w14:paraId="132A5FDE">
      <w:pPr>
        <w:pStyle w:val="316"/>
        <w:ind w:firstLine="420"/>
        <w:rPr>
          <w:lang w:eastAsia="zh-CN"/>
        </w:rPr>
      </w:pPr>
      <w:r>
        <w:rPr>
          <w:lang w:eastAsia="zh-CN" w:bidi="mn-Mong-CN"/>
        </w:rPr>
        <mc:AlternateContent>
          <mc:Choice Requires="wpg">
            <w:drawing>
              <wp:anchor distT="0" distB="0" distL="114300" distR="114300" simplePos="0" relativeHeight="251662336" behindDoc="0" locked="0" layoutInCell="1" allowOverlap="1">
                <wp:simplePos x="0" y="0"/>
                <wp:positionH relativeFrom="column">
                  <wp:posOffset>-291465</wp:posOffset>
                </wp:positionH>
                <wp:positionV relativeFrom="paragraph">
                  <wp:posOffset>-19050</wp:posOffset>
                </wp:positionV>
                <wp:extent cx="5547995" cy="2977515"/>
                <wp:effectExtent l="19050" t="19050" r="33655" b="13335"/>
                <wp:wrapNone/>
                <wp:docPr id="71" name="Group 1252"/>
                <wp:cNvGraphicFramePr/>
                <a:graphic xmlns:a="http://schemas.openxmlformats.org/drawingml/2006/main">
                  <a:graphicData uri="http://schemas.microsoft.com/office/word/2010/wordprocessingGroup">
                    <wpg:wgp>
                      <wpg:cNvGrpSpPr/>
                      <wpg:grpSpPr>
                        <a:xfrm>
                          <a:off x="0" y="0"/>
                          <a:ext cx="5547995" cy="2977515"/>
                          <a:chOff x="0" y="0"/>
                          <a:chExt cx="8737" cy="4689"/>
                        </a:xfrm>
                      </wpg:grpSpPr>
                      <wps:wsp>
                        <wps:cNvPr id="42" name="Text Box 1234"/>
                        <wps:cNvSpPr txBox="1"/>
                        <wps:spPr>
                          <a:xfrm>
                            <a:off x="4143" y="3424"/>
                            <a:ext cx="1177" cy="553"/>
                          </a:xfrm>
                          <a:prstGeom prst="rect">
                            <a:avLst/>
                          </a:prstGeom>
                          <a:solidFill>
                            <a:srgbClr val="9BBB59">
                              <a:alpha val="50000"/>
                            </a:srgbClr>
                          </a:solidFill>
                          <a:ln w="38100" cap="flat" cmpd="sng">
                            <a:solidFill>
                              <a:srgbClr val="F2F2F2"/>
                            </a:solidFill>
                            <a:prstDash val="solid"/>
                            <a:miter/>
                            <a:headEnd type="none" w="med" len="med"/>
                            <a:tailEnd type="none" w="med" len="med"/>
                          </a:ln>
                          <a:effectLst>
                            <a:outerShdw dist="28398" dir="3806096" algn="ctr" rotWithShape="0">
                              <a:srgbClr val="4E6128">
                                <a:alpha val="50000"/>
                              </a:srgbClr>
                            </a:outerShdw>
                          </a:effectLst>
                        </wps:spPr>
                        <wps:txbx>
                          <w:txbxContent>
                            <w:p w14:paraId="5CC445C7">
                              <w:pPr>
                                <w:spacing w:line="240" w:lineRule="auto"/>
                                <w:ind w:firstLine="0" w:firstLineChars="0"/>
                                <w:jc w:val="center"/>
                                <w:rPr>
                                  <w:rFonts w:ascii="宋体" w:hAnsi="宋体"/>
                                  <w:szCs w:val="21"/>
                                </w:rPr>
                              </w:pPr>
                              <w:r>
                                <w:rPr>
                                  <w:rFonts w:hint="eastAsia" w:ascii="宋体" w:hAnsi="宋体"/>
                                  <w:szCs w:val="21"/>
                                  <w:lang w:eastAsia="zh-CN"/>
                                </w:rPr>
                                <w:t>储罐</w:t>
                              </w:r>
                            </w:p>
                          </w:txbxContent>
                        </wps:txbx>
                        <wps:bodyPr upright="1"/>
                      </wps:wsp>
                      <wps:wsp>
                        <wps:cNvPr id="43" name="Text Box 1213"/>
                        <wps:cNvSpPr txBox="1"/>
                        <wps:spPr>
                          <a:xfrm>
                            <a:off x="7654" y="1892"/>
                            <a:ext cx="1071" cy="672"/>
                          </a:xfrm>
                          <a:prstGeom prst="rect">
                            <a:avLst/>
                          </a:prstGeom>
                          <a:solidFill>
                            <a:srgbClr val="9BBB59">
                              <a:alpha val="50000"/>
                            </a:srgbClr>
                          </a:solidFill>
                          <a:ln w="38100" cap="flat" cmpd="sng">
                            <a:solidFill>
                              <a:srgbClr val="F2F2F2"/>
                            </a:solidFill>
                            <a:prstDash val="solid"/>
                            <a:miter/>
                            <a:headEnd type="none" w="med" len="med"/>
                            <a:tailEnd type="none" w="med" len="med"/>
                          </a:ln>
                          <a:effectLst>
                            <a:outerShdw dist="28398" dir="3806096" algn="ctr" rotWithShape="0">
                              <a:srgbClr val="4E6128">
                                <a:alpha val="50000"/>
                              </a:srgbClr>
                            </a:outerShdw>
                          </a:effectLst>
                        </wps:spPr>
                        <wps:txbx>
                          <w:txbxContent>
                            <w:p w14:paraId="52831615">
                              <w:pPr>
                                <w:ind w:firstLine="0" w:firstLineChars="0"/>
                                <w:jc w:val="center"/>
                                <w:rPr>
                                  <w:rFonts w:ascii="宋体" w:hAnsi="宋体"/>
                                  <w:szCs w:val="21"/>
                                  <w:lang w:eastAsia="zh-CN"/>
                                </w:rPr>
                              </w:pPr>
                              <w:r>
                                <w:rPr>
                                  <w:rFonts w:hint="eastAsia" w:ascii="宋体" w:hAnsi="宋体"/>
                                  <w:szCs w:val="21"/>
                                  <w:lang w:eastAsia="zh-CN"/>
                                </w:rPr>
                                <w:t>原油</w:t>
                              </w:r>
                            </w:p>
                            <w:p w14:paraId="311FD97A">
                              <w:pPr>
                                <w:ind w:firstLine="480"/>
                                <w:jc w:val="center"/>
                                <w:rPr>
                                  <w:rFonts w:ascii="宋体" w:hAnsi="宋体"/>
                                  <w:szCs w:val="21"/>
                                </w:rPr>
                              </w:pPr>
                            </w:p>
                          </w:txbxContent>
                        </wps:txbx>
                        <wps:bodyPr upright="1"/>
                      </wps:wsp>
                      <wps:wsp>
                        <wps:cNvPr id="44" name="Line 1214"/>
                        <wps:cNvCnPr/>
                        <wps:spPr>
                          <a:xfrm flipV="1">
                            <a:off x="8280" y="1024"/>
                            <a:ext cx="0" cy="860"/>
                          </a:xfrm>
                          <a:prstGeom prst="line">
                            <a:avLst/>
                          </a:prstGeom>
                          <a:ln w="9525" cap="flat" cmpd="sng">
                            <a:solidFill>
                              <a:srgbClr val="000000"/>
                            </a:solidFill>
                            <a:prstDash val="solid"/>
                            <a:headEnd type="none" w="med" len="med"/>
                            <a:tailEnd type="stealth" w="sm" len="med"/>
                          </a:ln>
                        </wps:spPr>
                        <wps:bodyPr upright="1"/>
                      </wps:wsp>
                      <wps:wsp>
                        <wps:cNvPr id="45" name="Text Box 1215"/>
                        <wps:cNvSpPr txBox="1"/>
                        <wps:spPr>
                          <a:xfrm>
                            <a:off x="1382" y="1919"/>
                            <a:ext cx="1994" cy="672"/>
                          </a:xfrm>
                          <a:prstGeom prst="rect">
                            <a:avLst/>
                          </a:prstGeom>
                          <a:solidFill>
                            <a:srgbClr val="9BBB59">
                              <a:alpha val="50000"/>
                            </a:srgbClr>
                          </a:solidFill>
                          <a:ln w="38100" cap="flat" cmpd="sng">
                            <a:solidFill>
                              <a:srgbClr val="F2F2F2"/>
                            </a:solidFill>
                            <a:prstDash val="solid"/>
                            <a:miter/>
                            <a:headEnd type="none" w="med" len="med"/>
                            <a:tailEnd type="none" w="med" len="med"/>
                          </a:ln>
                          <a:effectLst>
                            <a:outerShdw dist="28398" dir="3806096" algn="ctr" rotWithShape="0">
                              <a:srgbClr val="4E6128">
                                <a:alpha val="50000"/>
                              </a:srgbClr>
                            </a:outerShdw>
                          </a:effectLst>
                        </wps:spPr>
                        <wps:txbx>
                          <w:txbxContent>
                            <w:p w14:paraId="0BE6B5C6">
                              <w:pPr>
                                <w:ind w:firstLine="0" w:firstLineChars="0"/>
                                <w:jc w:val="center"/>
                                <w:rPr>
                                  <w:rFonts w:ascii="宋体" w:hAnsi="宋体"/>
                                  <w:szCs w:val="21"/>
                                  <w:lang w:eastAsia="zh-CN"/>
                                </w:rPr>
                              </w:pPr>
                              <w:r>
                                <w:rPr>
                                  <w:rFonts w:hint="eastAsia" w:ascii="宋体" w:hAnsi="宋体"/>
                                  <w:szCs w:val="21"/>
                                  <w:lang w:eastAsia="zh-CN"/>
                                </w:rPr>
                                <w:t>污水处理系统</w:t>
                              </w:r>
                            </w:p>
                            <w:p w14:paraId="00060B07">
                              <w:pPr>
                                <w:ind w:firstLine="480"/>
                                <w:jc w:val="center"/>
                                <w:rPr>
                                  <w:rFonts w:ascii="宋体" w:hAnsi="宋体"/>
                                  <w:szCs w:val="21"/>
                                </w:rPr>
                              </w:pPr>
                            </w:p>
                          </w:txbxContent>
                        </wps:txbx>
                        <wps:bodyPr upright="1"/>
                      </wps:wsp>
                      <wps:wsp>
                        <wps:cNvPr id="46" name="Text Box 1216"/>
                        <wps:cNvSpPr txBox="1"/>
                        <wps:spPr>
                          <a:xfrm>
                            <a:off x="248" y="1974"/>
                            <a:ext cx="832" cy="671"/>
                          </a:xfrm>
                          <a:prstGeom prst="rect">
                            <a:avLst/>
                          </a:prstGeom>
                          <a:solidFill>
                            <a:srgbClr val="9BBB59">
                              <a:alpha val="50000"/>
                            </a:srgbClr>
                          </a:solidFill>
                          <a:ln w="38100" cap="flat" cmpd="sng">
                            <a:solidFill>
                              <a:srgbClr val="F2F2F2"/>
                            </a:solidFill>
                            <a:prstDash val="solid"/>
                            <a:miter/>
                            <a:headEnd type="none" w="med" len="med"/>
                            <a:tailEnd type="none" w="med" len="med"/>
                          </a:ln>
                          <a:effectLst>
                            <a:outerShdw dist="28398" dir="3806096" algn="ctr" rotWithShape="0">
                              <a:srgbClr val="4E6128">
                                <a:alpha val="50000"/>
                              </a:srgbClr>
                            </a:outerShdw>
                          </a:effectLst>
                        </wps:spPr>
                        <wps:txbx>
                          <w:txbxContent>
                            <w:p w14:paraId="0C24550F">
                              <w:pPr>
                                <w:ind w:firstLine="0" w:firstLineChars="0"/>
                                <w:jc w:val="center"/>
                                <w:rPr>
                                  <w:rFonts w:ascii="宋体" w:hAnsi="宋体"/>
                                  <w:szCs w:val="21"/>
                                  <w:lang w:eastAsia="zh-CN"/>
                                </w:rPr>
                              </w:pPr>
                              <w:r>
                                <w:rPr>
                                  <w:rFonts w:hint="eastAsia" w:ascii="宋体" w:hAnsi="宋体"/>
                                  <w:szCs w:val="21"/>
                                  <w:lang w:eastAsia="zh-CN"/>
                                </w:rPr>
                                <w:t>回注</w:t>
                              </w:r>
                            </w:p>
                            <w:p w14:paraId="1B61D64D">
                              <w:pPr>
                                <w:ind w:firstLine="480"/>
                                <w:jc w:val="center"/>
                                <w:rPr>
                                  <w:rFonts w:ascii="宋体" w:hAnsi="宋体"/>
                                  <w:szCs w:val="21"/>
                                </w:rPr>
                              </w:pPr>
                            </w:p>
                          </w:txbxContent>
                        </wps:txbx>
                        <wps:bodyPr upright="1"/>
                      </wps:wsp>
                      <wps:wsp>
                        <wps:cNvPr id="47" name="Line 1217"/>
                        <wps:cNvCnPr/>
                        <wps:spPr>
                          <a:xfrm rot="10800000">
                            <a:off x="1080" y="2309"/>
                            <a:ext cx="296" cy="0"/>
                          </a:xfrm>
                          <a:prstGeom prst="line">
                            <a:avLst/>
                          </a:prstGeom>
                          <a:ln w="9525" cap="flat" cmpd="sng">
                            <a:solidFill>
                              <a:srgbClr val="000000"/>
                            </a:solidFill>
                            <a:prstDash val="solid"/>
                            <a:headEnd type="none" w="med" len="med"/>
                            <a:tailEnd type="stealth" w="sm" len="med"/>
                          </a:ln>
                        </wps:spPr>
                        <wps:bodyPr upright="1"/>
                      </wps:wsp>
                      <wps:wsp>
                        <wps:cNvPr id="48" name="Text Box 1219"/>
                        <wps:cNvSpPr txBox="1"/>
                        <wps:spPr>
                          <a:xfrm>
                            <a:off x="0" y="0"/>
                            <a:ext cx="1376" cy="1093"/>
                          </a:xfrm>
                          <a:prstGeom prst="rect">
                            <a:avLst/>
                          </a:prstGeom>
                          <a:solidFill>
                            <a:srgbClr val="9BBB59">
                              <a:alpha val="50000"/>
                            </a:srgbClr>
                          </a:solidFill>
                          <a:ln w="38100" cap="flat" cmpd="sng">
                            <a:solidFill>
                              <a:srgbClr val="F2F2F2"/>
                            </a:solidFill>
                            <a:prstDash val="solid"/>
                            <a:miter/>
                            <a:headEnd type="none" w="med" len="med"/>
                            <a:tailEnd type="none" w="med" len="med"/>
                          </a:ln>
                          <a:effectLst>
                            <a:outerShdw dist="28398" dir="3806096" algn="ctr" rotWithShape="0">
                              <a:srgbClr val="4E6128">
                                <a:alpha val="50000"/>
                              </a:srgbClr>
                            </a:outerShdw>
                          </a:effectLst>
                        </wps:spPr>
                        <wps:txbx>
                          <w:txbxContent>
                            <w:p w14:paraId="55354A29">
                              <w:pPr>
                                <w:spacing w:line="240" w:lineRule="auto"/>
                                <w:ind w:firstLine="0" w:firstLineChars="0"/>
                                <w:jc w:val="center"/>
                                <w:rPr>
                                  <w:rFonts w:ascii="宋体" w:hAnsi="宋体"/>
                                  <w:szCs w:val="21"/>
                                </w:rPr>
                              </w:pPr>
                              <w:r>
                                <w:rPr>
                                  <w:rFonts w:hint="eastAsia" w:ascii="宋体" w:hAnsi="宋体"/>
                                  <w:szCs w:val="21"/>
                                  <w:lang w:eastAsia="zh-CN"/>
                                </w:rPr>
                                <w:t>太53断块</w:t>
                              </w:r>
                              <w:r>
                                <w:rPr>
                                  <w:rFonts w:hint="eastAsia" w:ascii="宋体" w:hAnsi="宋体"/>
                                  <w:szCs w:val="21"/>
                                </w:rPr>
                                <w:t>油井</w:t>
                              </w:r>
                            </w:p>
                          </w:txbxContent>
                        </wps:txbx>
                        <wps:bodyPr upright="1"/>
                      </wps:wsp>
                      <wps:wsp>
                        <wps:cNvPr id="49" name="Text Box 1220"/>
                        <wps:cNvSpPr txBox="1"/>
                        <wps:spPr>
                          <a:xfrm>
                            <a:off x="2423" y="269"/>
                            <a:ext cx="1177" cy="553"/>
                          </a:xfrm>
                          <a:prstGeom prst="rect">
                            <a:avLst/>
                          </a:prstGeom>
                          <a:solidFill>
                            <a:srgbClr val="9BBB59">
                              <a:alpha val="50000"/>
                            </a:srgbClr>
                          </a:solidFill>
                          <a:ln w="38100" cap="flat" cmpd="sng">
                            <a:solidFill>
                              <a:srgbClr val="F2F2F2"/>
                            </a:solidFill>
                            <a:prstDash val="solid"/>
                            <a:miter/>
                            <a:headEnd type="none" w="med" len="med"/>
                            <a:tailEnd type="none" w="med" len="med"/>
                          </a:ln>
                          <a:effectLst>
                            <a:outerShdw dist="28398" dir="3806096" algn="ctr" rotWithShape="0">
                              <a:srgbClr val="4E6128">
                                <a:alpha val="50000"/>
                              </a:srgbClr>
                            </a:outerShdw>
                          </a:effectLst>
                        </wps:spPr>
                        <wps:txbx>
                          <w:txbxContent>
                            <w:p w14:paraId="60C7573C">
                              <w:pPr>
                                <w:spacing w:line="240" w:lineRule="auto"/>
                                <w:ind w:firstLine="0" w:firstLineChars="0"/>
                                <w:jc w:val="center"/>
                                <w:rPr>
                                  <w:rFonts w:ascii="宋体" w:hAnsi="宋体"/>
                                  <w:szCs w:val="21"/>
                                </w:rPr>
                              </w:pPr>
                              <w:r>
                                <w:rPr>
                                  <w:rFonts w:hint="eastAsia" w:ascii="宋体" w:hAnsi="宋体"/>
                                  <w:szCs w:val="21"/>
                                  <w:lang w:eastAsia="zh-CN"/>
                                </w:rPr>
                                <w:t>产出</w:t>
                              </w:r>
                              <w:r>
                                <w:rPr>
                                  <w:rFonts w:hint="eastAsia" w:ascii="宋体" w:hAnsi="宋体"/>
                                  <w:szCs w:val="21"/>
                                </w:rPr>
                                <w:t>液</w:t>
                              </w:r>
                            </w:p>
                          </w:txbxContent>
                        </wps:txbx>
                        <wps:bodyPr upright="1"/>
                      </wps:wsp>
                      <wps:wsp>
                        <wps:cNvPr id="50" name="Text Box 1222"/>
                        <wps:cNvSpPr txBox="1"/>
                        <wps:spPr>
                          <a:xfrm>
                            <a:off x="3716" y="1906"/>
                            <a:ext cx="1634" cy="672"/>
                          </a:xfrm>
                          <a:prstGeom prst="rect">
                            <a:avLst/>
                          </a:prstGeom>
                          <a:solidFill>
                            <a:srgbClr val="9BBB59">
                              <a:alpha val="50000"/>
                            </a:srgbClr>
                          </a:solidFill>
                          <a:ln w="38100" cap="flat" cmpd="sng">
                            <a:solidFill>
                              <a:srgbClr val="F2F2F2"/>
                            </a:solidFill>
                            <a:prstDash val="solid"/>
                            <a:miter/>
                            <a:headEnd type="none" w="med" len="med"/>
                            <a:tailEnd type="none" w="med" len="med"/>
                          </a:ln>
                          <a:effectLst>
                            <a:outerShdw dist="28398" dir="3806096" algn="ctr" rotWithShape="0">
                              <a:srgbClr val="4E6128">
                                <a:alpha val="50000"/>
                              </a:srgbClr>
                            </a:outerShdw>
                          </a:effectLst>
                        </wps:spPr>
                        <wps:txbx>
                          <w:txbxContent>
                            <w:p w14:paraId="3E2D886B">
                              <w:pPr>
                                <w:ind w:firstLine="240" w:firstLineChars="100"/>
                                <w:rPr>
                                  <w:rFonts w:ascii="宋体" w:hAnsi="宋体"/>
                                  <w:szCs w:val="21"/>
                                  <w:lang w:eastAsia="zh-CN"/>
                                </w:rPr>
                              </w:pPr>
                              <w:r>
                                <w:rPr>
                                  <w:rFonts w:hint="eastAsia" w:ascii="宋体" w:hAnsi="宋体"/>
                                  <w:szCs w:val="21"/>
                                  <w:lang w:eastAsia="zh-CN"/>
                                </w:rPr>
                                <w:t>含油废水</w:t>
                              </w:r>
                            </w:p>
                            <w:p w14:paraId="06411C9F">
                              <w:pPr>
                                <w:ind w:firstLine="480"/>
                                <w:jc w:val="center"/>
                                <w:rPr>
                                  <w:rFonts w:ascii="宋体" w:hAnsi="宋体"/>
                                  <w:szCs w:val="21"/>
                                </w:rPr>
                              </w:pPr>
                            </w:p>
                          </w:txbxContent>
                        </wps:txbx>
                        <wps:bodyPr upright="1"/>
                      </wps:wsp>
                      <wps:wsp>
                        <wps:cNvPr id="51" name="Text Box 1223"/>
                        <wps:cNvSpPr txBox="1"/>
                        <wps:spPr>
                          <a:xfrm>
                            <a:off x="5566" y="177"/>
                            <a:ext cx="1484" cy="645"/>
                          </a:xfrm>
                          <a:prstGeom prst="rect">
                            <a:avLst/>
                          </a:prstGeom>
                          <a:solidFill>
                            <a:srgbClr val="9BBB59">
                              <a:alpha val="50000"/>
                            </a:srgbClr>
                          </a:solidFill>
                          <a:ln w="38100" cap="flat" cmpd="sng">
                            <a:solidFill>
                              <a:srgbClr val="F2F2F2"/>
                            </a:solidFill>
                            <a:prstDash val="solid"/>
                            <a:miter/>
                            <a:headEnd type="none" w="med" len="med"/>
                            <a:tailEnd type="none" w="med" len="med"/>
                          </a:ln>
                          <a:effectLst>
                            <a:outerShdw dist="28398" dir="3806096" algn="ctr" rotWithShape="0">
                              <a:srgbClr val="4E6128">
                                <a:alpha val="50000"/>
                              </a:srgbClr>
                            </a:outerShdw>
                          </a:effectLst>
                        </wps:spPr>
                        <wps:txbx>
                          <w:txbxContent>
                            <w:p w14:paraId="39A444CC">
                              <w:pPr>
                                <w:ind w:firstLine="0" w:firstLineChars="0"/>
                                <w:jc w:val="center"/>
                                <w:rPr>
                                  <w:rFonts w:ascii="宋体" w:hAnsi="宋体"/>
                                  <w:szCs w:val="21"/>
                                </w:rPr>
                              </w:pPr>
                              <w:r>
                                <w:rPr>
                                  <w:rFonts w:hint="eastAsia" w:ascii="宋体" w:hAnsi="宋体"/>
                                  <w:szCs w:val="21"/>
                                </w:rPr>
                                <w:t>输油管线</w:t>
                              </w:r>
                            </w:p>
                          </w:txbxContent>
                        </wps:txbx>
                        <wps:bodyPr upright="1"/>
                      </wps:wsp>
                      <wps:wsp>
                        <wps:cNvPr id="52" name="Line 1224"/>
                        <wps:cNvCnPr/>
                        <wps:spPr>
                          <a:xfrm>
                            <a:off x="1382" y="538"/>
                            <a:ext cx="1041" cy="0"/>
                          </a:xfrm>
                          <a:prstGeom prst="line">
                            <a:avLst/>
                          </a:prstGeom>
                          <a:ln w="9525" cap="flat" cmpd="sng">
                            <a:solidFill>
                              <a:srgbClr val="000000"/>
                            </a:solidFill>
                            <a:prstDash val="solid"/>
                            <a:headEnd type="none" w="med" len="med"/>
                            <a:tailEnd type="stealth" w="sm" len="med"/>
                          </a:ln>
                        </wps:spPr>
                        <wps:bodyPr upright="1"/>
                      </wps:wsp>
                      <wps:wsp>
                        <wps:cNvPr id="53" name="Line 1225"/>
                        <wps:cNvCnPr/>
                        <wps:spPr>
                          <a:xfrm flipV="1">
                            <a:off x="7341" y="2239"/>
                            <a:ext cx="296" cy="10"/>
                          </a:xfrm>
                          <a:prstGeom prst="line">
                            <a:avLst/>
                          </a:prstGeom>
                          <a:ln w="9525" cap="flat" cmpd="sng">
                            <a:solidFill>
                              <a:srgbClr val="000000"/>
                            </a:solidFill>
                            <a:prstDash val="solid"/>
                            <a:headEnd type="none" w="med" len="med"/>
                            <a:tailEnd type="stealth" w="sm" len="med"/>
                          </a:ln>
                        </wps:spPr>
                        <wps:bodyPr upright="1"/>
                      </wps:wsp>
                      <wps:wsp>
                        <wps:cNvPr id="54" name="Line 1226"/>
                        <wps:cNvCnPr/>
                        <wps:spPr>
                          <a:xfrm>
                            <a:off x="6209" y="843"/>
                            <a:ext cx="1" cy="1131"/>
                          </a:xfrm>
                          <a:prstGeom prst="line">
                            <a:avLst/>
                          </a:prstGeom>
                          <a:ln w="9525" cap="flat" cmpd="sng">
                            <a:solidFill>
                              <a:srgbClr val="000000"/>
                            </a:solidFill>
                            <a:prstDash val="solid"/>
                            <a:headEnd type="none" w="med" len="med"/>
                            <a:tailEnd type="stealth" w="sm" len="med"/>
                          </a:ln>
                        </wps:spPr>
                        <wps:bodyPr upright="1"/>
                      </wps:wsp>
                      <wps:wsp>
                        <wps:cNvPr id="55" name="Text Box 1227"/>
                        <wps:cNvSpPr txBox="1"/>
                        <wps:spPr>
                          <a:xfrm>
                            <a:off x="5709" y="1936"/>
                            <a:ext cx="1647" cy="681"/>
                          </a:xfrm>
                          <a:prstGeom prst="rect">
                            <a:avLst/>
                          </a:prstGeom>
                          <a:solidFill>
                            <a:srgbClr val="9BBB59">
                              <a:alpha val="50000"/>
                            </a:srgbClr>
                          </a:solidFill>
                          <a:ln w="38100" cap="flat" cmpd="sng">
                            <a:solidFill>
                              <a:srgbClr val="F2F2F2"/>
                            </a:solidFill>
                            <a:prstDash val="solid"/>
                            <a:miter/>
                            <a:headEnd type="none" w="med" len="med"/>
                            <a:tailEnd type="none" w="med" len="med"/>
                          </a:ln>
                          <a:effectLst>
                            <a:outerShdw dist="28398" dir="3806096" algn="ctr" rotWithShape="0">
                              <a:srgbClr val="4E6128">
                                <a:alpha val="50000"/>
                              </a:srgbClr>
                            </a:outerShdw>
                          </a:effectLst>
                        </wps:spPr>
                        <wps:txbx>
                          <w:txbxContent>
                            <w:p w14:paraId="5C41E239">
                              <w:pPr>
                                <w:ind w:firstLine="0" w:firstLineChars="0"/>
                                <w:jc w:val="center"/>
                                <w:rPr>
                                  <w:rFonts w:ascii="宋体" w:hAnsi="宋体"/>
                                  <w:szCs w:val="21"/>
                                  <w:lang w:eastAsia="zh-CN"/>
                                </w:rPr>
                              </w:pPr>
                              <w:r>
                                <w:rPr>
                                  <w:rFonts w:hint="eastAsia" w:ascii="宋体" w:hAnsi="宋体"/>
                                  <w:szCs w:val="21"/>
                                  <w:lang w:eastAsia="zh-CN"/>
                                </w:rPr>
                                <w:t>雅斯联合站</w:t>
                              </w:r>
                            </w:p>
                          </w:txbxContent>
                        </wps:txbx>
                        <wps:bodyPr upright="1"/>
                      </wps:wsp>
                      <wps:wsp>
                        <wps:cNvPr id="56" name="Text Box 1228"/>
                        <wps:cNvSpPr txBox="1"/>
                        <wps:spPr>
                          <a:xfrm>
                            <a:off x="7356" y="177"/>
                            <a:ext cx="1381" cy="916"/>
                          </a:xfrm>
                          <a:prstGeom prst="rect">
                            <a:avLst/>
                          </a:prstGeom>
                          <a:noFill/>
                          <a:ln>
                            <a:noFill/>
                          </a:ln>
                        </wps:spPr>
                        <wps:txbx>
                          <w:txbxContent>
                            <w:p w14:paraId="08F34AF1">
                              <w:pPr>
                                <w:spacing w:line="240" w:lineRule="auto"/>
                                <w:ind w:firstLine="0" w:firstLineChars="0"/>
                                <w:rPr>
                                  <w:rFonts w:ascii="宋体" w:hAnsi="宋体"/>
                                  <w:sz w:val="21"/>
                                  <w:szCs w:val="21"/>
                                  <w:lang w:eastAsia="zh-CN"/>
                                </w:rPr>
                              </w:pPr>
                              <w:r>
                                <w:rPr>
                                  <w:rFonts w:hint="eastAsia" w:ascii="宋体" w:hAnsi="宋体"/>
                                  <w:sz w:val="21"/>
                                  <w:szCs w:val="21"/>
                                  <w:lang w:eastAsia="zh-CN"/>
                                </w:rPr>
                                <w:t>进入阿乌宝外输管线</w:t>
                              </w:r>
                            </w:p>
                          </w:txbxContent>
                        </wps:txbx>
                        <wps:bodyPr upright="1"/>
                      </wps:wsp>
                      <wps:wsp>
                        <wps:cNvPr id="57" name="Text Box 1229"/>
                        <wps:cNvSpPr txBox="1"/>
                        <wps:spPr>
                          <a:xfrm>
                            <a:off x="90" y="3361"/>
                            <a:ext cx="1411" cy="807"/>
                          </a:xfrm>
                          <a:prstGeom prst="rect">
                            <a:avLst/>
                          </a:prstGeom>
                          <a:solidFill>
                            <a:srgbClr val="9BBB59">
                              <a:alpha val="50000"/>
                            </a:srgbClr>
                          </a:solidFill>
                          <a:ln w="38100" cap="flat" cmpd="sng">
                            <a:solidFill>
                              <a:srgbClr val="F2F2F2"/>
                            </a:solidFill>
                            <a:prstDash val="solid"/>
                            <a:miter/>
                            <a:headEnd type="none" w="med" len="med"/>
                            <a:tailEnd type="none" w="med" len="med"/>
                          </a:ln>
                          <a:effectLst>
                            <a:outerShdw dist="28398" dir="3806096" algn="ctr" rotWithShape="0">
                              <a:srgbClr val="4E6128">
                                <a:alpha val="50000"/>
                              </a:srgbClr>
                            </a:outerShdw>
                          </a:effectLst>
                        </wps:spPr>
                        <wps:txbx>
                          <w:txbxContent>
                            <w:p w14:paraId="074C9275">
                              <w:pPr>
                                <w:spacing w:line="240" w:lineRule="auto"/>
                                <w:ind w:firstLine="0" w:firstLineChars="0"/>
                                <w:jc w:val="center"/>
                                <w:rPr>
                                  <w:rFonts w:ascii="宋体" w:hAnsi="宋体"/>
                                  <w:szCs w:val="21"/>
                                </w:rPr>
                              </w:pPr>
                              <w:r>
                                <w:rPr>
                                  <w:rFonts w:hint="eastAsia" w:ascii="宋体" w:hAnsi="宋体"/>
                                  <w:szCs w:val="21"/>
                                  <w:lang w:eastAsia="zh-CN"/>
                                </w:rPr>
                                <w:t>太27断块</w:t>
                              </w:r>
                              <w:r>
                                <w:rPr>
                                  <w:rFonts w:hint="eastAsia" w:ascii="宋体" w:hAnsi="宋体"/>
                                  <w:szCs w:val="21"/>
                                </w:rPr>
                                <w:t>油井</w:t>
                              </w:r>
                            </w:p>
                          </w:txbxContent>
                        </wps:txbx>
                        <wps:bodyPr upright="1"/>
                      </wps:wsp>
                      <wps:wsp>
                        <wps:cNvPr id="58" name="Line 1230"/>
                        <wps:cNvCnPr/>
                        <wps:spPr>
                          <a:xfrm>
                            <a:off x="1501" y="3747"/>
                            <a:ext cx="699" cy="0"/>
                          </a:xfrm>
                          <a:prstGeom prst="line">
                            <a:avLst/>
                          </a:prstGeom>
                          <a:ln w="9525" cap="flat" cmpd="sng">
                            <a:solidFill>
                              <a:srgbClr val="000000"/>
                            </a:solidFill>
                            <a:prstDash val="solid"/>
                            <a:headEnd type="none" w="med" len="med"/>
                            <a:tailEnd type="stealth" w="sm" len="med"/>
                          </a:ln>
                        </wps:spPr>
                        <wps:bodyPr upright="1"/>
                      </wps:wsp>
                      <wps:wsp>
                        <wps:cNvPr id="59" name="Text Box 1231"/>
                        <wps:cNvSpPr txBox="1"/>
                        <wps:spPr>
                          <a:xfrm>
                            <a:off x="2200" y="3490"/>
                            <a:ext cx="1176" cy="553"/>
                          </a:xfrm>
                          <a:prstGeom prst="rect">
                            <a:avLst/>
                          </a:prstGeom>
                          <a:solidFill>
                            <a:srgbClr val="9BBB59">
                              <a:alpha val="50000"/>
                            </a:srgbClr>
                          </a:solidFill>
                          <a:ln w="38100" cap="flat" cmpd="sng">
                            <a:solidFill>
                              <a:srgbClr val="F2F2F2"/>
                            </a:solidFill>
                            <a:prstDash val="solid"/>
                            <a:miter/>
                            <a:headEnd type="none" w="med" len="med"/>
                            <a:tailEnd type="none" w="med" len="med"/>
                          </a:ln>
                          <a:effectLst>
                            <a:outerShdw dist="28398" dir="3806096" algn="ctr" rotWithShape="0">
                              <a:srgbClr val="4E6128">
                                <a:alpha val="50000"/>
                              </a:srgbClr>
                            </a:outerShdw>
                          </a:effectLst>
                        </wps:spPr>
                        <wps:txbx>
                          <w:txbxContent>
                            <w:p w14:paraId="02D6D976">
                              <w:pPr>
                                <w:spacing w:line="240" w:lineRule="auto"/>
                                <w:ind w:firstLine="0" w:firstLineChars="0"/>
                                <w:jc w:val="center"/>
                                <w:rPr>
                                  <w:rFonts w:ascii="宋体" w:hAnsi="宋体"/>
                                  <w:szCs w:val="21"/>
                                </w:rPr>
                              </w:pPr>
                              <w:r>
                                <w:rPr>
                                  <w:rFonts w:hint="eastAsia" w:ascii="宋体" w:hAnsi="宋体"/>
                                  <w:szCs w:val="21"/>
                                  <w:lang w:eastAsia="zh-CN"/>
                                </w:rPr>
                                <w:t>产出</w:t>
                              </w:r>
                              <w:r>
                                <w:rPr>
                                  <w:rFonts w:hint="eastAsia" w:ascii="宋体" w:hAnsi="宋体"/>
                                  <w:szCs w:val="21"/>
                                </w:rPr>
                                <w:t>液</w:t>
                              </w:r>
                            </w:p>
                          </w:txbxContent>
                        </wps:txbx>
                        <wps:bodyPr upright="1"/>
                      </wps:wsp>
                      <wps:wsp>
                        <wps:cNvPr id="60" name="Line 1232"/>
                        <wps:cNvCnPr/>
                        <wps:spPr>
                          <a:xfrm>
                            <a:off x="3376" y="3720"/>
                            <a:ext cx="767" cy="18"/>
                          </a:xfrm>
                          <a:prstGeom prst="line">
                            <a:avLst/>
                          </a:prstGeom>
                          <a:ln w="9525" cap="flat" cmpd="sng">
                            <a:solidFill>
                              <a:srgbClr val="000000"/>
                            </a:solidFill>
                            <a:prstDash val="solid"/>
                            <a:headEnd type="none" w="med" len="med"/>
                            <a:tailEnd type="stealth" w="sm" len="med"/>
                          </a:ln>
                        </wps:spPr>
                        <wps:bodyPr upright="1"/>
                      </wps:wsp>
                      <wps:wsp>
                        <wps:cNvPr id="61" name="Text Box 1236"/>
                        <wps:cNvSpPr txBox="1"/>
                        <wps:spPr>
                          <a:xfrm>
                            <a:off x="6495" y="3424"/>
                            <a:ext cx="1455" cy="553"/>
                          </a:xfrm>
                          <a:prstGeom prst="rect">
                            <a:avLst/>
                          </a:prstGeom>
                          <a:solidFill>
                            <a:srgbClr val="9BBB59">
                              <a:alpha val="50000"/>
                            </a:srgbClr>
                          </a:solidFill>
                          <a:ln w="38100" cap="flat" cmpd="sng">
                            <a:solidFill>
                              <a:srgbClr val="F2F2F2"/>
                            </a:solidFill>
                            <a:prstDash val="solid"/>
                            <a:miter/>
                            <a:headEnd type="none" w="med" len="med"/>
                            <a:tailEnd type="none" w="med" len="med"/>
                          </a:ln>
                          <a:effectLst>
                            <a:outerShdw dist="28398" dir="3806096" algn="ctr" rotWithShape="0">
                              <a:srgbClr val="4E6128">
                                <a:alpha val="50000"/>
                              </a:srgbClr>
                            </a:outerShdw>
                          </a:effectLst>
                        </wps:spPr>
                        <wps:txbx>
                          <w:txbxContent>
                            <w:p w14:paraId="4E549E02">
                              <w:pPr>
                                <w:ind w:firstLine="0" w:firstLineChars="0"/>
                                <w:jc w:val="center"/>
                                <w:rPr>
                                  <w:rFonts w:ascii="宋体" w:hAnsi="宋体"/>
                                  <w:szCs w:val="21"/>
                                </w:rPr>
                              </w:pPr>
                              <w:r>
                                <w:rPr>
                                  <w:rFonts w:hint="eastAsia" w:ascii="宋体" w:hAnsi="宋体"/>
                                  <w:szCs w:val="21"/>
                                  <w:lang w:eastAsia="zh-CN"/>
                                </w:rPr>
                                <w:t>汽车拉运</w:t>
                              </w:r>
                            </w:p>
                          </w:txbxContent>
                        </wps:txbx>
                        <wps:bodyPr upright="1"/>
                      </wps:wsp>
                      <wps:wsp>
                        <wps:cNvPr id="62" name="Line 1237"/>
                        <wps:cNvCnPr/>
                        <wps:spPr>
                          <a:xfrm flipH="1">
                            <a:off x="4680" y="3977"/>
                            <a:ext cx="0" cy="695"/>
                          </a:xfrm>
                          <a:prstGeom prst="line">
                            <a:avLst/>
                          </a:prstGeom>
                          <a:ln w="9525" cap="flat" cmpd="sng">
                            <a:solidFill>
                              <a:srgbClr val="000000"/>
                            </a:solidFill>
                            <a:prstDash val="solid"/>
                            <a:headEnd type="none" w="med" len="med"/>
                            <a:tailEnd type="stealth" w="sm" len="med"/>
                          </a:ln>
                        </wps:spPr>
                        <wps:bodyPr upright="1"/>
                      </wps:wsp>
                      <wps:wsp>
                        <wps:cNvPr id="63" name="Line 1238"/>
                        <wps:cNvCnPr/>
                        <wps:spPr>
                          <a:xfrm flipH="1" flipV="1">
                            <a:off x="1605" y="3747"/>
                            <a:ext cx="0" cy="908"/>
                          </a:xfrm>
                          <a:prstGeom prst="line">
                            <a:avLst/>
                          </a:prstGeom>
                          <a:ln w="9525" cap="flat" cmpd="sng">
                            <a:solidFill>
                              <a:srgbClr val="000000"/>
                            </a:solidFill>
                            <a:prstDash val="solid"/>
                            <a:headEnd type="none" w="med" len="med"/>
                            <a:tailEnd type="stealth" w="sm" len="med"/>
                          </a:ln>
                        </wps:spPr>
                        <wps:bodyPr upright="1"/>
                      </wps:wsp>
                      <wps:wsp>
                        <wps:cNvPr id="64" name="Line 1240"/>
                        <wps:cNvCnPr/>
                        <wps:spPr>
                          <a:xfrm rot="10800000">
                            <a:off x="3387" y="2295"/>
                            <a:ext cx="296" cy="0"/>
                          </a:xfrm>
                          <a:prstGeom prst="line">
                            <a:avLst/>
                          </a:prstGeom>
                          <a:ln w="9525" cap="flat" cmpd="sng">
                            <a:solidFill>
                              <a:srgbClr val="000000"/>
                            </a:solidFill>
                            <a:prstDash val="solid"/>
                            <a:headEnd type="none" w="med" len="med"/>
                            <a:tailEnd type="stealth" w="sm" len="med"/>
                          </a:ln>
                        </wps:spPr>
                        <wps:bodyPr upright="1"/>
                      </wps:wsp>
                      <wps:wsp>
                        <wps:cNvPr id="65" name="Line 1241"/>
                        <wps:cNvCnPr/>
                        <wps:spPr>
                          <a:xfrm rot="10800000">
                            <a:off x="5379" y="2280"/>
                            <a:ext cx="296" cy="0"/>
                          </a:xfrm>
                          <a:prstGeom prst="line">
                            <a:avLst/>
                          </a:prstGeom>
                          <a:ln w="9525" cap="flat" cmpd="sng">
                            <a:solidFill>
                              <a:srgbClr val="000000"/>
                            </a:solidFill>
                            <a:prstDash val="solid"/>
                            <a:headEnd type="none" w="med" len="med"/>
                            <a:tailEnd type="stealth" w="sm" len="med"/>
                          </a:ln>
                        </wps:spPr>
                        <wps:bodyPr upright="1"/>
                      </wps:wsp>
                      <wps:wsp>
                        <wps:cNvPr id="66" name="Line 1243"/>
                        <wps:cNvCnPr/>
                        <wps:spPr>
                          <a:xfrm>
                            <a:off x="5270" y="3738"/>
                            <a:ext cx="1225" cy="0"/>
                          </a:xfrm>
                          <a:prstGeom prst="line">
                            <a:avLst/>
                          </a:prstGeom>
                          <a:ln w="9525" cap="flat" cmpd="sng">
                            <a:solidFill>
                              <a:srgbClr val="000000"/>
                            </a:solidFill>
                            <a:prstDash val="solid"/>
                            <a:headEnd type="none" w="med" len="med"/>
                            <a:tailEnd type="stealth" w="sm" len="med"/>
                          </a:ln>
                        </wps:spPr>
                        <wps:bodyPr upright="1"/>
                      </wps:wsp>
                      <wps:wsp>
                        <wps:cNvPr id="67" name="Line 1246"/>
                        <wps:cNvCnPr/>
                        <wps:spPr>
                          <a:xfrm flipH="1">
                            <a:off x="1605" y="4655"/>
                            <a:ext cx="3075" cy="0"/>
                          </a:xfrm>
                          <a:prstGeom prst="line">
                            <a:avLst/>
                          </a:prstGeom>
                          <a:ln w="9525" cap="flat" cmpd="sng">
                            <a:solidFill>
                              <a:srgbClr val="000000"/>
                            </a:solidFill>
                            <a:prstDash val="solid"/>
                            <a:headEnd type="none" w="med" len="med"/>
                            <a:tailEnd type="stealth" w="sm" len="med"/>
                          </a:ln>
                        </wps:spPr>
                        <wps:bodyPr upright="1"/>
                      </wps:wsp>
                      <wps:wsp>
                        <wps:cNvPr id="68" name="Rectangle 1247"/>
                        <wps:cNvSpPr/>
                        <wps:spPr>
                          <a:xfrm>
                            <a:off x="2423" y="4283"/>
                            <a:ext cx="757" cy="406"/>
                          </a:xfrm>
                          <a:prstGeom prst="rect">
                            <a:avLst/>
                          </a:prstGeom>
                          <a:noFill/>
                          <a:ln>
                            <a:noFill/>
                          </a:ln>
                        </wps:spPr>
                        <wps:txbx>
                          <w:txbxContent>
                            <w:p w14:paraId="053AB90F">
                              <w:pPr>
                                <w:ind w:firstLine="0" w:firstLineChars="0"/>
                                <w:rPr>
                                  <w:sz w:val="21"/>
                                  <w:szCs w:val="21"/>
                                  <w:lang w:eastAsia="zh-CN"/>
                                </w:rPr>
                              </w:pPr>
                            </w:p>
                          </w:txbxContent>
                        </wps:txbx>
                        <wps:bodyPr upright="1"/>
                      </wps:wsp>
                      <wps:wsp>
                        <wps:cNvPr id="69" name="Line 1249"/>
                        <wps:cNvCnPr/>
                        <wps:spPr>
                          <a:xfrm>
                            <a:off x="3600" y="538"/>
                            <a:ext cx="1966" cy="0"/>
                          </a:xfrm>
                          <a:prstGeom prst="line">
                            <a:avLst/>
                          </a:prstGeom>
                          <a:ln w="9525" cap="flat" cmpd="sng">
                            <a:solidFill>
                              <a:srgbClr val="000000"/>
                            </a:solidFill>
                            <a:prstDash val="solid"/>
                            <a:headEnd type="none" w="med" len="med"/>
                            <a:tailEnd type="stealth" w="sm" len="med"/>
                          </a:ln>
                        </wps:spPr>
                        <wps:bodyPr upright="1"/>
                      </wps:wsp>
                      <wps:wsp>
                        <wps:cNvPr id="70" name="Rectangle 1250"/>
                        <wps:cNvSpPr/>
                        <wps:spPr>
                          <a:xfrm>
                            <a:off x="3857" y="590"/>
                            <a:ext cx="1397" cy="434"/>
                          </a:xfrm>
                          <a:prstGeom prst="rect">
                            <a:avLst/>
                          </a:prstGeom>
                          <a:noFill/>
                          <a:ln>
                            <a:noFill/>
                          </a:ln>
                        </wps:spPr>
                        <wps:txbx>
                          <w:txbxContent>
                            <w:p w14:paraId="5409922E">
                              <w:pPr>
                                <w:spacing w:line="240" w:lineRule="auto"/>
                                <w:ind w:firstLine="0" w:firstLineChars="0"/>
                                <w:rPr>
                                  <w:lang w:eastAsia="zh-CN"/>
                                </w:rPr>
                              </w:pPr>
                              <w:r>
                                <w:rPr>
                                  <w:rFonts w:hint="eastAsia"/>
                                  <w:lang w:eastAsia="zh-CN"/>
                                </w:rPr>
                                <w:t>三管伴热</w:t>
                              </w:r>
                            </w:p>
                          </w:txbxContent>
                        </wps:txbx>
                        <wps:bodyPr upright="1"/>
                      </wps:wsp>
                    </wpg:wgp>
                  </a:graphicData>
                </a:graphic>
              </wp:anchor>
            </w:drawing>
          </mc:Choice>
          <mc:Fallback>
            <w:pict>
              <v:group id="Group 1252" o:spid="_x0000_s1026" o:spt="203" style="position:absolute;left:0pt;margin-left:-22.95pt;margin-top:-1.5pt;height:234.45pt;width:436.85pt;z-index:251662336;mso-width-relative:page;mso-height-relative:page;" coordsize="8737,4689" o:gfxdata="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&#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">
                <o:lock v:ext="edit" aspectratio="f"/>
                <v:shape id="Text Box 1234" o:spid="_x0000_s1026" o:spt="202" type="#_x0000_t202" style="position:absolute;left:4143;top:3424;height:553;width:1177;" fillcolor="#9BBB59" filled="t" stroked="t" coordsize="21600,21600" o:gfxdata="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Y8NrLsAAADb&#10;AAAADwAAAAAAAAABACAAAAAiAAAAZHJzL2Rvd25yZXYueG1sUEsBAhQAFAAAAAgAh07iQDMvBZ47&#10;AAAAOQAAABAAAAAAAAAAAQAgAAAACgEAAGRycy9zaGFwZXhtbC54bWxQSwUGAAAAAAYABgBbAQAA&#10;tAMAAAAA&#10;">
                  <v:fill on="t" opacity="32768f" focussize="0,0"/>
                  <v:stroke weight="3pt" color="#F2F2F2" joinstyle="miter"/>
                  <v:imagedata o:title=""/>
                  <o:lock v:ext="edit" aspectratio="f"/>
                  <v:shadow on="t" color="#4E6128" opacity="32768f" offset="1pt,2pt" origin="0f,0f" matrix="65536f,0f,0f,65536f"/>
                  <v:textbox>
                    <w:txbxContent>
                      <w:p w14:paraId="5CC445C7">
                        <w:pPr>
                          <w:spacing w:line="240" w:lineRule="auto"/>
                          <w:ind w:firstLine="0" w:firstLineChars="0"/>
                          <w:jc w:val="center"/>
                          <w:rPr>
                            <w:rFonts w:ascii="宋体" w:hAnsi="宋体"/>
                            <w:szCs w:val="21"/>
                          </w:rPr>
                        </w:pPr>
                        <w:r>
                          <w:rPr>
                            <w:rFonts w:hint="eastAsia" w:ascii="宋体" w:hAnsi="宋体"/>
                            <w:szCs w:val="21"/>
                            <w:lang w:eastAsia="zh-CN"/>
                          </w:rPr>
                          <w:t>储罐</w:t>
                        </w:r>
                      </w:p>
                    </w:txbxContent>
                  </v:textbox>
                </v:shape>
                <v:shape id="Text Box 1213" o:spid="_x0000_s1026" o:spt="202" type="#_x0000_t202" style="position:absolute;left:7654;top:1892;height:672;width:1071;" fillcolor="#9BBB59" filled="t" stroked="t" coordsize="21600,21600" o:gfxdata="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7DqDe8AAAA&#10;2wAAAA8AAAAAAAAAAQAgAAAAIgAAAGRycy9kb3ducmV2LnhtbFBLAQIUABQAAAAIAIdO4kAzLwWe&#10;OwAAADkAAAAQAAAAAAAAAAEAIAAAAAsBAABkcnMvc2hhcGV4bWwueG1sUEsFBgAAAAAGAAYAWwEA&#10;ALUDAAAAAA==&#10;">
                  <v:fill on="t" opacity="32768f" focussize="0,0"/>
                  <v:stroke weight="3pt" color="#F2F2F2" joinstyle="miter"/>
                  <v:imagedata o:title=""/>
                  <o:lock v:ext="edit" aspectratio="f"/>
                  <v:shadow on="t" color="#4E6128" opacity="32768f" offset="1pt,2pt" origin="0f,0f" matrix="65536f,0f,0f,65536f"/>
                  <v:textbox>
                    <w:txbxContent>
                      <w:p w14:paraId="52831615">
                        <w:pPr>
                          <w:ind w:firstLine="0" w:firstLineChars="0"/>
                          <w:jc w:val="center"/>
                          <w:rPr>
                            <w:rFonts w:ascii="宋体" w:hAnsi="宋体"/>
                            <w:szCs w:val="21"/>
                            <w:lang w:eastAsia="zh-CN"/>
                          </w:rPr>
                        </w:pPr>
                        <w:r>
                          <w:rPr>
                            <w:rFonts w:hint="eastAsia" w:ascii="宋体" w:hAnsi="宋体"/>
                            <w:szCs w:val="21"/>
                            <w:lang w:eastAsia="zh-CN"/>
                          </w:rPr>
                          <w:t>原油</w:t>
                        </w:r>
                      </w:p>
                      <w:p w14:paraId="311FD97A">
                        <w:pPr>
                          <w:ind w:firstLine="480"/>
                          <w:jc w:val="center"/>
                          <w:rPr>
                            <w:rFonts w:ascii="宋体" w:hAnsi="宋体"/>
                            <w:szCs w:val="21"/>
                          </w:rPr>
                        </w:pPr>
                      </w:p>
                    </w:txbxContent>
                  </v:textbox>
                </v:shape>
                <v:line id="Line 1214" o:spid="_x0000_s1026" o:spt="20" style="position:absolute;left:8280;top:1024;flip:y;height:860;width:0;" filled="f" stroked="t" coordsize="21600,21600" o:gfxdata="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mmH5S8AAAA&#10;2wAAAA8AAAAAAAAAAQAgAAAAIgAAAGRycy9kb3ducmV2LnhtbFBLAQIUABQAAAAIAIdO4kAzLwWe&#10;OwAAADkAAAAQAAAAAAAAAAEAIAAAAAsBAABkcnMvc2hhcGV4bWwueG1sUEsFBgAAAAAGAAYAWwEA&#10;ALUDAAAAAA==&#10;">
                  <v:fill on="f" focussize="0,0"/>
                  <v:stroke color="#000000" joinstyle="round" endarrow="classic" endarrowwidth="narrow"/>
                  <v:imagedata o:title=""/>
                  <o:lock v:ext="edit" aspectratio="f"/>
                </v:line>
                <v:shape id="Text Box 1215" o:spid="_x0000_s1026" o:spt="202" type="#_x0000_t202" style="position:absolute;left:1382;top:1919;height:672;width:1994;" fillcolor="#9BBB59" filled="t" stroked="t" coordsize="21600,21600" o:gfxdata="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pXYvQAA&#10;ANsAAAAPAAAAAAAAAAEAIAAAACIAAABkcnMvZG93bnJldi54bWxQSwECFAAUAAAACACHTuJAMy8F&#10;njsAAAA5AAAAEAAAAAAAAAABACAAAAAMAQAAZHJzL3NoYXBleG1sLnhtbFBLBQYAAAAABgAGAFsB&#10;AAC2AwAAAAA=&#10;">
                  <v:fill on="t" opacity="32768f" focussize="0,0"/>
                  <v:stroke weight="3pt" color="#F2F2F2" joinstyle="miter"/>
                  <v:imagedata o:title=""/>
                  <o:lock v:ext="edit" aspectratio="f"/>
                  <v:shadow on="t" color="#4E6128" opacity="32768f" offset="1pt,2pt" origin="0f,0f" matrix="65536f,0f,0f,65536f"/>
                  <v:textbox>
                    <w:txbxContent>
                      <w:p w14:paraId="0BE6B5C6">
                        <w:pPr>
                          <w:ind w:firstLine="0" w:firstLineChars="0"/>
                          <w:jc w:val="center"/>
                          <w:rPr>
                            <w:rFonts w:ascii="宋体" w:hAnsi="宋体"/>
                            <w:szCs w:val="21"/>
                            <w:lang w:eastAsia="zh-CN"/>
                          </w:rPr>
                        </w:pPr>
                        <w:r>
                          <w:rPr>
                            <w:rFonts w:hint="eastAsia" w:ascii="宋体" w:hAnsi="宋体"/>
                            <w:szCs w:val="21"/>
                            <w:lang w:eastAsia="zh-CN"/>
                          </w:rPr>
                          <w:t>污水处理系统</w:t>
                        </w:r>
                      </w:p>
                      <w:p w14:paraId="00060B07">
                        <w:pPr>
                          <w:ind w:firstLine="480"/>
                          <w:jc w:val="center"/>
                          <w:rPr>
                            <w:rFonts w:ascii="宋体" w:hAnsi="宋体"/>
                            <w:szCs w:val="21"/>
                          </w:rPr>
                        </w:pPr>
                      </w:p>
                    </w:txbxContent>
                  </v:textbox>
                </v:shape>
                <v:shape id="Text Box 1216" o:spid="_x0000_s1026" o:spt="202" type="#_x0000_t202" style="position:absolute;left:248;top:1974;height:671;width:832;" fillcolor="#9BBB59" filled="t" stroked="t" coordsize="21600,21600" o:gfxdata="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60C6+8AAAA&#10;2wAAAA8AAAAAAAAAAQAgAAAAIgAAAGRycy9kb3ducmV2LnhtbFBLAQIUABQAAAAIAIdO4kAzLwWe&#10;OwAAADkAAAAQAAAAAAAAAAEAIAAAAAsBAABkcnMvc2hhcGV4bWwueG1sUEsFBgAAAAAGAAYAWwEA&#10;ALUDAAAAAA==&#10;">
                  <v:fill on="t" opacity="32768f" focussize="0,0"/>
                  <v:stroke weight="3pt" color="#F2F2F2" joinstyle="miter"/>
                  <v:imagedata o:title=""/>
                  <o:lock v:ext="edit" aspectratio="f"/>
                  <v:shadow on="t" color="#4E6128" opacity="32768f" offset="1pt,2pt" origin="0f,0f" matrix="65536f,0f,0f,65536f"/>
                  <v:textbox>
                    <w:txbxContent>
                      <w:p w14:paraId="0C24550F">
                        <w:pPr>
                          <w:ind w:firstLine="0" w:firstLineChars="0"/>
                          <w:jc w:val="center"/>
                          <w:rPr>
                            <w:rFonts w:ascii="宋体" w:hAnsi="宋体"/>
                            <w:szCs w:val="21"/>
                            <w:lang w:eastAsia="zh-CN"/>
                          </w:rPr>
                        </w:pPr>
                        <w:r>
                          <w:rPr>
                            <w:rFonts w:hint="eastAsia" w:ascii="宋体" w:hAnsi="宋体"/>
                            <w:szCs w:val="21"/>
                            <w:lang w:eastAsia="zh-CN"/>
                          </w:rPr>
                          <w:t>回注</w:t>
                        </w:r>
                      </w:p>
                      <w:p w14:paraId="1B61D64D">
                        <w:pPr>
                          <w:ind w:firstLine="480"/>
                          <w:jc w:val="center"/>
                          <w:rPr>
                            <w:rFonts w:ascii="宋体" w:hAnsi="宋体"/>
                            <w:szCs w:val="21"/>
                          </w:rPr>
                        </w:pPr>
                      </w:p>
                    </w:txbxContent>
                  </v:textbox>
                </v:shape>
                <v:line id="Line 1217" o:spid="_x0000_s1026" o:spt="20" style="position:absolute;left:1080;top:2309;height:0;width:296;rotation:11796480f;" filled="f" stroked="t" coordsize="21600,21600" o:gfxdata="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oFmu/&#10;AAAA2wAAAA8AAAAAAAAAAQAgAAAAIgAAAGRycy9kb3ducmV2LnhtbFBLAQIUABQAAAAIAIdO4kAz&#10;LwWeOwAAADkAAAAQAAAAAAAAAAEAIAAAAA4BAABkcnMvc2hhcGV4bWwueG1sUEsFBgAAAAAGAAYA&#10;WwEAALgDAAAAAA==&#10;">
                  <v:fill on="f" focussize="0,0"/>
                  <v:stroke color="#000000" joinstyle="round" endarrow="classic" endarrowwidth="narrow"/>
                  <v:imagedata o:title=""/>
                  <o:lock v:ext="edit" aspectratio="f"/>
                </v:line>
                <v:shape id="Text Box 1219" o:spid="_x0000_s1026" o:spt="202" type="#_x0000_t202" style="position:absolute;left:0;top:0;height:1093;width:1376;" fillcolor="#9BBB59" filled="t" stroked="t" coordsize="21600,21600" o:gfxdata="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c6RrsAAADb&#10;AAAADwAAAAAAAAABACAAAAAiAAAAZHJzL2Rvd25yZXYueG1sUEsBAhQAFAAAAAgAh07iQDMvBZ47&#10;AAAAOQAAABAAAAAAAAAAAQAgAAAACgEAAGRycy9zaGFwZXhtbC54bWxQSwUGAAAAAAYABgBbAQAA&#10;tAMAAAAA&#10;">
                  <v:fill on="t" opacity="32768f" focussize="0,0"/>
                  <v:stroke weight="3pt" color="#F2F2F2" joinstyle="miter"/>
                  <v:imagedata o:title=""/>
                  <o:lock v:ext="edit" aspectratio="f"/>
                  <v:shadow on="t" color="#4E6128" opacity="32768f" offset="1pt,2pt" origin="0f,0f" matrix="65536f,0f,0f,65536f"/>
                  <v:textbox>
                    <w:txbxContent>
                      <w:p w14:paraId="55354A29">
                        <w:pPr>
                          <w:spacing w:line="240" w:lineRule="auto"/>
                          <w:ind w:firstLine="0" w:firstLineChars="0"/>
                          <w:jc w:val="center"/>
                          <w:rPr>
                            <w:rFonts w:ascii="宋体" w:hAnsi="宋体"/>
                            <w:szCs w:val="21"/>
                          </w:rPr>
                        </w:pPr>
                        <w:r>
                          <w:rPr>
                            <w:rFonts w:hint="eastAsia" w:ascii="宋体" w:hAnsi="宋体"/>
                            <w:szCs w:val="21"/>
                            <w:lang w:eastAsia="zh-CN"/>
                          </w:rPr>
                          <w:t>太53断块</w:t>
                        </w:r>
                        <w:r>
                          <w:rPr>
                            <w:rFonts w:hint="eastAsia" w:ascii="宋体" w:hAnsi="宋体"/>
                            <w:szCs w:val="21"/>
                          </w:rPr>
                          <w:t>油井</w:t>
                        </w:r>
                      </w:p>
                    </w:txbxContent>
                  </v:textbox>
                </v:shape>
                <v:shape id="Text Box 1220" o:spid="_x0000_s1026" o:spt="202" type="#_x0000_t202" style="position:absolute;left:2423;top:269;height:553;width:1177;" fillcolor="#9BBB59" filled="t" stroked="t" coordsize="21600,21600" o:gfxdata="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5/dvQAA&#10;ANsAAAAPAAAAAAAAAAEAIAAAACIAAABkcnMvZG93bnJldi54bWxQSwECFAAUAAAACACHTuJAMy8F&#10;njsAAAA5AAAAEAAAAAAAAAABACAAAAAMAQAAZHJzL3NoYXBleG1sLnhtbFBLBQYAAAAABgAGAFsB&#10;AAC2AwAAAAA=&#10;">
                  <v:fill on="t" opacity="32768f" focussize="0,0"/>
                  <v:stroke weight="3pt" color="#F2F2F2" joinstyle="miter"/>
                  <v:imagedata o:title=""/>
                  <o:lock v:ext="edit" aspectratio="f"/>
                  <v:shadow on="t" color="#4E6128" opacity="32768f" offset="1pt,2pt" origin="0f,0f" matrix="65536f,0f,0f,65536f"/>
                  <v:textbox>
                    <w:txbxContent>
                      <w:p w14:paraId="60C7573C">
                        <w:pPr>
                          <w:spacing w:line="240" w:lineRule="auto"/>
                          <w:ind w:firstLine="0" w:firstLineChars="0"/>
                          <w:jc w:val="center"/>
                          <w:rPr>
                            <w:rFonts w:ascii="宋体" w:hAnsi="宋体"/>
                            <w:szCs w:val="21"/>
                          </w:rPr>
                        </w:pPr>
                        <w:r>
                          <w:rPr>
                            <w:rFonts w:hint="eastAsia" w:ascii="宋体" w:hAnsi="宋体"/>
                            <w:szCs w:val="21"/>
                            <w:lang w:eastAsia="zh-CN"/>
                          </w:rPr>
                          <w:t>产出</w:t>
                        </w:r>
                        <w:r>
                          <w:rPr>
                            <w:rFonts w:hint="eastAsia" w:ascii="宋体" w:hAnsi="宋体"/>
                            <w:szCs w:val="21"/>
                          </w:rPr>
                          <w:t>液</w:t>
                        </w:r>
                      </w:p>
                    </w:txbxContent>
                  </v:textbox>
                </v:shape>
                <v:shape id="Text Box 1222" o:spid="_x0000_s1026" o:spt="202" type="#_x0000_t202" style="position:absolute;left:3716;top:1906;height:672;width:1634;" fillcolor="#9BBB59" filled="t" stroked="t" coordsize="21600,21600" o:gfxdata="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8ignbsAAADb&#10;AAAADwAAAAAAAAABACAAAAAiAAAAZHJzL2Rvd25yZXYueG1sUEsBAhQAFAAAAAgAh07iQDMvBZ47&#10;AAAAOQAAABAAAAAAAAAAAQAgAAAACgEAAGRycy9zaGFwZXhtbC54bWxQSwUGAAAAAAYABgBbAQAA&#10;tAMAAAAA&#10;">
                  <v:fill on="t" opacity="32768f" focussize="0,0"/>
                  <v:stroke weight="3pt" color="#F2F2F2" joinstyle="miter"/>
                  <v:imagedata o:title=""/>
                  <o:lock v:ext="edit" aspectratio="f"/>
                  <v:shadow on="t" color="#4E6128" opacity="32768f" offset="1pt,2pt" origin="0f,0f" matrix="65536f,0f,0f,65536f"/>
                  <v:textbox>
                    <w:txbxContent>
                      <w:p w14:paraId="3E2D886B">
                        <w:pPr>
                          <w:ind w:firstLine="240" w:firstLineChars="100"/>
                          <w:rPr>
                            <w:rFonts w:ascii="宋体" w:hAnsi="宋体"/>
                            <w:szCs w:val="21"/>
                            <w:lang w:eastAsia="zh-CN"/>
                          </w:rPr>
                        </w:pPr>
                        <w:r>
                          <w:rPr>
                            <w:rFonts w:hint="eastAsia" w:ascii="宋体" w:hAnsi="宋体"/>
                            <w:szCs w:val="21"/>
                            <w:lang w:eastAsia="zh-CN"/>
                          </w:rPr>
                          <w:t>含油废水</w:t>
                        </w:r>
                      </w:p>
                      <w:p w14:paraId="06411C9F">
                        <w:pPr>
                          <w:ind w:firstLine="480"/>
                          <w:jc w:val="center"/>
                          <w:rPr>
                            <w:rFonts w:ascii="宋体" w:hAnsi="宋体"/>
                            <w:szCs w:val="21"/>
                          </w:rPr>
                        </w:pPr>
                      </w:p>
                    </w:txbxContent>
                  </v:textbox>
                </v:shape>
                <v:shape id="Text Box 1223" o:spid="_x0000_s1026" o:spt="202" type="#_x0000_t202" style="position:absolute;left:5566;top:177;height:645;width:1484;" fillcolor="#9BBB59" filled="t" stroked="t" coordsize="21600,21600" o:gfxdata="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QFBr4A&#10;AADbAAAADwAAAAAAAAABACAAAAAiAAAAZHJzL2Rvd25yZXYueG1sUEsBAhQAFAAAAAgAh07iQDMv&#10;BZ47AAAAOQAAABAAAAAAAAAAAQAgAAAADQEAAGRycy9zaGFwZXhtbC54bWxQSwUGAAAAAAYABgBb&#10;AQAAtwMAAAAA&#10;">
                  <v:fill on="t" opacity="32768f" focussize="0,0"/>
                  <v:stroke weight="3pt" color="#F2F2F2" joinstyle="miter"/>
                  <v:imagedata o:title=""/>
                  <o:lock v:ext="edit" aspectratio="f"/>
                  <v:shadow on="t" color="#4E6128" opacity="32768f" offset="1pt,2pt" origin="0f,0f" matrix="65536f,0f,0f,65536f"/>
                  <v:textbox>
                    <w:txbxContent>
                      <w:p w14:paraId="39A444CC">
                        <w:pPr>
                          <w:ind w:firstLine="0" w:firstLineChars="0"/>
                          <w:jc w:val="center"/>
                          <w:rPr>
                            <w:rFonts w:ascii="宋体" w:hAnsi="宋体"/>
                            <w:szCs w:val="21"/>
                          </w:rPr>
                        </w:pPr>
                        <w:r>
                          <w:rPr>
                            <w:rFonts w:hint="eastAsia" w:ascii="宋体" w:hAnsi="宋体"/>
                            <w:szCs w:val="21"/>
                          </w:rPr>
                          <w:t>输油管线</w:t>
                        </w:r>
                      </w:p>
                    </w:txbxContent>
                  </v:textbox>
                </v:shape>
                <v:line id="Line 1224" o:spid="_x0000_s1026" o:spt="20" style="position:absolute;left:1382;top:538;height:0;width:1041;" filled="f" stroked="t" coordsize="21600,21600" o:gfxdata="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fGZ74A&#10;AADbAAAADwAAAAAAAAABACAAAAAiAAAAZHJzL2Rvd25yZXYueG1sUEsBAhQAFAAAAAgAh07iQDMv&#10;BZ47AAAAOQAAABAAAAAAAAAAAQAgAAAADQEAAGRycy9zaGFwZXhtbC54bWxQSwUGAAAAAAYABgBb&#10;AQAAtwMAAAAA&#10;">
                  <v:fill on="f" focussize="0,0"/>
                  <v:stroke color="#000000" joinstyle="round" endarrow="classic" endarrowwidth="narrow"/>
                  <v:imagedata o:title=""/>
                  <o:lock v:ext="edit" aspectratio="f"/>
                </v:line>
                <v:line id="Line 1225" o:spid="_x0000_s1026" o:spt="20" style="position:absolute;left:7341;top:2239;flip:y;height:10;width:296;" filled="f" stroked="t" coordsize="21600,21600" o:gfxdata="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WET28AAAA&#10;2wAAAA8AAAAAAAAAAQAgAAAAIgAAAGRycy9kb3ducmV2LnhtbFBLAQIUABQAAAAIAIdO4kAzLwWe&#10;OwAAADkAAAAQAAAAAAAAAAEAIAAAAAsBAABkcnMvc2hhcGV4bWwueG1sUEsFBgAAAAAGAAYAWwEA&#10;ALUDAAAAAA==&#10;">
                  <v:fill on="f" focussize="0,0"/>
                  <v:stroke color="#000000" joinstyle="round" endarrow="classic" endarrowwidth="narrow"/>
                  <v:imagedata o:title=""/>
                  <o:lock v:ext="edit" aspectratio="f"/>
                </v:line>
                <v:line id="Line 1226" o:spid="_x0000_s1026" o:spt="20" style="position:absolute;left:6209;top:843;height:1131;width:1;" filled="f" stroked="t" coordsize="21600,21600" o:gfxdata="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L7iL4A&#10;AADbAAAADwAAAAAAAAABACAAAAAiAAAAZHJzL2Rvd25yZXYueG1sUEsBAhQAFAAAAAgAh07iQDMv&#10;BZ47AAAAOQAAABAAAAAAAAAAAQAgAAAADQEAAGRycy9zaGFwZXhtbC54bWxQSwUGAAAAAAYABgBb&#10;AQAAtwMAAAAA&#10;">
                  <v:fill on="f" focussize="0,0"/>
                  <v:stroke color="#000000" joinstyle="round" endarrow="classic" endarrowwidth="narrow"/>
                  <v:imagedata o:title=""/>
                  <o:lock v:ext="edit" aspectratio="f"/>
                </v:line>
                <v:shape id="Text Box 1227" o:spid="_x0000_s1026" o:spt="202" type="#_x0000_t202" style="position:absolute;left:5709;top:1936;height:681;width:1647;" fillcolor="#9BBB59" filled="t" stroked="t" coordsize="21600,21600" o:gfxdata="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AwW8AAAA&#10;2wAAAA8AAAAAAAAAAQAgAAAAIgAAAGRycy9kb3ducmV2LnhtbFBLAQIUABQAAAAIAIdO4kAzLwWe&#10;OwAAADkAAAAQAAAAAAAAAAEAIAAAAAsBAABkcnMvc2hhcGV4bWwueG1sUEsFBgAAAAAGAAYAWwEA&#10;ALUDAAAAAA==&#10;">
                  <v:fill on="t" opacity="32768f" focussize="0,0"/>
                  <v:stroke weight="3pt" color="#F2F2F2" joinstyle="miter"/>
                  <v:imagedata o:title=""/>
                  <o:lock v:ext="edit" aspectratio="f"/>
                  <v:shadow on="t" color="#4E6128" opacity="32768f" offset="1pt,2pt" origin="0f,0f" matrix="65536f,0f,0f,65536f"/>
                  <v:textbox>
                    <w:txbxContent>
                      <w:p w14:paraId="5C41E239">
                        <w:pPr>
                          <w:ind w:firstLine="0" w:firstLineChars="0"/>
                          <w:jc w:val="center"/>
                          <w:rPr>
                            <w:rFonts w:ascii="宋体" w:hAnsi="宋体"/>
                            <w:szCs w:val="21"/>
                            <w:lang w:eastAsia="zh-CN"/>
                          </w:rPr>
                        </w:pPr>
                        <w:r>
                          <w:rPr>
                            <w:rFonts w:hint="eastAsia" w:ascii="宋体" w:hAnsi="宋体"/>
                            <w:szCs w:val="21"/>
                            <w:lang w:eastAsia="zh-CN"/>
                          </w:rPr>
                          <w:t>雅斯联合站</w:t>
                        </w:r>
                      </w:p>
                    </w:txbxContent>
                  </v:textbox>
                </v:shape>
                <v:shape id="Text Box 1228" o:spid="_x0000_s1026" o:spt="202" type="#_x0000_t202" style="position:absolute;left:7356;top:177;height:916;width:1381;" filled="f" stroked="f" coordsize="21600,21600" o:gfxdata="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fALZ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8F34AF1">
                        <w:pPr>
                          <w:spacing w:line="240" w:lineRule="auto"/>
                          <w:ind w:firstLine="0" w:firstLineChars="0"/>
                          <w:rPr>
                            <w:rFonts w:ascii="宋体" w:hAnsi="宋体"/>
                            <w:sz w:val="21"/>
                            <w:szCs w:val="21"/>
                            <w:lang w:eastAsia="zh-CN"/>
                          </w:rPr>
                        </w:pPr>
                        <w:r>
                          <w:rPr>
                            <w:rFonts w:hint="eastAsia" w:ascii="宋体" w:hAnsi="宋体"/>
                            <w:sz w:val="21"/>
                            <w:szCs w:val="21"/>
                            <w:lang w:eastAsia="zh-CN"/>
                          </w:rPr>
                          <w:t>进入阿乌宝外输管线</w:t>
                        </w:r>
                      </w:p>
                    </w:txbxContent>
                  </v:textbox>
                </v:shape>
                <v:shape id="Text Box 1229" o:spid="_x0000_s1026" o:spt="202" type="#_x0000_t202" style="position:absolute;left:90;top:3361;height:807;width:1411;" fillcolor="#9BBB59" filled="t" stroked="t" coordsize="21600,21600" o:gfxdata="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E46b4A&#10;AADbAAAADwAAAAAAAAABACAAAAAiAAAAZHJzL2Rvd25yZXYueG1sUEsBAhQAFAAAAAgAh07iQDMv&#10;BZ47AAAAOQAAABAAAAAAAAAAAQAgAAAADQEAAGRycy9zaGFwZXhtbC54bWxQSwUGAAAAAAYABgBb&#10;AQAAtwMAAAAA&#10;">
                  <v:fill on="t" opacity="32768f" focussize="0,0"/>
                  <v:stroke weight="3pt" color="#F2F2F2" joinstyle="miter"/>
                  <v:imagedata o:title=""/>
                  <o:lock v:ext="edit" aspectratio="f"/>
                  <v:shadow on="t" color="#4E6128" opacity="32768f" offset="1pt,2pt" origin="0f,0f" matrix="65536f,0f,0f,65536f"/>
                  <v:textbox>
                    <w:txbxContent>
                      <w:p w14:paraId="074C9275">
                        <w:pPr>
                          <w:spacing w:line="240" w:lineRule="auto"/>
                          <w:ind w:firstLine="0" w:firstLineChars="0"/>
                          <w:jc w:val="center"/>
                          <w:rPr>
                            <w:rFonts w:ascii="宋体" w:hAnsi="宋体"/>
                            <w:szCs w:val="21"/>
                          </w:rPr>
                        </w:pPr>
                        <w:r>
                          <w:rPr>
                            <w:rFonts w:hint="eastAsia" w:ascii="宋体" w:hAnsi="宋体"/>
                            <w:szCs w:val="21"/>
                            <w:lang w:eastAsia="zh-CN"/>
                          </w:rPr>
                          <w:t>太27断块</w:t>
                        </w:r>
                        <w:r>
                          <w:rPr>
                            <w:rFonts w:hint="eastAsia" w:ascii="宋体" w:hAnsi="宋体"/>
                            <w:szCs w:val="21"/>
                          </w:rPr>
                          <w:t>油井</w:t>
                        </w:r>
                      </w:p>
                    </w:txbxContent>
                  </v:textbox>
                </v:shape>
                <v:line id="Line 1230" o:spid="_x0000_s1026" o:spt="20" style="position:absolute;left:1501;top:3747;height:0;width:699;" filled="f" stroked="t" coordsize="21600,21600" o:gfxdata="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x/xjbsAAADb&#10;AAAADwAAAAAAAAABACAAAAAiAAAAZHJzL2Rvd25yZXYueG1sUEsBAhQAFAAAAAgAh07iQDMvBZ47&#10;AAAAOQAAABAAAAAAAAAAAQAgAAAACgEAAGRycy9zaGFwZXhtbC54bWxQSwUGAAAAAAYABgBbAQAA&#10;tAMAAAAA&#10;">
                  <v:fill on="f" focussize="0,0"/>
                  <v:stroke color="#000000" joinstyle="round" endarrow="classic" endarrowwidth="narrow"/>
                  <v:imagedata o:title=""/>
                  <o:lock v:ext="edit" aspectratio="f"/>
                </v:line>
                <v:shape id="Text Box 1231" o:spid="_x0000_s1026" o:spt="202" type="#_x0000_t202" style="position:absolute;left:2200;top:3490;height:553;width:1176;" fillcolor="#9BBB59" filled="t" stroked="t" coordsize="21600,21600" o:gfxdata="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8gkAvQAA&#10;ANsAAAAPAAAAAAAAAAEAIAAAACIAAABkcnMvZG93bnJldi54bWxQSwECFAAUAAAACACHTuJAMy8F&#10;njsAAAA5AAAAEAAAAAAAAAABACAAAAAMAQAAZHJzL3NoYXBleG1sLnhtbFBLBQYAAAAABgAGAFsB&#10;AAC2AwAAAAA=&#10;">
                  <v:fill on="t" opacity="32768f" focussize="0,0"/>
                  <v:stroke weight="3pt" color="#F2F2F2" joinstyle="miter"/>
                  <v:imagedata o:title=""/>
                  <o:lock v:ext="edit" aspectratio="f"/>
                  <v:shadow on="t" color="#4E6128" opacity="32768f" offset="1pt,2pt" origin="0f,0f" matrix="65536f,0f,0f,65536f"/>
                  <v:textbox>
                    <w:txbxContent>
                      <w:p w14:paraId="02D6D976">
                        <w:pPr>
                          <w:spacing w:line="240" w:lineRule="auto"/>
                          <w:ind w:firstLine="0" w:firstLineChars="0"/>
                          <w:jc w:val="center"/>
                          <w:rPr>
                            <w:rFonts w:ascii="宋体" w:hAnsi="宋体"/>
                            <w:szCs w:val="21"/>
                          </w:rPr>
                        </w:pPr>
                        <w:r>
                          <w:rPr>
                            <w:rFonts w:hint="eastAsia" w:ascii="宋体" w:hAnsi="宋体"/>
                            <w:szCs w:val="21"/>
                            <w:lang w:eastAsia="zh-CN"/>
                          </w:rPr>
                          <w:t>产出</w:t>
                        </w:r>
                        <w:r>
                          <w:rPr>
                            <w:rFonts w:hint="eastAsia" w:ascii="宋体" w:hAnsi="宋体"/>
                            <w:szCs w:val="21"/>
                          </w:rPr>
                          <w:t>液</w:t>
                        </w:r>
                      </w:p>
                    </w:txbxContent>
                  </v:textbox>
                </v:shape>
                <v:line id="Line 1232" o:spid="_x0000_s1026" o:spt="20" style="position:absolute;left:3376;top:3720;height:18;width:767;" filled="f" stroked="t" coordsize="21600,21600" o:gfxdata="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wU3NrsAAADb&#10;AAAADwAAAAAAAAABACAAAAAiAAAAZHJzL2Rvd25yZXYueG1sUEsBAhQAFAAAAAgAh07iQDMvBZ47&#10;AAAAOQAAABAAAAAAAAAAAQAgAAAACgEAAGRycy9zaGFwZXhtbC54bWxQSwUGAAAAAAYABgBbAQAA&#10;tAMAAAAA&#10;">
                  <v:fill on="f" focussize="0,0"/>
                  <v:stroke color="#000000" joinstyle="round" endarrow="classic" endarrowwidth="narrow"/>
                  <v:imagedata o:title=""/>
                  <o:lock v:ext="edit" aspectratio="f"/>
                </v:line>
                <v:shape id="Text Box 1236" o:spid="_x0000_s1026" o:spt="202" type="#_x0000_t202" style="position:absolute;left:6495;top:3424;height:553;width:1455;" fillcolor="#9BBB59" filled="t" stroked="t" coordsize="21600,21600" o:gfxdata="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6M+7vQAA&#10;ANsAAAAPAAAAAAAAAAEAIAAAACIAAABkcnMvZG93bnJldi54bWxQSwECFAAUAAAACACHTuJAMy8F&#10;njsAAAA5AAAAEAAAAAAAAAABACAAAAAMAQAAZHJzL3NoYXBleG1sLnhtbFBLBQYAAAAABgAGAFsB&#10;AAC2AwAAAAA=&#10;">
                  <v:fill on="t" opacity="32768f" focussize="0,0"/>
                  <v:stroke weight="3pt" color="#F2F2F2" joinstyle="miter"/>
                  <v:imagedata o:title=""/>
                  <o:lock v:ext="edit" aspectratio="f"/>
                  <v:shadow on="t" color="#4E6128" opacity="32768f" offset="1pt,2pt" origin="0f,0f" matrix="65536f,0f,0f,65536f"/>
                  <v:textbox>
                    <w:txbxContent>
                      <w:p w14:paraId="4E549E02">
                        <w:pPr>
                          <w:ind w:firstLine="0" w:firstLineChars="0"/>
                          <w:jc w:val="center"/>
                          <w:rPr>
                            <w:rFonts w:ascii="宋体" w:hAnsi="宋体"/>
                            <w:szCs w:val="21"/>
                          </w:rPr>
                        </w:pPr>
                        <w:r>
                          <w:rPr>
                            <w:rFonts w:hint="eastAsia" w:ascii="宋体" w:hAnsi="宋体"/>
                            <w:szCs w:val="21"/>
                            <w:lang w:eastAsia="zh-CN"/>
                          </w:rPr>
                          <w:t>汽车拉运</w:t>
                        </w:r>
                      </w:p>
                    </w:txbxContent>
                  </v:textbox>
                </v:shape>
                <v:line id="Line 1237" o:spid="_x0000_s1026" o:spt="20" style="position:absolute;left:4680;top:3977;flip:x;height:695;width:0;" filled="f" stroked="t" coordsize="21600,21600" o:gfxdata="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rZ+G7sAAADb&#10;AAAADwAAAAAAAAABACAAAAAiAAAAZHJzL2Rvd25yZXYueG1sUEsBAhQAFAAAAAgAh07iQDMvBZ47&#10;AAAAOQAAABAAAAAAAAAAAQAgAAAACgEAAGRycy9zaGFwZXhtbC54bWxQSwUGAAAAAAYABgBbAQAA&#10;tAMAAAAA&#10;">
                  <v:fill on="f" focussize="0,0"/>
                  <v:stroke color="#000000" joinstyle="round" endarrow="classic" endarrowwidth="narrow"/>
                  <v:imagedata o:title=""/>
                  <o:lock v:ext="edit" aspectratio="f"/>
                </v:line>
                <v:line id="Line 1238" o:spid="_x0000_s1026" o:spt="20" style="position:absolute;left:1605;top:3747;flip:x y;height:908;width:0;" filled="f" stroked="t" coordsize="21600,21600" o:gfxdata="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7zhFugAAANsA&#10;AAAPAAAAAAAAAAEAIAAAACIAAABkcnMvZG93bnJldi54bWxQSwECFAAUAAAACACHTuJAMy8FnjsA&#10;AAA5AAAAEAAAAAAAAAABACAAAAAJAQAAZHJzL3NoYXBleG1sLnhtbFBLBQYAAAAABgAGAFsBAACz&#10;AwAAAAA=&#10;">
                  <v:fill on="f" focussize="0,0"/>
                  <v:stroke color="#000000" joinstyle="round" endarrow="classic" endarrowwidth="narrow"/>
                  <v:imagedata o:title=""/>
                  <o:lock v:ext="edit" aspectratio="f"/>
                </v:line>
                <v:line id="Line 1240" o:spid="_x0000_s1026" o:spt="20" style="position:absolute;left:3387;top:2295;height:0;width:296;rotation:11796480f;" filled="f" stroked="t" coordsize="21600,21600" o:gfxdata="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3P1Hy/&#10;AAAA2wAAAA8AAAAAAAAAAQAgAAAAIgAAAGRycy9kb3ducmV2LnhtbFBLAQIUABQAAAAIAIdO4kAz&#10;LwWeOwAAADkAAAAQAAAAAAAAAAEAIAAAAA4BAABkcnMvc2hhcGV4bWwueG1sUEsFBgAAAAAGAAYA&#10;WwEAALgDAAAAAA==&#10;">
                  <v:fill on="f" focussize="0,0"/>
                  <v:stroke color="#000000" joinstyle="round" endarrow="classic" endarrowwidth="narrow"/>
                  <v:imagedata o:title=""/>
                  <o:lock v:ext="edit" aspectratio="f"/>
                </v:line>
                <v:line id="Line 1241" o:spid="_x0000_s1026" o:spt="20" style="position:absolute;left:5379;top:2280;height:0;width:296;rotation:11796480f;" filled="f" stroked="t" coordsize="21600,21600" o:gfxdata="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g3HnvQAA&#10;ANsAAAAPAAAAAAAAAAEAIAAAACIAAABkcnMvZG93bnJldi54bWxQSwECFAAUAAAACACHTuJAMy8F&#10;njsAAAA5AAAAEAAAAAAAAAABACAAAAAMAQAAZHJzL3NoYXBleG1sLnhtbFBLBQYAAAAABgAGAFsB&#10;AAC2AwAAAAA=&#10;">
                  <v:fill on="f" focussize="0,0"/>
                  <v:stroke color="#000000" joinstyle="round" endarrow="classic" endarrowwidth="narrow"/>
                  <v:imagedata o:title=""/>
                  <o:lock v:ext="edit" aspectratio="f"/>
                </v:line>
                <v:line id="Line 1243" o:spid="_x0000_s1026" o:spt="20" style="position:absolute;left:5270;top:3738;height:0;width:1225;" filled="f" stroked="t" coordsize="21600,21600" o:gfxdata="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gCtm/&#10;AAAA2wAAAA8AAAAAAAAAAQAgAAAAIgAAAGRycy9kb3ducmV2LnhtbFBLAQIUABQAAAAIAIdO4kAz&#10;LwWeOwAAADkAAAAQAAAAAAAAAAEAIAAAAA4BAABkcnMvc2hhcGV4bWwueG1sUEsFBgAAAAAGAAYA&#10;WwEAALgDAAAAAA==&#10;">
                  <v:fill on="f" focussize="0,0"/>
                  <v:stroke color="#000000" joinstyle="round" endarrow="classic" endarrowwidth="narrow"/>
                  <v:imagedata o:title=""/>
                  <o:lock v:ext="edit" aspectratio="f"/>
                </v:line>
                <v:line id="Line 1246" o:spid="_x0000_s1026" o:spt="20" style="position:absolute;left:1605;top:4655;flip:x;height:0;width:3075;" filled="f" stroked="t" coordsize="21600,21600" o:gfxdata="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sHdg7sAAADb&#10;AAAADwAAAAAAAAABACAAAAAiAAAAZHJzL2Rvd25yZXYueG1sUEsBAhQAFAAAAAgAh07iQDMvBZ47&#10;AAAAOQAAABAAAAAAAAAAAQAgAAAACgEAAGRycy9zaGFwZXhtbC54bWxQSwUGAAAAAAYABgBbAQAA&#10;tAMAAAAA&#10;">
                  <v:fill on="f" focussize="0,0"/>
                  <v:stroke color="#000000" joinstyle="round" endarrow="classic" endarrowwidth="narrow"/>
                  <v:imagedata o:title=""/>
                  <o:lock v:ext="edit" aspectratio="f"/>
                </v:line>
                <v:rect id="Rectangle 1247" o:spid="_x0000_s1026" o:spt="1" style="position:absolute;left:2423;top:4283;height:406;width:757;" filled="f" stroked="f" coordsize="21600,21600" o:gfxdata="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ba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053AB90F">
                        <w:pPr>
                          <w:ind w:firstLine="0" w:firstLineChars="0"/>
                          <w:rPr>
                            <w:sz w:val="21"/>
                            <w:szCs w:val="21"/>
                            <w:lang w:eastAsia="zh-CN"/>
                          </w:rPr>
                        </w:pPr>
                      </w:p>
                    </w:txbxContent>
                  </v:textbox>
                </v:rect>
                <v:line id="Line 1249" o:spid="_x0000_s1026" o:spt="20" style="position:absolute;left:3600;top:538;height:0;width:1966;" filled="f" stroked="t" coordsize="21600,21600" o:gfxdata="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P56rvQAA&#10;ANsAAAAPAAAAAAAAAAEAIAAAACIAAABkcnMvZG93bnJldi54bWxQSwECFAAUAAAACACHTuJAMy8F&#10;njsAAAA5AAAAEAAAAAAAAAABACAAAAAMAQAAZHJzL3NoYXBleG1sLnhtbFBLBQYAAAAABgAGAFsB&#10;AAC2AwAAAAA=&#10;">
                  <v:fill on="f" focussize="0,0"/>
                  <v:stroke color="#000000" joinstyle="round" endarrow="classic" endarrowwidth="narrow"/>
                  <v:imagedata o:title=""/>
                  <o:lock v:ext="edit" aspectratio="f"/>
                </v:line>
                <v:rect id="Rectangle 1250" o:spid="_x0000_s1026" o:spt="1" style="position:absolute;left:3857;top:590;height:434;width:1397;" filled="f" stroked="f" coordsize="21600,21600" o:gfxdata="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eBBs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5409922E">
                        <w:pPr>
                          <w:spacing w:line="240" w:lineRule="auto"/>
                          <w:ind w:firstLine="0" w:firstLineChars="0"/>
                          <w:rPr>
                            <w:lang w:eastAsia="zh-CN"/>
                          </w:rPr>
                        </w:pPr>
                        <w:r>
                          <w:rPr>
                            <w:rFonts w:hint="eastAsia"/>
                            <w:lang w:eastAsia="zh-CN"/>
                          </w:rPr>
                          <w:t>三管伴热</w:t>
                        </w:r>
                      </w:p>
                    </w:txbxContent>
                  </v:textbox>
                </v:rect>
              </v:group>
            </w:pict>
          </mc:Fallback>
        </mc:AlternateContent>
      </w:r>
    </w:p>
    <w:p w14:paraId="15E67734">
      <w:pPr>
        <w:pStyle w:val="316"/>
        <w:ind w:firstLine="420"/>
        <w:rPr>
          <w:lang w:eastAsia="zh-CN"/>
        </w:rPr>
      </w:pPr>
    </w:p>
    <w:p w14:paraId="4BFD5F44">
      <w:pPr>
        <w:pStyle w:val="316"/>
        <w:ind w:firstLine="420"/>
        <w:rPr>
          <w:lang w:eastAsia="zh-CN"/>
        </w:rPr>
      </w:pPr>
    </w:p>
    <w:p w14:paraId="24400826">
      <w:pPr>
        <w:pStyle w:val="316"/>
        <w:ind w:firstLine="420"/>
        <w:rPr>
          <w:lang w:eastAsia="zh-CN"/>
        </w:rPr>
      </w:pPr>
    </w:p>
    <w:p w14:paraId="52799893">
      <w:pPr>
        <w:pStyle w:val="316"/>
        <w:ind w:firstLine="420"/>
        <w:rPr>
          <w:lang w:eastAsia="zh-CN"/>
        </w:rPr>
      </w:pPr>
    </w:p>
    <w:p w14:paraId="255EA755">
      <w:pPr>
        <w:pStyle w:val="316"/>
        <w:ind w:firstLine="420"/>
        <w:rPr>
          <w:lang w:eastAsia="zh-CN"/>
        </w:rPr>
      </w:pPr>
    </w:p>
    <w:p w14:paraId="74774C4D">
      <w:pPr>
        <w:pStyle w:val="316"/>
        <w:ind w:firstLine="420"/>
        <w:rPr>
          <w:lang w:eastAsia="zh-CN"/>
        </w:rPr>
      </w:pPr>
    </w:p>
    <w:p w14:paraId="48607BB5">
      <w:pPr>
        <w:pStyle w:val="316"/>
        <w:ind w:firstLine="420"/>
        <w:rPr>
          <w:lang w:eastAsia="zh-CN"/>
        </w:rPr>
      </w:pPr>
    </w:p>
    <w:p w14:paraId="42B0912D">
      <w:pPr>
        <w:pStyle w:val="316"/>
        <w:ind w:firstLine="420"/>
        <w:rPr>
          <w:lang w:eastAsia="zh-CN"/>
        </w:rPr>
      </w:pPr>
    </w:p>
    <w:p w14:paraId="00F26495">
      <w:pPr>
        <w:pStyle w:val="316"/>
        <w:ind w:firstLine="420"/>
        <w:rPr>
          <w:lang w:eastAsia="zh-CN"/>
        </w:rPr>
      </w:pPr>
    </w:p>
    <w:p w14:paraId="3C79101C">
      <w:pPr>
        <w:pStyle w:val="316"/>
        <w:ind w:firstLine="420"/>
        <w:rPr>
          <w:lang w:eastAsia="zh-CN"/>
        </w:rPr>
      </w:pPr>
      <w:r>
        <w:rPr>
          <w:lang w:eastAsia="zh-CN" w:bidi="mn-Mong-CN"/>
        </w:rPr>
        <mc:AlternateContent>
          <mc:Choice Requires="wps">
            <w:drawing>
              <wp:anchor distT="0" distB="0" distL="114300" distR="114300" simplePos="0" relativeHeight="251661312" behindDoc="0" locked="0" layoutInCell="1" allowOverlap="1">
                <wp:simplePos x="0" y="0"/>
                <wp:positionH relativeFrom="column">
                  <wp:posOffset>4118610</wp:posOffset>
                </wp:positionH>
                <wp:positionV relativeFrom="paragraph">
                  <wp:posOffset>70485</wp:posOffset>
                </wp:positionV>
                <wp:extent cx="5715" cy="541020"/>
                <wp:effectExtent l="24765" t="0" r="26670" b="11430"/>
                <wp:wrapNone/>
                <wp:docPr id="41" name="Line 1218"/>
                <wp:cNvGraphicFramePr/>
                <a:graphic xmlns:a="http://schemas.openxmlformats.org/drawingml/2006/main">
                  <a:graphicData uri="http://schemas.microsoft.com/office/word/2010/wordprocessingShape">
                    <wps:wsp>
                      <wps:cNvCnPr/>
                      <wps:spPr>
                        <a:xfrm flipH="1" flipV="1">
                          <a:off x="0" y="0"/>
                          <a:ext cx="5715" cy="541020"/>
                        </a:xfrm>
                        <a:prstGeom prst="line">
                          <a:avLst/>
                        </a:prstGeom>
                        <a:ln w="9525" cap="flat" cmpd="sng">
                          <a:solidFill>
                            <a:srgbClr val="000000"/>
                          </a:solidFill>
                          <a:prstDash val="solid"/>
                          <a:headEnd type="none" w="med" len="med"/>
                          <a:tailEnd type="stealth" w="sm" len="med"/>
                        </a:ln>
                      </wps:spPr>
                      <wps:bodyPr upright="1"/>
                    </wps:wsp>
                  </a:graphicData>
                </a:graphic>
              </wp:anchor>
            </w:drawing>
          </mc:Choice>
          <mc:Fallback>
            <w:pict>
              <v:line id="Line 1218" o:spid="_x0000_s1026" o:spt="20" style="position:absolute;left:0pt;flip:x y;margin-left:324.3pt;margin-top:5.55pt;height:42.6pt;width:0.45pt;z-index:251661312;mso-width-relative:page;mso-height-relative:page;" filled="f" stroked="t" coordsize="21600,21600" o:gfxdata="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h+RFbYAAAACQEAAA8AAAAAAAAAAQAgAAAAIgAAAGRycy9kb3ducmV2LnhtbFBL&#10;AQIUABQAAAAIAIdO4kChGOTZ9gEAAPUDAAAOAAAAAAAAAAEAIAAAACcBAABkcnMvZTJvRG9jLnht&#10;bFBLBQYAAAAABgAGAFkBAACPBQAAAAA=&#10;">
                <v:fill on="f" focussize="0,0"/>
                <v:stroke color="#000000" joinstyle="round" endarrow="classic" endarrowwidth="narrow"/>
                <v:imagedata o:title=""/>
                <o:lock v:ext="edit" aspectratio="f"/>
              </v:line>
            </w:pict>
          </mc:Fallback>
        </mc:AlternateContent>
      </w:r>
    </w:p>
    <w:p w14:paraId="0CBED063">
      <w:pPr>
        <w:pStyle w:val="316"/>
        <w:ind w:firstLine="420"/>
        <w:rPr>
          <w:lang w:eastAsia="zh-CN"/>
        </w:rPr>
      </w:pPr>
    </w:p>
    <w:p w14:paraId="6706F2AB">
      <w:pPr>
        <w:pStyle w:val="316"/>
        <w:ind w:firstLine="420"/>
        <w:rPr>
          <w:lang w:eastAsia="zh-CN"/>
        </w:rPr>
      </w:pPr>
    </w:p>
    <w:p w14:paraId="64414728">
      <w:pPr>
        <w:pStyle w:val="316"/>
        <w:ind w:firstLine="420"/>
        <w:rPr>
          <w:lang w:eastAsia="zh-CN"/>
        </w:rPr>
      </w:pPr>
    </w:p>
    <w:p w14:paraId="6E8A72B9">
      <w:pPr>
        <w:pStyle w:val="316"/>
        <w:ind w:firstLine="420"/>
        <w:rPr>
          <w:lang w:eastAsia="zh-CN"/>
        </w:rPr>
      </w:pPr>
    </w:p>
    <w:p w14:paraId="5F02E09C">
      <w:pPr>
        <w:pStyle w:val="316"/>
        <w:ind w:firstLine="420"/>
        <w:rPr>
          <w:lang w:eastAsia="zh-CN"/>
        </w:rPr>
      </w:pPr>
    </w:p>
    <w:p w14:paraId="040DA4DC">
      <w:pPr>
        <w:pStyle w:val="316"/>
        <w:ind w:firstLine="420"/>
        <w:rPr>
          <w:lang w:eastAsia="zh-CN"/>
        </w:rPr>
      </w:pPr>
    </w:p>
    <w:p w14:paraId="00FF6174">
      <w:pPr>
        <w:pStyle w:val="316"/>
        <w:ind w:firstLine="420"/>
        <w:rPr>
          <w:lang w:eastAsia="zh-CN"/>
        </w:rPr>
      </w:pPr>
    </w:p>
    <w:p w14:paraId="52BF384B">
      <w:pPr>
        <w:pStyle w:val="316"/>
        <w:ind w:firstLine="420"/>
        <w:rPr>
          <w:lang w:eastAsia="zh-CN"/>
        </w:rPr>
      </w:pPr>
    </w:p>
    <w:p w14:paraId="5CEE9AAE">
      <w:pPr>
        <w:pStyle w:val="316"/>
        <w:ind w:firstLine="420"/>
        <w:rPr>
          <w:lang w:eastAsia="zh-CN"/>
        </w:rPr>
      </w:pPr>
    </w:p>
    <w:p w14:paraId="485CC078">
      <w:pPr>
        <w:pStyle w:val="316"/>
        <w:ind w:firstLine="420"/>
        <w:rPr>
          <w:lang w:eastAsia="zh-CN"/>
        </w:rPr>
      </w:pPr>
    </w:p>
    <w:p w14:paraId="00FB733E">
      <w:pPr>
        <w:ind w:firstLine="2125" w:firstLineChars="882"/>
        <w:rPr>
          <w:b/>
          <w:lang w:eastAsia="zh-CN"/>
        </w:rPr>
      </w:pPr>
      <w:r>
        <w:rPr>
          <w:b/>
          <w:lang w:eastAsia="zh-CN"/>
        </w:rPr>
        <w:t>图3.4-</w:t>
      </w:r>
      <w:r>
        <w:rPr>
          <w:rFonts w:hint="eastAsia"/>
          <w:b/>
          <w:lang w:eastAsia="zh-CN"/>
        </w:rPr>
        <w:t>5</w:t>
      </w:r>
      <w:r>
        <w:rPr>
          <w:b/>
          <w:lang w:eastAsia="zh-CN"/>
        </w:rPr>
        <w:t xml:space="preserve"> </w:t>
      </w:r>
      <w:r>
        <w:rPr>
          <w:rFonts w:hint="eastAsia"/>
          <w:b/>
          <w:lang w:eastAsia="zh-CN"/>
        </w:rPr>
        <w:t xml:space="preserve">   </w:t>
      </w:r>
      <w:r>
        <w:rPr>
          <w:b/>
          <w:lang w:eastAsia="zh-CN"/>
        </w:rPr>
        <w:t>集输工艺流程示意图</w:t>
      </w:r>
    </w:p>
    <w:p w14:paraId="196F6215">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2、</w:t>
      </w:r>
      <w:r>
        <w:rPr>
          <w:rFonts w:asciiTheme="minorEastAsia" w:hAnsiTheme="minorEastAsia" w:eastAsiaTheme="minorEastAsia"/>
          <w:lang w:eastAsia="zh-CN"/>
        </w:rPr>
        <w:t>集输系统工艺参数</w:t>
      </w:r>
    </w:p>
    <w:p w14:paraId="0A9F6EBD">
      <w:pPr>
        <w:ind w:firstLine="480"/>
        <w:rPr>
          <w:rFonts w:asciiTheme="minorEastAsia" w:hAnsiTheme="minorEastAsia" w:eastAsiaTheme="minorEastAsia"/>
          <w:lang w:eastAsia="zh-CN"/>
        </w:rPr>
      </w:pPr>
      <w:r>
        <w:rPr>
          <w:rFonts w:asciiTheme="minorEastAsia" w:hAnsiTheme="minorEastAsia" w:eastAsiaTheme="minorEastAsia"/>
          <w:lang w:eastAsia="zh-CN"/>
        </w:rPr>
        <w:t>本项目集油工艺参数见表3.4-1。</w:t>
      </w:r>
    </w:p>
    <w:p w14:paraId="6CFB8C89">
      <w:pPr>
        <w:adjustRightInd w:val="0"/>
        <w:snapToGrid w:val="0"/>
        <w:spacing w:beforeLines="50" w:line="240" w:lineRule="auto"/>
        <w:ind w:firstLine="1031" w:firstLineChars="428"/>
        <w:rPr>
          <w:b/>
          <w:lang w:eastAsia="zh-CN"/>
        </w:rPr>
      </w:pPr>
      <w:r>
        <w:rPr>
          <w:b/>
          <w:lang w:val="zh-CN" w:eastAsia="zh-CN"/>
        </w:rPr>
        <w:t>表</w:t>
      </w:r>
      <w:r>
        <w:rPr>
          <w:b/>
          <w:lang w:eastAsia="zh-CN"/>
        </w:rPr>
        <w:t xml:space="preserve">3.4-1  </w:t>
      </w:r>
      <w:r>
        <w:rPr>
          <w:rFonts w:hint="eastAsia"/>
          <w:b/>
          <w:lang w:eastAsia="zh-CN"/>
        </w:rPr>
        <w:t xml:space="preserve">    </w:t>
      </w:r>
      <w:r>
        <w:rPr>
          <w:b/>
          <w:lang w:eastAsia="zh-CN"/>
        </w:rPr>
        <w:t>集油</w:t>
      </w:r>
      <w:r>
        <w:rPr>
          <w:b/>
          <w:lang w:val="zh-CN" w:eastAsia="zh-CN"/>
        </w:rPr>
        <w:t>工艺参数</w:t>
      </w:r>
    </w:p>
    <w:tbl>
      <w:tblPr>
        <w:tblStyle w:val="76"/>
        <w:tblW w:w="0" w:type="auto"/>
        <w:tblInd w:w="39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34"/>
        <w:gridCol w:w="2835"/>
        <w:gridCol w:w="1843"/>
        <w:gridCol w:w="2208"/>
      </w:tblGrid>
      <w:tr w14:paraId="7EDEB3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34" w:type="dxa"/>
            <w:vAlign w:val="center"/>
          </w:tcPr>
          <w:p w14:paraId="6D44FBB4">
            <w:pPr>
              <w:widowControl/>
              <w:adjustRightInd w:val="0"/>
              <w:snapToGrid w:val="0"/>
              <w:spacing w:line="240" w:lineRule="auto"/>
              <w:ind w:firstLine="0" w:firstLineChars="0"/>
              <w:jc w:val="center"/>
              <w:rPr>
                <w:sz w:val="21"/>
                <w:szCs w:val="21"/>
              </w:rPr>
            </w:pPr>
            <w:r>
              <w:rPr>
                <w:sz w:val="21"/>
                <w:szCs w:val="21"/>
              </w:rPr>
              <w:t>序号</w:t>
            </w:r>
          </w:p>
        </w:tc>
        <w:tc>
          <w:tcPr>
            <w:tcW w:w="2835" w:type="dxa"/>
            <w:vAlign w:val="center"/>
          </w:tcPr>
          <w:p w14:paraId="7CCB15C0">
            <w:pPr>
              <w:widowControl/>
              <w:adjustRightInd w:val="0"/>
              <w:snapToGrid w:val="0"/>
              <w:spacing w:line="240" w:lineRule="auto"/>
              <w:ind w:firstLine="0" w:firstLineChars="0"/>
              <w:jc w:val="center"/>
              <w:rPr>
                <w:sz w:val="21"/>
                <w:szCs w:val="21"/>
              </w:rPr>
            </w:pPr>
            <w:r>
              <w:rPr>
                <w:sz w:val="21"/>
                <w:szCs w:val="21"/>
              </w:rPr>
              <w:t>内容</w:t>
            </w:r>
          </w:p>
        </w:tc>
        <w:tc>
          <w:tcPr>
            <w:tcW w:w="1843" w:type="dxa"/>
            <w:vAlign w:val="center"/>
          </w:tcPr>
          <w:p w14:paraId="18F0CCC5">
            <w:pPr>
              <w:widowControl/>
              <w:adjustRightInd w:val="0"/>
              <w:snapToGrid w:val="0"/>
              <w:spacing w:line="240" w:lineRule="auto"/>
              <w:ind w:firstLine="0" w:firstLineChars="0"/>
              <w:jc w:val="center"/>
              <w:rPr>
                <w:sz w:val="21"/>
                <w:szCs w:val="21"/>
              </w:rPr>
            </w:pPr>
            <w:r>
              <w:rPr>
                <w:sz w:val="21"/>
                <w:szCs w:val="21"/>
              </w:rPr>
              <w:t>单位</w:t>
            </w:r>
          </w:p>
        </w:tc>
        <w:tc>
          <w:tcPr>
            <w:tcW w:w="2208" w:type="dxa"/>
            <w:vAlign w:val="center"/>
          </w:tcPr>
          <w:p w14:paraId="16E1F0D6">
            <w:pPr>
              <w:widowControl/>
              <w:adjustRightInd w:val="0"/>
              <w:snapToGrid w:val="0"/>
              <w:spacing w:line="240" w:lineRule="auto"/>
              <w:ind w:firstLine="0" w:firstLineChars="0"/>
              <w:jc w:val="center"/>
              <w:rPr>
                <w:sz w:val="21"/>
                <w:szCs w:val="21"/>
              </w:rPr>
            </w:pPr>
            <w:r>
              <w:rPr>
                <w:sz w:val="21"/>
                <w:szCs w:val="21"/>
              </w:rPr>
              <w:t>工艺参数</w:t>
            </w:r>
          </w:p>
        </w:tc>
      </w:tr>
      <w:tr w14:paraId="0310F4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34" w:type="dxa"/>
            <w:vAlign w:val="center"/>
          </w:tcPr>
          <w:p w14:paraId="162AA918">
            <w:pPr>
              <w:widowControl/>
              <w:adjustRightInd w:val="0"/>
              <w:snapToGrid w:val="0"/>
              <w:spacing w:line="240" w:lineRule="auto"/>
              <w:ind w:firstLine="0" w:firstLineChars="0"/>
              <w:jc w:val="center"/>
              <w:rPr>
                <w:sz w:val="21"/>
                <w:szCs w:val="21"/>
              </w:rPr>
            </w:pPr>
            <w:r>
              <w:rPr>
                <w:sz w:val="21"/>
                <w:szCs w:val="21"/>
              </w:rPr>
              <w:t>1</w:t>
            </w:r>
          </w:p>
        </w:tc>
        <w:tc>
          <w:tcPr>
            <w:tcW w:w="2835" w:type="dxa"/>
            <w:vAlign w:val="center"/>
          </w:tcPr>
          <w:p w14:paraId="75B540B8">
            <w:pPr>
              <w:widowControl/>
              <w:adjustRightInd w:val="0"/>
              <w:snapToGrid w:val="0"/>
              <w:spacing w:line="240" w:lineRule="auto"/>
              <w:ind w:firstLine="0" w:firstLineChars="0"/>
              <w:jc w:val="center"/>
              <w:rPr>
                <w:sz w:val="21"/>
                <w:szCs w:val="21"/>
              </w:rPr>
            </w:pPr>
            <w:r>
              <w:rPr>
                <w:sz w:val="21"/>
                <w:szCs w:val="21"/>
              </w:rPr>
              <w:t>设计规模</w:t>
            </w:r>
          </w:p>
        </w:tc>
        <w:tc>
          <w:tcPr>
            <w:tcW w:w="1843" w:type="dxa"/>
            <w:vAlign w:val="center"/>
          </w:tcPr>
          <w:p w14:paraId="2282E7BB">
            <w:pPr>
              <w:widowControl/>
              <w:adjustRightInd w:val="0"/>
              <w:snapToGrid w:val="0"/>
              <w:spacing w:line="240" w:lineRule="auto"/>
              <w:ind w:firstLine="0" w:firstLineChars="0"/>
              <w:jc w:val="center"/>
              <w:rPr>
                <w:sz w:val="21"/>
                <w:szCs w:val="21"/>
              </w:rPr>
            </w:pPr>
            <w:r>
              <w:rPr>
                <w:sz w:val="21"/>
                <w:szCs w:val="21"/>
              </w:rPr>
              <w:t>10</w:t>
            </w:r>
            <w:r>
              <w:rPr>
                <w:sz w:val="21"/>
                <w:szCs w:val="21"/>
                <w:vertAlign w:val="superscript"/>
              </w:rPr>
              <w:t>4</w:t>
            </w:r>
            <w:r>
              <w:rPr>
                <w:sz w:val="21"/>
                <w:szCs w:val="21"/>
              </w:rPr>
              <w:t>t/a</w:t>
            </w:r>
          </w:p>
        </w:tc>
        <w:tc>
          <w:tcPr>
            <w:tcW w:w="2208" w:type="dxa"/>
            <w:vAlign w:val="center"/>
          </w:tcPr>
          <w:p w14:paraId="3DF64073">
            <w:pPr>
              <w:widowControl/>
              <w:adjustRightInd w:val="0"/>
              <w:snapToGrid w:val="0"/>
              <w:spacing w:line="240" w:lineRule="auto"/>
              <w:ind w:firstLine="0" w:firstLineChars="0"/>
              <w:jc w:val="center"/>
              <w:rPr>
                <w:sz w:val="21"/>
                <w:szCs w:val="21"/>
              </w:rPr>
            </w:pPr>
            <w:r>
              <w:rPr>
                <w:rFonts w:hint="eastAsia"/>
                <w:sz w:val="21"/>
                <w:szCs w:val="21"/>
                <w:lang w:eastAsia="zh-CN"/>
              </w:rPr>
              <w:t>8</w:t>
            </w:r>
          </w:p>
        </w:tc>
      </w:tr>
      <w:tr w14:paraId="5BB000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34" w:type="dxa"/>
            <w:vAlign w:val="center"/>
          </w:tcPr>
          <w:p w14:paraId="5919297E">
            <w:pPr>
              <w:widowControl/>
              <w:adjustRightInd w:val="0"/>
              <w:snapToGrid w:val="0"/>
              <w:spacing w:line="240" w:lineRule="auto"/>
              <w:ind w:firstLine="0" w:firstLineChars="0"/>
              <w:jc w:val="center"/>
              <w:rPr>
                <w:sz w:val="21"/>
                <w:szCs w:val="21"/>
              </w:rPr>
            </w:pPr>
            <w:r>
              <w:rPr>
                <w:sz w:val="21"/>
                <w:szCs w:val="21"/>
              </w:rPr>
              <w:t>2</w:t>
            </w:r>
          </w:p>
        </w:tc>
        <w:tc>
          <w:tcPr>
            <w:tcW w:w="2835" w:type="dxa"/>
            <w:vAlign w:val="center"/>
          </w:tcPr>
          <w:p w14:paraId="31347A78">
            <w:pPr>
              <w:widowControl/>
              <w:adjustRightInd w:val="0"/>
              <w:snapToGrid w:val="0"/>
              <w:spacing w:line="240" w:lineRule="auto"/>
              <w:ind w:firstLine="0" w:firstLineChars="0"/>
              <w:jc w:val="center"/>
              <w:rPr>
                <w:sz w:val="21"/>
                <w:szCs w:val="21"/>
              </w:rPr>
            </w:pPr>
            <w:r>
              <w:rPr>
                <w:sz w:val="21"/>
                <w:szCs w:val="21"/>
              </w:rPr>
              <w:t>生产天数</w:t>
            </w:r>
          </w:p>
        </w:tc>
        <w:tc>
          <w:tcPr>
            <w:tcW w:w="1843" w:type="dxa"/>
            <w:vAlign w:val="center"/>
          </w:tcPr>
          <w:p w14:paraId="0C3EEE1E">
            <w:pPr>
              <w:widowControl/>
              <w:adjustRightInd w:val="0"/>
              <w:snapToGrid w:val="0"/>
              <w:spacing w:line="240" w:lineRule="auto"/>
              <w:ind w:firstLine="0" w:firstLineChars="0"/>
              <w:jc w:val="center"/>
              <w:rPr>
                <w:sz w:val="21"/>
                <w:szCs w:val="21"/>
              </w:rPr>
            </w:pPr>
            <w:r>
              <w:rPr>
                <w:sz w:val="21"/>
                <w:szCs w:val="21"/>
              </w:rPr>
              <w:t>d/a</w:t>
            </w:r>
          </w:p>
        </w:tc>
        <w:tc>
          <w:tcPr>
            <w:tcW w:w="2208" w:type="dxa"/>
            <w:vAlign w:val="center"/>
          </w:tcPr>
          <w:p w14:paraId="5C9C94C3">
            <w:pPr>
              <w:widowControl/>
              <w:adjustRightInd w:val="0"/>
              <w:snapToGrid w:val="0"/>
              <w:spacing w:line="240" w:lineRule="auto"/>
              <w:ind w:firstLine="0" w:firstLineChars="0"/>
              <w:jc w:val="center"/>
              <w:rPr>
                <w:sz w:val="21"/>
                <w:szCs w:val="21"/>
              </w:rPr>
            </w:pPr>
            <w:r>
              <w:rPr>
                <w:sz w:val="21"/>
                <w:szCs w:val="21"/>
              </w:rPr>
              <w:t>365</w:t>
            </w:r>
          </w:p>
        </w:tc>
      </w:tr>
      <w:tr w14:paraId="18F260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34" w:type="dxa"/>
            <w:vAlign w:val="center"/>
          </w:tcPr>
          <w:p w14:paraId="79426AC6">
            <w:pPr>
              <w:widowControl/>
              <w:adjustRightInd w:val="0"/>
              <w:snapToGrid w:val="0"/>
              <w:spacing w:line="240" w:lineRule="auto"/>
              <w:ind w:firstLine="0" w:firstLineChars="0"/>
              <w:jc w:val="center"/>
              <w:rPr>
                <w:sz w:val="21"/>
                <w:szCs w:val="21"/>
              </w:rPr>
            </w:pPr>
            <w:r>
              <w:rPr>
                <w:sz w:val="21"/>
                <w:szCs w:val="21"/>
              </w:rPr>
              <w:t>3</w:t>
            </w:r>
          </w:p>
        </w:tc>
        <w:tc>
          <w:tcPr>
            <w:tcW w:w="2835" w:type="dxa"/>
            <w:vAlign w:val="center"/>
          </w:tcPr>
          <w:p w14:paraId="5E5A6C55">
            <w:pPr>
              <w:widowControl/>
              <w:adjustRightInd w:val="0"/>
              <w:snapToGrid w:val="0"/>
              <w:spacing w:line="240" w:lineRule="auto"/>
              <w:ind w:firstLine="0" w:firstLineChars="0"/>
              <w:jc w:val="center"/>
              <w:rPr>
                <w:sz w:val="21"/>
                <w:szCs w:val="21"/>
              </w:rPr>
            </w:pPr>
            <w:r>
              <w:rPr>
                <w:sz w:val="21"/>
                <w:szCs w:val="21"/>
              </w:rPr>
              <w:t>原油储存时间</w:t>
            </w:r>
          </w:p>
        </w:tc>
        <w:tc>
          <w:tcPr>
            <w:tcW w:w="1843" w:type="dxa"/>
            <w:vAlign w:val="center"/>
          </w:tcPr>
          <w:p w14:paraId="2B7F8861">
            <w:pPr>
              <w:widowControl/>
              <w:adjustRightInd w:val="0"/>
              <w:snapToGrid w:val="0"/>
              <w:spacing w:line="240" w:lineRule="auto"/>
              <w:ind w:firstLine="0" w:firstLineChars="0"/>
              <w:jc w:val="center"/>
              <w:rPr>
                <w:sz w:val="21"/>
                <w:szCs w:val="21"/>
              </w:rPr>
            </w:pPr>
            <w:r>
              <w:rPr>
                <w:sz w:val="21"/>
                <w:szCs w:val="21"/>
              </w:rPr>
              <w:t>d</w:t>
            </w:r>
          </w:p>
        </w:tc>
        <w:tc>
          <w:tcPr>
            <w:tcW w:w="2208" w:type="dxa"/>
            <w:vAlign w:val="center"/>
          </w:tcPr>
          <w:p w14:paraId="0F6B7AC8">
            <w:pPr>
              <w:widowControl/>
              <w:adjustRightInd w:val="0"/>
              <w:snapToGrid w:val="0"/>
              <w:spacing w:line="240" w:lineRule="auto"/>
              <w:ind w:firstLine="0" w:firstLineChars="0"/>
              <w:jc w:val="center"/>
              <w:rPr>
                <w:sz w:val="21"/>
                <w:szCs w:val="21"/>
              </w:rPr>
            </w:pPr>
            <w:r>
              <w:rPr>
                <w:sz w:val="21"/>
                <w:szCs w:val="21"/>
              </w:rPr>
              <w:t>5</w:t>
            </w:r>
          </w:p>
        </w:tc>
      </w:tr>
      <w:tr w14:paraId="4FC6B3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34" w:type="dxa"/>
            <w:vAlign w:val="center"/>
          </w:tcPr>
          <w:p w14:paraId="2D7B15BA">
            <w:pPr>
              <w:widowControl/>
              <w:adjustRightInd w:val="0"/>
              <w:snapToGrid w:val="0"/>
              <w:spacing w:line="240" w:lineRule="auto"/>
              <w:ind w:firstLine="0" w:firstLineChars="0"/>
              <w:jc w:val="center"/>
              <w:rPr>
                <w:sz w:val="21"/>
                <w:szCs w:val="21"/>
              </w:rPr>
            </w:pPr>
            <w:r>
              <w:rPr>
                <w:sz w:val="21"/>
                <w:szCs w:val="21"/>
              </w:rPr>
              <w:t>4</w:t>
            </w:r>
          </w:p>
        </w:tc>
        <w:tc>
          <w:tcPr>
            <w:tcW w:w="2835" w:type="dxa"/>
            <w:vAlign w:val="center"/>
          </w:tcPr>
          <w:p w14:paraId="69EB7661">
            <w:pPr>
              <w:widowControl/>
              <w:adjustRightInd w:val="0"/>
              <w:snapToGrid w:val="0"/>
              <w:spacing w:line="240" w:lineRule="auto"/>
              <w:ind w:firstLine="0" w:firstLineChars="0"/>
              <w:jc w:val="center"/>
              <w:rPr>
                <w:sz w:val="21"/>
                <w:szCs w:val="21"/>
              </w:rPr>
            </w:pPr>
            <w:r>
              <w:rPr>
                <w:sz w:val="21"/>
                <w:szCs w:val="21"/>
              </w:rPr>
              <w:t>原油储存温度</w:t>
            </w:r>
          </w:p>
        </w:tc>
        <w:tc>
          <w:tcPr>
            <w:tcW w:w="1843" w:type="dxa"/>
            <w:vAlign w:val="center"/>
          </w:tcPr>
          <w:p w14:paraId="1C03352E">
            <w:pPr>
              <w:widowControl/>
              <w:adjustRightInd w:val="0"/>
              <w:snapToGrid w:val="0"/>
              <w:spacing w:line="240" w:lineRule="auto"/>
              <w:ind w:firstLine="0" w:firstLineChars="0"/>
              <w:jc w:val="center"/>
              <w:rPr>
                <w:sz w:val="21"/>
                <w:szCs w:val="21"/>
              </w:rPr>
            </w:pPr>
            <w:r>
              <w:rPr>
                <w:sz w:val="21"/>
                <w:szCs w:val="21"/>
              </w:rPr>
              <w:t>℃</w:t>
            </w:r>
          </w:p>
        </w:tc>
        <w:tc>
          <w:tcPr>
            <w:tcW w:w="2208" w:type="dxa"/>
            <w:vAlign w:val="center"/>
          </w:tcPr>
          <w:p w14:paraId="2FD48CDA">
            <w:pPr>
              <w:widowControl/>
              <w:adjustRightInd w:val="0"/>
              <w:snapToGrid w:val="0"/>
              <w:spacing w:line="240" w:lineRule="auto"/>
              <w:ind w:firstLine="0" w:firstLineChars="0"/>
              <w:jc w:val="center"/>
              <w:rPr>
                <w:sz w:val="21"/>
                <w:szCs w:val="21"/>
              </w:rPr>
            </w:pPr>
            <w:r>
              <w:rPr>
                <w:rFonts w:hint="eastAsia"/>
                <w:sz w:val="21"/>
                <w:szCs w:val="21"/>
                <w:lang w:eastAsia="zh-CN"/>
              </w:rPr>
              <w:t>30</w:t>
            </w:r>
          </w:p>
        </w:tc>
      </w:tr>
      <w:tr w14:paraId="3ED5A6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34" w:type="dxa"/>
            <w:vAlign w:val="center"/>
          </w:tcPr>
          <w:p w14:paraId="00DB4332">
            <w:pPr>
              <w:widowControl/>
              <w:adjustRightInd w:val="0"/>
              <w:snapToGrid w:val="0"/>
              <w:spacing w:line="240" w:lineRule="auto"/>
              <w:ind w:firstLine="0" w:firstLineChars="0"/>
              <w:jc w:val="center"/>
              <w:rPr>
                <w:sz w:val="21"/>
                <w:szCs w:val="21"/>
              </w:rPr>
            </w:pPr>
            <w:r>
              <w:rPr>
                <w:sz w:val="21"/>
                <w:szCs w:val="21"/>
              </w:rPr>
              <w:t>5</w:t>
            </w:r>
          </w:p>
        </w:tc>
        <w:tc>
          <w:tcPr>
            <w:tcW w:w="2835" w:type="dxa"/>
            <w:vAlign w:val="center"/>
          </w:tcPr>
          <w:p w14:paraId="2662B836">
            <w:pPr>
              <w:widowControl/>
              <w:adjustRightInd w:val="0"/>
              <w:snapToGrid w:val="0"/>
              <w:spacing w:line="240" w:lineRule="auto"/>
              <w:ind w:firstLine="0" w:firstLineChars="0"/>
              <w:jc w:val="center"/>
              <w:rPr>
                <w:sz w:val="21"/>
                <w:szCs w:val="21"/>
              </w:rPr>
            </w:pPr>
            <w:r>
              <w:rPr>
                <w:sz w:val="21"/>
                <w:szCs w:val="21"/>
              </w:rPr>
              <w:t>原油沉降脱水温度</w:t>
            </w:r>
          </w:p>
        </w:tc>
        <w:tc>
          <w:tcPr>
            <w:tcW w:w="1843" w:type="dxa"/>
            <w:vAlign w:val="center"/>
          </w:tcPr>
          <w:p w14:paraId="64D98F20">
            <w:pPr>
              <w:widowControl/>
              <w:adjustRightInd w:val="0"/>
              <w:snapToGrid w:val="0"/>
              <w:spacing w:line="240" w:lineRule="auto"/>
              <w:ind w:firstLine="0" w:firstLineChars="0"/>
              <w:jc w:val="center"/>
              <w:rPr>
                <w:sz w:val="21"/>
                <w:szCs w:val="21"/>
              </w:rPr>
            </w:pPr>
            <w:r>
              <w:rPr>
                <w:sz w:val="21"/>
                <w:szCs w:val="21"/>
              </w:rPr>
              <w:t>℃</w:t>
            </w:r>
          </w:p>
        </w:tc>
        <w:tc>
          <w:tcPr>
            <w:tcW w:w="2208" w:type="dxa"/>
            <w:vAlign w:val="center"/>
          </w:tcPr>
          <w:p w14:paraId="6F3B635B">
            <w:pPr>
              <w:widowControl/>
              <w:adjustRightInd w:val="0"/>
              <w:snapToGrid w:val="0"/>
              <w:spacing w:line="240" w:lineRule="auto"/>
              <w:ind w:firstLine="0" w:firstLineChars="0"/>
              <w:jc w:val="center"/>
              <w:rPr>
                <w:sz w:val="21"/>
                <w:szCs w:val="21"/>
              </w:rPr>
            </w:pPr>
            <w:r>
              <w:rPr>
                <w:rFonts w:hint="eastAsia"/>
                <w:sz w:val="21"/>
                <w:szCs w:val="21"/>
                <w:lang w:eastAsia="zh-CN"/>
              </w:rPr>
              <w:t>40</w:t>
            </w:r>
          </w:p>
        </w:tc>
      </w:tr>
      <w:tr w14:paraId="036C92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34" w:type="dxa"/>
            <w:vAlign w:val="center"/>
          </w:tcPr>
          <w:p w14:paraId="24A0F14C">
            <w:pPr>
              <w:widowControl/>
              <w:adjustRightInd w:val="0"/>
              <w:snapToGrid w:val="0"/>
              <w:spacing w:line="240" w:lineRule="auto"/>
              <w:ind w:firstLine="0" w:firstLineChars="0"/>
              <w:jc w:val="center"/>
              <w:rPr>
                <w:sz w:val="21"/>
                <w:szCs w:val="21"/>
              </w:rPr>
            </w:pPr>
            <w:r>
              <w:rPr>
                <w:sz w:val="21"/>
                <w:szCs w:val="21"/>
              </w:rPr>
              <w:t>6</w:t>
            </w:r>
          </w:p>
        </w:tc>
        <w:tc>
          <w:tcPr>
            <w:tcW w:w="2835" w:type="dxa"/>
            <w:vAlign w:val="center"/>
          </w:tcPr>
          <w:p w14:paraId="00BC35E7">
            <w:pPr>
              <w:widowControl/>
              <w:adjustRightInd w:val="0"/>
              <w:snapToGrid w:val="0"/>
              <w:spacing w:line="240" w:lineRule="auto"/>
              <w:ind w:firstLine="0" w:firstLineChars="0"/>
              <w:jc w:val="center"/>
              <w:rPr>
                <w:sz w:val="21"/>
                <w:szCs w:val="21"/>
              </w:rPr>
            </w:pPr>
            <w:r>
              <w:rPr>
                <w:sz w:val="21"/>
                <w:szCs w:val="21"/>
              </w:rPr>
              <w:t>原油沉降脱水时间</w:t>
            </w:r>
          </w:p>
        </w:tc>
        <w:tc>
          <w:tcPr>
            <w:tcW w:w="1843" w:type="dxa"/>
            <w:vAlign w:val="center"/>
          </w:tcPr>
          <w:p w14:paraId="447C3852">
            <w:pPr>
              <w:widowControl/>
              <w:adjustRightInd w:val="0"/>
              <w:snapToGrid w:val="0"/>
              <w:spacing w:line="240" w:lineRule="auto"/>
              <w:ind w:firstLine="0" w:firstLineChars="0"/>
              <w:jc w:val="center"/>
              <w:rPr>
                <w:sz w:val="21"/>
                <w:szCs w:val="21"/>
              </w:rPr>
            </w:pPr>
            <w:r>
              <w:rPr>
                <w:sz w:val="21"/>
                <w:szCs w:val="21"/>
              </w:rPr>
              <w:t>min</w:t>
            </w:r>
          </w:p>
        </w:tc>
        <w:tc>
          <w:tcPr>
            <w:tcW w:w="2208" w:type="dxa"/>
            <w:vAlign w:val="center"/>
          </w:tcPr>
          <w:p w14:paraId="53095372">
            <w:pPr>
              <w:widowControl/>
              <w:adjustRightInd w:val="0"/>
              <w:snapToGrid w:val="0"/>
              <w:spacing w:line="240" w:lineRule="auto"/>
              <w:ind w:firstLine="0" w:firstLineChars="0"/>
              <w:jc w:val="center"/>
              <w:rPr>
                <w:sz w:val="21"/>
                <w:szCs w:val="21"/>
              </w:rPr>
            </w:pPr>
            <w:r>
              <w:rPr>
                <w:sz w:val="21"/>
                <w:szCs w:val="21"/>
              </w:rPr>
              <w:t>30</w:t>
            </w:r>
          </w:p>
        </w:tc>
      </w:tr>
      <w:tr w14:paraId="10FDA1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34" w:type="dxa"/>
            <w:vAlign w:val="center"/>
          </w:tcPr>
          <w:p w14:paraId="0749D093">
            <w:pPr>
              <w:widowControl/>
              <w:adjustRightInd w:val="0"/>
              <w:snapToGrid w:val="0"/>
              <w:spacing w:line="240" w:lineRule="auto"/>
              <w:ind w:firstLine="0" w:firstLineChars="0"/>
              <w:jc w:val="center"/>
              <w:rPr>
                <w:sz w:val="21"/>
                <w:szCs w:val="21"/>
              </w:rPr>
            </w:pPr>
            <w:r>
              <w:rPr>
                <w:sz w:val="21"/>
                <w:szCs w:val="21"/>
              </w:rPr>
              <w:t>7</w:t>
            </w:r>
          </w:p>
        </w:tc>
        <w:tc>
          <w:tcPr>
            <w:tcW w:w="2835" w:type="dxa"/>
            <w:vAlign w:val="center"/>
          </w:tcPr>
          <w:p w14:paraId="6F358302">
            <w:pPr>
              <w:widowControl/>
              <w:adjustRightInd w:val="0"/>
              <w:snapToGrid w:val="0"/>
              <w:spacing w:line="240" w:lineRule="auto"/>
              <w:ind w:firstLine="0" w:firstLineChars="0"/>
              <w:jc w:val="center"/>
              <w:rPr>
                <w:sz w:val="21"/>
                <w:szCs w:val="21"/>
                <w:lang w:eastAsia="zh-CN"/>
              </w:rPr>
            </w:pPr>
            <w:r>
              <w:rPr>
                <w:rFonts w:hint="eastAsia"/>
                <w:sz w:val="21"/>
                <w:szCs w:val="21"/>
                <w:lang w:eastAsia="zh-CN"/>
              </w:rPr>
              <w:t>三相分离器液相停留时间</w:t>
            </w:r>
          </w:p>
        </w:tc>
        <w:tc>
          <w:tcPr>
            <w:tcW w:w="1843" w:type="dxa"/>
            <w:vAlign w:val="center"/>
          </w:tcPr>
          <w:p w14:paraId="1CC68254">
            <w:pPr>
              <w:widowControl/>
              <w:adjustRightInd w:val="0"/>
              <w:snapToGrid w:val="0"/>
              <w:spacing w:line="240" w:lineRule="auto"/>
              <w:ind w:firstLine="0" w:firstLineChars="0"/>
              <w:jc w:val="center"/>
              <w:rPr>
                <w:sz w:val="21"/>
                <w:szCs w:val="21"/>
              </w:rPr>
            </w:pPr>
            <w:r>
              <w:rPr>
                <w:sz w:val="21"/>
                <w:szCs w:val="21"/>
              </w:rPr>
              <w:t>min</w:t>
            </w:r>
          </w:p>
        </w:tc>
        <w:tc>
          <w:tcPr>
            <w:tcW w:w="2208" w:type="dxa"/>
            <w:vAlign w:val="center"/>
          </w:tcPr>
          <w:p w14:paraId="572F1D3B">
            <w:pPr>
              <w:widowControl/>
              <w:adjustRightInd w:val="0"/>
              <w:snapToGrid w:val="0"/>
              <w:spacing w:line="240" w:lineRule="auto"/>
              <w:ind w:firstLine="0" w:firstLineChars="0"/>
              <w:jc w:val="center"/>
              <w:rPr>
                <w:sz w:val="21"/>
                <w:szCs w:val="21"/>
              </w:rPr>
            </w:pPr>
            <w:r>
              <w:rPr>
                <w:rFonts w:hint="eastAsia"/>
                <w:sz w:val="21"/>
                <w:szCs w:val="21"/>
                <w:lang w:eastAsia="zh-CN"/>
              </w:rPr>
              <w:t>25</w:t>
            </w:r>
          </w:p>
        </w:tc>
      </w:tr>
      <w:tr w14:paraId="2A2B6F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34" w:type="dxa"/>
            <w:vAlign w:val="center"/>
          </w:tcPr>
          <w:p w14:paraId="42745895">
            <w:pPr>
              <w:widowControl/>
              <w:adjustRightInd w:val="0"/>
              <w:snapToGrid w:val="0"/>
              <w:spacing w:line="240" w:lineRule="auto"/>
              <w:ind w:firstLine="0" w:firstLineChars="0"/>
              <w:jc w:val="center"/>
              <w:rPr>
                <w:sz w:val="21"/>
                <w:szCs w:val="21"/>
                <w:lang w:eastAsia="zh-CN"/>
              </w:rPr>
            </w:pPr>
            <w:r>
              <w:rPr>
                <w:rFonts w:hint="eastAsia"/>
                <w:sz w:val="21"/>
                <w:szCs w:val="21"/>
                <w:lang w:eastAsia="zh-CN"/>
              </w:rPr>
              <w:t>8</w:t>
            </w:r>
          </w:p>
        </w:tc>
        <w:tc>
          <w:tcPr>
            <w:tcW w:w="2835" w:type="dxa"/>
            <w:vAlign w:val="center"/>
          </w:tcPr>
          <w:p w14:paraId="5DA1DE66">
            <w:pPr>
              <w:widowControl/>
              <w:adjustRightInd w:val="0"/>
              <w:snapToGrid w:val="0"/>
              <w:spacing w:line="240" w:lineRule="auto"/>
              <w:ind w:firstLine="0" w:firstLineChars="0"/>
              <w:jc w:val="center"/>
              <w:rPr>
                <w:sz w:val="21"/>
                <w:szCs w:val="21"/>
              </w:rPr>
            </w:pPr>
            <w:r>
              <w:rPr>
                <w:rFonts w:hint="eastAsia"/>
                <w:sz w:val="21"/>
                <w:szCs w:val="21"/>
                <w:lang w:eastAsia="zh-CN"/>
              </w:rPr>
              <w:t>三相</w:t>
            </w:r>
            <w:r>
              <w:rPr>
                <w:sz w:val="21"/>
                <w:szCs w:val="21"/>
              </w:rPr>
              <w:t>分离器工作压力</w:t>
            </w:r>
          </w:p>
        </w:tc>
        <w:tc>
          <w:tcPr>
            <w:tcW w:w="1843" w:type="dxa"/>
            <w:vAlign w:val="center"/>
          </w:tcPr>
          <w:p w14:paraId="06204E14">
            <w:pPr>
              <w:widowControl/>
              <w:adjustRightInd w:val="0"/>
              <w:snapToGrid w:val="0"/>
              <w:spacing w:line="240" w:lineRule="auto"/>
              <w:ind w:firstLine="0" w:firstLineChars="0"/>
              <w:jc w:val="center"/>
              <w:rPr>
                <w:sz w:val="21"/>
                <w:szCs w:val="21"/>
              </w:rPr>
            </w:pPr>
            <w:r>
              <w:rPr>
                <w:sz w:val="21"/>
                <w:szCs w:val="21"/>
              </w:rPr>
              <w:t>MPa</w:t>
            </w:r>
          </w:p>
        </w:tc>
        <w:tc>
          <w:tcPr>
            <w:tcW w:w="2208" w:type="dxa"/>
            <w:vAlign w:val="center"/>
          </w:tcPr>
          <w:p w14:paraId="39FD3E89">
            <w:pPr>
              <w:widowControl/>
              <w:adjustRightInd w:val="0"/>
              <w:snapToGrid w:val="0"/>
              <w:spacing w:line="240" w:lineRule="auto"/>
              <w:ind w:firstLine="0" w:firstLineChars="0"/>
              <w:jc w:val="center"/>
              <w:rPr>
                <w:sz w:val="21"/>
                <w:szCs w:val="21"/>
              </w:rPr>
            </w:pPr>
            <w:r>
              <w:rPr>
                <w:sz w:val="21"/>
                <w:szCs w:val="21"/>
              </w:rPr>
              <w:t>0.</w:t>
            </w:r>
            <w:r>
              <w:rPr>
                <w:rFonts w:hint="eastAsia"/>
                <w:sz w:val="21"/>
                <w:szCs w:val="21"/>
                <w:lang w:eastAsia="zh-CN"/>
              </w:rPr>
              <w:t>3</w:t>
            </w:r>
          </w:p>
        </w:tc>
      </w:tr>
      <w:tr w14:paraId="645D81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34" w:type="dxa"/>
            <w:vAlign w:val="center"/>
          </w:tcPr>
          <w:p w14:paraId="05E5712A">
            <w:pPr>
              <w:widowControl/>
              <w:adjustRightInd w:val="0"/>
              <w:snapToGrid w:val="0"/>
              <w:spacing w:line="240" w:lineRule="auto"/>
              <w:ind w:firstLine="0" w:firstLineChars="0"/>
              <w:jc w:val="center"/>
              <w:rPr>
                <w:sz w:val="21"/>
                <w:szCs w:val="21"/>
                <w:lang w:eastAsia="zh-CN"/>
              </w:rPr>
            </w:pPr>
            <w:r>
              <w:rPr>
                <w:rFonts w:hint="eastAsia"/>
                <w:sz w:val="21"/>
                <w:szCs w:val="21"/>
                <w:lang w:eastAsia="zh-CN"/>
              </w:rPr>
              <w:t>9</w:t>
            </w:r>
          </w:p>
        </w:tc>
        <w:tc>
          <w:tcPr>
            <w:tcW w:w="2835" w:type="dxa"/>
            <w:vAlign w:val="center"/>
          </w:tcPr>
          <w:p w14:paraId="32CC8C86">
            <w:pPr>
              <w:widowControl/>
              <w:adjustRightInd w:val="0"/>
              <w:snapToGrid w:val="0"/>
              <w:spacing w:line="240" w:lineRule="auto"/>
              <w:ind w:firstLine="0" w:firstLineChars="0"/>
              <w:jc w:val="center"/>
              <w:rPr>
                <w:sz w:val="21"/>
                <w:szCs w:val="21"/>
                <w:lang w:eastAsia="zh-CN"/>
              </w:rPr>
            </w:pPr>
            <w:r>
              <w:rPr>
                <w:sz w:val="21"/>
                <w:szCs w:val="21"/>
                <w:lang w:eastAsia="zh-CN"/>
              </w:rPr>
              <w:t>分离器液相停留时间</w:t>
            </w:r>
          </w:p>
        </w:tc>
        <w:tc>
          <w:tcPr>
            <w:tcW w:w="1843" w:type="dxa"/>
            <w:vAlign w:val="center"/>
          </w:tcPr>
          <w:p w14:paraId="7AB510C7">
            <w:pPr>
              <w:widowControl/>
              <w:adjustRightInd w:val="0"/>
              <w:snapToGrid w:val="0"/>
              <w:spacing w:line="240" w:lineRule="auto"/>
              <w:ind w:firstLine="0" w:firstLineChars="0"/>
              <w:jc w:val="center"/>
              <w:rPr>
                <w:sz w:val="21"/>
                <w:szCs w:val="21"/>
              </w:rPr>
            </w:pPr>
            <w:r>
              <w:rPr>
                <w:sz w:val="21"/>
                <w:szCs w:val="21"/>
              </w:rPr>
              <w:t>min</w:t>
            </w:r>
          </w:p>
        </w:tc>
        <w:tc>
          <w:tcPr>
            <w:tcW w:w="2208" w:type="dxa"/>
            <w:vAlign w:val="center"/>
          </w:tcPr>
          <w:p w14:paraId="2FAE1332">
            <w:pPr>
              <w:widowControl/>
              <w:adjustRightInd w:val="0"/>
              <w:snapToGrid w:val="0"/>
              <w:spacing w:line="240" w:lineRule="auto"/>
              <w:ind w:firstLine="0" w:firstLineChars="0"/>
              <w:jc w:val="center"/>
              <w:rPr>
                <w:sz w:val="21"/>
                <w:szCs w:val="21"/>
              </w:rPr>
            </w:pPr>
            <w:r>
              <w:rPr>
                <w:sz w:val="21"/>
                <w:szCs w:val="21"/>
              </w:rPr>
              <w:t>20</w:t>
            </w:r>
          </w:p>
        </w:tc>
      </w:tr>
      <w:tr w14:paraId="5B4D63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34" w:type="dxa"/>
            <w:vAlign w:val="center"/>
          </w:tcPr>
          <w:p w14:paraId="0C2ABF30">
            <w:pPr>
              <w:widowControl/>
              <w:adjustRightInd w:val="0"/>
              <w:snapToGrid w:val="0"/>
              <w:spacing w:line="240" w:lineRule="auto"/>
              <w:ind w:firstLine="0" w:firstLineChars="0"/>
              <w:jc w:val="center"/>
              <w:rPr>
                <w:sz w:val="21"/>
                <w:szCs w:val="21"/>
                <w:lang w:eastAsia="zh-CN"/>
              </w:rPr>
            </w:pPr>
            <w:r>
              <w:rPr>
                <w:rFonts w:hint="eastAsia"/>
                <w:sz w:val="21"/>
                <w:szCs w:val="21"/>
                <w:lang w:eastAsia="zh-CN"/>
              </w:rPr>
              <w:t>10</w:t>
            </w:r>
          </w:p>
        </w:tc>
        <w:tc>
          <w:tcPr>
            <w:tcW w:w="2835" w:type="dxa"/>
            <w:vAlign w:val="center"/>
          </w:tcPr>
          <w:p w14:paraId="4C7F1BA8">
            <w:pPr>
              <w:widowControl/>
              <w:adjustRightInd w:val="0"/>
              <w:snapToGrid w:val="0"/>
              <w:spacing w:line="240" w:lineRule="auto"/>
              <w:ind w:firstLine="0" w:firstLineChars="0"/>
              <w:jc w:val="center"/>
              <w:rPr>
                <w:sz w:val="21"/>
                <w:szCs w:val="21"/>
              </w:rPr>
            </w:pPr>
            <w:r>
              <w:rPr>
                <w:sz w:val="21"/>
                <w:szCs w:val="21"/>
              </w:rPr>
              <w:t>掺水出站温度</w:t>
            </w:r>
          </w:p>
        </w:tc>
        <w:tc>
          <w:tcPr>
            <w:tcW w:w="1843" w:type="dxa"/>
            <w:vAlign w:val="center"/>
          </w:tcPr>
          <w:p w14:paraId="2D4D72A5">
            <w:pPr>
              <w:widowControl/>
              <w:adjustRightInd w:val="0"/>
              <w:snapToGrid w:val="0"/>
              <w:spacing w:line="240" w:lineRule="auto"/>
              <w:ind w:firstLine="0" w:firstLineChars="0"/>
              <w:jc w:val="center"/>
              <w:rPr>
                <w:sz w:val="21"/>
                <w:szCs w:val="21"/>
              </w:rPr>
            </w:pPr>
            <w:r>
              <w:rPr>
                <w:sz w:val="21"/>
                <w:szCs w:val="21"/>
              </w:rPr>
              <w:t>℃</w:t>
            </w:r>
          </w:p>
        </w:tc>
        <w:tc>
          <w:tcPr>
            <w:tcW w:w="2208" w:type="dxa"/>
            <w:vAlign w:val="center"/>
          </w:tcPr>
          <w:p w14:paraId="54C46D08">
            <w:pPr>
              <w:widowControl/>
              <w:adjustRightInd w:val="0"/>
              <w:snapToGrid w:val="0"/>
              <w:spacing w:line="240" w:lineRule="auto"/>
              <w:ind w:firstLine="0" w:firstLineChars="0"/>
              <w:jc w:val="center"/>
              <w:rPr>
                <w:sz w:val="21"/>
                <w:szCs w:val="21"/>
              </w:rPr>
            </w:pPr>
            <w:r>
              <w:rPr>
                <w:sz w:val="21"/>
                <w:szCs w:val="21"/>
              </w:rPr>
              <w:t>65</w:t>
            </w:r>
          </w:p>
        </w:tc>
      </w:tr>
      <w:tr w14:paraId="2A7415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34" w:type="dxa"/>
            <w:vAlign w:val="center"/>
          </w:tcPr>
          <w:p w14:paraId="040035E4">
            <w:pPr>
              <w:widowControl/>
              <w:adjustRightInd w:val="0"/>
              <w:snapToGrid w:val="0"/>
              <w:spacing w:line="240" w:lineRule="auto"/>
              <w:ind w:firstLine="0" w:firstLineChars="0"/>
              <w:jc w:val="center"/>
              <w:rPr>
                <w:sz w:val="21"/>
                <w:szCs w:val="21"/>
                <w:lang w:eastAsia="zh-CN"/>
              </w:rPr>
            </w:pPr>
            <w:r>
              <w:rPr>
                <w:rFonts w:hint="eastAsia"/>
                <w:sz w:val="21"/>
                <w:szCs w:val="21"/>
                <w:lang w:eastAsia="zh-CN"/>
              </w:rPr>
              <w:t>11</w:t>
            </w:r>
          </w:p>
        </w:tc>
        <w:tc>
          <w:tcPr>
            <w:tcW w:w="2835" w:type="dxa"/>
            <w:vAlign w:val="center"/>
          </w:tcPr>
          <w:p w14:paraId="085C837B">
            <w:pPr>
              <w:widowControl/>
              <w:adjustRightInd w:val="0"/>
              <w:snapToGrid w:val="0"/>
              <w:spacing w:line="240" w:lineRule="auto"/>
              <w:ind w:firstLine="0" w:firstLineChars="0"/>
              <w:jc w:val="center"/>
              <w:rPr>
                <w:sz w:val="21"/>
                <w:szCs w:val="21"/>
              </w:rPr>
            </w:pPr>
            <w:r>
              <w:rPr>
                <w:sz w:val="21"/>
                <w:szCs w:val="21"/>
              </w:rPr>
              <w:t>混合液进站温度</w:t>
            </w:r>
          </w:p>
        </w:tc>
        <w:tc>
          <w:tcPr>
            <w:tcW w:w="1843" w:type="dxa"/>
            <w:vAlign w:val="center"/>
          </w:tcPr>
          <w:p w14:paraId="7C95DAEA">
            <w:pPr>
              <w:widowControl/>
              <w:adjustRightInd w:val="0"/>
              <w:snapToGrid w:val="0"/>
              <w:spacing w:line="240" w:lineRule="auto"/>
              <w:ind w:firstLine="0" w:firstLineChars="0"/>
              <w:jc w:val="center"/>
              <w:rPr>
                <w:sz w:val="21"/>
                <w:szCs w:val="21"/>
              </w:rPr>
            </w:pPr>
            <w:r>
              <w:rPr>
                <w:sz w:val="21"/>
                <w:szCs w:val="21"/>
              </w:rPr>
              <w:t>℃</w:t>
            </w:r>
          </w:p>
        </w:tc>
        <w:tc>
          <w:tcPr>
            <w:tcW w:w="2208" w:type="dxa"/>
            <w:vAlign w:val="center"/>
          </w:tcPr>
          <w:p w14:paraId="042AD8D1">
            <w:pPr>
              <w:widowControl/>
              <w:adjustRightInd w:val="0"/>
              <w:snapToGrid w:val="0"/>
              <w:spacing w:line="240" w:lineRule="auto"/>
              <w:ind w:firstLine="0" w:firstLineChars="0"/>
              <w:jc w:val="center"/>
              <w:rPr>
                <w:sz w:val="21"/>
                <w:szCs w:val="21"/>
              </w:rPr>
            </w:pPr>
            <w:r>
              <w:rPr>
                <w:rFonts w:hint="eastAsia"/>
                <w:lang w:eastAsia="zh-CN"/>
              </w:rPr>
              <w:t>30</w:t>
            </w:r>
          </w:p>
        </w:tc>
      </w:tr>
      <w:tr w14:paraId="205E3A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34" w:type="dxa"/>
            <w:vAlign w:val="center"/>
          </w:tcPr>
          <w:p w14:paraId="2F35D857">
            <w:pPr>
              <w:widowControl/>
              <w:adjustRightInd w:val="0"/>
              <w:snapToGrid w:val="0"/>
              <w:spacing w:line="240" w:lineRule="auto"/>
              <w:ind w:firstLine="0" w:firstLineChars="0"/>
              <w:jc w:val="center"/>
              <w:rPr>
                <w:sz w:val="21"/>
                <w:szCs w:val="21"/>
                <w:lang w:eastAsia="zh-CN"/>
              </w:rPr>
            </w:pPr>
            <w:r>
              <w:rPr>
                <w:rFonts w:hint="eastAsia"/>
                <w:sz w:val="21"/>
                <w:szCs w:val="21"/>
                <w:lang w:eastAsia="zh-CN"/>
              </w:rPr>
              <w:t>12</w:t>
            </w:r>
          </w:p>
        </w:tc>
        <w:tc>
          <w:tcPr>
            <w:tcW w:w="2835" w:type="dxa"/>
            <w:vAlign w:val="center"/>
          </w:tcPr>
          <w:p w14:paraId="7C23DA3A">
            <w:pPr>
              <w:widowControl/>
              <w:adjustRightInd w:val="0"/>
              <w:snapToGrid w:val="0"/>
              <w:spacing w:line="240" w:lineRule="auto"/>
              <w:ind w:firstLine="0" w:firstLineChars="0"/>
              <w:jc w:val="center"/>
              <w:rPr>
                <w:sz w:val="21"/>
                <w:szCs w:val="21"/>
              </w:rPr>
            </w:pPr>
            <w:r>
              <w:rPr>
                <w:sz w:val="21"/>
                <w:szCs w:val="21"/>
              </w:rPr>
              <w:t>管道流速</w:t>
            </w:r>
          </w:p>
        </w:tc>
        <w:tc>
          <w:tcPr>
            <w:tcW w:w="1843" w:type="dxa"/>
            <w:vAlign w:val="center"/>
          </w:tcPr>
          <w:p w14:paraId="6B5B2878">
            <w:pPr>
              <w:widowControl/>
              <w:adjustRightInd w:val="0"/>
              <w:snapToGrid w:val="0"/>
              <w:spacing w:line="240" w:lineRule="auto"/>
              <w:ind w:firstLine="0" w:firstLineChars="0"/>
              <w:jc w:val="center"/>
              <w:rPr>
                <w:sz w:val="21"/>
                <w:szCs w:val="21"/>
              </w:rPr>
            </w:pPr>
            <w:r>
              <w:rPr>
                <w:sz w:val="21"/>
                <w:szCs w:val="21"/>
              </w:rPr>
              <w:t>m/s</w:t>
            </w:r>
          </w:p>
        </w:tc>
        <w:tc>
          <w:tcPr>
            <w:tcW w:w="2208" w:type="dxa"/>
            <w:vAlign w:val="center"/>
          </w:tcPr>
          <w:p w14:paraId="36D88B89">
            <w:pPr>
              <w:widowControl/>
              <w:adjustRightInd w:val="0"/>
              <w:snapToGrid w:val="0"/>
              <w:spacing w:line="240" w:lineRule="auto"/>
              <w:ind w:firstLine="0" w:firstLineChars="0"/>
              <w:jc w:val="center"/>
              <w:rPr>
                <w:sz w:val="21"/>
                <w:szCs w:val="21"/>
              </w:rPr>
            </w:pPr>
            <w:r>
              <w:rPr>
                <w:sz w:val="21"/>
                <w:szCs w:val="21"/>
              </w:rPr>
              <w:t>0.8～2.0</w:t>
            </w:r>
          </w:p>
        </w:tc>
      </w:tr>
      <w:tr w14:paraId="0CD251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34" w:type="dxa"/>
            <w:vAlign w:val="center"/>
          </w:tcPr>
          <w:p w14:paraId="5C37E836">
            <w:pPr>
              <w:widowControl/>
              <w:adjustRightInd w:val="0"/>
              <w:snapToGrid w:val="0"/>
              <w:spacing w:line="240" w:lineRule="auto"/>
              <w:ind w:firstLine="0" w:firstLineChars="0"/>
              <w:jc w:val="center"/>
              <w:rPr>
                <w:sz w:val="21"/>
                <w:szCs w:val="21"/>
                <w:lang w:eastAsia="zh-CN"/>
              </w:rPr>
            </w:pPr>
            <w:r>
              <w:rPr>
                <w:rFonts w:hint="eastAsia"/>
                <w:sz w:val="21"/>
                <w:szCs w:val="21"/>
                <w:lang w:eastAsia="zh-CN"/>
              </w:rPr>
              <w:t>13</w:t>
            </w:r>
          </w:p>
        </w:tc>
        <w:tc>
          <w:tcPr>
            <w:tcW w:w="2835" w:type="dxa"/>
            <w:vAlign w:val="center"/>
          </w:tcPr>
          <w:p w14:paraId="397606D1">
            <w:pPr>
              <w:widowControl/>
              <w:adjustRightInd w:val="0"/>
              <w:snapToGrid w:val="0"/>
              <w:spacing w:line="240" w:lineRule="auto"/>
              <w:ind w:firstLine="0" w:firstLineChars="0"/>
              <w:jc w:val="center"/>
              <w:rPr>
                <w:sz w:val="21"/>
                <w:szCs w:val="21"/>
              </w:rPr>
            </w:pPr>
            <w:r>
              <w:rPr>
                <w:rFonts w:hint="eastAsia"/>
                <w:sz w:val="21"/>
                <w:szCs w:val="21"/>
                <w:lang w:eastAsia="zh-CN"/>
              </w:rPr>
              <w:t>管顶埋深</w:t>
            </w:r>
          </w:p>
        </w:tc>
        <w:tc>
          <w:tcPr>
            <w:tcW w:w="1843" w:type="dxa"/>
            <w:vAlign w:val="center"/>
          </w:tcPr>
          <w:p w14:paraId="26B5F484">
            <w:pPr>
              <w:widowControl/>
              <w:adjustRightInd w:val="0"/>
              <w:snapToGrid w:val="0"/>
              <w:spacing w:line="240" w:lineRule="auto"/>
              <w:ind w:firstLine="0" w:firstLineChars="0"/>
              <w:jc w:val="center"/>
              <w:rPr>
                <w:sz w:val="21"/>
                <w:szCs w:val="21"/>
              </w:rPr>
            </w:pPr>
            <w:r>
              <w:rPr>
                <w:sz w:val="21"/>
                <w:szCs w:val="21"/>
              </w:rPr>
              <w:t>m</w:t>
            </w:r>
          </w:p>
        </w:tc>
        <w:tc>
          <w:tcPr>
            <w:tcW w:w="2208" w:type="dxa"/>
            <w:vAlign w:val="center"/>
          </w:tcPr>
          <w:p w14:paraId="57E40218">
            <w:pPr>
              <w:widowControl/>
              <w:adjustRightInd w:val="0"/>
              <w:snapToGrid w:val="0"/>
              <w:spacing w:line="240" w:lineRule="auto"/>
              <w:ind w:firstLine="0" w:firstLineChars="0"/>
              <w:jc w:val="center"/>
              <w:rPr>
                <w:sz w:val="21"/>
                <w:szCs w:val="21"/>
              </w:rPr>
            </w:pPr>
            <w:r>
              <w:rPr>
                <w:rFonts w:hint="eastAsia"/>
                <w:sz w:val="21"/>
                <w:szCs w:val="21"/>
                <w:lang w:eastAsia="zh-CN"/>
              </w:rPr>
              <w:t>1.5</w:t>
            </w:r>
          </w:p>
        </w:tc>
      </w:tr>
      <w:tr w14:paraId="44AB4D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34" w:type="dxa"/>
            <w:vAlign w:val="center"/>
          </w:tcPr>
          <w:p w14:paraId="79C4A5DB">
            <w:pPr>
              <w:widowControl/>
              <w:adjustRightInd w:val="0"/>
              <w:snapToGrid w:val="0"/>
              <w:spacing w:line="240" w:lineRule="auto"/>
              <w:ind w:firstLine="0" w:firstLineChars="0"/>
              <w:jc w:val="center"/>
              <w:rPr>
                <w:sz w:val="21"/>
                <w:szCs w:val="21"/>
                <w:lang w:eastAsia="zh-CN"/>
              </w:rPr>
            </w:pPr>
            <w:r>
              <w:rPr>
                <w:rFonts w:hint="eastAsia"/>
                <w:sz w:val="21"/>
                <w:szCs w:val="21"/>
                <w:lang w:eastAsia="zh-CN"/>
              </w:rPr>
              <w:t>14</w:t>
            </w:r>
          </w:p>
        </w:tc>
        <w:tc>
          <w:tcPr>
            <w:tcW w:w="2835" w:type="dxa"/>
            <w:vAlign w:val="center"/>
          </w:tcPr>
          <w:p w14:paraId="799F0948">
            <w:pPr>
              <w:widowControl/>
              <w:adjustRightInd w:val="0"/>
              <w:snapToGrid w:val="0"/>
              <w:spacing w:line="240" w:lineRule="auto"/>
              <w:ind w:firstLine="0" w:firstLineChars="0"/>
              <w:jc w:val="center"/>
              <w:rPr>
                <w:sz w:val="21"/>
                <w:szCs w:val="21"/>
              </w:rPr>
            </w:pPr>
            <w:r>
              <w:rPr>
                <w:sz w:val="21"/>
                <w:szCs w:val="21"/>
              </w:rPr>
              <w:t>井口出油温度</w:t>
            </w:r>
          </w:p>
        </w:tc>
        <w:tc>
          <w:tcPr>
            <w:tcW w:w="1843" w:type="dxa"/>
            <w:vAlign w:val="center"/>
          </w:tcPr>
          <w:p w14:paraId="04B4C34B">
            <w:pPr>
              <w:widowControl/>
              <w:adjustRightInd w:val="0"/>
              <w:snapToGrid w:val="0"/>
              <w:spacing w:line="240" w:lineRule="auto"/>
              <w:ind w:firstLine="0" w:firstLineChars="0"/>
              <w:jc w:val="center"/>
              <w:rPr>
                <w:sz w:val="21"/>
                <w:szCs w:val="21"/>
              </w:rPr>
            </w:pPr>
            <w:r>
              <w:rPr>
                <w:sz w:val="21"/>
                <w:szCs w:val="21"/>
              </w:rPr>
              <w:t>℃</w:t>
            </w:r>
          </w:p>
        </w:tc>
        <w:tc>
          <w:tcPr>
            <w:tcW w:w="2208" w:type="dxa"/>
            <w:vAlign w:val="center"/>
          </w:tcPr>
          <w:p w14:paraId="53E48EB4">
            <w:pPr>
              <w:widowControl/>
              <w:adjustRightInd w:val="0"/>
              <w:snapToGrid w:val="0"/>
              <w:spacing w:line="240" w:lineRule="auto"/>
              <w:ind w:firstLine="0" w:firstLineChars="0"/>
              <w:jc w:val="center"/>
              <w:rPr>
                <w:sz w:val="21"/>
                <w:szCs w:val="21"/>
              </w:rPr>
            </w:pPr>
            <w:r>
              <w:rPr>
                <w:rFonts w:hint="eastAsia"/>
                <w:lang w:val="zh-CN"/>
              </w:rPr>
              <w:t>16</w:t>
            </w:r>
          </w:p>
        </w:tc>
      </w:tr>
      <w:tr w14:paraId="186042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34" w:type="dxa"/>
            <w:vAlign w:val="center"/>
          </w:tcPr>
          <w:p w14:paraId="56972F8E">
            <w:pPr>
              <w:widowControl/>
              <w:adjustRightInd w:val="0"/>
              <w:snapToGrid w:val="0"/>
              <w:spacing w:line="240" w:lineRule="auto"/>
              <w:ind w:firstLine="0" w:firstLineChars="0"/>
              <w:jc w:val="center"/>
              <w:rPr>
                <w:sz w:val="21"/>
                <w:szCs w:val="21"/>
                <w:lang w:eastAsia="zh-CN"/>
              </w:rPr>
            </w:pPr>
            <w:r>
              <w:rPr>
                <w:rFonts w:hint="eastAsia"/>
                <w:sz w:val="21"/>
                <w:szCs w:val="21"/>
                <w:lang w:eastAsia="zh-CN"/>
              </w:rPr>
              <w:t>15</w:t>
            </w:r>
          </w:p>
        </w:tc>
        <w:tc>
          <w:tcPr>
            <w:tcW w:w="2835" w:type="dxa"/>
            <w:vAlign w:val="center"/>
          </w:tcPr>
          <w:p w14:paraId="586339DA">
            <w:pPr>
              <w:widowControl/>
              <w:adjustRightInd w:val="0"/>
              <w:snapToGrid w:val="0"/>
              <w:spacing w:line="240" w:lineRule="auto"/>
              <w:ind w:firstLine="0" w:firstLineChars="0"/>
              <w:jc w:val="center"/>
              <w:rPr>
                <w:sz w:val="21"/>
                <w:szCs w:val="21"/>
              </w:rPr>
            </w:pPr>
            <w:r>
              <w:rPr>
                <w:rFonts w:hint="eastAsia"/>
                <w:sz w:val="21"/>
                <w:szCs w:val="21"/>
                <w:lang w:eastAsia="zh-CN"/>
              </w:rPr>
              <w:t>三相分离器进口</w:t>
            </w:r>
            <w:r>
              <w:rPr>
                <w:sz w:val="21"/>
                <w:szCs w:val="21"/>
              </w:rPr>
              <w:t>温度</w:t>
            </w:r>
          </w:p>
        </w:tc>
        <w:tc>
          <w:tcPr>
            <w:tcW w:w="1843" w:type="dxa"/>
            <w:vAlign w:val="center"/>
          </w:tcPr>
          <w:p w14:paraId="2D2C3ECF">
            <w:pPr>
              <w:widowControl/>
              <w:adjustRightInd w:val="0"/>
              <w:snapToGrid w:val="0"/>
              <w:spacing w:line="240" w:lineRule="auto"/>
              <w:ind w:firstLine="0" w:firstLineChars="0"/>
              <w:jc w:val="center"/>
              <w:rPr>
                <w:sz w:val="21"/>
                <w:szCs w:val="21"/>
              </w:rPr>
            </w:pPr>
            <w:r>
              <w:rPr>
                <w:sz w:val="21"/>
                <w:szCs w:val="21"/>
              </w:rPr>
              <w:t>℃</w:t>
            </w:r>
          </w:p>
        </w:tc>
        <w:tc>
          <w:tcPr>
            <w:tcW w:w="2208" w:type="dxa"/>
            <w:vAlign w:val="center"/>
          </w:tcPr>
          <w:p w14:paraId="001B9408">
            <w:pPr>
              <w:widowControl/>
              <w:adjustRightInd w:val="0"/>
              <w:snapToGrid w:val="0"/>
              <w:spacing w:line="240" w:lineRule="auto"/>
              <w:ind w:firstLine="0" w:firstLineChars="0"/>
              <w:jc w:val="center"/>
              <w:rPr>
                <w:sz w:val="21"/>
                <w:szCs w:val="21"/>
              </w:rPr>
            </w:pPr>
            <w:r>
              <w:rPr>
                <w:rFonts w:hint="eastAsia"/>
                <w:lang w:val="zh-CN"/>
              </w:rPr>
              <w:t>40</w:t>
            </w:r>
          </w:p>
        </w:tc>
      </w:tr>
      <w:tr w14:paraId="77BEF3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34" w:type="dxa"/>
            <w:vAlign w:val="center"/>
          </w:tcPr>
          <w:p w14:paraId="7912B2C7">
            <w:pPr>
              <w:widowControl/>
              <w:adjustRightInd w:val="0"/>
              <w:snapToGrid w:val="0"/>
              <w:spacing w:line="240" w:lineRule="auto"/>
              <w:ind w:firstLine="0" w:firstLineChars="0"/>
              <w:jc w:val="center"/>
              <w:rPr>
                <w:sz w:val="21"/>
                <w:szCs w:val="21"/>
                <w:lang w:eastAsia="zh-CN"/>
              </w:rPr>
            </w:pPr>
            <w:r>
              <w:rPr>
                <w:rFonts w:hint="eastAsia"/>
                <w:sz w:val="21"/>
                <w:szCs w:val="21"/>
                <w:lang w:eastAsia="zh-CN"/>
              </w:rPr>
              <w:t>16</w:t>
            </w:r>
          </w:p>
        </w:tc>
        <w:tc>
          <w:tcPr>
            <w:tcW w:w="2835" w:type="dxa"/>
            <w:vAlign w:val="center"/>
          </w:tcPr>
          <w:p w14:paraId="1C269EA4">
            <w:pPr>
              <w:widowControl/>
              <w:adjustRightInd w:val="0"/>
              <w:snapToGrid w:val="0"/>
              <w:spacing w:line="240" w:lineRule="auto"/>
              <w:ind w:firstLine="0" w:firstLineChars="0"/>
              <w:jc w:val="center"/>
              <w:rPr>
                <w:sz w:val="21"/>
                <w:szCs w:val="21"/>
                <w:lang w:eastAsia="zh-CN"/>
              </w:rPr>
            </w:pPr>
            <w:r>
              <w:rPr>
                <w:rFonts w:hint="eastAsia"/>
                <w:sz w:val="21"/>
                <w:szCs w:val="21"/>
                <w:lang w:eastAsia="zh-CN"/>
              </w:rPr>
              <w:t>两</w:t>
            </w:r>
            <w:r>
              <w:rPr>
                <w:sz w:val="21"/>
                <w:szCs w:val="21"/>
                <w:lang w:eastAsia="zh-CN"/>
              </w:rPr>
              <w:t>分离器液相停留时间</w:t>
            </w:r>
          </w:p>
        </w:tc>
        <w:tc>
          <w:tcPr>
            <w:tcW w:w="1843" w:type="dxa"/>
            <w:vAlign w:val="center"/>
          </w:tcPr>
          <w:p w14:paraId="0B52D180">
            <w:pPr>
              <w:widowControl/>
              <w:adjustRightInd w:val="0"/>
              <w:snapToGrid w:val="0"/>
              <w:spacing w:line="240" w:lineRule="auto"/>
              <w:ind w:firstLine="0" w:firstLineChars="0"/>
              <w:jc w:val="center"/>
              <w:rPr>
                <w:sz w:val="21"/>
                <w:szCs w:val="21"/>
              </w:rPr>
            </w:pPr>
            <w:r>
              <w:rPr>
                <w:sz w:val="21"/>
                <w:szCs w:val="21"/>
              </w:rPr>
              <w:t>min</w:t>
            </w:r>
          </w:p>
        </w:tc>
        <w:tc>
          <w:tcPr>
            <w:tcW w:w="2208" w:type="dxa"/>
            <w:vAlign w:val="center"/>
          </w:tcPr>
          <w:p w14:paraId="03B21882">
            <w:pPr>
              <w:widowControl/>
              <w:adjustRightInd w:val="0"/>
              <w:snapToGrid w:val="0"/>
              <w:spacing w:line="240" w:lineRule="auto"/>
              <w:ind w:firstLine="0" w:firstLineChars="0"/>
              <w:jc w:val="center"/>
              <w:rPr>
                <w:sz w:val="21"/>
                <w:szCs w:val="21"/>
              </w:rPr>
            </w:pPr>
            <w:r>
              <w:rPr>
                <w:rFonts w:hint="eastAsia"/>
                <w:sz w:val="21"/>
                <w:szCs w:val="21"/>
                <w:lang w:eastAsia="zh-CN"/>
              </w:rPr>
              <w:t>3</w:t>
            </w:r>
          </w:p>
        </w:tc>
      </w:tr>
      <w:tr w14:paraId="2DF1D0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34" w:type="dxa"/>
            <w:vAlign w:val="center"/>
          </w:tcPr>
          <w:p w14:paraId="2905A8E2">
            <w:pPr>
              <w:widowControl/>
              <w:adjustRightInd w:val="0"/>
              <w:snapToGrid w:val="0"/>
              <w:spacing w:line="240" w:lineRule="auto"/>
              <w:ind w:firstLine="0" w:firstLineChars="0"/>
              <w:jc w:val="center"/>
              <w:rPr>
                <w:sz w:val="21"/>
                <w:szCs w:val="21"/>
                <w:lang w:eastAsia="zh-CN"/>
              </w:rPr>
            </w:pPr>
            <w:r>
              <w:rPr>
                <w:rFonts w:hint="eastAsia"/>
                <w:sz w:val="21"/>
                <w:szCs w:val="21"/>
                <w:lang w:eastAsia="zh-CN"/>
              </w:rPr>
              <w:t>17</w:t>
            </w:r>
          </w:p>
        </w:tc>
        <w:tc>
          <w:tcPr>
            <w:tcW w:w="2835" w:type="dxa"/>
            <w:vAlign w:val="center"/>
          </w:tcPr>
          <w:p w14:paraId="6B480303">
            <w:pPr>
              <w:widowControl/>
              <w:adjustRightInd w:val="0"/>
              <w:snapToGrid w:val="0"/>
              <w:spacing w:line="240" w:lineRule="auto"/>
              <w:ind w:firstLine="0" w:firstLineChars="0"/>
              <w:jc w:val="center"/>
              <w:rPr>
                <w:sz w:val="21"/>
                <w:szCs w:val="21"/>
              </w:rPr>
            </w:pPr>
            <w:r>
              <w:rPr>
                <w:rFonts w:hint="eastAsia"/>
                <w:sz w:val="21"/>
                <w:szCs w:val="21"/>
                <w:lang w:eastAsia="zh-CN"/>
              </w:rPr>
              <w:t>两相</w:t>
            </w:r>
            <w:r>
              <w:rPr>
                <w:sz w:val="21"/>
                <w:szCs w:val="21"/>
              </w:rPr>
              <w:t>分离器工作压力</w:t>
            </w:r>
          </w:p>
        </w:tc>
        <w:tc>
          <w:tcPr>
            <w:tcW w:w="1843" w:type="dxa"/>
            <w:vAlign w:val="center"/>
          </w:tcPr>
          <w:p w14:paraId="108C3400">
            <w:pPr>
              <w:widowControl/>
              <w:adjustRightInd w:val="0"/>
              <w:snapToGrid w:val="0"/>
              <w:spacing w:line="240" w:lineRule="auto"/>
              <w:ind w:firstLine="0" w:firstLineChars="0"/>
              <w:jc w:val="center"/>
              <w:rPr>
                <w:sz w:val="21"/>
                <w:szCs w:val="21"/>
              </w:rPr>
            </w:pPr>
            <w:r>
              <w:rPr>
                <w:sz w:val="21"/>
                <w:szCs w:val="21"/>
              </w:rPr>
              <w:t>MPa</w:t>
            </w:r>
          </w:p>
        </w:tc>
        <w:tc>
          <w:tcPr>
            <w:tcW w:w="2208" w:type="dxa"/>
            <w:vAlign w:val="center"/>
          </w:tcPr>
          <w:p w14:paraId="6AA9FECE">
            <w:pPr>
              <w:widowControl/>
              <w:adjustRightInd w:val="0"/>
              <w:snapToGrid w:val="0"/>
              <w:spacing w:line="240" w:lineRule="auto"/>
              <w:ind w:firstLine="0" w:firstLineChars="0"/>
              <w:jc w:val="center"/>
              <w:rPr>
                <w:sz w:val="21"/>
                <w:szCs w:val="21"/>
              </w:rPr>
            </w:pPr>
            <w:r>
              <w:rPr>
                <w:sz w:val="21"/>
                <w:szCs w:val="21"/>
              </w:rPr>
              <w:t>0.</w:t>
            </w:r>
            <w:r>
              <w:rPr>
                <w:rFonts w:hint="eastAsia"/>
                <w:sz w:val="21"/>
                <w:szCs w:val="21"/>
                <w:lang w:eastAsia="zh-CN"/>
              </w:rPr>
              <w:t>4</w:t>
            </w:r>
          </w:p>
        </w:tc>
      </w:tr>
      <w:tr w14:paraId="7D401B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34" w:type="dxa"/>
            <w:vAlign w:val="center"/>
          </w:tcPr>
          <w:p w14:paraId="00896D63">
            <w:pPr>
              <w:widowControl/>
              <w:adjustRightInd w:val="0"/>
              <w:snapToGrid w:val="0"/>
              <w:spacing w:line="240" w:lineRule="auto"/>
              <w:ind w:firstLine="0" w:firstLineChars="0"/>
              <w:jc w:val="center"/>
              <w:rPr>
                <w:sz w:val="21"/>
                <w:szCs w:val="21"/>
                <w:lang w:eastAsia="zh-CN"/>
              </w:rPr>
            </w:pPr>
            <w:r>
              <w:rPr>
                <w:rFonts w:hint="eastAsia"/>
                <w:sz w:val="21"/>
                <w:szCs w:val="21"/>
                <w:lang w:eastAsia="zh-CN"/>
              </w:rPr>
              <w:t>18</w:t>
            </w:r>
          </w:p>
        </w:tc>
        <w:tc>
          <w:tcPr>
            <w:tcW w:w="2835" w:type="dxa"/>
            <w:vAlign w:val="center"/>
          </w:tcPr>
          <w:p w14:paraId="01914476">
            <w:pPr>
              <w:widowControl/>
              <w:adjustRightInd w:val="0"/>
              <w:snapToGrid w:val="0"/>
              <w:spacing w:line="240" w:lineRule="auto"/>
              <w:ind w:firstLine="0" w:firstLineChars="0"/>
              <w:jc w:val="center"/>
              <w:rPr>
                <w:sz w:val="21"/>
                <w:szCs w:val="21"/>
              </w:rPr>
            </w:pPr>
            <w:r>
              <w:rPr>
                <w:sz w:val="21"/>
                <w:szCs w:val="21"/>
              </w:rPr>
              <w:t>外运原油含水</w:t>
            </w:r>
          </w:p>
        </w:tc>
        <w:tc>
          <w:tcPr>
            <w:tcW w:w="1843" w:type="dxa"/>
            <w:vAlign w:val="center"/>
          </w:tcPr>
          <w:p w14:paraId="555F09F4">
            <w:pPr>
              <w:widowControl/>
              <w:adjustRightInd w:val="0"/>
              <w:snapToGrid w:val="0"/>
              <w:spacing w:line="240" w:lineRule="auto"/>
              <w:ind w:firstLine="0" w:firstLineChars="0"/>
              <w:jc w:val="center"/>
              <w:rPr>
                <w:sz w:val="21"/>
                <w:szCs w:val="21"/>
              </w:rPr>
            </w:pPr>
            <w:r>
              <w:rPr>
                <w:sz w:val="21"/>
                <w:szCs w:val="21"/>
              </w:rPr>
              <w:t>%</w:t>
            </w:r>
          </w:p>
        </w:tc>
        <w:tc>
          <w:tcPr>
            <w:tcW w:w="2208" w:type="dxa"/>
            <w:vAlign w:val="center"/>
          </w:tcPr>
          <w:p w14:paraId="20F15C0D">
            <w:pPr>
              <w:widowControl/>
              <w:adjustRightInd w:val="0"/>
              <w:snapToGrid w:val="0"/>
              <w:spacing w:line="240" w:lineRule="auto"/>
              <w:ind w:firstLine="0" w:firstLineChars="0"/>
              <w:jc w:val="center"/>
              <w:rPr>
                <w:sz w:val="21"/>
                <w:szCs w:val="21"/>
              </w:rPr>
            </w:pPr>
            <w:r>
              <w:rPr>
                <w:sz w:val="21"/>
                <w:szCs w:val="21"/>
              </w:rPr>
              <w:t>≤</w:t>
            </w:r>
            <w:r>
              <w:rPr>
                <w:rFonts w:hint="eastAsia"/>
                <w:sz w:val="21"/>
                <w:szCs w:val="21"/>
                <w:lang w:eastAsia="zh-CN"/>
              </w:rPr>
              <w:t>0.5</w:t>
            </w:r>
          </w:p>
        </w:tc>
      </w:tr>
      <w:tr w14:paraId="124B6F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34" w:type="dxa"/>
            <w:vAlign w:val="center"/>
          </w:tcPr>
          <w:p w14:paraId="333B23B1">
            <w:pPr>
              <w:widowControl/>
              <w:adjustRightInd w:val="0"/>
              <w:snapToGrid w:val="0"/>
              <w:spacing w:line="240" w:lineRule="auto"/>
              <w:ind w:firstLine="0" w:firstLineChars="0"/>
              <w:jc w:val="center"/>
              <w:rPr>
                <w:sz w:val="21"/>
                <w:szCs w:val="21"/>
                <w:lang w:eastAsia="zh-CN"/>
              </w:rPr>
            </w:pPr>
            <w:r>
              <w:rPr>
                <w:rFonts w:hint="eastAsia"/>
                <w:sz w:val="21"/>
                <w:szCs w:val="21"/>
                <w:lang w:eastAsia="zh-CN"/>
              </w:rPr>
              <w:t>19</w:t>
            </w:r>
          </w:p>
        </w:tc>
        <w:tc>
          <w:tcPr>
            <w:tcW w:w="2835" w:type="dxa"/>
            <w:vAlign w:val="center"/>
          </w:tcPr>
          <w:p w14:paraId="3345F86D">
            <w:pPr>
              <w:widowControl/>
              <w:adjustRightInd w:val="0"/>
              <w:snapToGrid w:val="0"/>
              <w:spacing w:line="240" w:lineRule="auto"/>
              <w:ind w:firstLine="0" w:firstLineChars="0"/>
              <w:jc w:val="center"/>
              <w:rPr>
                <w:sz w:val="21"/>
                <w:szCs w:val="21"/>
                <w:lang w:eastAsia="zh-CN"/>
              </w:rPr>
            </w:pPr>
            <w:r>
              <w:rPr>
                <w:rFonts w:hint="eastAsia"/>
                <w:sz w:val="21"/>
                <w:szCs w:val="21"/>
                <w:lang w:eastAsia="zh-CN"/>
              </w:rPr>
              <w:t>掺水量/井（太53断块油井）</w:t>
            </w:r>
          </w:p>
        </w:tc>
        <w:tc>
          <w:tcPr>
            <w:tcW w:w="1843" w:type="dxa"/>
            <w:vAlign w:val="center"/>
          </w:tcPr>
          <w:p w14:paraId="06F1004C">
            <w:pPr>
              <w:widowControl/>
              <w:adjustRightInd w:val="0"/>
              <w:snapToGrid w:val="0"/>
              <w:spacing w:line="240" w:lineRule="auto"/>
              <w:ind w:firstLine="0" w:firstLineChars="0"/>
              <w:jc w:val="center"/>
              <w:rPr>
                <w:sz w:val="21"/>
                <w:szCs w:val="21"/>
                <w:lang w:eastAsia="zh-CN"/>
              </w:rPr>
            </w:pPr>
            <w:r>
              <w:rPr>
                <w:rFonts w:hint="eastAsia"/>
                <w:sz w:val="21"/>
                <w:szCs w:val="21"/>
                <w:lang w:eastAsia="zh-CN"/>
              </w:rPr>
              <w:t>m</w:t>
            </w:r>
            <w:r>
              <w:rPr>
                <w:rFonts w:hint="eastAsia"/>
                <w:sz w:val="21"/>
                <w:szCs w:val="21"/>
                <w:vertAlign w:val="superscript"/>
                <w:lang w:eastAsia="zh-CN"/>
              </w:rPr>
              <w:t>3</w:t>
            </w:r>
            <w:r>
              <w:rPr>
                <w:rFonts w:hint="eastAsia"/>
                <w:sz w:val="21"/>
                <w:szCs w:val="21"/>
                <w:lang w:eastAsia="zh-CN"/>
              </w:rPr>
              <w:t>/h</w:t>
            </w:r>
          </w:p>
        </w:tc>
        <w:tc>
          <w:tcPr>
            <w:tcW w:w="2208" w:type="dxa"/>
            <w:vAlign w:val="center"/>
          </w:tcPr>
          <w:p w14:paraId="1F98B290">
            <w:pPr>
              <w:widowControl/>
              <w:adjustRightInd w:val="0"/>
              <w:snapToGrid w:val="0"/>
              <w:spacing w:line="240" w:lineRule="auto"/>
              <w:ind w:firstLine="0" w:firstLineChars="0"/>
              <w:jc w:val="center"/>
              <w:rPr>
                <w:sz w:val="21"/>
                <w:szCs w:val="21"/>
                <w:lang w:eastAsia="zh-CN"/>
              </w:rPr>
            </w:pPr>
            <w:r>
              <w:rPr>
                <w:rFonts w:hint="eastAsia"/>
                <w:sz w:val="21"/>
                <w:szCs w:val="21"/>
                <w:lang w:eastAsia="zh-CN"/>
              </w:rPr>
              <w:t>0.5</w:t>
            </w:r>
          </w:p>
        </w:tc>
      </w:tr>
    </w:tbl>
    <w:p w14:paraId="207869D7">
      <w:pPr>
        <w:pStyle w:val="4"/>
        <w:rPr>
          <w:lang w:eastAsia="zh-CN"/>
        </w:rPr>
      </w:pPr>
      <w:bookmarkStart w:id="197" w:name="_Toc408413942"/>
      <w:r>
        <w:rPr>
          <w:lang w:eastAsia="zh-CN"/>
        </w:rPr>
        <w:t>3.4.</w:t>
      </w:r>
      <w:r>
        <w:rPr>
          <w:rFonts w:hint="eastAsia"/>
          <w:lang w:eastAsia="zh-CN"/>
        </w:rPr>
        <w:t>5伴生气处理流程</w:t>
      </w:r>
      <w:bookmarkEnd w:id="197"/>
    </w:p>
    <w:p w14:paraId="3C96D944">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1、伴生气处理方案</w:t>
      </w:r>
    </w:p>
    <w:p w14:paraId="44CBEE80">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本项目产能达8×10</w:t>
      </w:r>
      <w:r>
        <w:rPr>
          <w:rFonts w:hint="eastAsia" w:asciiTheme="minorEastAsia" w:hAnsiTheme="minorEastAsia" w:eastAsiaTheme="minorEastAsia"/>
          <w:vertAlign w:val="superscript"/>
          <w:lang w:eastAsia="zh-CN"/>
        </w:rPr>
        <w:t>4</w:t>
      </w:r>
      <w:r>
        <w:rPr>
          <w:rFonts w:hint="eastAsia" w:asciiTheme="minorEastAsia" w:hAnsiTheme="minorEastAsia" w:eastAsiaTheme="minorEastAsia"/>
          <w:lang w:eastAsia="zh-CN"/>
        </w:rPr>
        <w:t>m³/d建设后，雅斯联合站内伴生气产量将达到5×10</w:t>
      </w:r>
      <w:r>
        <w:rPr>
          <w:rFonts w:hint="eastAsia" w:asciiTheme="minorEastAsia" w:hAnsiTheme="minorEastAsia" w:eastAsiaTheme="minorEastAsia"/>
          <w:vertAlign w:val="superscript"/>
          <w:lang w:eastAsia="zh-CN"/>
        </w:rPr>
        <w:t>4</w:t>
      </w:r>
      <w:r>
        <w:rPr>
          <w:rFonts w:hint="eastAsia" w:asciiTheme="minorEastAsia" w:hAnsiTheme="minorEastAsia" w:eastAsiaTheme="minorEastAsia"/>
          <w:lang w:eastAsia="zh-CN"/>
        </w:rPr>
        <w:t>m³/d。经过对现有加热炉及燃气机组改造，并新增6台</w:t>
      </w:r>
      <w:r>
        <w:rPr>
          <w:rFonts w:asciiTheme="minorEastAsia" w:hAnsiTheme="minorEastAsia" w:eastAsiaTheme="minorEastAsia"/>
          <w:lang w:eastAsia="zh-CN"/>
        </w:rPr>
        <w:t>400kW</w:t>
      </w:r>
      <w:r>
        <w:rPr>
          <w:rFonts w:hint="eastAsia" w:asciiTheme="minorEastAsia" w:hAnsiTheme="minorEastAsia" w:eastAsiaTheme="minorEastAsia"/>
          <w:lang w:eastAsia="zh-CN"/>
        </w:rPr>
        <w:t>燃气发电机后，雅斯联合站内燃气发电机和加热炉最大用气量将达</w:t>
      </w:r>
      <w:r>
        <w:rPr>
          <w:rFonts w:asciiTheme="minorEastAsia" w:hAnsiTheme="minorEastAsia" w:eastAsiaTheme="minorEastAsia"/>
          <w:lang w:eastAsia="zh-CN"/>
        </w:rPr>
        <w:t>3</w:t>
      </w:r>
      <w:r>
        <w:rPr>
          <w:rFonts w:hint="eastAsia" w:asciiTheme="minorEastAsia" w:hAnsiTheme="minorEastAsia" w:eastAsiaTheme="minorEastAsia"/>
          <w:lang w:eastAsia="zh-CN"/>
        </w:rPr>
        <w:t>×</w:t>
      </w:r>
      <w:r>
        <w:rPr>
          <w:rFonts w:asciiTheme="minorEastAsia" w:hAnsiTheme="minorEastAsia" w:eastAsiaTheme="minorEastAsia"/>
          <w:lang w:eastAsia="zh-CN"/>
        </w:rPr>
        <w:t>10</w:t>
      </w:r>
      <w:r>
        <w:rPr>
          <w:rFonts w:asciiTheme="minorEastAsia" w:hAnsiTheme="minorEastAsia" w:eastAsiaTheme="minorEastAsia"/>
          <w:vertAlign w:val="superscript"/>
          <w:lang w:eastAsia="zh-CN"/>
        </w:rPr>
        <w:t>4</w:t>
      </w:r>
      <w:r>
        <w:rPr>
          <w:rFonts w:asciiTheme="minorEastAsia" w:hAnsiTheme="minorEastAsia" w:eastAsiaTheme="minorEastAsia"/>
          <w:lang w:eastAsia="zh-CN"/>
        </w:rPr>
        <w:t>m</w:t>
      </w:r>
      <w:r>
        <w:rPr>
          <w:rFonts w:hint="eastAsia" w:asciiTheme="minorEastAsia" w:hAnsiTheme="minorEastAsia" w:eastAsiaTheme="minorEastAsia"/>
          <w:lang w:eastAsia="zh-CN"/>
        </w:rPr>
        <w:t>³</w:t>
      </w:r>
      <w:r>
        <w:rPr>
          <w:rFonts w:asciiTheme="minorEastAsia" w:hAnsiTheme="minorEastAsia" w:eastAsiaTheme="minorEastAsia"/>
          <w:lang w:eastAsia="zh-CN"/>
        </w:rPr>
        <w:t>/d</w:t>
      </w:r>
      <w:r>
        <w:rPr>
          <w:rFonts w:hint="eastAsia" w:asciiTheme="minorEastAsia" w:hAnsiTheme="minorEastAsia" w:eastAsiaTheme="minorEastAsia"/>
          <w:lang w:eastAsia="zh-CN"/>
        </w:rPr>
        <w:t>。富裕天然气压缩为</w:t>
      </w:r>
      <w:r>
        <w:rPr>
          <w:rFonts w:asciiTheme="minorEastAsia" w:hAnsiTheme="minorEastAsia" w:eastAsiaTheme="minorEastAsia"/>
          <w:lang w:eastAsia="zh-CN"/>
        </w:rPr>
        <w:t>CNG</w:t>
      </w:r>
      <w:r>
        <w:rPr>
          <w:rFonts w:hint="eastAsia" w:asciiTheme="minorEastAsia" w:hAnsiTheme="minorEastAsia" w:eastAsiaTheme="minorEastAsia"/>
          <w:lang w:eastAsia="zh-CN"/>
        </w:rPr>
        <w:t>后拉运至东乌旗加气站进行出售。</w:t>
      </w:r>
    </w:p>
    <w:p w14:paraId="3347D169">
      <w:pPr>
        <w:ind w:firstLine="480"/>
        <w:outlineLvl w:val="0"/>
        <w:rPr>
          <w:rFonts w:asciiTheme="minorEastAsia" w:hAnsiTheme="minorEastAsia" w:eastAsiaTheme="minorEastAsia"/>
          <w:lang w:eastAsia="zh-CN"/>
        </w:rPr>
      </w:pPr>
      <w:r>
        <w:rPr>
          <w:rFonts w:hint="eastAsia" w:asciiTheme="minorEastAsia" w:hAnsiTheme="minorEastAsia" w:eastAsiaTheme="minorEastAsia"/>
          <w:lang w:eastAsia="zh-CN"/>
        </w:rPr>
        <w:t>2、伴生气参数</w:t>
      </w:r>
    </w:p>
    <w:p w14:paraId="17EEA4CF">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对太27断块太27井和太53断块太</w:t>
      </w:r>
      <w:r>
        <w:rPr>
          <w:rFonts w:asciiTheme="minorEastAsia" w:hAnsiTheme="minorEastAsia" w:eastAsiaTheme="minorEastAsia"/>
          <w:lang w:eastAsia="zh-CN"/>
        </w:rPr>
        <w:t>53-4</w:t>
      </w:r>
      <w:r>
        <w:rPr>
          <w:rFonts w:hint="eastAsia" w:asciiTheme="minorEastAsia" w:hAnsiTheme="minorEastAsia" w:eastAsiaTheme="minorEastAsia"/>
          <w:lang w:eastAsia="zh-CN"/>
        </w:rPr>
        <w:t>井伴生气取样分析，得到其组成并进行平均，伴生气组分见表3.4</w:t>
      </w:r>
      <w:r>
        <w:rPr>
          <w:rFonts w:asciiTheme="minorEastAsia" w:hAnsiTheme="minorEastAsia" w:eastAsiaTheme="minorEastAsia"/>
          <w:lang w:eastAsia="zh-CN"/>
        </w:rPr>
        <w:t>-</w:t>
      </w:r>
      <w:r>
        <w:rPr>
          <w:rFonts w:hint="eastAsia" w:asciiTheme="minorEastAsia" w:hAnsiTheme="minorEastAsia" w:eastAsiaTheme="minorEastAsia"/>
          <w:lang w:eastAsia="zh-CN"/>
        </w:rPr>
        <w:t>2。</w:t>
      </w:r>
    </w:p>
    <w:p w14:paraId="798BFF8C">
      <w:pPr>
        <w:snapToGrid w:val="0"/>
        <w:spacing w:line="240" w:lineRule="auto"/>
        <w:ind w:firstLine="713" w:firstLineChars="296"/>
        <w:rPr>
          <w:b/>
          <w:lang w:eastAsia="zh-CN"/>
        </w:rPr>
      </w:pPr>
      <w:r>
        <w:rPr>
          <w:rFonts w:hint="eastAsia" w:ascii="宋体" w:hAnsi="宋体"/>
          <w:b/>
          <w:lang w:eastAsia="zh-CN"/>
        </w:rPr>
        <w:t>表</w:t>
      </w:r>
      <w:r>
        <w:rPr>
          <w:rFonts w:hint="eastAsia"/>
          <w:b/>
          <w:lang w:eastAsia="zh-CN"/>
        </w:rPr>
        <w:t>3.4</w:t>
      </w:r>
      <w:r>
        <w:rPr>
          <w:b/>
          <w:lang w:eastAsia="zh-CN"/>
        </w:rPr>
        <w:t>-</w:t>
      </w:r>
      <w:r>
        <w:rPr>
          <w:rFonts w:hint="eastAsia" w:ascii="宋体" w:hAnsi="宋体"/>
          <w:b/>
          <w:lang w:eastAsia="zh-CN"/>
        </w:rPr>
        <w:t>2       乌里雅斯太油田伴生气平均组分</w:t>
      </w:r>
    </w:p>
    <w:tbl>
      <w:tblPr>
        <w:tblStyle w:val="76"/>
        <w:tblW w:w="832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76"/>
        <w:gridCol w:w="1276"/>
        <w:gridCol w:w="1417"/>
        <w:gridCol w:w="1559"/>
        <w:gridCol w:w="1291"/>
        <w:gridCol w:w="1506"/>
      </w:tblGrid>
      <w:tr w14:paraId="7341C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exact"/>
          <w:tblHeader/>
          <w:jc w:val="center"/>
        </w:trPr>
        <w:tc>
          <w:tcPr>
            <w:tcW w:w="1276" w:type="dxa"/>
            <w:tcBorders>
              <w:top w:val="single" w:color="auto" w:sz="12" w:space="0"/>
              <w:left w:val="single" w:color="auto" w:sz="12" w:space="0"/>
              <w:bottom w:val="single" w:color="000000" w:sz="6" w:space="0"/>
              <w:right w:val="single" w:color="000000" w:sz="6" w:space="0"/>
            </w:tcBorders>
            <w:vAlign w:val="center"/>
          </w:tcPr>
          <w:p w14:paraId="154071F2">
            <w:pPr>
              <w:pStyle w:val="573"/>
              <w:rPr>
                <w:rFonts w:hint="default" w:asciiTheme="minorEastAsia" w:hAnsiTheme="minorEastAsia" w:eastAsiaTheme="minorEastAsia"/>
                <w:szCs w:val="21"/>
              </w:rPr>
            </w:pPr>
            <w:r>
              <w:rPr>
                <w:rFonts w:asciiTheme="minorEastAsia" w:hAnsiTheme="minorEastAsia" w:eastAsiaTheme="minorEastAsia"/>
                <w:szCs w:val="21"/>
              </w:rPr>
              <w:t>组</w:t>
            </w:r>
            <w:r>
              <w:rPr>
                <w:rFonts w:hint="default" w:asciiTheme="minorEastAsia" w:hAnsiTheme="minorEastAsia" w:eastAsiaTheme="minorEastAsia"/>
                <w:szCs w:val="21"/>
              </w:rPr>
              <w:t xml:space="preserve">  </w:t>
            </w:r>
            <w:r>
              <w:rPr>
                <w:rFonts w:asciiTheme="minorEastAsia" w:hAnsiTheme="minorEastAsia" w:eastAsiaTheme="minorEastAsia"/>
                <w:szCs w:val="21"/>
              </w:rPr>
              <w:t>分</w:t>
            </w:r>
          </w:p>
        </w:tc>
        <w:tc>
          <w:tcPr>
            <w:tcW w:w="1276" w:type="dxa"/>
            <w:tcBorders>
              <w:top w:val="single" w:color="auto" w:sz="12" w:space="0"/>
              <w:left w:val="single" w:color="000000" w:sz="6" w:space="0"/>
              <w:bottom w:val="single" w:color="000000" w:sz="6" w:space="0"/>
              <w:right w:val="single" w:color="000000" w:sz="6" w:space="0"/>
            </w:tcBorders>
            <w:vAlign w:val="center"/>
          </w:tcPr>
          <w:p w14:paraId="7C33D800">
            <w:pPr>
              <w:pStyle w:val="573"/>
              <w:rPr>
                <w:rFonts w:hint="default" w:asciiTheme="minorEastAsia" w:hAnsiTheme="minorEastAsia" w:eastAsiaTheme="minorEastAsia"/>
                <w:szCs w:val="21"/>
              </w:rPr>
            </w:pPr>
            <w:r>
              <w:rPr>
                <w:rFonts w:hint="default" w:asciiTheme="minorEastAsia" w:hAnsiTheme="minorEastAsia" w:eastAsiaTheme="minorEastAsia"/>
                <w:szCs w:val="21"/>
              </w:rPr>
              <w:t>C</w:t>
            </w:r>
            <w:r>
              <w:rPr>
                <w:rFonts w:hint="default" w:asciiTheme="minorEastAsia" w:hAnsiTheme="minorEastAsia" w:eastAsiaTheme="minorEastAsia"/>
                <w:szCs w:val="21"/>
                <w:vertAlign w:val="subscript"/>
              </w:rPr>
              <w:t>1</w:t>
            </w:r>
          </w:p>
        </w:tc>
        <w:tc>
          <w:tcPr>
            <w:tcW w:w="1417" w:type="dxa"/>
            <w:tcBorders>
              <w:top w:val="single" w:color="auto" w:sz="12" w:space="0"/>
              <w:left w:val="single" w:color="000000" w:sz="6" w:space="0"/>
              <w:bottom w:val="single" w:color="000000" w:sz="6" w:space="0"/>
              <w:right w:val="single" w:color="000000" w:sz="6" w:space="0"/>
            </w:tcBorders>
            <w:vAlign w:val="center"/>
          </w:tcPr>
          <w:p w14:paraId="6C123EF6">
            <w:pPr>
              <w:pStyle w:val="573"/>
              <w:rPr>
                <w:rFonts w:hint="default" w:asciiTheme="minorEastAsia" w:hAnsiTheme="minorEastAsia" w:eastAsiaTheme="minorEastAsia"/>
                <w:szCs w:val="21"/>
              </w:rPr>
            </w:pPr>
            <w:r>
              <w:rPr>
                <w:rFonts w:hint="default" w:asciiTheme="minorEastAsia" w:hAnsiTheme="minorEastAsia" w:eastAsiaTheme="minorEastAsia"/>
                <w:szCs w:val="21"/>
              </w:rPr>
              <w:t>C</w:t>
            </w:r>
            <w:r>
              <w:rPr>
                <w:rFonts w:hint="default" w:asciiTheme="minorEastAsia" w:hAnsiTheme="minorEastAsia" w:eastAsiaTheme="minorEastAsia"/>
                <w:szCs w:val="21"/>
                <w:vertAlign w:val="subscript"/>
              </w:rPr>
              <w:t>2</w:t>
            </w:r>
          </w:p>
        </w:tc>
        <w:tc>
          <w:tcPr>
            <w:tcW w:w="1559" w:type="dxa"/>
            <w:tcBorders>
              <w:top w:val="single" w:color="auto" w:sz="12" w:space="0"/>
              <w:left w:val="single" w:color="000000" w:sz="6" w:space="0"/>
              <w:bottom w:val="single" w:color="000000" w:sz="6" w:space="0"/>
              <w:right w:val="single" w:color="000000" w:sz="6" w:space="0"/>
            </w:tcBorders>
            <w:vAlign w:val="center"/>
          </w:tcPr>
          <w:p w14:paraId="1D8D00E1">
            <w:pPr>
              <w:pStyle w:val="573"/>
              <w:rPr>
                <w:rFonts w:hint="default" w:asciiTheme="minorEastAsia" w:hAnsiTheme="minorEastAsia" w:eastAsiaTheme="minorEastAsia"/>
                <w:szCs w:val="21"/>
              </w:rPr>
            </w:pPr>
            <w:r>
              <w:rPr>
                <w:rFonts w:hint="default" w:asciiTheme="minorEastAsia" w:hAnsiTheme="minorEastAsia" w:eastAsiaTheme="minorEastAsia"/>
                <w:szCs w:val="21"/>
              </w:rPr>
              <w:t>C</w:t>
            </w:r>
            <w:r>
              <w:rPr>
                <w:rFonts w:hint="default" w:asciiTheme="minorEastAsia" w:hAnsiTheme="minorEastAsia" w:eastAsiaTheme="minorEastAsia"/>
                <w:szCs w:val="21"/>
                <w:vertAlign w:val="subscript"/>
              </w:rPr>
              <w:t>3</w:t>
            </w:r>
          </w:p>
        </w:tc>
        <w:tc>
          <w:tcPr>
            <w:tcW w:w="1291" w:type="dxa"/>
            <w:tcBorders>
              <w:top w:val="single" w:color="auto" w:sz="12" w:space="0"/>
              <w:left w:val="single" w:color="000000" w:sz="6" w:space="0"/>
              <w:bottom w:val="single" w:color="000000" w:sz="6" w:space="0"/>
              <w:right w:val="single" w:color="000000" w:sz="6" w:space="0"/>
            </w:tcBorders>
            <w:vAlign w:val="center"/>
          </w:tcPr>
          <w:p w14:paraId="01795838">
            <w:pPr>
              <w:pStyle w:val="573"/>
              <w:rPr>
                <w:rFonts w:hint="default" w:asciiTheme="minorEastAsia" w:hAnsiTheme="minorEastAsia" w:eastAsiaTheme="minorEastAsia"/>
                <w:szCs w:val="21"/>
              </w:rPr>
            </w:pPr>
            <w:r>
              <w:rPr>
                <w:rFonts w:hint="default" w:asciiTheme="minorEastAsia" w:hAnsiTheme="minorEastAsia" w:eastAsiaTheme="minorEastAsia"/>
                <w:szCs w:val="21"/>
              </w:rPr>
              <w:t>iC</w:t>
            </w:r>
            <w:r>
              <w:rPr>
                <w:rFonts w:hint="default" w:asciiTheme="minorEastAsia" w:hAnsiTheme="minorEastAsia" w:eastAsiaTheme="minorEastAsia"/>
                <w:szCs w:val="21"/>
                <w:vertAlign w:val="subscript"/>
              </w:rPr>
              <w:t>4</w:t>
            </w:r>
          </w:p>
        </w:tc>
        <w:tc>
          <w:tcPr>
            <w:tcW w:w="1506" w:type="dxa"/>
            <w:tcBorders>
              <w:top w:val="single" w:color="auto" w:sz="12" w:space="0"/>
              <w:left w:val="single" w:color="000000" w:sz="6" w:space="0"/>
              <w:bottom w:val="single" w:color="000000" w:sz="6" w:space="0"/>
              <w:right w:val="single" w:color="auto" w:sz="12" w:space="0"/>
            </w:tcBorders>
            <w:vAlign w:val="center"/>
          </w:tcPr>
          <w:p w14:paraId="44142774">
            <w:pPr>
              <w:pStyle w:val="573"/>
              <w:rPr>
                <w:rFonts w:hint="default" w:asciiTheme="minorEastAsia" w:hAnsiTheme="minorEastAsia" w:eastAsiaTheme="minorEastAsia"/>
                <w:szCs w:val="21"/>
              </w:rPr>
            </w:pPr>
            <w:r>
              <w:rPr>
                <w:rFonts w:hint="default" w:asciiTheme="minorEastAsia" w:hAnsiTheme="minorEastAsia" w:eastAsiaTheme="minorEastAsia"/>
                <w:szCs w:val="21"/>
              </w:rPr>
              <w:t>nC</w:t>
            </w:r>
            <w:r>
              <w:rPr>
                <w:rFonts w:hint="default" w:asciiTheme="minorEastAsia" w:hAnsiTheme="minorEastAsia" w:eastAsiaTheme="minorEastAsia"/>
                <w:szCs w:val="21"/>
                <w:vertAlign w:val="subscript"/>
              </w:rPr>
              <w:t>4</w:t>
            </w:r>
          </w:p>
        </w:tc>
      </w:tr>
      <w:tr w14:paraId="659B76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exact"/>
          <w:jc w:val="center"/>
        </w:trPr>
        <w:tc>
          <w:tcPr>
            <w:tcW w:w="1276" w:type="dxa"/>
            <w:tcBorders>
              <w:top w:val="single" w:color="000000" w:sz="6" w:space="0"/>
              <w:left w:val="single" w:color="auto" w:sz="12" w:space="0"/>
              <w:bottom w:val="single" w:color="000000" w:sz="6" w:space="0"/>
              <w:right w:val="single" w:color="000000" w:sz="6" w:space="0"/>
            </w:tcBorders>
            <w:vAlign w:val="center"/>
          </w:tcPr>
          <w:p w14:paraId="73C1C9D2">
            <w:pPr>
              <w:pStyle w:val="573"/>
              <w:rPr>
                <w:rFonts w:hint="default" w:asciiTheme="minorEastAsia" w:hAnsiTheme="minorEastAsia" w:eastAsiaTheme="minorEastAsia"/>
                <w:szCs w:val="21"/>
              </w:rPr>
            </w:pPr>
            <w:r>
              <w:rPr>
                <w:rFonts w:hint="default" w:asciiTheme="minorEastAsia" w:hAnsiTheme="minorEastAsia" w:eastAsiaTheme="minorEastAsia"/>
                <w:szCs w:val="21"/>
              </w:rPr>
              <w:t>Mol%</w:t>
            </w:r>
          </w:p>
        </w:tc>
        <w:tc>
          <w:tcPr>
            <w:tcW w:w="1276" w:type="dxa"/>
            <w:tcBorders>
              <w:top w:val="single" w:color="000000" w:sz="6" w:space="0"/>
              <w:left w:val="single" w:color="000000" w:sz="6" w:space="0"/>
              <w:bottom w:val="single" w:color="000000" w:sz="6" w:space="0"/>
              <w:right w:val="single" w:color="000000" w:sz="6" w:space="0"/>
            </w:tcBorders>
            <w:vAlign w:val="center"/>
          </w:tcPr>
          <w:p w14:paraId="538EC18A">
            <w:pPr>
              <w:pStyle w:val="573"/>
              <w:rPr>
                <w:rFonts w:hint="default" w:asciiTheme="minorEastAsia" w:hAnsiTheme="minorEastAsia" w:eastAsiaTheme="minorEastAsia"/>
                <w:szCs w:val="21"/>
              </w:rPr>
            </w:pPr>
            <w:r>
              <w:rPr>
                <w:rFonts w:hint="default" w:asciiTheme="minorEastAsia" w:hAnsiTheme="minorEastAsia" w:eastAsiaTheme="minorEastAsia"/>
                <w:szCs w:val="21"/>
              </w:rPr>
              <w:t>8</w:t>
            </w:r>
            <w:r>
              <w:rPr>
                <w:rFonts w:asciiTheme="minorEastAsia" w:hAnsiTheme="minorEastAsia" w:eastAsiaTheme="minorEastAsia"/>
                <w:szCs w:val="21"/>
              </w:rPr>
              <w:t>0</w:t>
            </w:r>
            <w:r>
              <w:rPr>
                <w:rFonts w:hint="default" w:asciiTheme="minorEastAsia" w:hAnsiTheme="minorEastAsia" w:eastAsiaTheme="minorEastAsia"/>
                <w:szCs w:val="21"/>
              </w:rPr>
              <w:t>.</w:t>
            </w:r>
            <w:r>
              <w:rPr>
                <w:rFonts w:asciiTheme="minorEastAsia" w:hAnsiTheme="minorEastAsia" w:eastAsiaTheme="minorEastAsia"/>
                <w:szCs w:val="21"/>
              </w:rPr>
              <w:t>07</w:t>
            </w:r>
          </w:p>
        </w:tc>
        <w:tc>
          <w:tcPr>
            <w:tcW w:w="1417" w:type="dxa"/>
            <w:tcBorders>
              <w:top w:val="single" w:color="000000" w:sz="6" w:space="0"/>
              <w:left w:val="single" w:color="000000" w:sz="6" w:space="0"/>
              <w:bottom w:val="single" w:color="000000" w:sz="6" w:space="0"/>
              <w:right w:val="single" w:color="000000" w:sz="6" w:space="0"/>
            </w:tcBorders>
            <w:vAlign w:val="center"/>
          </w:tcPr>
          <w:p w14:paraId="16ADBD56">
            <w:pPr>
              <w:pStyle w:val="573"/>
              <w:rPr>
                <w:rFonts w:hint="default" w:asciiTheme="minorEastAsia" w:hAnsiTheme="minorEastAsia" w:eastAsiaTheme="minorEastAsia"/>
                <w:szCs w:val="21"/>
              </w:rPr>
            </w:pPr>
            <w:r>
              <w:rPr>
                <w:rFonts w:asciiTheme="minorEastAsia" w:hAnsiTheme="minorEastAsia" w:eastAsiaTheme="minorEastAsia"/>
                <w:szCs w:val="21"/>
              </w:rPr>
              <w:t>7.985</w:t>
            </w:r>
          </w:p>
        </w:tc>
        <w:tc>
          <w:tcPr>
            <w:tcW w:w="1559" w:type="dxa"/>
            <w:tcBorders>
              <w:top w:val="single" w:color="000000" w:sz="6" w:space="0"/>
              <w:left w:val="single" w:color="000000" w:sz="6" w:space="0"/>
              <w:bottom w:val="single" w:color="000000" w:sz="6" w:space="0"/>
              <w:right w:val="single" w:color="000000" w:sz="6" w:space="0"/>
            </w:tcBorders>
            <w:vAlign w:val="center"/>
          </w:tcPr>
          <w:p w14:paraId="545E41B7">
            <w:pPr>
              <w:pStyle w:val="573"/>
              <w:rPr>
                <w:rFonts w:hint="default" w:asciiTheme="minorEastAsia" w:hAnsiTheme="minorEastAsia" w:eastAsiaTheme="minorEastAsia"/>
                <w:szCs w:val="21"/>
              </w:rPr>
            </w:pPr>
            <w:r>
              <w:rPr>
                <w:rFonts w:asciiTheme="minorEastAsia" w:hAnsiTheme="minorEastAsia" w:eastAsiaTheme="minorEastAsia"/>
                <w:szCs w:val="21"/>
              </w:rPr>
              <w:t>6.670</w:t>
            </w:r>
          </w:p>
        </w:tc>
        <w:tc>
          <w:tcPr>
            <w:tcW w:w="1291" w:type="dxa"/>
            <w:tcBorders>
              <w:top w:val="single" w:color="000000" w:sz="6" w:space="0"/>
              <w:left w:val="single" w:color="000000" w:sz="6" w:space="0"/>
              <w:bottom w:val="single" w:color="000000" w:sz="6" w:space="0"/>
              <w:right w:val="single" w:color="000000" w:sz="6" w:space="0"/>
            </w:tcBorders>
            <w:vAlign w:val="center"/>
          </w:tcPr>
          <w:p w14:paraId="65C44939">
            <w:pPr>
              <w:pStyle w:val="573"/>
              <w:rPr>
                <w:rFonts w:hint="default" w:asciiTheme="minorEastAsia" w:hAnsiTheme="minorEastAsia" w:eastAsiaTheme="minorEastAsia"/>
                <w:szCs w:val="21"/>
              </w:rPr>
            </w:pPr>
            <w:r>
              <w:rPr>
                <w:rFonts w:asciiTheme="minorEastAsia" w:hAnsiTheme="minorEastAsia" w:eastAsiaTheme="minorEastAsia"/>
                <w:szCs w:val="21"/>
              </w:rPr>
              <w:t>0.060</w:t>
            </w:r>
          </w:p>
        </w:tc>
        <w:tc>
          <w:tcPr>
            <w:tcW w:w="1506" w:type="dxa"/>
            <w:tcBorders>
              <w:top w:val="single" w:color="000000" w:sz="6" w:space="0"/>
              <w:left w:val="single" w:color="000000" w:sz="6" w:space="0"/>
              <w:bottom w:val="single" w:color="000000" w:sz="6" w:space="0"/>
              <w:right w:val="single" w:color="auto" w:sz="12" w:space="0"/>
            </w:tcBorders>
            <w:vAlign w:val="center"/>
          </w:tcPr>
          <w:p w14:paraId="12A2038F">
            <w:pPr>
              <w:pStyle w:val="573"/>
              <w:rPr>
                <w:rFonts w:hint="default" w:asciiTheme="minorEastAsia" w:hAnsiTheme="minorEastAsia" w:eastAsiaTheme="minorEastAsia"/>
                <w:szCs w:val="21"/>
              </w:rPr>
            </w:pPr>
            <w:r>
              <w:rPr>
                <w:rFonts w:asciiTheme="minorEastAsia" w:hAnsiTheme="minorEastAsia" w:eastAsiaTheme="minorEastAsia"/>
                <w:szCs w:val="21"/>
              </w:rPr>
              <w:t>1.271</w:t>
            </w:r>
          </w:p>
        </w:tc>
      </w:tr>
      <w:tr w14:paraId="367CE8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exact"/>
          <w:jc w:val="center"/>
        </w:trPr>
        <w:tc>
          <w:tcPr>
            <w:tcW w:w="1276" w:type="dxa"/>
            <w:tcBorders>
              <w:top w:val="single" w:color="000000" w:sz="6" w:space="0"/>
              <w:left w:val="single" w:color="auto" w:sz="12" w:space="0"/>
              <w:bottom w:val="single" w:color="000000" w:sz="6" w:space="0"/>
              <w:right w:val="single" w:color="000000" w:sz="6" w:space="0"/>
            </w:tcBorders>
            <w:vAlign w:val="center"/>
          </w:tcPr>
          <w:p w14:paraId="2DB612EA">
            <w:pPr>
              <w:pStyle w:val="573"/>
              <w:rPr>
                <w:rFonts w:hint="default" w:asciiTheme="minorEastAsia" w:hAnsiTheme="minorEastAsia" w:eastAsiaTheme="minorEastAsia"/>
                <w:szCs w:val="21"/>
              </w:rPr>
            </w:pPr>
            <w:r>
              <w:rPr>
                <w:rFonts w:asciiTheme="minorEastAsia" w:hAnsiTheme="minorEastAsia" w:eastAsiaTheme="minorEastAsia"/>
                <w:szCs w:val="21"/>
              </w:rPr>
              <w:t>组</w:t>
            </w:r>
            <w:r>
              <w:rPr>
                <w:rFonts w:hint="default" w:asciiTheme="minorEastAsia" w:hAnsiTheme="minorEastAsia" w:eastAsiaTheme="minorEastAsia"/>
                <w:szCs w:val="21"/>
              </w:rPr>
              <w:t xml:space="preserve">  </w:t>
            </w:r>
            <w:r>
              <w:rPr>
                <w:rFonts w:asciiTheme="minorEastAsia" w:hAnsiTheme="minorEastAsia" w:eastAsiaTheme="minorEastAsia"/>
                <w:szCs w:val="21"/>
              </w:rPr>
              <w:t>分</w:t>
            </w:r>
          </w:p>
        </w:tc>
        <w:tc>
          <w:tcPr>
            <w:tcW w:w="1276" w:type="dxa"/>
            <w:tcBorders>
              <w:top w:val="single" w:color="000000" w:sz="6" w:space="0"/>
              <w:left w:val="single" w:color="000000" w:sz="6" w:space="0"/>
              <w:bottom w:val="single" w:color="000000" w:sz="6" w:space="0"/>
              <w:right w:val="single" w:color="000000" w:sz="6" w:space="0"/>
            </w:tcBorders>
            <w:vAlign w:val="center"/>
          </w:tcPr>
          <w:p w14:paraId="27E4F9BA">
            <w:pPr>
              <w:pStyle w:val="573"/>
              <w:rPr>
                <w:rFonts w:hint="default" w:asciiTheme="minorEastAsia" w:hAnsiTheme="minorEastAsia" w:eastAsiaTheme="minorEastAsia"/>
                <w:szCs w:val="21"/>
              </w:rPr>
            </w:pPr>
            <w:r>
              <w:rPr>
                <w:rFonts w:hint="default" w:asciiTheme="minorEastAsia" w:hAnsiTheme="minorEastAsia" w:eastAsiaTheme="minorEastAsia"/>
                <w:szCs w:val="21"/>
              </w:rPr>
              <w:t>nC</w:t>
            </w:r>
            <w:r>
              <w:rPr>
                <w:rFonts w:hint="default" w:asciiTheme="minorEastAsia" w:hAnsiTheme="minorEastAsia" w:eastAsiaTheme="minorEastAsia"/>
                <w:szCs w:val="21"/>
                <w:vertAlign w:val="subscript"/>
              </w:rPr>
              <w:t>5</w:t>
            </w:r>
          </w:p>
        </w:tc>
        <w:tc>
          <w:tcPr>
            <w:tcW w:w="1417" w:type="dxa"/>
            <w:tcBorders>
              <w:top w:val="single" w:color="000000" w:sz="6" w:space="0"/>
              <w:left w:val="single" w:color="000000" w:sz="6" w:space="0"/>
              <w:bottom w:val="single" w:color="000000" w:sz="6" w:space="0"/>
              <w:right w:val="single" w:color="000000" w:sz="6" w:space="0"/>
            </w:tcBorders>
            <w:vAlign w:val="center"/>
          </w:tcPr>
          <w:p w14:paraId="7672E952">
            <w:pPr>
              <w:pStyle w:val="573"/>
              <w:rPr>
                <w:rFonts w:hint="default" w:asciiTheme="minorEastAsia" w:hAnsiTheme="minorEastAsia" w:eastAsiaTheme="minorEastAsia"/>
                <w:szCs w:val="21"/>
              </w:rPr>
            </w:pPr>
            <w:r>
              <w:rPr>
                <w:rFonts w:hint="default" w:asciiTheme="minorEastAsia" w:hAnsiTheme="minorEastAsia" w:eastAsiaTheme="minorEastAsia"/>
                <w:szCs w:val="21"/>
              </w:rPr>
              <w:t>iC</w:t>
            </w:r>
            <w:r>
              <w:rPr>
                <w:rFonts w:hint="default" w:asciiTheme="minorEastAsia" w:hAnsiTheme="minorEastAsia" w:eastAsiaTheme="minorEastAsia"/>
                <w:szCs w:val="21"/>
                <w:vertAlign w:val="subscript"/>
              </w:rPr>
              <w:t>5</w:t>
            </w:r>
          </w:p>
        </w:tc>
        <w:tc>
          <w:tcPr>
            <w:tcW w:w="1559" w:type="dxa"/>
            <w:tcBorders>
              <w:top w:val="single" w:color="000000" w:sz="6" w:space="0"/>
              <w:left w:val="single" w:color="000000" w:sz="6" w:space="0"/>
              <w:bottom w:val="single" w:color="000000" w:sz="6" w:space="0"/>
              <w:right w:val="single" w:color="000000" w:sz="6" w:space="0"/>
            </w:tcBorders>
            <w:vAlign w:val="center"/>
          </w:tcPr>
          <w:p w14:paraId="188FC303">
            <w:pPr>
              <w:pStyle w:val="573"/>
              <w:rPr>
                <w:rFonts w:hint="default" w:asciiTheme="minorEastAsia" w:hAnsiTheme="minorEastAsia" w:eastAsiaTheme="minorEastAsia"/>
                <w:szCs w:val="21"/>
              </w:rPr>
            </w:pPr>
            <w:r>
              <w:rPr>
                <w:rFonts w:hint="default" w:asciiTheme="minorEastAsia" w:hAnsiTheme="minorEastAsia" w:eastAsiaTheme="minorEastAsia"/>
                <w:szCs w:val="21"/>
              </w:rPr>
              <w:t>C</w:t>
            </w:r>
            <w:r>
              <w:rPr>
                <w:rFonts w:hint="default" w:asciiTheme="minorEastAsia" w:hAnsiTheme="minorEastAsia" w:eastAsiaTheme="minorEastAsia"/>
                <w:szCs w:val="21"/>
                <w:vertAlign w:val="subscript"/>
              </w:rPr>
              <w:t>6</w:t>
            </w:r>
          </w:p>
        </w:tc>
        <w:tc>
          <w:tcPr>
            <w:tcW w:w="1291" w:type="dxa"/>
            <w:tcBorders>
              <w:top w:val="single" w:color="000000" w:sz="6" w:space="0"/>
              <w:left w:val="single" w:color="000000" w:sz="6" w:space="0"/>
              <w:bottom w:val="single" w:color="000000" w:sz="6" w:space="0"/>
              <w:right w:val="single" w:color="000000" w:sz="6" w:space="0"/>
            </w:tcBorders>
            <w:vAlign w:val="center"/>
          </w:tcPr>
          <w:p w14:paraId="146E515E">
            <w:pPr>
              <w:pStyle w:val="573"/>
              <w:rPr>
                <w:rFonts w:hint="default" w:asciiTheme="minorEastAsia" w:hAnsiTheme="minorEastAsia" w:eastAsiaTheme="minorEastAsia"/>
                <w:szCs w:val="21"/>
              </w:rPr>
            </w:pPr>
            <w:r>
              <w:rPr>
                <w:rFonts w:hint="default" w:asciiTheme="minorEastAsia" w:hAnsiTheme="minorEastAsia" w:eastAsiaTheme="minorEastAsia"/>
                <w:szCs w:val="21"/>
              </w:rPr>
              <w:t>C</w:t>
            </w:r>
            <w:r>
              <w:rPr>
                <w:rFonts w:hint="default" w:asciiTheme="minorEastAsia" w:hAnsiTheme="minorEastAsia" w:eastAsiaTheme="minorEastAsia"/>
                <w:szCs w:val="21"/>
                <w:vertAlign w:val="subscript"/>
              </w:rPr>
              <w:t>7</w:t>
            </w:r>
          </w:p>
        </w:tc>
        <w:tc>
          <w:tcPr>
            <w:tcW w:w="1506" w:type="dxa"/>
            <w:tcBorders>
              <w:top w:val="single" w:color="000000" w:sz="6" w:space="0"/>
              <w:left w:val="single" w:color="000000" w:sz="6" w:space="0"/>
              <w:bottom w:val="single" w:color="000000" w:sz="6" w:space="0"/>
              <w:right w:val="single" w:color="auto" w:sz="12" w:space="0"/>
            </w:tcBorders>
            <w:vAlign w:val="center"/>
          </w:tcPr>
          <w:p w14:paraId="648CCD28">
            <w:pPr>
              <w:pStyle w:val="573"/>
              <w:rPr>
                <w:rFonts w:hint="default" w:asciiTheme="minorEastAsia" w:hAnsiTheme="minorEastAsia" w:eastAsiaTheme="minorEastAsia"/>
                <w:szCs w:val="21"/>
              </w:rPr>
            </w:pPr>
            <w:r>
              <w:rPr>
                <w:rFonts w:hint="default" w:asciiTheme="minorEastAsia" w:hAnsiTheme="minorEastAsia" w:eastAsiaTheme="minorEastAsia"/>
                <w:szCs w:val="21"/>
              </w:rPr>
              <w:t>C</w:t>
            </w:r>
            <w:r>
              <w:rPr>
                <w:rFonts w:hint="default" w:asciiTheme="minorEastAsia" w:hAnsiTheme="minorEastAsia" w:eastAsiaTheme="minorEastAsia"/>
                <w:szCs w:val="21"/>
                <w:vertAlign w:val="subscript"/>
              </w:rPr>
              <w:t>8</w:t>
            </w:r>
          </w:p>
        </w:tc>
      </w:tr>
      <w:tr w14:paraId="1A139A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exact"/>
          <w:jc w:val="center"/>
        </w:trPr>
        <w:tc>
          <w:tcPr>
            <w:tcW w:w="1276" w:type="dxa"/>
            <w:tcBorders>
              <w:top w:val="single" w:color="000000" w:sz="6" w:space="0"/>
              <w:left w:val="single" w:color="auto" w:sz="12" w:space="0"/>
              <w:bottom w:val="single" w:color="000000" w:sz="6" w:space="0"/>
              <w:right w:val="single" w:color="000000" w:sz="6" w:space="0"/>
            </w:tcBorders>
            <w:vAlign w:val="center"/>
          </w:tcPr>
          <w:p w14:paraId="22AE459C">
            <w:pPr>
              <w:pStyle w:val="573"/>
              <w:rPr>
                <w:rFonts w:hint="default" w:asciiTheme="minorEastAsia" w:hAnsiTheme="minorEastAsia" w:eastAsiaTheme="minorEastAsia"/>
                <w:szCs w:val="21"/>
              </w:rPr>
            </w:pPr>
            <w:r>
              <w:rPr>
                <w:rFonts w:hint="default" w:asciiTheme="minorEastAsia" w:hAnsiTheme="minorEastAsia" w:eastAsiaTheme="minorEastAsia"/>
                <w:szCs w:val="21"/>
              </w:rPr>
              <w:t>Mol%</w:t>
            </w:r>
          </w:p>
        </w:tc>
        <w:tc>
          <w:tcPr>
            <w:tcW w:w="1276" w:type="dxa"/>
            <w:tcBorders>
              <w:top w:val="single" w:color="000000" w:sz="6" w:space="0"/>
              <w:left w:val="single" w:color="000000" w:sz="6" w:space="0"/>
              <w:bottom w:val="single" w:color="000000" w:sz="6" w:space="0"/>
              <w:right w:val="single" w:color="000000" w:sz="6" w:space="0"/>
            </w:tcBorders>
            <w:vAlign w:val="center"/>
          </w:tcPr>
          <w:p w14:paraId="5E893015">
            <w:pPr>
              <w:pStyle w:val="573"/>
              <w:rPr>
                <w:rFonts w:hint="default" w:asciiTheme="minorEastAsia" w:hAnsiTheme="minorEastAsia" w:eastAsiaTheme="minorEastAsia"/>
                <w:szCs w:val="21"/>
              </w:rPr>
            </w:pPr>
            <w:r>
              <w:rPr>
                <w:rFonts w:asciiTheme="minorEastAsia" w:hAnsiTheme="minorEastAsia" w:eastAsiaTheme="minorEastAsia"/>
                <w:szCs w:val="21"/>
              </w:rPr>
              <w:t>0.399</w:t>
            </w:r>
          </w:p>
        </w:tc>
        <w:tc>
          <w:tcPr>
            <w:tcW w:w="1417" w:type="dxa"/>
            <w:tcBorders>
              <w:top w:val="single" w:color="000000" w:sz="6" w:space="0"/>
              <w:left w:val="single" w:color="000000" w:sz="6" w:space="0"/>
              <w:bottom w:val="single" w:color="000000" w:sz="6" w:space="0"/>
              <w:right w:val="single" w:color="000000" w:sz="6" w:space="0"/>
            </w:tcBorders>
            <w:vAlign w:val="center"/>
          </w:tcPr>
          <w:p w14:paraId="41EC8378">
            <w:pPr>
              <w:pStyle w:val="573"/>
              <w:rPr>
                <w:rFonts w:hint="default" w:asciiTheme="minorEastAsia" w:hAnsiTheme="minorEastAsia" w:eastAsiaTheme="minorEastAsia"/>
                <w:szCs w:val="21"/>
              </w:rPr>
            </w:pPr>
            <w:r>
              <w:rPr>
                <w:rFonts w:asciiTheme="minorEastAsia" w:hAnsiTheme="minorEastAsia" w:eastAsiaTheme="minorEastAsia"/>
                <w:szCs w:val="21"/>
              </w:rPr>
              <w:t>0.322</w:t>
            </w:r>
          </w:p>
        </w:tc>
        <w:tc>
          <w:tcPr>
            <w:tcW w:w="1559" w:type="dxa"/>
            <w:tcBorders>
              <w:top w:val="single" w:color="000000" w:sz="6" w:space="0"/>
              <w:left w:val="single" w:color="000000" w:sz="6" w:space="0"/>
              <w:bottom w:val="single" w:color="000000" w:sz="6" w:space="0"/>
              <w:right w:val="single" w:color="000000" w:sz="6" w:space="0"/>
            </w:tcBorders>
            <w:vAlign w:val="center"/>
          </w:tcPr>
          <w:p w14:paraId="58086AE8">
            <w:pPr>
              <w:pStyle w:val="573"/>
              <w:rPr>
                <w:rFonts w:hint="default" w:asciiTheme="minorEastAsia" w:hAnsiTheme="minorEastAsia" w:eastAsiaTheme="minorEastAsia"/>
                <w:szCs w:val="21"/>
              </w:rPr>
            </w:pPr>
            <w:r>
              <w:rPr>
                <w:rFonts w:asciiTheme="minorEastAsia" w:hAnsiTheme="minorEastAsia" w:eastAsiaTheme="minorEastAsia"/>
                <w:szCs w:val="21"/>
              </w:rPr>
              <w:t>0.308</w:t>
            </w:r>
          </w:p>
        </w:tc>
        <w:tc>
          <w:tcPr>
            <w:tcW w:w="1291" w:type="dxa"/>
            <w:tcBorders>
              <w:top w:val="single" w:color="000000" w:sz="6" w:space="0"/>
              <w:left w:val="single" w:color="000000" w:sz="6" w:space="0"/>
              <w:bottom w:val="single" w:color="000000" w:sz="6" w:space="0"/>
              <w:right w:val="single" w:color="000000" w:sz="6" w:space="0"/>
            </w:tcBorders>
            <w:vAlign w:val="center"/>
          </w:tcPr>
          <w:p w14:paraId="285D2BE6">
            <w:pPr>
              <w:pStyle w:val="573"/>
              <w:rPr>
                <w:rFonts w:hint="default" w:asciiTheme="minorEastAsia" w:hAnsiTheme="minorEastAsia" w:eastAsiaTheme="minorEastAsia"/>
                <w:szCs w:val="21"/>
              </w:rPr>
            </w:pPr>
            <w:r>
              <w:rPr>
                <w:rFonts w:asciiTheme="minorEastAsia" w:hAnsiTheme="minorEastAsia" w:eastAsiaTheme="minorEastAsia"/>
                <w:szCs w:val="21"/>
              </w:rPr>
              <w:t>0.191</w:t>
            </w:r>
          </w:p>
        </w:tc>
        <w:tc>
          <w:tcPr>
            <w:tcW w:w="1506" w:type="dxa"/>
            <w:tcBorders>
              <w:top w:val="single" w:color="000000" w:sz="6" w:space="0"/>
              <w:left w:val="single" w:color="000000" w:sz="6" w:space="0"/>
              <w:bottom w:val="single" w:color="000000" w:sz="6" w:space="0"/>
              <w:right w:val="single" w:color="auto" w:sz="12" w:space="0"/>
            </w:tcBorders>
            <w:vAlign w:val="center"/>
          </w:tcPr>
          <w:p w14:paraId="47477F43">
            <w:pPr>
              <w:pStyle w:val="573"/>
              <w:rPr>
                <w:rFonts w:hint="default" w:asciiTheme="minorEastAsia" w:hAnsiTheme="minorEastAsia" w:eastAsiaTheme="minorEastAsia"/>
                <w:szCs w:val="21"/>
              </w:rPr>
            </w:pPr>
            <w:r>
              <w:rPr>
                <w:rFonts w:asciiTheme="minorEastAsia" w:hAnsiTheme="minorEastAsia" w:eastAsiaTheme="minorEastAsia"/>
                <w:szCs w:val="21"/>
              </w:rPr>
              <w:t>0.079</w:t>
            </w:r>
          </w:p>
        </w:tc>
      </w:tr>
      <w:tr w14:paraId="5119C0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0" w:hRule="exact"/>
          <w:jc w:val="center"/>
        </w:trPr>
        <w:tc>
          <w:tcPr>
            <w:tcW w:w="1276" w:type="dxa"/>
            <w:tcBorders>
              <w:top w:val="single" w:color="000000" w:sz="6" w:space="0"/>
              <w:left w:val="single" w:color="auto" w:sz="12" w:space="0"/>
              <w:bottom w:val="single" w:color="000000" w:sz="6" w:space="0"/>
              <w:right w:val="single" w:color="000000" w:sz="6" w:space="0"/>
            </w:tcBorders>
            <w:vAlign w:val="center"/>
          </w:tcPr>
          <w:p w14:paraId="4CDCCA2F">
            <w:pPr>
              <w:pStyle w:val="573"/>
              <w:rPr>
                <w:rFonts w:hint="default" w:asciiTheme="minorEastAsia" w:hAnsiTheme="minorEastAsia" w:eastAsiaTheme="minorEastAsia"/>
                <w:szCs w:val="21"/>
              </w:rPr>
            </w:pPr>
            <w:r>
              <w:rPr>
                <w:rFonts w:asciiTheme="minorEastAsia" w:hAnsiTheme="minorEastAsia" w:eastAsiaTheme="minorEastAsia"/>
                <w:szCs w:val="21"/>
              </w:rPr>
              <w:t>组</w:t>
            </w:r>
            <w:r>
              <w:rPr>
                <w:rFonts w:hint="default" w:asciiTheme="minorEastAsia" w:hAnsiTheme="minorEastAsia" w:eastAsiaTheme="minorEastAsia"/>
                <w:szCs w:val="21"/>
              </w:rPr>
              <w:t xml:space="preserve">  </w:t>
            </w:r>
            <w:r>
              <w:rPr>
                <w:rFonts w:asciiTheme="minorEastAsia" w:hAnsiTheme="minorEastAsia" w:eastAsiaTheme="minorEastAsia"/>
                <w:szCs w:val="21"/>
              </w:rPr>
              <w:t>分</w:t>
            </w:r>
          </w:p>
        </w:tc>
        <w:tc>
          <w:tcPr>
            <w:tcW w:w="1276" w:type="dxa"/>
            <w:tcBorders>
              <w:top w:val="single" w:color="000000" w:sz="6" w:space="0"/>
              <w:left w:val="single" w:color="000000" w:sz="6" w:space="0"/>
              <w:bottom w:val="single" w:color="000000" w:sz="6" w:space="0"/>
              <w:right w:val="single" w:color="000000" w:sz="6" w:space="0"/>
            </w:tcBorders>
            <w:vAlign w:val="center"/>
          </w:tcPr>
          <w:p w14:paraId="3DB4FE40">
            <w:pPr>
              <w:pStyle w:val="573"/>
              <w:rPr>
                <w:rFonts w:hint="default" w:asciiTheme="minorEastAsia" w:hAnsiTheme="minorEastAsia" w:eastAsiaTheme="minorEastAsia"/>
                <w:szCs w:val="21"/>
              </w:rPr>
            </w:pPr>
            <w:r>
              <w:rPr>
                <w:rFonts w:hint="default" w:asciiTheme="minorEastAsia" w:hAnsiTheme="minorEastAsia" w:eastAsiaTheme="minorEastAsia"/>
                <w:szCs w:val="21"/>
              </w:rPr>
              <w:t>C</w:t>
            </w:r>
            <w:r>
              <w:rPr>
                <w:rFonts w:hint="default" w:asciiTheme="minorEastAsia" w:hAnsiTheme="minorEastAsia" w:eastAsiaTheme="minorEastAsia"/>
                <w:szCs w:val="21"/>
                <w:vertAlign w:val="subscript"/>
              </w:rPr>
              <w:t>9</w:t>
            </w:r>
          </w:p>
        </w:tc>
        <w:tc>
          <w:tcPr>
            <w:tcW w:w="1417" w:type="dxa"/>
            <w:tcBorders>
              <w:top w:val="single" w:color="000000" w:sz="6" w:space="0"/>
              <w:left w:val="single" w:color="000000" w:sz="6" w:space="0"/>
              <w:bottom w:val="single" w:color="000000" w:sz="6" w:space="0"/>
              <w:right w:val="single" w:color="000000" w:sz="6" w:space="0"/>
            </w:tcBorders>
            <w:vAlign w:val="center"/>
          </w:tcPr>
          <w:p w14:paraId="16FB8FFC">
            <w:pPr>
              <w:pStyle w:val="573"/>
              <w:rPr>
                <w:rFonts w:hint="default" w:asciiTheme="minorEastAsia" w:hAnsiTheme="minorEastAsia" w:eastAsiaTheme="minorEastAsia"/>
                <w:szCs w:val="21"/>
              </w:rPr>
            </w:pPr>
            <w:r>
              <w:rPr>
                <w:rFonts w:hint="default" w:asciiTheme="minorEastAsia" w:hAnsiTheme="minorEastAsia" w:eastAsiaTheme="minorEastAsia"/>
                <w:szCs w:val="21"/>
              </w:rPr>
              <w:t>C</w:t>
            </w:r>
            <w:r>
              <w:rPr>
                <w:rFonts w:hint="default" w:asciiTheme="minorEastAsia" w:hAnsiTheme="minorEastAsia" w:eastAsiaTheme="minorEastAsia"/>
                <w:szCs w:val="21"/>
                <w:vertAlign w:val="subscript"/>
              </w:rPr>
              <w:t>10</w:t>
            </w:r>
          </w:p>
        </w:tc>
        <w:tc>
          <w:tcPr>
            <w:tcW w:w="1559" w:type="dxa"/>
            <w:tcBorders>
              <w:top w:val="single" w:color="000000" w:sz="6" w:space="0"/>
              <w:left w:val="single" w:color="000000" w:sz="6" w:space="0"/>
              <w:bottom w:val="single" w:color="000000" w:sz="6" w:space="0"/>
              <w:right w:val="single" w:color="000000" w:sz="6" w:space="0"/>
            </w:tcBorders>
            <w:vAlign w:val="center"/>
          </w:tcPr>
          <w:p w14:paraId="79E6F75A">
            <w:pPr>
              <w:pStyle w:val="573"/>
              <w:rPr>
                <w:rFonts w:hint="default" w:asciiTheme="minorEastAsia" w:hAnsiTheme="minorEastAsia" w:eastAsiaTheme="minorEastAsia"/>
                <w:szCs w:val="21"/>
              </w:rPr>
            </w:pPr>
            <w:r>
              <w:rPr>
                <w:rFonts w:hint="default" w:asciiTheme="minorEastAsia" w:hAnsiTheme="minorEastAsia" w:eastAsiaTheme="minorEastAsia"/>
                <w:szCs w:val="21"/>
              </w:rPr>
              <w:t>C</w:t>
            </w:r>
            <w:r>
              <w:rPr>
                <w:rFonts w:hint="default" w:asciiTheme="minorEastAsia" w:hAnsiTheme="minorEastAsia" w:eastAsiaTheme="minorEastAsia"/>
                <w:szCs w:val="21"/>
                <w:vertAlign w:val="subscript"/>
              </w:rPr>
              <w:t>11</w:t>
            </w:r>
          </w:p>
        </w:tc>
        <w:tc>
          <w:tcPr>
            <w:tcW w:w="1291" w:type="dxa"/>
            <w:tcBorders>
              <w:top w:val="single" w:color="000000" w:sz="6" w:space="0"/>
              <w:left w:val="single" w:color="000000" w:sz="6" w:space="0"/>
              <w:bottom w:val="single" w:color="000000" w:sz="6" w:space="0"/>
              <w:right w:val="single" w:color="000000" w:sz="6" w:space="0"/>
            </w:tcBorders>
            <w:vAlign w:val="center"/>
          </w:tcPr>
          <w:p w14:paraId="3E2EF33E">
            <w:pPr>
              <w:pStyle w:val="573"/>
              <w:rPr>
                <w:rFonts w:hint="default" w:asciiTheme="minorEastAsia" w:hAnsiTheme="minorEastAsia" w:eastAsiaTheme="minorEastAsia"/>
                <w:szCs w:val="21"/>
              </w:rPr>
            </w:pPr>
            <w:r>
              <w:rPr>
                <w:rFonts w:hint="default" w:asciiTheme="minorEastAsia" w:hAnsiTheme="minorEastAsia" w:eastAsiaTheme="minorEastAsia"/>
                <w:szCs w:val="21"/>
              </w:rPr>
              <w:t>C</w:t>
            </w:r>
            <w:r>
              <w:rPr>
                <w:rFonts w:hint="default" w:asciiTheme="minorEastAsia" w:hAnsiTheme="minorEastAsia" w:eastAsiaTheme="minorEastAsia"/>
                <w:szCs w:val="21"/>
                <w:vertAlign w:val="subscript"/>
              </w:rPr>
              <w:t>12</w:t>
            </w:r>
          </w:p>
        </w:tc>
        <w:tc>
          <w:tcPr>
            <w:tcW w:w="1506" w:type="dxa"/>
            <w:tcBorders>
              <w:top w:val="single" w:color="000000" w:sz="6" w:space="0"/>
              <w:left w:val="single" w:color="000000" w:sz="6" w:space="0"/>
              <w:bottom w:val="single" w:color="000000" w:sz="6" w:space="0"/>
              <w:right w:val="single" w:color="auto" w:sz="12" w:space="0"/>
            </w:tcBorders>
            <w:vAlign w:val="center"/>
          </w:tcPr>
          <w:p w14:paraId="2697EB1A">
            <w:pPr>
              <w:pStyle w:val="573"/>
              <w:rPr>
                <w:rFonts w:hint="default" w:asciiTheme="minorEastAsia" w:hAnsiTheme="minorEastAsia" w:eastAsiaTheme="minorEastAsia"/>
                <w:szCs w:val="21"/>
              </w:rPr>
            </w:pPr>
            <w:r>
              <w:rPr>
                <w:rFonts w:hint="default" w:asciiTheme="minorEastAsia" w:hAnsiTheme="minorEastAsia" w:eastAsiaTheme="minorEastAsia"/>
                <w:szCs w:val="21"/>
              </w:rPr>
              <w:t>N</w:t>
            </w:r>
            <w:r>
              <w:rPr>
                <w:rFonts w:hint="default" w:asciiTheme="minorEastAsia" w:hAnsiTheme="minorEastAsia" w:eastAsiaTheme="minorEastAsia"/>
                <w:szCs w:val="21"/>
                <w:vertAlign w:val="subscript"/>
              </w:rPr>
              <w:t>2</w:t>
            </w:r>
          </w:p>
        </w:tc>
      </w:tr>
      <w:tr w14:paraId="3716CA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exact"/>
          <w:jc w:val="center"/>
        </w:trPr>
        <w:tc>
          <w:tcPr>
            <w:tcW w:w="1276" w:type="dxa"/>
            <w:tcBorders>
              <w:top w:val="single" w:color="000000" w:sz="6" w:space="0"/>
              <w:left w:val="single" w:color="auto" w:sz="12" w:space="0"/>
              <w:bottom w:val="single" w:color="auto" w:sz="12" w:space="0"/>
              <w:right w:val="single" w:color="000000" w:sz="6" w:space="0"/>
            </w:tcBorders>
            <w:vAlign w:val="center"/>
          </w:tcPr>
          <w:p w14:paraId="33701D7B">
            <w:pPr>
              <w:pStyle w:val="573"/>
              <w:rPr>
                <w:rFonts w:hint="default" w:asciiTheme="minorEastAsia" w:hAnsiTheme="minorEastAsia" w:eastAsiaTheme="minorEastAsia"/>
                <w:szCs w:val="21"/>
              </w:rPr>
            </w:pPr>
            <w:r>
              <w:rPr>
                <w:rFonts w:hint="default" w:asciiTheme="minorEastAsia" w:hAnsiTheme="minorEastAsia" w:eastAsiaTheme="minorEastAsia"/>
                <w:szCs w:val="21"/>
              </w:rPr>
              <w:t>Mol%</w:t>
            </w:r>
          </w:p>
        </w:tc>
        <w:tc>
          <w:tcPr>
            <w:tcW w:w="1276" w:type="dxa"/>
            <w:tcBorders>
              <w:top w:val="single" w:color="000000" w:sz="6" w:space="0"/>
              <w:left w:val="single" w:color="000000" w:sz="6" w:space="0"/>
              <w:bottom w:val="single" w:color="auto" w:sz="12" w:space="0"/>
              <w:right w:val="single" w:color="000000" w:sz="6" w:space="0"/>
            </w:tcBorders>
            <w:vAlign w:val="center"/>
          </w:tcPr>
          <w:p w14:paraId="7524DD03">
            <w:pPr>
              <w:pStyle w:val="573"/>
              <w:rPr>
                <w:rFonts w:hint="default" w:asciiTheme="minorEastAsia" w:hAnsiTheme="minorEastAsia" w:eastAsiaTheme="minorEastAsia"/>
                <w:szCs w:val="21"/>
              </w:rPr>
            </w:pPr>
            <w:r>
              <w:rPr>
                <w:rFonts w:hint="default" w:asciiTheme="minorEastAsia" w:hAnsiTheme="minorEastAsia" w:eastAsiaTheme="minorEastAsia"/>
                <w:szCs w:val="21"/>
              </w:rPr>
              <w:t>0.019</w:t>
            </w:r>
          </w:p>
        </w:tc>
        <w:tc>
          <w:tcPr>
            <w:tcW w:w="1417" w:type="dxa"/>
            <w:tcBorders>
              <w:top w:val="single" w:color="000000" w:sz="6" w:space="0"/>
              <w:left w:val="single" w:color="000000" w:sz="6" w:space="0"/>
              <w:bottom w:val="single" w:color="auto" w:sz="12" w:space="0"/>
              <w:right w:val="single" w:color="000000" w:sz="6" w:space="0"/>
            </w:tcBorders>
            <w:vAlign w:val="center"/>
          </w:tcPr>
          <w:p w14:paraId="144B6D59">
            <w:pPr>
              <w:pStyle w:val="573"/>
              <w:rPr>
                <w:rFonts w:hint="default" w:asciiTheme="minorEastAsia" w:hAnsiTheme="minorEastAsia" w:eastAsiaTheme="minorEastAsia"/>
                <w:szCs w:val="21"/>
              </w:rPr>
            </w:pPr>
            <w:r>
              <w:rPr>
                <w:rFonts w:hint="default" w:asciiTheme="minorEastAsia" w:hAnsiTheme="minorEastAsia" w:eastAsiaTheme="minorEastAsia"/>
                <w:szCs w:val="21"/>
              </w:rPr>
              <w:t>0.008</w:t>
            </w:r>
          </w:p>
        </w:tc>
        <w:tc>
          <w:tcPr>
            <w:tcW w:w="1559" w:type="dxa"/>
            <w:tcBorders>
              <w:top w:val="single" w:color="000000" w:sz="6" w:space="0"/>
              <w:left w:val="single" w:color="000000" w:sz="6" w:space="0"/>
              <w:bottom w:val="single" w:color="auto" w:sz="12" w:space="0"/>
              <w:right w:val="single" w:color="000000" w:sz="6" w:space="0"/>
            </w:tcBorders>
            <w:vAlign w:val="center"/>
          </w:tcPr>
          <w:p w14:paraId="25A5DAA0">
            <w:pPr>
              <w:pStyle w:val="573"/>
              <w:rPr>
                <w:rFonts w:hint="default" w:asciiTheme="minorEastAsia" w:hAnsiTheme="minorEastAsia" w:eastAsiaTheme="minorEastAsia"/>
                <w:szCs w:val="21"/>
              </w:rPr>
            </w:pPr>
            <w:r>
              <w:rPr>
                <w:rFonts w:hint="default" w:asciiTheme="minorEastAsia" w:hAnsiTheme="minorEastAsia" w:eastAsiaTheme="minorEastAsia"/>
                <w:szCs w:val="21"/>
              </w:rPr>
              <w:t>0.005</w:t>
            </w:r>
          </w:p>
        </w:tc>
        <w:tc>
          <w:tcPr>
            <w:tcW w:w="1291" w:type="dxa"/>
            <w:tcBorders>
              <w:top w:val="single" w:color="000000" w:sz="6" w:space="0"/>
              <w:left w:val="single" w:color="000000" w:sz="6" w:space="0"/>
              <w:bottom w:val="single" w:color="auto" w:sz="12" w:space="0"/>
              <w:right w:val="single" w:color="000000" w:sz="6" w:space="0"/>
            </w:tcBorders>
            <w:vAlign w:val="center"/>
          </w:tcPr>
          <w:p w14:paraId="404903A5">
            <w:pPr>
              <w:pStyle w:val="573"/>
              <w:rPr>
                <w:rFonts w:hint="default" w:asciiTheme="minorEastAsia" w:hAnsiTheme="minorEastAsia" w:eastAsiaTheme="minorEastAsia"/>
                <w:szCs w:val="21"/>
              </w:rPr>
            </w:pPr>
            <w:r>
              <w:rPr>
                <w:rFonts w:hint="default" w:asciiTheme="minorEastAsia" w:hAnsiTheme="minorEastAsia" w:eastAsiaTheme="minorEastAsia"/>
                <w:szCs w:val="21"/>
              </w:rPr>
              <w:t>0.00</w:t>
            </w:r>
            <w:r>
              <w:rPr>
                <w:rFonts w:asciiTheme="minorEastAsia" w:hAnsiTheme="minorEastAsia" w:eastAsiaTheme="minorEastAsia"/>
                <w:szCs w:val="21"/>
              </w:rPr>
              <w:t>3</w:t>
            </w:r>
          </w:p>
        </w:tc>
        <w:tc>
          <w:tcPr>
            <w:tcW w:w="1506" w:type="dxa"/>
            <w:tcBorders>
              <w:top w:val="single" w:color="000000" w:sz="6" w:space="0"/>
              <w:left w:val="single" w:color="000000" w:sz="6" w:space="0"/>
              <w:bottom w:val="single" w:color="auto" w:sz="12" w:space="0"/>
              <w:right w:val="single" w:color="auto" w:sz="12" w:space="0"/>
            </w:tcBorders>
            <w:vAlign w:val="center"/>
          </w:tcPr>
          <w:p w14:paraId="0E3DFA12">
            <w:pPr>
              <w:pStyle w:val="573"/>
              <w:rPr>
                <w:rFonts w:hint="default" w:asciiTheme="minorEastAsia" w:hAnsiTheme="minorEastAsia" w:eastAsiaTheme="minorEastAsia"/>
                <w:szCs w:val="21"/>
              </w:rPr>
            </w:pPr>
            <w:r>
              <w:rPr>
                <w:rFonts w:asciiTheme="minorEastAsia" w:hAnsiTheme="minorEastAsia" w:eastAsiaTheme="minorEastAsia"/>
                <w:szCs w:val="21"/>
              </w:rPr>
              <w:t>2.050</w:t>
            </w:r>
          </w:p>
        </w:tc>
      </w:tr>
    </w:tbl>
    <w:p w14:paraId="2225D5CC">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3、伴生气处理流程</w:t>
      </w:r>
    </w:p>
    <w:p w14:paraId="4B21825A">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（1）伴生气处理工艺参数</w:t>
      </w:r>
    </w:p>
    <w:p w14:paraId="0E450F1B">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基本设计参数见表3.4</w:t>
      </w:r>
      <w:r>
        <w:rPr>
          <w:rFonts w:asciiTheme="minorEastAsia" w:hAnsiTheme="minorEastAsia" w:eastAsiaTheme="minorEastAsia"/>
          <w:lang w:eastAsia="zh-CN"/>
        </w:rPr>
        <w:t>-</w:t>
      </w:r>
      <w:r>
        <w:rPr>
          <w:rFonts w:hint="eastAsia" w:asciiTheme="minorEastAsia" w:hAnsiTheme="minorEastAsia" w:eastAsiaTheme="minorEastAsia"/>
          <w:lang w:eastAsia="zh-CN"/>
        </w:rPr>
        <w:t>3。</w:t>
      </w:r>
    </w:p>
    <w:p w14:paraId="7844831C">
      <w:pPr>
        <w:snapToGrid w:val="0"/>
        <w:spacing w:line="240" w:lineRule="auto"/>
        <w:ind w:firstLine="723" w:firstLineChars="300"/>
        <w:rPr>
          <w:rFonts w:eastAsia="Times New Roman"/>
          <w:b/>
          <w:lang w:eastAsia="zh-CN"/>
        </w:rPr>
      </w:pPr>
      <w:r>
        <w:rPr>
          <w:rFonts w:hint="eastAsia"/>
          <w:b/>
          <w:lang w:eastAsia="zh-CN"/>
        </w:rPr>
        <w:t>表3.4</w:t>
      </w:r>
      <w:r>
        <w:rPr>
          <w:b/>
          <w:lang w:eastAsia="zh-CN"/>
        </w:rPr>
        <w:t>-</w:t>
      </w:r>
      <w:r>
        <w:rPr>
          <w:rFonts w:hint="eastAsia"/>
          <w:b/>
          <w:lang w:eastAsia="zh-CN"/>
        </w:rPr>
        <w:t>3</w:t>
      </w:r>
      <w:r>
        <w:rPr>
          <w:b/>
          <w:lang w:eastAsia="zh-CN"/>
        </w:rPr>
        <w:t xml:space="preserve">      </w:t>
      </w:r>
      <w:r>
        <w:rPr>
          <w:rFonts w:hint="eastAsia"/>
          <w:b/>
          <w:lang w:eastAsia="zh-CN"/>
        </w:rPr>
        <w:t>伴生气处理工艺基本设计参数表</w:t>
      </w:r>
    </w:p>
    <w:tbl>
      <w:tblPr>
        <w:tblStyle w:val="76"/>
        <w:tblW w:w="7938"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2"/>
        <w:gridCol w:w="3741"/>
        <w:gridCol w:w="2835"/>
      </w:tblGrid>
      <w:tr w14:paraId="04705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exact"/>
        </w:trPr>
        <w:tc>
          <w:tcPr>
            <w:tcW w:w="1362" w:type="dxa"/>
            <w:tcBorders>
              <w:top w:val="single" w:color="auto" w:sz="12" w:space="0"/>
              <w:left w:val="single" w:color="auto" w:sz="12" w:space="0"/>
              <w:bottom w:val="single" w:color="auto" w:sz="4" w:space="0"/>
              <w:right w:val="single" w:color="auto" w:sz="4" w:space="0"/>
            </w:tcBorders>
            <w:vAlign w:val="center"/>
          </w:tcPr>
          <w:p w14:paraId="5C2893C4">
            <w:pPr>
              <w:widowControl/>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序号</w:t>
            </w:r>
          </w:p>
        </w:tc>
        <w:tc>
          <w:tcPr>
            <w:tcW w:w="3741" w:type="dxa"/>
            <w:tcBorders>
              <w:top w:val="single" w:color="auto" w:sz="12" w:space="0"/>
              <w:left w:val="single" w:color="auto" w:sz="4" w:space="0"/>
              <w:bottom w:val="single" w:color="auto" w:sz="4" w:space="0"/>
              <w:right w:val="single" w:color="auto" w:sz="4" w:space="0"/>
            </w:tcBorders>
            <w:vAlign w:val="center"/>
          </w:tcPr>
          <w:p w14:paraId="34305B30">
            <w:pPr>
              <w:widowControl/>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内容</w:t>
            </w:r>
          </w:p>
        </w:tc>
        <w:tc>
          <w:tcPr>
            <w:tcW w:w="2835" w:type="dxa"/>
            <w:tcBorders>
              <w:top w:val="single" w:color="auto" w:sz="12" w:space="0"/>
              <w:left w:val="single" w:color="auto" w:sz="4" w:space="0"/>
              <w:bottom w:val="single" w:color="auto" w:sz="4" w:space="0"/>
              <w:right w:val="single" w:color="auto" w:sz="12" w:space="0"/>
            </w:tcBorders>
            <w:vAlign w:val="center"/>
          </w:tcPr>
          <w:p w14:paraId="7F5FFE4B">
            <w:pPr>
              <w:widowControl/>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工艺参数</w:t>
            </w:r>
          </w:p>
        </w:tc>
      </w:tr>
      <w:tr w14:paraId="1F72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exact"/>
        </w:trPr>
        <w:tc>
          <w:tcPr>
            <w:tcW w:w="1362" w:type="dxa"/>
            <w:tcBorders>
              <w:top w:val="single" w:color="auto" w:sz="4" w:space="0"/>
              <w:left w:val="single" w:color="auto" w:sz="12" w:space="0"/>
              <w:bottom w:val="single" w:color="auto" w:sz="4" w:space="0"/>
              <w:right w:val="single" w:color="auto" w:sz="4" w:space="0"/>
            </w:tcBorders>
            <w:vAlign w:val="center"/>
          </w:tcPr>
          <w:p w14:paraId="70432AF6">
            <w:pPr>
              <w:widowControl/>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3741" w:type="dxa"/>
            <w:tcBorders>
              <w:top w:val="single" w:color="auto" w:sz="4" w:space="0"/>
              <w:left w:val="single" w:color="auto" w:sz="4" w:space="0"/>
              <w:bottom w:val="single" w:color="auto" w:sz="4" w:space="0"/>
              <w:right w:val="single" w:color="auto" w:sz="4" w:space="0"/>
            </w:tcBorders>
            <w:vAlign w:val="center"/>
          </w:tcPr>
          <w:p w14:paraId="1EA60092">
            <w:pPr>
              <w:widowControl/>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设计规模</w:t>
            </w:r>
          </w:p>
        </w:tc>
        <w:tc>
          <w:tcPr>
            <w:tcW w:w="2835" w:type="dxa"/>
            <w:tcBorders>
              <w:top w:val="single" w:color="auto" w:sz="4" w:space="0"/>
              <w:left w:val="single" w:color="auto" w:sz="4" w:space="0"/>
              <w:bottom w:val="single" w:color="auto" w:sz="4" w:space="0"/>
              <w:right w:val="single" w:color="auto" w:sz="12" w:space="0"/>
            </w:tcBorders>
            <w:vAlign w:val="center"/>
          </w:tcPr>
          <w:p w14:paraId="7CAFBD51">
            <w:pPr>
              <w:widowControl/>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5×10</w:t>
            </w:r>
            <w:r>
              <w:rPr>
                <w:rFonts w:hint="eastAsia" w:asciiTheme="minorEastAsia" w:hAnsiTheme="minorEastAsia" w:eastAsiaTheme="minorEastAsia"/>
                <w:sz w:val="21"/>
                <w:szCs w:val="21"/>
                <w:vertAlign w:val="superscript"/>
              </w:rPr>
              <w:t>4</w:t>
            </w:r>
            <w:r>
              <w:rPr>
                <w:rFonts w:hint="eastAsia" w:asciiTheme="minorEastAsia" w:hAnsiTheme="minorEastAsia" w:eastAsiaTheme="minorEastAsia"/>
                <w:sz w:val="21"/>
                <w:szCs w:val="21"/>
              </w:rPr>
              <w:t>m³/d</w:t>
            </w:r>
          </w:p>
        </w:tc>
      </w:tr>
      <w:tr w14:paraId="42C5B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exact"/>
        </w:trPr>
        <w:tc>
          <w:tcPr>
            <w:tcW w:w="1362" w:type="dxa"/>
            <w:tcBorders>
              <w:top w:val="single" w:color="auto" w:sz="4" w:space="0"/>
              <w:left w:val="single" w:color="auto" w:sz="12" w:space="0"/>
              <w:bottom w:val="single" w:color="auto" w:sz="4" w:space="0"/>
              <w:right w:val="single" w:color="auto" w:sz="4" w:space="0"/>
            </w:tcBorders>
            <w:vAlign w:val="center"/>
          </w:tcPr>
          <w:p w14:paraId="6B75A7A6">
            <w:pPr>
              <w:widowControl/>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3741" w:type="dxa"/>
            <w:tcBorders>
              <w:top w:val="single" w:color="auto" w:sz="4" w:space="0"/>
              <w:left w:val="single" w:color="auto" w:sz="4" w:space="0"/>
              <w:bottom w:val="single" w:color="auto" w:sz="4" w:space="0"/>
              <w:right w:val="single" w:color="auto" w:sz="4" w:space="0"/>
            </w:tcBorders>
            <w:vAlign w:val="center"/>
          </w:tcPr>
          <w:p w14:paraId="36261902">
            <w:pPr>
              <w:widowControl/>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生产天数</w:t>
            </w:r>
          </w:p>
        </w:tc>
        <w:tc>
          <w:tcPr>
            <w:tcW w:w="2835" w:type="dxa"/>
            <w:tcBorders>
              <w:top w:val="single" w:color="auto" w:sz="4" w:space="0"/>
              <w:left w:val="single" w:color="auto" w:sz="4" w:space="0"/>
              <w:bottom w:val="single" w:color="auto" w:sz="4" w:space="0"/>
              <w:right w:val="single" w:color="auto" w:sz="12" w:space="0"/>
            </w:tcBorders>
            <w:vAlign w:val="center"/>
          </w:tcPr>
          <w:p w14:paraId="0805487B">
            <w:pPr>
              <w:widowControl/>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365d/a</w:t>
            </w:r>
          </w:p>
        </w:tc>
      </w:tr>
      <w:tr w14:paraId="292D7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exact"/>
        </w:trPr>
        <w:tc>
          <w:tcPr>
            <w:tcW w:w="1362" w:type="dxa"/>
            <w:tcBorders>
              <w:top w:val="single" w:color="auto" w:sz="4" w:space="0"/>
              <w:left w:val="single" w:color="auto" w:sz="12" w:space="0"/>
              <w:bottom w:val="single" w:color="auto" w:sz="4" w:space="0"/>
              <w:right w:val="single" w:color="auto" w:sz="4" w:space="0"/>
            </w:tcBorders>
            <w:vAlign w:val="center"/>
          </w:tcPr>
          <w:p w14:paraId="41F18E47">
            <w:pPr>
              <w:widowControl/>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w:t>
            </w:r>
          </w:p>
        </w:tc>
        <w:tc>
          <w:tcPr>
            <w:tcW w:w="3741" w:type="dxa"/>
            <w:tcBorders>
              <w:top w:val="single" w:color="auto" w:sz="4" w:space="0"/>
              <w:left w:val="single" w:color="auto" w:sz="4" w:space="0"/>
              <w:bottom w:val="single" w:color="auto" w:sz="4" w:space="0"/>
              <w:right w:val="single" w:color="auto" w:sz="4" w:space="0"/>
            </w:tcBorders>
            <w:vAlign w:val="center"/>
          </w:tcPr>
          <w:p w14:paraId="2BD59ECD">
            <w:pPr>
              <w:widowControl/>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二级分离器来气压力</w:t>
            </w:r>
          </w:p>
        </w:tc>
        <w:tc>
          <w:tcPr>
            <w:tcW w:w="2835" w:type="dxa"/>
            <w:tcBorders>
              <w:top w:val="single" w:color="auto" w:sz="4" w:space="0"/>
              <w:left w:val="single" w:color="auto" w:sz="4" w:space="0"/>
              <w:bottom w:val="single" w:color="auto" w:sz="4" w:space="0"/>
              <w:right w:val="single" w:color="auto" w:sz="12" w:space="0"/>
            </w:tcBorders>
            <w:vAlign w:val="center"/>
          </w:tcPr>
          <w:p w14:paraId="14FBB58A">
            <w:pPr>
              <w:widowControl/>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～0.3MPa</w:t>
            </w:r>
          </w:p>
        </w:tc>
      </w:tr>
      <w:tr w14:paraId="314A4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exact"/>
        </w:trPr>
        <w:tc>
          <w:tcPr>
            <w:tcW w:w="1362" w:type="dxa"/>
            <w:tcBorders>
              <w:top w:val="single" w:color="auto" w:sz="4" w:space="0"/>
              <w:left w:val="single" w:color="auto" w:sz="12" w:space="0"/>
              <w:bottom w:val="single" w:color="auto" w:sz="4" w:space="0"/>
              <w:right w:val="single" w:color="auto" w:sz="4" w:space="0"/>
            </w:tcBorders>
            <w:vAlign w:val="center"/>
          </w:tcPr>
          <w:p w14:paraId="4F0F6306">
            <w:pPr>
              <w:widowControl/>
              <w:spacing w:line="240" w:lineRule="auto"/>
              <w:ind w:firstLine="0" w:firstLineChars="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4</w:t>
            </w:r>
          </w:p>
        </w:tc>
        <w:tc>
          <w:tcPr>
            <w:tcW w:w="3741" w:type="dxa"/>
            <w:tcBorders>
              <w:top w:val="single" w:color="auto" w:sz="4" w:space="0"/>
              <w:left w:val="single" w:color="auto" w:sz="4" w:space="0"/>
              <w:bottom w:val="single" w:color="auto" w:sz="4" w:space="0"/>
              <w:right w:val="single" w:color="auto" w:sz="4" w:space="0"/>
            </w:tcBorders>
            <w:vAlign w:val="center"/>
          </w:tcPr>
          <w:p w14:paraId="19FFA282">
            <w:pPr>
              <w:widowControl/>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二级分离器来气压力</w:t>
            </w:r>
          </w:p>
        </w:tc>
        <w:tc>
          <w:tcPr>
            <w:tcW w:w="2835" w:type="dxa"/>
            <w:tcBorders>
              <w:top w:val="single" w:color="auto" w:sz="4" w:space="0"/>
              <w:left w:val="single" w:color="auto" w:sz="4" w:space="0"/>
              <w:bottom w:val="single" w:color="auto" w:sz="4" w:space="0"/>
              <w:right w:val="single" w:color="auto" w:sz="12" w:space="0"/>
            </w:tcBorders>
            <w:vAlign w:val="center"/>
          </w:tcPr>
          <w:p w14:paraId="1CF45ECE">
            <w:pPr>
              <w:widowControl/>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～0.25MPa</w:t>
            </w:r>
          </w:p>
        </w:tc>
      </w:tr>
      <w:tr w14:paraId="2DB48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exact"/>
        </w:trPr>
        <w:tc>
          <w:tcPr>
            <w:tcW w:w="1362" w:type="dxa"/>
            <w:tcBorders>
              <w:top w:val="single" w:color="auto" w:sz="4" w:space="0"/>
              <w:left w:val="single" w:color="auto" w:sz="12" w:space="0"/>
              <w:bottom w:val="single" w:color="auto" w:sz="12" w:space="0"/>
              <w:right w:val="single" w:color="auto" w:sz="4" w:space="0"/>
            </w:tcBorders>
            <w:vAlign w:val="center"/>
          </w:tcPr>
          <w:p w14:paraId="6EF526A5">
            <w:pPr>
              <w:widowControl/>
              <w:spacing w:line="240" w:lineRule="auto"/>
              <w:ind w:firstLine="0" w:firstLineChars="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5</w:t>
            </w:r>
          </w:p>
        </w:tc>
        <w:tc>
          <w:tcPr>
            <w:tcW w:w="3741" w:type="dxa"/>
            <w:tcBorders>
              <w:top w:val="single" w:color="auto" w:sz="4" w:space="0"/>
              <w:left w:val="single" w:color="auto" w:sz="4" w:space="0"/>
              <w:bottom w:val="single" w:color="auto" w:sz="12" w:space="0"/>
              <w:right w:val="single" w:color="auto" w:sz="4" w:space="0"/>
            </w:tcBorders>
            <w:vAlign w:val="center"/>
          </w:tcPr>
          <w:p w14:paraId="5366612D">
            <w:pPr>
              <w:widowControl/>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二级分离器来气温度</w:t>
            </w:r>
          </w:p>
        </w:tc>
        <w:tc>
          <w:tcPr>
            <w:tcW w:w="2835" w:type="dxa"/>
            <w:tcBorders>
              <w:top w:val="single" w:color="auto" w:sz="4" w:space="0"/>
              <w:left w:val="single" w:color="auto" w:sz="4" w:space="0"/>
              <w:bottom w:val="single" w:color="auto" w:sz="12" w:space="0"/>
              <w:right w:val="single" w:color="auto" w:sz="12" w:space="0"/>
            </w:tcBorders>
            <w:vAlign w:val="center"/>
          </w:tcPr>
          <w:p w14:paraId="108D4FA4">
            <w:pPr>
              <w:widowControl/>
              <w:spacing w:line="240" w:lineRule="auto"/>
              <w:ind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40℃</w:t>
            </w:r>
          </w:p>
        </w:tc>
      </w:tr>
    </w:tbl>
    <w:p w14:paraId="6B1A8491">
      <w:pPr>
        <w:ind w:firstLine="480"/>
        <w:rPr>
          <w:rFonts w:asciiTheme="minorEastAsia" w:hAnsiTheme="minorEastAsia" w:eastAsiaTheme="minorEastAsia"/>
          <w:lang w:eastAsia="zh-CN"/>
        </w:rPr>
      </w:pPr>
      <w:r>
        <w:rPr>
          <w:rFonts w:hint="eastAsia"/>
          <w:lang w:eastAsia="zh-CN"/>
        </w:rPr>
        <w:t>（</w:t>
      </w:r>
      <w:r>
        <w:rPr>
          <w:rFonts w:hint="eastAsia" w:asciiTheme="minorEastAsia" w:hAnsiTheme="minorEastAsia" w:eastAsiaTheme="minorEastAsia"/>
          <w:lang w:eastAsia="zh-CN"/>
        </w:rPr>
        <w:t>2）伴生气处理工艺流程</w:t>
      </w:r>
    </w:p>
    <w:p w14:paraId="6ED1312B">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来自油区一级分离器和二级分离器分离出的部分湿气，经气相分离器分液后供燃气发电机和加热炉燃烧。并在燃气发电机前增设分液包，排出管线内凝液。</w:t>
      </w:r>
    </w:p>
    <w:p w14:paraId="7831DAA4">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来自油区一级分离器和二级分离器分离出的部分湿气，经预增压机压缩后进分子筛脱水橇脱水，脱水后的干气进</w:t>
      </w:r>
      <w:r>
        <w:rPr>
          <w:rFonts w:asciiTheme="minorEastAsia" w:hAnsiTheme="minorEastAsia" w:eastAsiaTheme="minorEastAsia"/>
          <w:lang w:eastAsia="zh-CN"/>
        </w:rPr>
        <w:t>CNG</w:t>
      </w:r>
      <w:r>
        <w:rPr>
          <w:rFonts w:hint="eastAsia" w:asciiTheme="minorEastAsia" w:hAnsiTheme="minorEastAsia" w:eastAsiaTheme="minorEastAsia"/>
          <w:lang w:eastAsia="zh-CN"/>
        </w:rPr>
        <w:t>压缩机压缩为高压天然气（</w:t>
      </w:r>
      <w:r>
        <w:rPr>
          <w:rFonts w:asciiTheme="minorEastAsia" w:hAnsiTheme="minorEastAsia" w:eastAsiaTheme="minorEastAsia"/>
          <w:lang w:eastAsia="zh-CN"/>
        </w:rPr>
        <w:t>25MPa</w:t>
      </w:r>
      <w:r>
        <w:rPr>
          <w:rFonts w:hint="eastAsia" w:asciiTheme="minorEastAsia" w:hAnsiTheme="minorEastAsia" w:eastAsiaTheme="minorEastAsia"/>
          <w:lang w:eastAsia="zh-CN"/>
        </w:rPr>
        <w:t>），拖车外运。在气相分离器后对多余天然气进行放空。伴生气处理工艺流程见图3.4-6。</w:t>
      </w:r>
    </w:p>
    <w:p w14:paraId="061E8375">
      <w:pPr>
        <w:adjustRightInd w:val="0"/>
        <w:snapToGrid w:val="0"/>
        <w:spacing w:beforeLines="50"/>
        <w:ind w:firstLine="0" w:firstLineChars="0"/>
        <w:rPr>
          <w:lang w:eastAsia="zh-CN"/>
        </w:rPr>
      </w:pPr>
      <w:r>
        <w:rPr>
          <w:rFonts w:eastAsia="Times New Roman"/>
          <w:lang w:eastAsia="zh-CN" w:bidi="ar-SA"/>
        </w:rPr>
        <w:drawing>
          <wp:inline distT="0" distB="0" distL="0" distR="0">
            <wp:extent cx="5276850" cy="2362200"/>
            <wp:effectExtent l="19050" t="0" r="0" b="0"/>
            <wp:docPr id="11"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2"/>
                    <pic:cNvPicPr>
                      <a:picLocks noChangeAspect="1" noChangeArrowheads="1"/>
                    </pic:cNvPicPr>
                  </pic:nvPicPr>
                  <pic:blipFill>
                    <a:blip r:embed="rId30"/>
                    <a:srcRect/>
                    <a:stretch>
                      <a:fillRect/>
                    </a:stretch>
                  </pic:blipFill>
                  <pic:spPr>
                    <a:xfrm>
                      <a:off x="0" y="0"/>
                      <a:ext cx="5276850" cy="2362200"/>
                    </a:xfrm>
                    <a:prstGeom prst="rect">
                      <a:avLst/>
                    </a:prstGeom>
                    <a:noFill/>
                    <a:ln w="9525">
                      <a:noFill/>
                      <a:miter lim="800000"/>
                      <a:headEnd/>
                      <a:tailEnd/>
                    </a:ln>
                  </pic:spPr>
                </pic:pic>
              </a:graphicData>
            </a:graphic>
          </wp:inline>
        </w:drawing>
      </w:r>
    </w:p>
    <w:p w14:paraId="6FC561F3">
      <w:pPr>
        <w:adjustRightInd w:val="0"/>
        <w:snapToGrid w:val="0"/>
        <w:spacing w:beforeLines="50"/>
        <w:ind w:firstLine="0" w:firstLineChars="0"/>
        <w:jc w:val="center"/>
        <w:rPr>
          <w:b/>
          <w:lang w:eastAsia="zh-CN"/>
        </w:rPr>
      </w:pPr>
      <w:r>
        <w:rPr>
          <w:rFonts w:hint="eastAsia"/>
          <w:b/>
          <w:lang w:eastAsia="zh-CN"/>
        </w:rPr>
        <w:t>图3.4-6   伴生气处理工艺流程示意图</w:t>
      </w:r>
    </w:p>
    <w:bookmarkEnd w:id="150"/>
    <w:bookmarkEnd w:id="151"/>
    <w:p w14:paraId="673F0234">
      <w:pPr>
        <w:pStyle w:val="4"/>
        <w:rPr>
          <w:lang w:eastAsia="zh-CN"/>
        </w:rPr>
      </w:pPr>
      <w:bookmarkStart w:id="198" w:name="_Toc408413943"/>
      <w:bookmarkStart w:id="199" w:name="_Toc279676589"/>
      <w:bookmarkStart w:id="200" w:name="_Toc287598126"/>
      <w:r>
        <w:rPr>
          <w:lang w:eastAsia="zh-CN"/>
        </w:rPr>
        <w:t>3.4.</w:t>
      </w:r>
      <w:r>
        <w:rPr>
          <w:rFonts w:hint="eastAsia"/>
          <w:lang w:eastAsia="zh-CN"/>
        </w:rPr>
        <w:t>6</w:t>
      </w:r>
      <w:r>
        <w:rPr>
          <w:lang w:eastAsia="zh-CN"/>
        </w:rPr>
        <w:t>污水处理工艺</w:t>
      </w:r>
      <w:bookmarkEnd w:id="198"/>
    </w:p>
    <w:p w14:paraId="38D43C99">
      <w:pPr>
        <w:ind w:firstLine="480"/>
        <w:rPr>
          <w:rFonts w:asciiTheme="minorEastAsia" w:hAnsiTheme="minorEastAsia" w:eastAsiaTheme="minorEastAsia"/>
          <w:lang w:eastAsia="zh-CN"/>
        </w:rPr>
      </w:pPr>
      <w:r>
        <w:rPr>
          <w:rFonts w:asciiTheme="minorEastAsia" w:hAnsiTheme="minorEastAsia" w:eastAsiaTheme="minorEastAsia"/>
          <w:lang w:eastAsia="zh-CN"/>
        </w:rPr>
        <w:t>1、</w:t>
      </w:r>
      <w:r>
        <w:rPr>
          <w:rFonts w:hint="eastAsia" w:asciiTheme="minorEastAsia" w:hAnsiTheme="minorEastAsia" w:eastAsiaTheme="minorEastAsia"/>
          <w:lang w:eastAsia="zh-CN"/>
        </w:rPr>
        <w:t>含油污水处理</w:t>
      </w:r>
      <w:r>
        <w:rPr>
          <w:rFonts w:asciiTheme="minorEastAsia" w:hAnsiTheme="minorEastAsia" w:eastAsiaTheme="minorEastAsia"/>
          <w:lang w:eastAsia="zh-CN"/>
        </w:rPr>
        <w:t>工艺</w:t>
      </w:r>
    </w:p>
    <w:p w14:paraId="094C53E7">
      <w:pPr>
        <w:ind w:firstLine="480"/>
        <w:rPr>
          <w:rFonts w:asciiTheme="minorEastAsia" w:hAnsiTheme="minorEastAsia" w:eastAsiaTheme="minorEastAsia"/>
          <w:lang w:eastAsia="zh-CN"/>
        </w:rPr>
      </w:pPr>
      <w:r>
        <w:rPr>
          <w:rFonts w:asciiTheme="minorEastAsia" w:hAnsiTheme="minorEastAsia" w:eastAsiaTheme="minorEastAsia"/>
          <w:lang w:eastAsia="zh-CN"/>
        </w:rPr>
        <w:t>根据</w:t>
      </w:r>
      <w:r>
        <w:rPr>
          <w:rFonts w:hint="eastAsia" w:asciiTheme="minorEastAsia" w:hAnsiTheme="minorEastAsia" w:eastAsiaTheme="minorEastAsia"/>
          <w:lang w:eastAsia="zh-CN"/>
        </w:rPr>
        <w:t>乌里雅斯太</w:t>
      </w:r>
      <w:r>
        <w:rPr>
          <w:rFonts w:asciiTheme="minorEastAsia" w:hAnsiTheme="minorEastAsia" w:eastAsiaTheme="minorEastAsia"/>
          <w:lang w:eastAsia="zh-CN"/>
        </w:rPr>
        <w:t>油田注水水质要达到《碎屑岩油藏注水水质推荐指标及分析方法》(SY/T5329-2012)中标准要求，</w:t>
      </w:r>
      <w:r>
        <w:rPr>
          <w:rFonts w:hint="eastAsia" w:asciiTheme="minorEastAsia" w:hAnsiTheme="minorEastAsia" w:eastAsiaTheme="minorEastAsia"/>
          <w:lang w:eastAsia="zh-CN"/>
        </w:rPr>
        <w:t>含油污水</w:t>
      </w:r>
      <w:r>
        <w:rPr>
          <w:rFonts w:asciiTheme="minorEastAsia" w:hAnsiTheme="minorEastAsia" w:eastAsiaTheme="minorEastAsia"/>
          <w:lang w:eastAsia="zh-CN"/>
        </w:rPr>
        <w:t xml:space="preserve">采用微生物处理 + </w:t>
      </w:r>
      <w:r>
        <w:rPr>
          <w:rFonts w:hint="eastAsia" w:asciiTheme="minorEastAsia" w:hAnsiTheme="minorEastAsia" w:eastAsiaTheme="minorEastAsia"/>
          <w:lang w:eastAsia="zh-CN"/>
        </w:rPr>
        <w:t>膜处理</w:t>
      </w:r>
      <w:r>
        <w:rPr>
          <w:rFonts w:asciiTheme="minorEastAsia" w:hAnsiTheme="minorEastAsia" w:eastAsiaTheme="minorEastAsia"/>
          <w:lang w:eastAsia="zh-CN"/>
        </w:rPr>
        <w:t>工艺，处理规模</w:t>
      </w:r>
      <w:r>
        <w:rPr>
          <w:rFonts w:hint="eastAsia" w:asciiTheme="minorEastAsia" w:hAnsiTheme="minorEastAsia" w:eastAsiaTheme="minorEastAsia"/>
          <w:lang w:eastAsia="zh-CN"/>
        </w:rPr>
        <w:t>300</w:t>
      </w:r>
      <w:r>
        <w:rPr>
          <w:rFonts w:asciiTheme="minorEastAsia" w:hAnsiTheme="minorEastAsia" w:eastAsiaTheme="minorEastAsia"/>
          <w:lang w:eastAsia="zh-CN"/>
        </w:rPr>
        <w:t>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/d，工艺流程</w:t>
      </w:r>
      <w:r>
        <w:rPr>
          <w:rFonts w:hint="eastAsia" w:asciiTheme="minorEastAsia" w:hAnsiTheme="minorEastAsia" w:eastAsiaTheme="minorEastAsia"/>
          <w:lang w:eastAsia="zh-CN"/>
        </w:rPr>
        <w:t>示意图见图3.4-7。</w:t>
      </w:r>
    </w:p>
    <w:p w14:paraId="21DB1107">
      <w:pPr>
        <w:ind w:firstLine="480"/>
        <w:rPr>
          <w:rFonts w:asciiTheme="minorEastAsia" w:hAnsiTheme="minorEastAsia" w:eastAsiaTheme="minorEastAsia"/>
          <w:lang w:eastAsia="zh-CN"/>
        </w:rPr>
      </w:pPr>
      <w:r>
        <w:rPr>
          <w:rFonts w:asciiTheme="minorEastAsia" w:hAnsiTheme="minorEastAsia" w:eastAsiaTheme="minorEastAsia"/>
          <w:lang w:eastAsia="zh-CN"/>
        </w:rPr>
        <w:t>分离器分离的污水经除油</w:t>
      </w:r>
      <w:r>
        <w:rPr>
          <w:rFonts w:hint="eastAsia" w:asciiTheme="minorEastAsia" w:hAnsiTheme="minorEastAsia" w:eastAsiaTheme="minorEastAsia"/>
          <w:lang w:eastAsia="zh-CN"/>
        </w:rPr>
        <w:t>调节</w:t>
      </w:r>
      <w:r>
        <w:rPr>
          <w:rFonts w:asciiTheme="minorEastAsia" w:hAnsiTheme="minorEastAsia" w:eastAsiaTheme="minorEastAsia"/>
          <w:lang w:eastAsia="zh-CN"/>
        </w:rPr>
        <w:t>罐降低污油含量后，进入</w:t>
      </w:r>
      <w:r>
        <w:rPr>
          <w:rFonts w:hint="eastAsia" w:asciiTheme="minorEastAsia" w:hAnsiTheme="minorEastAsia" w:eastAsiaTheme="minorEastAsia"/>
          <w:lang w:eastAsia="zh-CN"/>
        </w:rPr>
        <w:t>调节池</w:t>
      </w:r>
      <w:r>
        <w:rPr>
          <w:rFonts w:asciiTheme="minorEastAsia" w:hAnsiTheme="minorEastAsia" w:eastAsiaTheme="minorEastAsia"/>
          <w:lang w:eastAsia="zh-CN"/>
        </w:rPr>
        <w:t>，经微生物降解污水中的油、有机物，</w:t>
      </w:r>
      <w:r>
        <w:rPr>
          <w:rFonts w:hint="eastAsia" w:asciiTheme="minorEastAsia" w:hAnsiTheme="minorEastAsia" w:eastAsiaTheme="minorEastAsia"/>
          <w:lang w:eastAsia="zh-CN"/>
        </w:rPr>
        <w:t>经过进一步的沉降处理，</w:t>
      </w:r>
      <w:r>
        <w:rPr>
          <w:rFonts w:asciiTheme="minorEastAsia" w:hAnsiTheme="minorEastAsia" w:eastAsiaTheme="minorEastAsia"/>
          <w:lang w:eastAsia="zh-CN"/>
        </w:rPr>
        <w:t>经</w:t>
      </w:r>
      <w:r>
        <w:rPr>
          <w:rFonts w:hint="eastAsia" w:asciiTheme="minorEastAsia" w:hAnsiTheme="minorEastAsia" w:eastAsiaTheme="minorEastAsia"/>
          <w:lang w:eastAsia="zh-CN"/>
        </w:rPr>
        <w:t>膜处理装置处理，</w:t>
      </w:r>
      <w:r>
        <w:rPr>
          <w:rFonts w:asciiTheme="minorEastAsia" w:hAnsiTheme="minorEastAsia" w:eastAsiaTheme="minorEastAsia"/>
          <w:lang w:eastAsia="zh-CN"/>
        </w:rPr>
        <w:t>达到注水水质标准，进入污水储罐后由</w:t>
      </w:r>
      <w:r>
        <w:rPr>
          <w:rFonts w:hint="eastAsia" w:asciiTheme="minorEastAsia" w:hAnsiTheme="minorEastAsia" w:eastAsiaTheme="minorEastAsia"/>
          <w:lang w:eastAsia="zh-CN"/>
        </w:rPr>
        <w:t>喂</w:t>
      </w:r>
      <w:r>
        <w:rPr>
          <w:rFonts w:asciiTheme="minorEastAsia" w:hAnsiTheme="minorEastAsia" w:eastAsiaTheme="minorEastAsia"/>
          <w:lang w:eastAsia="zh-CN"/>
        </w:rPr>
        <w:t>水泵回注地层。</w:t>
      </w:r>
      <w:r>
        <w:rPr>
          <w:rFonts w:hint="eastAsia" w:asciiTheme="minorEastAsia" w:hAnsiTheme="minorEastAsia" w:eastAsiaTheme="minorEastAsia"/>
          <w:lang w:eastAsia="zh-CN"/>
        </w:rPr>
        <w:t>污泥经脱水干化处理后，委托东乌珠穆沁旗高科危险废物处理有限公司进行处置。</w:t>
      </w:r>
    </w:p>
    <w:p w14:paraId="3026A8C0">
      <w:pPr>
        <w:autoSpaceDE w:val="0"/>
        <w:autoSpaceDN w:val="0"/>
        <w:adjustRightInd w:val="0"/>
        <w:ind w:firstLine="480"/>
        <w:jc w:val="left"/>
        <w:rPr>
          <w:lang w:val="zh-CN" w:eastAsia="zh-CN"/>
        </w:rPr>
      </w:pPr>
      <w:r>
        <w:rPr>
          <w:lang w:eastAsia="zh-CN" w:bidi="ar-SA"/>
        </w:rPr>
        <w:drawing>
          <wp:inline distT="0" distB="0" distL="0" distR="0">
            <wp:extent cx="5210175" cy="2524125"/>
            <wp:effectExtent l="19050" t="0" r="9525"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noChangeArrowheads="1"/>
                    </pic:cNvPicPr>
                  </pic:nvPicPr>
                  <pic:blipFill>
                    <a:blip r:embed="rId31"/>
                    <a:srcRect l="26553" t="21159" r="31177" b="42520"/>
                    <a:stretch>
                      <a:fillRect/>
                    </a:stretch>
                  </pic:blipFill>
                  <pic:spPr>
                    <a:xfrm>
                      <a:off x="0" y="0"/>
                      <a:ext cx="5210175" cy="2524125"/>
                    </a:xfrm>
                    <a:prstGeom prst="rect">
                      <a:avLst/>
                    </a:prstGeom>
                    <a:noFill/>
                    <a:ln w="9525">
                      <a:noFill/>
                      <a:miter lim="800000"/>
                      <a:headEnd/>
                      <a:tailEnd/>
                    </a:ln>
                  </pic:spPr>
                </pic:pic>
              </a:graphicData>
            </a:graphic>
          </wp:inline>
        </w:drawing>
      </w:r>
    </w:p>
    <w:p w14:paraId="693818E3">
      <w:pPr>
        <w:adjustRightInd w:val="0"/>
        <w:snapToGrid w:val="0"/>
        <w:spacing w:beforeLines="50"/>
        <w:ind w:firstLine="0" w:firstLineChars="0"/>
        <w:jc w:val="center"/>
        <w:rPr>
          <w:b/>
          <w:lang w:eastAsia="zh-CN"/>
        </w:rPr>
      </w:pPr>
      <w:r>
        <w:rPr>
          <w:rFonts w:hint="eastAsia"/>
          <w:b/>
          <w:lang w:eastAsia="zh-CN"/>
        </w:rPr>
        <w:t>图3.4-7   乌里雅斯太油田含油污水处理工艺流程示意图</w:t>
      </w:r>
    </w:p>
    <w:p w14:paraId="64352A04">
      <w:pPr>
        <w:ind w:firstLine="480"/>
        <w:rPr>
          <w:rFonts w:asciiTheme="minorEastAsia" w:hAnsiTheme="minorEastAsia" w:eastAsiaTheme="minorEastAsia"/>
          <w:lang w:eastAsia="zh-CN"/>
        </w:rPr>
      </w:pPr>
      <w:r>
        <w:rPr>
          <w:rFonts w:asciiTheme="minorEastAsia" w:hAnsiTheme="minorEastAsia" w:eastAsiaTheme="minorEastAsia"/>
          <w:lang w:eastAsia="zh-CN"/>
        </w:rPr>
        <w:t>2、含油废水处理要求</w:t>
      </w:r>
    </w:p>
    <w:p w14:paraId="3F7A98BA">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乌里雅斯太</w:t>
      </w:r>
      <w:r>
        <w:rPr>
          <w:rFonts w:asciiTheme="minorEastAsia" w:hAnsiTheme="minorEastAsia" w:eastAsiaTheme="minorEastAsia"/>
          <w:lang w:eastAsia="zh-CN"/>
        </w:rPr>
        <w:t>油田含油废水处理要求见表3.4-</w:t>
      </w:r>
      <w:r>
        <w:rPr>
          <w:rFonts w:hint="eastAsia" w:asciiTheme="minorEastAsia" w:hAnsiTheme="minorEastAsia" w:eastAsiaTheme="minorEastAsia"/>
          <w:lang w:eastAsia="zh-CN"/>
        </w:rPr>
        <w:t>4</w:t>
      </w:r>
      <w:r>
        <w:rPr>
          <w:rFonts w:asciiTheme="minorEastAsia" w:hAnsiTheme="minorEastAsia" w:eastAsiaTheme="minorEastAsia"/>
          <w:lang w:eastAsia="zh-CN"/>
        </w:rPr>
        <w:t>。</w:t>
      </w:r>
    </w:p>
    <w:p w14:paraId="4817477C">
      <w:pPr>
        <w:autoSpaceDE w:val="0"/>
        <w:autoSpaceDN w:val="0"/>
        <w:spacing w:line="240" w:lineRule="auto"/>
        <w:ind w:firstLine="944" w:firstLineChars="392"/>
        <w:rPr>
          <w:b/>
          <w:lang w:eastAsia="zh-CN"/>
        </w:rPr>
      </w:pPr>
      <w:r>
        <w:rPr>
          <w:b/>
          <w:lang w:eastAsia="zh-CN"/>
        </w:rPr>
        <w:t>表3.4-</w:t>
      </w:r>
      <w:r>
        <w:rPr>
          <w:rFonts w:hint="eastAsia"/>
          <w:b/>
          <w:lang w:eastAsia="zh-CN"/>
        </w:rPr>
        <w:t>4</w:t>
      </w:r>
      <w:r>
        <w:rPr>
          <w:b/>
          <w:lang w:eastAsia="zh-CN"/>
        </w:rPr>
        <w:t xml:space="preserve">  </w:t>
      </w:r>
      <w:r>
        <w:rPr>
          <w:rFonts w:hint="eastAsia"/>
          <w:b/>
          <w:lang w:eastAsia="zh-CN"/>
        </w:rPr>
        <w:t xml:space="preserve">       </w:t>
      </w:r>
      <w:r>
        <w:rPr>
          <w:b/>
          <w:lang w:eastAsia="zh-CN"/>
        </w:rPr>
        <w:t>进水及出水水质要求一览表</w:t>
      </w:r>
    </w:p>
    <w:tbl>
      <w:tblPr>
        <w:tblStyle w:val="76"/>
        <w:tblW w:w="0" w:type="auto"/>
        <w:tblInd w:w="39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34"/>
        <w:gridCol w:w="2551"/>
        <w:gridCol w:w="2127"/>
        <w:gridCol w:w="2325"/>
      </w:tblGrid>
      <w:tr w14:paraId="1A3B42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34" w:type="dxa"/>
            <w:vAlign w:val="center"/>
          </w:tcPr>
          <w:p w14:paraId="3D055ADD">
            <w:pPr>
              <w:pStyle w:val="337"/>
              <w:adjustRightInd w:val="0"/>
              <w:snapToGrid w:val="0"/>
              <w:rPr>
                <w:color w:val="auto"/>
                <w:lang w:val="en-US" w:eastAsia="en-US" w:bidi="en-US"/>
              </w:rPr>
            </w:pPr>
            <w:r>
              <w:rPr>
                <w:color w:val="auto"/>
                <w:lang w:val="en-US" w:eastAsia="en-US" w:bidi="en-US"/>
              </w:rPr>
              <w:t>序号</w:t>
            </w:r>
          </w:p>
        </w:tc>
        <w:tc>
          <w:tcPr>
            <w:tcW w:w="2551" w:type="dxa"/>
            <w:vAlign w:val="center"/>
          </w:tcPr>
          <w:p w14:paraId="05376919">
            <w:pPr>
              <w:pStyle w:val="337"/>
              <w:adjustRightInd w:val="0"/>
              <w:snapToGrid w:val="0"/>
              <w:rPr>
                <w:color w:val="auto"/>
                <w:lang w:val="en-US" w:eastAsia="en-US" w:bidi="en-US"/>
              </w:rPr>
            </w:pPr>
            <w:r>
              <w:rPr>
                <w:color w:val="auto"/>
                <w:lang w:val="en-US" w:eastAsia="en-US" w:bidi="en-US"/>
              </w:rPr>
              <w:t>项  目</w:t>
            </w:r>
          </w:p>
        </w:tc>
        <w:tc>
          <w:tcPr>
            <w:tcW w:w="2127" w:type="dxa"/>
            <w:vAlign w:val="center"/>
          </w:tcPr>
          <w:p w14:paraId="57677ADE">
            <w:pPr>
              <w:pStyle w:val="337"/>
              <w:adjustRightInd w:val="0"/>
              <w:snapToGrid w:val="0"/>
              <w:rPr>
                <w:color w:val="auto"/>
                <w:lang w:val="en-US" w:eastAsia="en-US" w:bidi="en-US"/>
              </w:rPr>
            </w:pPr>
            <w:r>
              <w:rPr>
                <w:color w:val="auto"/>
                <w:lang w:val="en-US" w:eastAsia="en-US" w:bidi="en-US"/>
              </w:rPr>
              <w:t>进水水质</w:t>
            </w:r>
          </w:p>
        </w:tc>
        <w:tc>
          <w:tcPr>
            <w:tcW w:w="2325" w:type="dxa"/>
            <w:vAlign w:val="center"/>
          </w:tcPr>
          <w:p w14:paraId="4BE69D90">
            <w:pPr>
              <w:pStyle w:val="337"/>
              <w:adjustRightInd w:val="0"/>
              <w:snapToGrid w:val="0"/>
              <w:rPr>
                <w:color w:val="auto"/>
                <w:lang w:val="en-US" w:eastAsia="en-US" w:bidi="en-US"/>
              </w:rPr>
            </w:pPr>
            <w:r>
              <w:rPr>
                <w:color w:val="auto"/>
                <w:lang w:val="en-US" w:eastAsia="en-US" w:bidi="en-US"/>
              </w:rPr>
              <w:t>注水水质标准</w:t>
            </w:r>
          </w:p>
        </w:tc>
      </w:tr>
      <w:tr w14:paraId="25D621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34" w:type="dxa"/>
            <w:vAlign w:val="center"/>
          </w:tcPr>
          <w:p w14:paraId="5B58F0EB">
            <w:pPr>
              <w:pStyle w:val="337"/>
              <w:adjustRightInd w:val="0"/>
              <w:snapToGrid w:val="0"/>
              <w:rPr>
                <w:color w:val="auto"/>
                <w:lang w:val="en-US" w:eastAsia="en-US" w:bidi="en-US"/>
              </w:rPr>
            </w:pPr>
            <w:r>
              <w:rPr>
                <w:color w:val="auto"/>
                <w:lang w:val="en-US" w:eastAsia="en-US" w:bidi="en-US"/>
              </w:rPr>
              <w:t>1</w:t>
            </w:r>
          </w:p>
        </w:tc>
        <w:tc>
          <w:tcPr>
            <w:tcW w:w="2551" w:type="dxa"/>
            <w:vAlign w:val="center"/>
          </w:tcPr>
          <w:p w14:paraId="50DF5BC3">
            <w:pPr>
              <w:pStyle w:val="337"/>
              <w:adjustRightInd w:val="0"/>
              <w:snapToGrid w:val="0"/>
              <w:rPr>
                <w:color w:val="auto"/>
                <w:lang w:val="en-US" w:eastAsia="en-US" w:bidi="en-US"/>
              </w:rPr>
            </w:pPr>
            <w:r>
              <w:rPr>
                <w:color w:val="auto"/>
                <w:lang w:val="en-US" w:eastAsia="en-US" w:bidi="en-US"/>
              </w:rPr>
              <w:t>含油（mg/L）</w:t>
            </w:r>
          </w:p>
        </w:tc>
        <w:tc>
          <w:tcPr>
            <w:tcW w:w="2127" w:type="dxa"/>
            <w:vAlign w:val="center"/>
          </w:tcPr>
          <w:p w14:paraId="6B87FC9F">
            <w:pPr>
              <w:pStyle w:val="337"/>
              <w:adjustRightInd w:val="0"/>
              <w:snapToGrid w:val="0"/>
              <w:rPr>
                <w:color w:val="auto"/>
                <w:lang w:val="en-US" w:eastAsia="en-US" w:bidi="en-US"/>
              </w:rPr>
            </w:pPr>
            <w:r>
              <w:rPr>
                <w:color w:val="auto"/>
                <w:lang w:val="en-US" w:eastAsia="en-US" w:bidi="en-US"/>
              </w:rPr>
              <w:t>≤1000</w:t>
            </w:r>
          </w:p>
        </w:tc>
        <w:tc>
          <w:tcPr>
            <w:tcW w:w="2325" w:type="dxa"/>
            <w:vAlign w:val="center"/>
          </w:tcPr>
          <w:p w14:paraId="64C3480B">
            <w:pPr>
              <w:pStyle w:val="337"/>
              <w:adjustRightInd w:val="0"/>
              <w:snapToGrid w:val="0"/>
              <w:rPr>
                <w:color w:val="auto"/>
                <w:lang w:val="en-US" w:eastAsia="en-US" w:bidi="en-US"/>
              </w:rPr>
            </w:pPr>
            <w:r>
              <w:rPr>
                <w:color w:val="auto"/>
                <w:lang w:val="en-US" w:eastAsia="en-US" w:bidi="en-US"/>
              </w:rPr>
              <w:t>≤5</w:t>
            </w:r>
          </w:p>
        </w:tc>
      </w:tr>
      <w:tr w14:paraId="4533C3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34" w:type="dxa"/>
            <w:vAlign w:val="center"/>
          </w:tcPr>
          <w:p w14:paraId="429DB758">
            <w:pPr>
              <w:pStyle w:val="337"/>
              <w:adjustRightInd w:val="0"/>
              <w:snapToGrid w:val="0"/>
              <w:rPr>
                <w:color w:val="auto"/>
                <w:lang w:val="en-US" w:eastAsia="en-US" w:bidi="en-US"/>
              </w:rPr>
            </w:pPr>
            <w:r>
              <w:rPr>
                <w:color w:val="auto"/>
                <w:lang w:val="en-US" w:eastAsia="en-US" w:bidi="en-US"/>
              </w:rPr>
              <w:t>2</w:t>
            </w:r>
          </w:p>
        </w:tc>
        <w:tc>
          <w:tcPr>
            <w:tcW w:w="2551" w:type="dxa"/>
            <w:vAlign w:val="center"/>
          </w:tcPr>
          <w:p w14:paraId="066391D6">
            <w:pPr>
              <w:pStyle w:val="337"/>
              <w:adjustRightInd w:val="0"/>
              <w:snapToGrid w:val="0"/>
              <w:rPr>
                <w:color w:val="auto"/>
                <w:lang w:val="en-US" w:eastAsia="en-US" w:bidi="en-US"/>
              </w:rPr>
            </w:pPr>
            <w:r>
              <w:rPr>
                <w:color w:val="auto"/>
                <w:lang w:val="en-US" w:eastAsia="en-US" w:bidi="en-US"/>
              </w:rPr>
              <w:t>悬浮物（mg/L）</w:t>
            </w:r>
          </w:p>
        </w:tc>
        <w:tc>
          <w:tcPr>
            <w:tcW w:w="2127" w:type="dxa"/>
            <w:vAlign w:val="center"/>
          </w:tcPr>
          <w:p w14:paraId="60CD1D98">
            <w:pPr>
              <w:pStyle w:val="337"/>
              <w:adjustRightInd w:val="0"/>
              <w:snapToGrid w:val="0"/>
              <w:rPr>
                <w:color w:val="auto"/>
                <w:lang w:val="en-US" w:eastAsia="en-US" w:bidi="en-US"/>
              </w:rPr>
            </w:pPr>
            <w:r>
              <w:rPr>
                <w:color w:val="auto"/>
                <w:lang w:val="en-US" w:eastAsia="en-US" w:bidi="en-US"/>
              </w:rPr>
              <w:t>≤</w:t>
            </w:r>
            <w:r>
              <w:rPr>
                <w:color w:val="auto"/>
                <w:lang w:val="en-US" w:eastAsia="zh-CN" w:bidi="en-US"/>
              </w:rPr>
              <w:t>100</w:t>
            </w:r>
          </w:p>
        </w:tc>
        <w:tc>
          <w:tcPr>
            <w:tcW w:w="2325" w:type="dxa"/>
            <w:vAlign w:val="center"/>
          </w:tcPr>
          <w:p w14:paraId="5941F8D7">
            <w:pPr>
              <w:pStyle w:val="337"/>
              <w:adjustRightInd w:val="0"/>
              <w:snapToGrid w:val="0"/>
              <w:rPr>
                <w:color w:val="auto"/>
                <w:lang w:val="en-US" w:eastAsia="en-US" w:bidi="en-US"/>
              </w:rPr>
            </w:pPr>
            <w:r>
              <w:rPr>
                <w:color w:val="auto"/>
                <w:lang w:val="en-US" w:eastAsia="en-US" w:bidi="en-US"/>
              </w:rPr>
              <w:t>≤1.0</w:t>
            </w:r>
          </w:p>
        </w:tc>
      </w:tr>
      <w:tr w14:paraId="173AFF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34" w:type="dxa"/>
            <w:vAlign w:val="center"/>
          </w:tcPr>
          <w:p w14:paraId="37887250">
            <w:pPr>
              <w:pStyle w:val="337"/>
              <w:adjustRightInd w:val="0"/>
              <w:snapToGrid w:val="0"/>
              <w:rPr>
                <w:color w:val="auto"/>
                <w:lang w:val="en-US" w:eastAsia="en-US" w:bidi="en-US"/>
              </w:rPr>
            </w:pPr>
            <w:r>
              <w:rPr>
                <w:color w:val="auto"/>
                <w:lang w:val="en-US" w:eastAsia="en-US" w:bidi="en-US"/>
              </w:rPr>
              <w:t>3</w:t>
            </w:r>
          </w:p>
        </w:tc>
        <w:tc>
          <w:tcPr>
            <w:tcW w:w="2551" w:type="dxa"/>
            <w:vAlign w:val="center"/>
          </w:tcPr>
          <w:p w14:paraId="0D0501A6">
            <w:pPr>
              <w:pStyle w:val="337"/>
              <w:adjustRightInd w:val="0"/>
              <w:snapToGrid w:val="0"/>
              <w:rPr>
                <w:color w:val="auto"/>
                <w:lang w:val="en-US" w:eastAsia="zh-CN" w:bidi="en-US"/>
              </w:rPr>
            </w:pPr>
            <w:r>
              <w:rPr>
                <w:color w:val="auto"/>
                <w:lang w:val="en-US" w:eastAsia="zh-CN" w:bidi="en-US"/>
              </w:rPr>
              <w:t>悬浮物颗粒中值</w:t>
            </w:r>
            <w:r>
              <w:rPr>
                <w:snapToGrid w:val="0"/>
                <w:color w:val="auto"/>
                <w:lang w:val="en-US" w:eastAsia="zh-CN" w:bidi="en-US"/>
              </w:rPr>
              <w:t>（</w:t>
            </w:r>
            <w:r>
              <w:rPr>
                <w:snapToGrid w:val="0"/>
                <w:color w:val="auto"/>
                <w:lang w:val="en-US" w:eastAsia="en-US" w:bidi="en-US"/>
              </w:rPr>
              <w:t>μ</w:t>
            </w:r>
            <w:r>
              <w:rPr>
                <w:snapToGrid w:val="0"/>
                <w:color w:val="auto"/>
                <w:lang w:val="en-US" w:eastAsia="zh-CN" w:bidi="en-US"/>
              </w:rPr>
              <w:t>m）</w:t>
            </w:r>
          </w:p>
        </w:tc>
        <w:tc>
          <w:tcPr>
            <w:tcW w:w="2127" w:type="dxa"/>
            <w:vAlign w:val="center"/>
          </w:tcPr>
          <w:p w14:paraId="03CBD2E1">
            <w:pPr>
              <w:pStyle w:val="337"/>
              <w:adjustRightInd w:val="0"/>
              <w:snapToGrid w:val="0"/>
              <w:rPr>
                <w:color w:val="auto"/>
                <w:lang w:val="en-US" w:eastAsia="zh-CN" w:bidi="en-US"/>
              </w:rPr>
            </w:pPr>
          </w:p>
        </w:tc>
        <w:tc>
          <w:tcPr>
            <w:tcW w:w="2325" w:type="dxa"/>
            <w:vAlign w:val="center"/>
          </w:tcPr>
          <w:p w14:paraId="350C57C4">
            <w:pPr>
              <w:pStyle w:val="337"/>
              <w:adjustRightInd w:val="0"/>
              <w:snapToGrid w:val="0"/>
              <w:rPr>
                <w:color w:val="auto"/>
                <w:lang w:val="en-US" w:eastAsia="en-US" w:bidi="en-US"/>
              </w:rPr>
            </w:pPr>
            <w:r>
              <w:rPr>
                <w:color w:val="auto"/>
                <w:lang w:val="en-US" w:eastAsia="en-US" w:bidi="en-US"/>
              </w:rPr>
              <w:t>≤1</w:t>
            </w:r>
          </w:p>
        </w:tc>
      </w:tr>
      <w:tr w14:paraId="1C4E1F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34" w:type="dxa"/>
            <w:vAlign w:val="center"/>
          </w:tcPr>
          <w:p w14:paraId="4815003E">
            <w:pPr>
              <w:pStyle w:val="337"/>
              <w:adjustRightInd w:val="0"/>
              <w:snapToGrid w:val="0"/>
              <w:rPr>
                <w:color w:val="auto"/>
                <w:lang w:val="en-US" w:eastAsia="en-US" w:bidi="en-US"/>
              </w:rPr>
            </w:pPr>
            <w:r>
              <w:rPr>
                <w:color w:val="auto"/>
                <w:lang w:val="en-US" w:eastAsia="en-US" w:bidi="en-US"/>
              </w:rPr>
              <w:t>4</w:t>
            </w:r>
          </w:p>
        </w:tc>
        <w:tc>
          <w:tcPr>
            <w:tcW w:w="2551" w:type="dxa"/>
            <w:vAlign w:val="center"/>
          </w:tcPr>
          <w:p w14:paraId="49BCE194">
            <w:pPr>
              <w:pStyle w:val="337"/>
              <w:rPr>
                <w:color w:val="auto"/>
                <w:lang w:val="en-US" w:eastAsia="en-US" w:bidi="en-US"/>
              </w:rPr>
            </w:pPr>
            <w:r>
              <w:rPr>
                <w:color w:val="auto"/>
                <w:lang w:val="en-US" w:eastAsia="zh-CN" w:bidi="en-US"/>
              </w:rPr>
              <w:t>SRB</w:t>
            </w:r>
            <w:r>
              <w:rPr>
                <w:color w:val="auto"/>
                <w:lang w:val="en-US" w:eastAsia="en-US" w:bidi="en-US"/>
              </w:rPr>
              <w:t>（个/mL）</w:t>
            </w:r>
          </w:p>
        </w:tc>
        <w:tc>
          <w:tcPr>
            <w:tcW w:w="2127" w:type="dxa"/>
            <w:vAlign w:val="center"/>
          </w:tcPr>
          <w:p w14:paraId="1428BBF5">
            <w:pPr>
              <w:pStyle w:val="337"/>
              <w:adjustRightInd w:val="0"/>
              <w:snapToGrid w:val="0"/>
              <w:rPr>
                <w:color w:val="auto"/>
                <w:lang w:val="en-US" w:eastAsia="en-US" w:bidi="en-US"/>
              </w:rPr>
            </w:pPr>
          </w:p>
        </w:tc>
        <w:tc>
          <w:tcPr>
            <w:tcW w:w="2325" w:type="dxa"/>
            <w:vAlign w:val="center"/>
          </w:tcPr>
          <w:p w14:paraId="1EE114CE">
            <w:pPr>
              <w:pStyle w:val="337"/>
              <w:adjustRightInd w:val="0"/>
              <w:snapToGrid w:val="0"/>
              <w:rPr>
                <w:color w:val="auto"/>
                <w:lang w:val="en-US" w:eastAsia="zh-CN" w:bidi="en-US"/>
              </w:rPr>
            </w:pPr>
            <w:r>
              <w:rPr>
                <w:color w:val="auto"/>
                <w:lang w:val="en-US" w:eastAsia="en-US" w:bidi="en-US"/>
              </w:rPr>
              <w:t>≤</w:t>
            </w:r>
            <w:r>
              <w:rPr>
                <w:color w:val="auto"/>
                <w:lang w:val="en-US" w:eastAsia="zh-CN" w:bidi="en-US"/>
              </w:rPr>
              <w:t>10</w:t>
            </w:r>
          </w:p>
        </w:tc>
      </w:tr>
      <w:tr w14:paraId="2278A8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34" w:type="dxa"/>
            <w:vAlign w:val="center"/>
          </w:tcPr>
          <w:p w14:paraId="3B1624F4">
            <w:pPr>
              <w:pStyle w:val="337"/>
              <w:adjustRightInd w:val="0"/>
              <w:snapToGrid w:val="0"/>
              <w:rPr>
                <w:color w:val="auto"/>
                <w:lang w:val="en-US" w:eastAsia="en-US" w:bidi="en-US"/>
              </w:rPr>
            </w:pPr>
            <w:r>
              <w:rPr>
                <w:color w:val="auto"/>
                <w:lang w:val="en-US" w:eastAsia="en-US" w:bidi="en-US"/>
              </w:rPr>
              <w:t>5</w:t>
            </w:r>
          </w:p>
        </w:tc>
        <w:tc>
          <w:tcPr>
            <w:tcW w:w="2551" w:type="dxa"/>
            <w:vAlign w:val="center"/>
          </w:tcPr>
          <w:p w14:paraId="49086C93">
            <w:pPr>
              <w:pStyle w:val="337"/>
              <w:adjustRightInd w:val="0"/>
              <w:snapToGrid w:val="0"/>
              <w:rPr>
                <w:color w:val="auto"/>
                <w:lang w:val="en-US" w:eastAsia="en-US" w:bidi="en-US"/>
              </w:rPr>
            </w:pPr>
            <w:r>
              <w:rPr>
                <w:color w:val="auto"/>
                <w:lang w:val="en-US" w:eastAsia="zh-CN" w:bidi="en-US"/>
              </w:rPr>
              <w:t>IB</w:t>
            </w:r>
            <w:r>
              <w:rPr>
                <w:color w:val="auto"/>
                <w:lang w:val="en-US" w:eastAsia="en-US" w:bidi="en-US"/>
              </w:rPr>
              <w:t>（个/mL）</w:t>
            </w:r>
          </w:p>
        </w:tc>
        <w:tc>
          <w:tcPr>
            <w:tcW w:w="2127" w:type="dxa"/>
            <w:vAlign w:val="center"/>
          </w:tcPr>
          <w:p w14:paraId="626021A3">
            <w:pPr>
              <w:pStyle w:val="337"/>
              <w:adjustRightInd w:val="0"/>
              <w:snapToGrid w:val="0"/>
              <w:rPr>
                <w:color w:val="auto"/>
                <w:lang w:val="en-US" w:eastAsia="en-US" w:bidi="en-US"/>
              </w:rPr>
            </w:pPr>
          </w:p>
        </w:tc>
        <w:tc>
          <w:tcPr>
            <w:tcW w:w="2325" w:type="dxa"/>
            <w:vAlign w:val="center"/>
          </w:tcPr>
          <w:p w14:paraId="062AB59E">
            <w:pPr>
              <w:pStyle w:val="337"/>
              <w:adjustRightInd w:val="0"/>
              <w:snapToGrid w:val="0"/>
              <w:rPr>
                <w:color w:val="auto"/>
                <w:lang w:val="en-US" w:eastAsia="en-US" w:bidi="en-US"/>
              </w:rPr>
            </w:pPr>
            <w:r>
              <w:rPr>
                <w:color w:val="auto"/>
                <w:lang w:val="en-US" w:eastAsia="en-US" w:bidi="en-US"/>
              </w:rPr>
              <w:t>≤</w:t>
            </w:r>
            <w:r>
              <w:rPr>
                <w:color w:val="auto"/>
                <w:lang w:val="en-US" w:eastAsia="zh-CN" w:bidi="en-US"/>
              </w:rPr>
              <w:t>n*10</w:t>
            </w:r>
            <w:r>
              <w:rPr>
                <w:color w:val="auto"/>
                <w:vertAlign w:val="superscript"/>
                <w:lang w:val="en-US" w:eastAsia="zh-CN" w:bidi="en-US"/>
              </w:rPr>
              <w:t>2</w:t>
            </w:r>
          </w:p>
        </w:tc>
      </w:tr>
      <w:tr w14:paraId="4F5ADF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34" w:type="dxa"/>
            <w:vAlign w:val="center"/>
          </w:tcPr>
          <w:p w14:paraId="54441545">
            <w:pPr>
              <w:pStyle w:val="337"/>
              <w:adjustRightInd w:val="0"/>
              <w:snapToGrid w:val="0"/>
              <w:rPr>
                <w:color w:val="auto"/>
                <w:lang w:val="en-US" w:eastAsia="en-US" w:bidi="en-US"/>
              </w:rPr>
            </w:pPr>
            <w:r>
              <w:rPr>
                <w:color w:val="auto"/>
                <w:lang w:val="en-US" w:eastAsia="en-US" w:bidi="en-US"/>
              </w:rPr>
              <w:t>6</w:t>
            </w:r>
          </w:p>
        </w:tc>
        <w:tc>
          <w:tcPr>
            <w:tcW w:w="2551" w:type="dxa"/>
            <w:vAlign w:val="center"/>
          </w:tcPr>
          <w:p w14:paraId="2A349964">
            <w:pPr>
              <w:pStyle w:val="337"/>
              <w:adjustRightInd w:val="0"/>
              <w:snapToGrid w:val="0"/>
              <w:rPr>
                <w:snapToGrid w:val="0"/>
                <w:color w:val="auto"/>
                <w:lang w:val="en-US" w:eastAsia="zh-CN" w:bidi="en-US"/>
              </w:rPr>
            </w:pPr>
            <w:r>
              <w:rPr>
                <w:color w:val="auto"/>
                <w:lang w:val="en-US" w:eastAsia="zh-CN" w:bidi="en-US"/>
              </w:rPr>
              <w:t>TGB</w:t>
            </w:r>
            <w:r>
              <w:rPr>
                <w:snapToGrid w:val="0"/>
                <w:color w:val="auto"/>
                <w:lang w:val="en-US" w:eastAsia="zh-CN" w:bidi="en-US"/>
              </w:rPr>
              <w:t>（个/mL）</w:t>
            </w:r>
          </w:p>
        </w:tc>
        <w:tc>
          <w:tcPr>
            <w:tcW w:w="2127" w:type="dxa"/>
            <w:vAlign w:val="center"/>
          </w:tcPr>
          <w:p w14:paraId="77040FAE">
            <w:pPr>
              <w:pStyle w:val="337"/>
              <w:adjustRightInd w:val="0"/>
              <w:snapToGrid w:val="0"/>
              <w:rPr>
                <w:color w:val="auto"/>
                <w:lang w:val="en-US" w:eastAsia="zh-CN" w:bidi="en-US"/>
              </w:rPr>
            </w:pPr>
          </w:p>
        </w:tc>
        <w:tc>
          <w:tcPr>
            <w:tcW w:w="2325" w:type="dxa"/>
            <w:vAlign w:val="center"/>
          </w:tcPr>
          <w:p w14:paraId="0FEA1224">
            <w:pPr>
              <w:pStyle w:val="337"/>
              <w:adjustRightInd w:val="0"/>
              <w:snapToGrid w:val="0"/>
              <w:rPr>
                <w:color w:val="auto"/>
                <w:lang w:val="en-US" w:eastAsia="en-US" w:bidi="en-US"/>
              </w:rPr>
            </w:pPr>
            <w:r>
              <w:rPr>
                <w:color w:val="auto"/>
                <w:lang w:val="en-US" w:eastAsia="en-US" w:bidi="en-US"/>
              </w:rPr>
              <w:t>≤</w:t>
            </w:r>
            <w:r>
              <w:rPr>
                <w:color w:val="auto"/>
                <w:lang w:val="en-US" w:eastAsia="zh-CN" w:bidi="en-US"/>
              </w:rPr>
              <w:t>n*10</w:t>
            </w:r>
            <w:r>
              <w:rPr>
                <w:color w:val="auto"/>
                <w:vertAlign w:val="superscript"/>
                <w:lang w:val="en-US" w:eastAsia="zh-CN" w:bidi="en-US"/>
              </w:rPr>
              <w:t>2</w:t>
            </w:r>
          </w:p>
        </w:tc>
      </w:tr>
      <w:tr w14:paraId="466789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34" w:type="dxa"/>
            <w:vAlign w:val="center"/>
          </w:tcPr>
          <w:p w14:paraId="5E3B27A4">
            <w:pPr>
              <w:pStyle w:val="337"/>
              <w:adjustRightInd w:val="0"/>
              <w:snapToGrid w:val="0"/>
              <w:rPr>
                <w:color w:val="auto"/>
                <w:lang w:val="en-US" w:eastAsia="en-US" w:bidi="en-US"/>
              </w:rPr>
            </w:pPr>
            <w:r>
              <w:rPr>
                <w:color w:val="auto"/>
                <w:lang w:val="en-US" w:eastAsia="en-US" w:bidi="en-US"/>
              </w:rPr>
              <w:t>7</w:t>
            </w:r>
          </w:p>
        </w:tc>
        <w:tc>
          <w:tcPr>
            <w:tcW w:w="2551" w:type="dxa"/>
            <w:vAlign w:val="center"/>
          </w:tcPr>
          <w:p w14:paraId="230E5A1D">
            <w:pPr>
              <w:pStyle w:val="337"/>
              <w:adjustRightInd w:val="0"/>
              <w:snapToGrid w:val="0"/>
              <w:rPr>
                <w:snapToGrid w:val="0"/>
                <w:color w:val="auto"/>
                <w:lang w:val="en-US" w:eastAsia="en-US" w:bidi="en-US"/>
              </w:rPr>
            </w:pPr>
            <w:r>
              <w:rPr>
                <w:color w:val="auto"/>
                <w:lang w:val="en-US" w:eastAsia="zh-CN" w:bidi="en-US"/>
              </w:rPr>
              <w:t>平均腐蚀率(min</w:t>
            </w:r>
            <w:r>
              <w:rPr>
                <w:color w:val="auto"/>
                <w:lang w:val="en-US" w:eastAsia="en-US" w:bidi="en-US"/>
              </w:rPr>
              <w:t>/</w:t>
            </w:r>
            <w:r>
              <w:rPr>
                <w:color w:val="auto"/>
                <w:lang w:val="en-US" w:eastAsia="zh-CN" w:bidi="en-US"/>
              </w:rPr>
              <w:t>年)</w:t>
            </w:r>
          </w:p>
        </w:tc>
        <w:tc>
          <w:tcPr>
            <w:tcW w:w="2127" w:type="dxa"/>
            <w:vAlign w:val="center"/>
          </w:tcPr>
          <w:p w14:paraId="50A86DE2">
            <w:pPr>
              <w:pStyle w:val="337"/>
              <w:adjustRightInd w:val="0"/>
              <w:snapToGrid w:val="0"/>
              <w:rPr>
                <w:color w:val="auto"/>
                <w:lang w:val="en-US" w:eastAsia="en-US" w:bidi="en-US"/>
              </w:rPr>
            </w:pPr>
          </w:p>
        </w:tc>
        <w:tc>
          <w:tcPr>
            <w:tcW w:w="2325" w:type="dxa"/>
            <w:vAlign w:val="center"/>
          </w:tcPr>
          <w:p w14:paraId="4F38F850">
            <w:pPr>
              <w:pStyle w:val="337"/>
              <w:adjustRightInd w:val="0"/>
              <w:snapToGrid w:val="0"/>
              <w:rPr>
                <w:color w:val="auto"/>
                <w:lang w:val="en-US" w:eastAsia="en-US" w:bidi="en-US"/>
              </w:rPr>
            </w:pPr>
            <w:r>
              <w:rPr>
                <w:color w:val="auto"/>
                <w:lang w:val="en-US" w:eastAsia="en-US" w:bidi="en-US"/>
              </w:rPr>
              <w:t>≤</w:t>
            </w:r>
            <w:r>
              <w:rPr>
                <w:color w:val="auto"/>
                <w:lang w:val="en-US" w:eastAsia="zh-CN" w:bidi="en-US"/>
              </w:rPr>
              <w:t>0.076</w:t>
            </w:r>
          </w:p>
        </w:tc>
      </w:tr>
    </w:tbl>
    <w:p w14:paraId="1DB6F9F8">
      <w:pPr>
        <w:adjustRightInd w:val="0"/>
        <w:snapToGrid w:val="0"/>
        <w:ind w:firstLine="361"/>
        <w:rPr>
          <w:b/>
          <w:sz w:val="18"/>
          <w:szCs w:val="18"/>
          <w:lang w:eastAsia="zh-CN"/>
        </w:rPr>
      </w:pPr>
      <w:r>
        <w:rPr>
          <w:b/>
          <w:sz w:val="18"/>
          <w:szCs w:val="18"/>
          <w:lang w:eastAsia="zh-CN"/>
        </w:rPr>
        <w:t>注1&lt;n&lt;10</w:t>
      </w:r>
    </w:p>
    <w:bookmarkEnd w:id="152"/>
    <w:bookmarkEnd w:id="153"/>
    <w:bookmarkEnd w:id="199"/>
    <w:bookmarkEnd w:id="200"/>
    <w:p w14:paraId="5BE31C1B">
      <w:pPr>
        <w:pStyle w:val="4"/>
        <w:rPr>
          <w:lang w:eastAsia="zh-CN"/>
        </w:rPr>
      </w:pPr>
      <w:bookmarkStart w:id="201" w:name="_Toc408413944"/>
      <w:bookmarkStart w:id="202" w:name="_Toc184633820"/>
      <w:bookmarkStart w:id="203" w:name="_Toc287598155"/>
      <w:bookmarkStart w:id="204" w:name="_Toc279676618"/>
      <w:r>
        <w:rPr>
          <w:lang w:eastAsia="zh-CN"/>
        </w:rPr>
        <w:t>3.4.</w:t>
      </w:r>
      <w:r>
        <w:rPr>
          <w:rFonts w:hint="eastAsia"/>
          <w:lang w:eastAsia="zh-CN"/>
        </w:rPr>
        <w:t>7</w:t>
      </w:r>
      <w:r>
        <w:rPr>
          <w:lang w:eastAsia="zh-CN"/>
        </w:rPr>
        <w:t>注水工艺</w:t>
      </w:r>
      <w:bookmarkEnd w:id="201"/>
    </w:p>
    <w:p w14:paraId="319323C1">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乌里雅斯太油田</w:t>
      </w:r>
      <w:r>
        <w:rPr>
          <w:rFonts w:asciiTheme="minorEastAsia" w:hAnsiTheme="minorEastAsia" w:eastAsiaTheme="minorEastAsia"/>
          <w:lang w:eastAsia="zh-CN"/>
        </w:rPr>
        <w:t>采用注水开发方式，采用了</w:t>
      </w:r>
      <w:r>
        <w:rPr>
          <w:rFonts w:hint="eastAsia" w:asciiTheme="minorEastAsia" w:hAnsiTheme="minorEastAsia" w:eastAsiaTheme="minorEastAsia"/>
          <w:lang w:eastAsia="zh-CN"/>
        </w:rPr>
        <w:t>网格型布</w:t>
      </w:r>
      <w:r>
        <w:rPr>
          <w:rFonts w:asciiTheme="minorEastAsia" w:hAnsiTheme="minorEastAsia" w:eastAsiaTheme="minorEastAsia"/>
          <w:lang w:eastAsia="zh-CN"/>
        </w:rPr>
        <w:t>井，井距按</w:t>
      </w:r>
      <w:r>
        <w:rPr>
          <w:rFonts w:hint="eastAsia" w:asciiTheme="minorEastAsia" w:hAnsiTheme="minorEastAsia" w:eastAsiaTheme="minorEastAsia"/>
          <w:lang w:eastAsia="zh-CN"/>
        </w:rPr>
        <w:t>1</w:t>
      </w:r>
      <w:r>
        <w:rPr>
          <w:rFonts w:asciiTheme="minorEastAsia" w:hAnsiTheme="minorEastAsia" w:eastAsiaTheme="minorEastAsia"/>
          <w:lang w:eastAsia="zh-CN"/>
        </w:rPr>
        <w:t>50</w:t>
      </w:r>
      <w:r>
        <w:rPr>
          <w:rFonts w:hint="eastAsia" w:asciiTheme="minorEastAsia" w:hAnsiTheme="minorEastAsia" w:eastAsiaTheme="minorEastAsia"/>
          <w:lang w:eastAsia="zh-CN"/>
        </w:rPr>
        <w:t>-250</w:t>
      </w:r>
      <w:r>
        <w:rPr>
          <w:rFonts w:asciiTheme="minorEastAsia" w:hAnsiTheme="minorEastAsia" w:eastAsiaTheme="minorEastAsia"/>
          <w:lang w:eastAsia="zh-CN"/>
        </w:rPr>
        <w:t>m左右部署。</w:t>
      </w:r>
      <w:r>
        <w:rPr>
          <w:rFonts w:hint="eastAsia" w:asciiTheme="minorEastAsia" w:hAnsiTheme="minorEastAsia" w:eastAsiaTheme="minorEastAsia"/>
          <w:lang w:eastAsia="zh-CN"/>
        </w:rPr>
        <w:t>雅斯联合站内</w:t>
      </w:r>
      <w:r>
        <w:rPr>
          <w:rFonts w:asciiTheme="minorEastAsia" w:hAnsiTheme="minorEastAsia" w:eastAsiaTheme="minorEastAsia"/>
          <w:lang w:eastAsia="zh-CN"/>
        </w:rPr>
        <w:t>建有一套注水系统，负责</w:t>
      </w:r>
      <w:r>
        <w:rPr>
          <w:rFonts w:hint="eastAsia" w:asciiTheme="minorEastAsia" w:hAnsiTheme="minorEastAsia" w:eastAsiaTheme="minorEastAsia"/>
          <w:lang w:eastAsia="zh-CN"/>
        </w:rPr>
        <w:t>太53、太27</w:t>
      </w:r>
      <w:r>
        <w:rPr>
          <w:rFonts w:asciiTheme="minorEastAsia" w:hAnsiTheme="minorEastAsia" w:eastAsiaTheme="minorEastAsia"/>
          <w:lang w:eastAsia="zh-CN"/>
        </w:rPr>
        <w:t>断块的注水。本项目注水系统压力为20MPa，注水井口压力为16 MPa。</w:t>
      </w:r>
    </w:p>
    <w:p w14:paraId="1E8F710F">
      <w:pPr>
        <w:ind w:firstLine="480"/>
        <w:outlineLvl w:val="0"/>
        <w:rPr>
          <w:rFonts w:asciiTheme="minorEastAsia" w:hAnsiTheme="minorEastAsia" w:eastAsiaTheme="minorEastAsia"/>
          <w:lang w:eastAsia="zh-CN"/>
        </w:rPr>
      </w:pPr>
      <w:r>
        <w:rPr>
          <w:rFonts w:hint="eastAsia" w:asciiTheme="minorEastAsia" w:hAnsiTheme="minorEastAsia" w:eastAsiaTheme="minorEastAsia"/>
          <w:lang w:eastAsia="zh-CN"/>
        </w:rPr>
        <w:t>1</w:t>
      </w:r>
      <w:r>
        <w:rPr>
          <w:rFonts w:asciiTheme="minorEastAsia" w:hAnsiTheme="minorEastAsia" w:eastAsiaTheme="minorEastAsia"/>
          <w:lang w:eastAsia="zh-CN"/>
        </w:rPr>
        <w:t>、工艺流程</w:t>
      </w:r>
    </w:p>
    <w:p w14:paraId="4BCE3D48">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乌里雅斯太油田根据地质储层特性，</w:t>
      </w:r>
      <w:r>
        <w:rPr>
          <w:rFonts w:asciiTheme="minorEastAsia" w:hAnsiTheme="minorEastAsia" w:eastAsiaTheme="minorEastAsia"/>
          <w:lang w:eastAsia="zh-CN"/>
        </w:rPr>
        <w:t>采用多井配水单管注水流程，洗井车洗井。</w:t>
      </w:r>
    </w:p>
    <w:p w14:paraId="51C6CC24">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（1）</w:t>
      </w:r>
      <w:r>
        <w:rPr>
          <w:rFonts w:asciiTheme="minorEastAsia" w:hAnsiTheme="minorEastAsia" w:eastAsiaTheme="minorEastAsia"/>
          <w:lang w:eastAsia="zh-CN"/>
        </w:rPr>
        <w:t>注水工艺流程</w:t>
      </w:r>
    </w:p>
    <w:p w14:paraId="1DF38832">
      <w:pPr>
        <w:ind w:firstLine="480"/>
        <w:rPr>
          <w:rFonts w:asciiTheme="minorEastAsia" w:hAnsiTheme="minorEastAsia" w:eastAsiaTheme="minorEastAsia"/>
          <w:lang w:eastAsia="zh-CN"/>
        </w:rPr>
      </w:pPr>
      <w:r>
        <w:rPr>
          <w:rFonts w:asciiTheme="minorEastAsia" w:hAnsiTheme="minorEastAsia" w:eastAsiaTheme="minorEastAsia"/>
          <w:lang w:eastAsia="zh-CN"/>
        </w:rPr>
        <w:t>注水原理流程示意如下：</w:t>
      </w:r>
    </w:p>
    <w:p w14:paraId="55EB7BE4">
      <w:pPr>
        <w:ind w:firstLine="0" w:firstLineChars="0"/>
        <w:rPr>
          <w:lang w:eastAsia="zh-CN"/>
        </w:rPr>
      </w:pPr>
      <w:r>
        <w:object>
          <v:shape id="_x0000_i1025" o:spt="75" type="#_x0000_t75" style="height:72pt;width:415.5pt;" o:ole="t" filled="f" o:preferrelative="t" stroked="f" coordsize="21600,21600">
            <v:path/>
            <v:fill on="f" focussize="0,0"/>
            <v:stroke on="f" joinstyle="miter"/>
            <v:imagedata r:id="rId33" o:title=""/>
            <o:lock v:ext="edit" aspectratio="t"/>
            <w10:wrap type="none"/>
            <w10:anchorlock/>
          </v:shape>
          <o:OLEObject Type="Embed" ProgID="Visio.Drawing.11" ShapeID="_x0000_i1025" DrawAspect="Content" ObjectID="_1468075725" r:id="rId32">
            <o:LockedField>false</o:LockedField>
          </o:OLEObject>
        </w:object>
      </w:r>
    </w:p>
    <w:p w14:paraId="7537A274">
      <w:pPr>
        <w:ind w:firstLine="480"/>
        <w:rPr>
          <w:rFonts w:asciiTheme="minorEastAsia" w:hAnsiTheme="minorEastAsia" w:eastAsiaTheme="minorEastAsia"/>
          <w:lang w:eastAsia="zh-CN"/>
        </w:rPr>
      </w:pPr>
      <w:r>
        <w:rPr>
          <w:rFonts w:asciiTheme="minorEastAsia" w:hAnsiTheme="minorEastAsia" w:eastAsiaTheme="minorEastAsia"/>
          <w:lang w:eastAsia="zh-CN"/>
        </w:rPr>
        <w:t>污水处理系统处理后的水进入污水储罐；水源井来水进入清水罐储存，注水经喂水泵提升、过滤器过滤后，由注水泵升压至20MPa，通过配水计量阀组分配计量后，经单井注水管线将水注入地层。</w:t>
      </w:r>
    </w:p>
    <w:p w14:paraId="4D179924">
      <w:pPr>
        <w:ind w:firstLine="480"/>
        <w:outlineLvl w:val="0"/>
        <w:rPr>
          <w:rFonts w:asciiTheme="minorEastAsia" w:hAnsiTheme="minorEastAsia" w:eastAsiaTheme="minorEastAsia"/>
          <w:lang w:eastAsia="zh-CN"/>
        </w:rPr>
      </w:pPr>
      <w:r>
        <w:rPr>
          <w:rFonts w:hint="eastAsia" w:asciiTheme="minorEastAsia" w:hAnsiTheme="minorEastAsia" w:eastAsiaTheme="minorEastAsia"/>
          <w:lang w:eastAsia="zh-CN"/>
        </w:rPr>
        <w:t xml:space="preserve"> （2）</w:t>
      </w:r>
      <w:r>
        <w:rPr>
          <w:rFonts w:asciiTheme="minorEastAsia" w:hAnsiTheme="minorEastAsia" w:eastAsiaTheme="minorEastAsia"/>
          <w:lang w:eastAsia="zh-CN"/>
        </w:rPr>
        <w:t>注剂工艺流程</w:t>
      </w:r>
    </w:p>
    <w:p w14:paraId="54267D35">
      <w:pPr>
        <w:ind w:firstLine="480"/>
        <w:rPr>
          <w:rFonts w:asciiTheme="minorEastAsia" w:hAnsiTheme="minorEastAsia" w:eastAsiaTheme="minorEastAsia"/>
          <w:lang w:eastAsia="zh-CN"/>
        </w:rPr>
      </w:pPr>
      <w:r>
        <w:rPr>
          <w:rFonts w:asciiTheme="minorEastAsia" w:hAnsiTheme="minorEastAsia" w:eastAsiaTheme="minorEastAsia"/>
          <w:lang w:eastAsia="zh-CN"/>
        </w:rPr>
        <w:t>经过处理的生产废水和水源井的清水在进入注水泵前，在注水泵口添加防膨防敏剂，注水经过注水泵加压，进入注水管网，分配给各断块注水井。为了降低粘土膨胀对地层渗透率的破坏作用，在注水泵的进口添加防膨防敏剂（氯化钾）用以减缓地层渗透率的降低。防膨剂在搅拌池内充分搅拌后由离心泵送至注水泵，然后同注水经注水管网到注水井。注水及注剂工艺流程示意如下：</w:t>
      </w:r>
    </w:p>
    <w:p w14:paraId="63CCB172">
      <w:pPr>
        <w:ind w:firstLine="0" w:firstLineChars="0"/>
        <w:rPr>
          <w:lang w:eastAsia="zh-CN"/>
        </w:rPr>
      </w:pPr>
      <w:r>
        <w:object>
          <v:shape id="_x0000_i1026" o:spt="75" type="#_x0000_t75" style="height:143.25pt;width:415.5pt;" o:ole="t" filled="f" o:preferrelative="t" stroked="f" coordsize="21600,21600">
            <v:path/>
            <v:fill on="f" focussize="0,0"/>
            <v:stroke on="f" joinstyle="miter"/>
            <v:imagedata r:id="rId35" o:title=""/>
            <o:lock v:ext="edit" aspectratio="t"/>
            <w10:wrap type="none"/>
            <w10:anchorlock/>
          </v:shape>
          <o:OLEObject Type="Embed" ProgID="Visio.Drawing.11" ShapeID="_x0000_i1026" DrawAspect="Content" ObjectID="_1468075726" r:id="rId34">
            <o:LockedField>false</o:LockedField>
          </o:OLEObject>
        </w:object>
      </w:r>
    </w:p>
    <w:p w14:paraId="77163091">
      <w:pPr>
        <w:pStyle w:val="3"/>
        <w:rPr>
          <w:lang w:eastAsia="zh-CN"/>
        </w:rPr>
      </w:pPr>
      <w:bookmarkStart w:id="205" w:name="_Toc408413945"/>
      <w:r>
        <w:rPr>
          <w:lang w:eastAsia="zh-CN"/>
        </w:rPr>
        <w:t>3.5</w:t>
      </w:r>
      <w:r>
        <w:rPr>
          <w:rFonts w:hint="eastAsia"/>
          <w:lang w:eastAsia="zh-CN"/>
        </w:rPr>
        <w:t>现有</w:t>
      </w:r>
      <w:r>
        <w:rPr>
          <w:lang w:eastAsia="zh-CN"/>
        </w:rPr>
        <w:t>工程环境影响因素分析</w:t>
      </w:r>
      <w:bookmarkEnd w:id="205"/>
    </w:p>
    <w:p w14:paraId="6CF77C03">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乌里雅斯太油田属于滚动式开发，</w:t>
      </w:r>
      <w:r>
        <w:rPr>
          <w:rFonts w:asciiTheme="minorEastAsia" w:hAnsiTheme="minorEastAsia" w:eastAsiaTheme="minorEastAsia"/>
          <w:lang w:eastAsia="zh-CN"/>
        </w:rPr>
        <w:t>在勘探、钻井、测井、井下作业、采油、集输油、污水处理等生产过程中产生含油废水、含油固体等，可能对大气、水体、土壤等造成污染。</w:t>
      </w:r>
      <w:r>
        <w:rPr>
          <w:rFonts w:hint="eastAsia" w:asciiTheme="minorEastAsia" w:hAnsiTheme="minorEastAsia" w:eastAsiaTheme="minorEastAsia"/>
          <w:lang w:eastAsia="zh-CN"/>
        </w:rPr>
        <w:t>本项目是在现已探明并开发的油田断块上的滚动开发项目，勘探期对环境的影响已经结束。</w:t>
      </w:r>
    </w:p>
    <w:p w14:paraId="511AFADB">
      <w:pPr>
        <w:pStyle w:val="4"/>
        <w:rPr>
          <w:lang w:eastAsia="zh-CN"/>
        </w:rPr>
      </w:pPr>
      <w:bookmarkStart w:id="206" w:name="_Toc408413946"/>
      <w:r>
        <w:rPr>
          <w:rFonts w:hint="eastAsia"/>
          <w:lang w:eastAsia="zh-CN"/>
        </w:rPr>
        <w:t>3.5.1现有工程概况</w:t>
      </w:r>
      <w:bookmarkEnd w:id="206"/>
    </w:p>
    <w:p w14:paraId="510AA2C0">
      <w:pPr>
        <w:ind w:firstLine="480"/>
        <w:rPr>
          <w:rFonts w:asciiTheme="minorEastAsia" w:hAnsiTheme="minorEastAsia" w:eastAsiaTheme="minorEastAsia"/>
          <w:lang w:eastAsia="zh-CN"/>
        </w:rPr>
      </w:pPr>
      <w:r>
        <w:rPr>
          <w:rFonts w:asciiTheme="minorEastAsia" w:hAnsiTheme="minorEastAsia" w:eastAsiaTheme="minorEastAsia"/>
          <w:lang w:eastAsia="zh-CN"/>
        </w:rPr>
        <w:t>乌里雅斯太油田地面产能开发建设项目</w:t>
      </w:r>
      <w:r>
        <w:rPr>
          <w:rFonts w:hint="eastAsia" w:asciiTheme="minorEastAsia" w:hAnsiTheme="minorEastAsia" w:eastAsiaTheme="minorEastAsia"/>
          <w:lang w:eastAsia="zh-CN"/>
        </w:rPr>
        <w:t xml:space="preserve">，开发太53 </w:t>
      </w:r>
      <w:r>
        <w:rPr>
          <w:rFonts w:asciiTheme="minorEastAsia" w:hAnsiTheme="minorEastAsia" w:eastAsiaTheme="minorEastAsia"/>
          <w:lang w:eastAsia="zh-CN"/>
        </w:rPr>
        <w:t>断块</w:t>
      </w:r>
      <w:r>
        <w:rPr>
          <w:rFonts w:hint="eastAsia" w:asciiTheme="minorEastAsia" w:hAnsiTheme="minorEastAsia" w:eastAsiaTheme="minorEastAsia"/>
          <w:lang w:eastAsia="zh-CN"/>
        </w:rPr>
        <w:t xml:space="preserve">和太27 </w:t>
      </w:r>
      <w:r>
        <w:rPr>
          <w:rFonts w:asciiTheme="minorEastAsia" w:hAnsiTheme="minorEastAsia" w:eastAsiaTheme="minorEastAsia"/>
          <w:lang w:eastAsia="zh-CN"/>
        </w:rPr>
        <w:t>断块</w:t>
      </w:r>
      <w:r>
        <w:rPr>
          <w:rFonts w:hint="eastAsia" w:asciiTheme="minorEastAsia" w:hAnsiTheme="minorEastAsia" w:eastAsiaTheme="minorEastAsia"/>
          <w:lang w:eastAsia="zh-CN"/>
        </w:rPr>
        <w:t>，现有油水井69口，其中油井48口，开井42口，注水井21口。建有雅一接转站，最大产能3</w:t>
      </w:r>
      <w:r>
        <w:rPr>
          <w:rFonts w:asciiTheme="minorEastAsia" w:hAnsiTheme="minorEastAsia" w:eastAsiaTheme="minorEastAsia"/>
          <w:lang w:eastAsia="zh-CN"/>
        </w:rPr>
        <w:t>×</w:t>
      </w:r>
      <w:r>
        <w:rPr>
          <w:rFonts w:hint="eastAsia" w:asciiTheme="minorEastAsia" w:hAnsiTheme="minorEastAsia" w:eastAsiaTheme="minorEastAsia"/>
          <w:lang w:eastAsia="zh-CN"/>
        </w:rPr>
        <w:t>10</w:t>
      </w:r>
      <w:r>
        <w:rPr>
          <w:rFonts w:hint="eastAsia" w:asciiTheme="minorEastAsia" w:hAnsiTheme="minorEastAsia" w:eastAsiaTheme="minorEastAsia"/>
          <w:vertAlign w:val="superscript"/>
          <w:lang w:eastAsia="zh-CN"/>
        </w:rPr>
        <w:t>4</w:t>
      </w:r>
      <w:r>
        <w:rPr>
          <w:rFonts w:hint="eastAsia" w:asciiTheme="minorEastAsia" w:hAnsiTheme="minorEastAsia" w:eastAsiaTheme="minorEastAsia"/>
          <w:lang w:eastAsia="zh-CN"/>
        </w:rPr>
        <w:t>m</w:t>
      </w:r>
      <w:r>
        <w:rPr>
          <w:rFonts w:hint="eastAsia" w:asciiTheme="minorEastAsia" w:hAnsiTheme="minorEastAsia" w:eastAsiaTheme="minorEastAsia"/>
          <w:vertAlign w:val="superscript"/>
          <w:lang w:eastAsia="zh-CN"/>
        </w:rPr>
        <w:t>3</w:t>
      </w:r>
      <w:r>
        <w:rPr>
          <w:rFonts w:hint="eastAsia" w:asciiTheme="minorEastAsia" w:hAnsiTheme="minorEastAsia" w:eastAsiaTheme="minorEastAsia"/>
          <w:lang w:eastAsia="zh-CN"/>
        </w:rPr>
        <w:t>/d，现有劳动定员41人。对采出油经油气分离及大罐沉降脱水合格后注入阿乌宝线，与阿尔油田原油一起输送至宝一联，通过宝蒙线、蒙阿线输送到阿赛线。分离的伴生气作为燃气发电机及加热炉的燃料，剩余伴生气经火炬系统燃烧。油井采出水经污水处理系统处理后回注注水井（地层），生活污水经化粪池处理后，排入蒸发池，作为绿化用水或者洒水抑尘。</w:t>
      </w:r>
    </w:p>
    <w:p w14:paraId="22CEF259">
      <w:pPr>
        <w:pStyle w:val="4"/>
        <w:rPr>
          <w:lang w:eastAsia="zh-CN"/>
        </w:rPr>
      </w:pPr>
      <w:r>
        <w:rPr>
          <w:rFonts w:hint="eastAsia"/>
          <w:lang w:eastAsia="zh-CN"/>
        </w:rPr>
        <w:t>3.5.2现有工程污染物产生及防治措施</w:t>
      </w:r>
    </w:p>
    <w:p w14:paraId="771FFFF5">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（1）</w:t>
      </w:r>
      <w:r>
        <w:rPr>
          <w:rFonts w:asciiTheme="minorEastAsia" w:hAnsiTheme="minorEastAsia" w:eastAsiaTheme="minorEastAsia"/>
          <w:lang w:eastAsia="zh-CN"/>
        </w:rPr>
        <w:t>水污染物</w:t>
      </w:r>
      <w:r>
        <w:rPr>
          <w:rFonts w:hint="eastAsia" w:asciiTheme="minorEastAsia" w:hAnsiTheme="minorEastAsia" w:eastAsiaTheme="minorEastAsia"/>
          <w:lang w:eastAsia="zh-CN"/>
        </w:rPr>
        <w:t>产生</w:t>
      </w:r>
      <w:r>
        <w:rPr>
          <w:rFonts w:asciiTheme="minorEastAsia" w:hAnsiTheme="minorEastAsia" w:eastAsiaTheme="minorEastAsia"/>
          <w:lang w:eastAsia="zh-CN"/>
        </w:rPr>
        <w:t>及防治措施</w:t>
      </w:r>
    </w:p>
    <w:p w14:paraId="24C41514">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现有工程勘探、钻井期已经结束，只是进行采油生产，所以生产废水主要为</w:t>
      </w:r>
      <w:r>
        <w:rPr>
          <w:rFonts w:asciiTheme="minorEastAsia" w:hAnsiTheme="minorEastAsia" w:eastAsiaTheme="minorEastAsia"/>
          <w:lang w:eastAsia="zh-CN"/>
        </w:rPr>
        <w:t>含油污水</w:t>
      </w:r>
      <w:r>
        <w:rPr>
          <w:rFonts w:hint="eastAsia" w:asciiTheme="minorEastAsia" w:hAnsiTheme="minorEastAsia" w:eastAsiaTheme="minorEastAsia"/>
          <w:lang w:eastAsia="zh-CN"/>
        </w:rPr>
        <w:t>，职工产生的</w:t>
      </w:r>
      <w:r>
        <w:rPr>
          <w:rFonts w:asciiTheme="minorEastAsia" w:hAnsiTheme="minorEastAsia" w:eastAsiaTheme="minorEastAsia"/>
          <w:lang w:eastAsia="zh-CN"/>
        </w:rPr>
        <w:t>生活污水。含油污水进入污水处理系统，经微生物</w:t>
      </w:r>
      <w:r>
        <w:rPr>
          <w:rFonts w:hint="eastAsia" w:asciiTheme="minorEastAsia" w:hAnsiTheme="minorEastAsia" w:eastAsiaTheme="minorEastAsia"/>
          <w:lang w:eastAsia="zh-CN"/>
        </w:rPr>
        <w:t>+膜处理</w:t>
      </w:r>
      <w:r>
        <w:rPr>
          <w:rFonts w:asciiTheme="minorEastAsia" w:hAnsiTheme="minorEastAsia" w:eastAsiaTheme="minorEastAsia"/>
          <w:lang w:eastAsia="zh-CN"/>
        </w:rPr>
        <w:t>工艺处理后回注</w:t>
      </w:r>
      <w:r>
        <w:rPr>
          <w:rFonts w:hint="eastAsia" w:asciiTheme="minorEastAsia" w:hAnsiTheme="minorEastAsia" w:eastAsiaTheme="minorEastAsia"/>
          <w:lang w:eastAsia="zh-CN"/>
        </w:rPr>
        <w:t>注水井</w:t>
      </w:r>
      <w:r>
        <w:rPr>
          <w:rFonts w:asciiTheme="minorEastAsia" w:hAnsiTheme="minorEastAsia" w:eastAsiaTheme="minorEastAsia"/>
          <w:lang w:eastAsia="zh-CN"/>
        </w:rPr>
        <w:t>；洗井水回收进入含油污水处理系统，回注</w:t>
      </w:r>
      <w:r>
        <w:rPr>
          <w:rFonts w:hint="eastAsia" w:asciiTheme="minorEastAsia" w:hAnsiTheme="minorEastAsia" w:eastAsiaTheme="minorEastAsia"/>
          <w:lang w:eastAsia="zh-CN"/>
        </w:rPr>
        <w:t>注水井</w:t>
      </w:r>
      <w:r>
        <w:rPr>
          <w:rFonts w:asciiTheme="minorEastAsia" w:hAnsiTheme="minorEastAsia" w:eastAsiaTheme="minorEastAsia"/>
          <w:lang w:eastAsia="zh-CN"/>
        </w:rPr>
        <w:t>；生活污水</w:t>
      </w:r>
      <w:r>
        <w:rPr>
          <w:rFonts w:hint="eastAsia" w:asciiTheme="minorEastAsia" w:hAnsiTheme="minorEastAsia" w:eastAsiaTheme="minorEastAsia"/>
          <w:lang w:eastAsia="zh-CN"/>
        </w:rPr>
        <w:t>经化粪池处理后排入蒸发池，作为绿化或者洒水抑尘</w:t>
      </w:r>
      <w:r>
        <w:rPr>
          <w:rFonts w:asciiTheme="minorEastAsia" w:hAnsiTheme="minorEastAsia" w:eastAsiaTheme="minorEastAsia"/>
          <w:lang w:eastAsia="zh-CN"/>
        </w:rPr>
        <w:t>。各类污水排放及防治措施见表3.5-1。</w:t>
      </w:r>
    </w:p>
    <w:p w14:paraId="2F97B972">
      <w:pPr>
        <w:spacing w:line="240" w:lineRule="auto"/>
        <w:ind w:firstLine="1072" w:firstLineChars="445"/>
        <w:rPr>
          <w:b/>
          <w:bCs/>
          <w:lang w:eastAsia="zh-CN"/>
        </w:rPr>
      </w:pPr>
      <w:r>
        <w:rPr>
          <w:b/>
          <w:bCs/>
          <w:lang w:eastAsia="zh-CN"/>
        </w:rPr>
        <w:t xml:space="preserve">表3.5-1  </w:t>
      </w:r>
      <w:r>
        <w:rPr>
          <w:rFonts w:hint="eastAsia"/>
          <w:b/>
          <w:bCs/>
          <w:lang w:eastAsia="zh-CN"/>
        </w:rPr>
        <w:t xml:space="preserve">  现有废水产</w:t>
      </w:r>
      <w:r>
        <w:rPr>
          <w:b/>
          <w:bCs/>
          <w:lang w:eastAsia="zh-CN"/>
        </w:rPr>
        <w:t>排放情况表</w:t>
      </w:r>
    </w:p>
    <w:tbl>
      <w:tblPr>
        <w:tblStyle w:val="76"/>
        <w:tblW w:w="875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59"/>
        <w:gridCol w:w="709"/>
        <w:gridCol w:w="1701"/>
        <w:gridCol w:w="1275"/>
        <w:gridCol w:w="1843"/>
        <w:gridCol w:w="851"/>
        <w:gridCol w:w="1417"/>
      </w:tblGrid>
      <w:tr w14:paraId="4C4500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Align w:val="center"/>
          </w:tcPr>
          <w:p w14:paraId="0C326D55">
            <w:pPr>
              <w:pStyle w:val="518"/>
              <w:rPr>
                <w:lang w:eastAsia="zh-CN"/>
              </w:rPr>
            </w:pPr>
            <w:r>
              <w:rPr>
                <w:lang w:eastAsia="zh-CN"/>
              </w:rPr>
              <w:t>污水</w:t>
            </w:r>
          </w:p>
          <w:p w14:paraId="4954AB13">
            <w:pPr>
              <w:pStyle w:val="518"/>
              <w:rPr>
                <w:lang w:eastAsia="zh-CN"/>
              </w:rPr>
            </w:pPr>
            <w:r>
              <w:rPr>
                <w:lang w:eastAsia="zh-CN"/>
              </w:rPr>
              <w:t>种类</w:t>
            </w:r>
          </w:p>
        </w:tc>
        <w:tc>
          <w:tcPr>
            <w:tcW w:w="709" w:type="dxa"/>
            <w:vAlign w:val="center"/>
          </w:tcPr>
          <w:p w14:paraId="7A4D865A">
            <w:pPr>
              <w:pStyle w:val="518"/>
              <w:rPr>
                <w:lang w:eastAsia="zh-CN"/>
              </w:rPr>
            </w:pPr>
            <w:r>
              <w:rPr>
                <w:lang w:eastAsia="zh-CN"/>
              </w:rPr>
              <w:t>来源</w:t>
            </w:r>
          </w:p>
        </w:tc>
        <w:tc>
          <w:tcPr>
            <w:tcW w:w="1701" w:type="dxa"/>
            <w:vAlign w:val="center"/>
          </w:tcPr>
          <w:p w14:paraId="10A0AF55">
            <w:pPr>
              <w:pStyle w:val="518"/>
              <w:rPr>
                <w:lang w:eastAsia="zh-CN"/>
              </w:rPr>
            </w:pPr>
            <w:r>
              <w:rPr>
                <w:lang w:eastAsia="zh-CN"/>
              </w:rPr>
              <w:t>所含物质</w:t>
            </w:r>
          </w:p>
        </w:tc>
        <w:tc>
          <w:tcPr>
            <w:tcW w:w="1275" w:type="dxa"/>
            <w:vAlign w:val="center"/>
          </w:tcPr>
          <w:p w14:paraId="145FB6D7">
            <w:pPr>
              <w:pStyle w:val="518"/>
              <w:rPr>
                <w:lang w:eastAsia="zh-CN"/>
              </w:rPr>
            </w:pPr>
            <w:r>
              <w:rPr>
                <w:rFonts w:hint="eastAsia"/>
                <w:lang w:eastAsia="zh-CN"/>
              </w:rPr>
              <w:t>产生</w:t>
            </w:r>
            <w:r>
              <w:rPr>
                <w:lang w:eastAsia="zh-CN"/>
              </w:rPr>
              <w:t>量</w:t>
            </w:r>
          </w:p>
        </w:tc>
        <w:tc>
          <w:tcPr>
            <w:tcW w:w="1843" w:type="dxa"/>
            <w:vAlign w:val="center"/>
          </w:tcPr>
          <w:p w14:paraId="5901B89F">
            <w:pPr>
              <w:pStyle w:val="518"/>
              <w:rPr>
                <w:lang w:eastAsia="zh-CN"/>
              </w:rPr>
            </w:pPr>
            <w:r>
              <w:rPr>
                <w:lang w:eastAsia="zh-CN"/>
              </w:rPr>
              <w:t>处理措施</w:t>
            </w:r>
          </w:p>
        </w:tc>
        <w:tc>
          <w:tcPr>
            <w:tcW w:w="851" w:type="dxa"/>
            <w:vAlign w:val="center"/>
          </w:tcPr>
          <w:p w14:paraId="34992F4A">
            <w:pPr>
              <w:pStyle w:val="518"/>
              <w:rPr>
                <w:lang w:eastAsia="zh-CN"/>
              </w:rPr>
            </w:pPr>
            <w:r>
              <w:rPr>
                <w:lang w:eastAsia="zh-CN"/>
              </w:rPr>
              <w:t>排放</w:t>
            </w:r>
          </w:p>
          <w:p w14:paraId="43B3411B">
            <w:pPr>
              <w:pStyle w:val="518"/>
              <w:rPr>
                <w:lang w:eastAsia="zh-CN"/>
              </w:rPr>
            </w:pPr>
            <w:r>
              <w:rPr>
                <w:lang w:eastAsia="zh-CN"/>
              </w:rPr>
              <w:t>方式</w:t>
            </w:r>
          </w:p>
        </w:tc>
        <w:tc>
          <w:tcPr>
            <w:tcW w:w="1417" w:type="dxa"/>
            <w:vAlign w:val="center"/>
          </w:tcPr>
          <w:p w14:paraId="72CCEA56">
            <w:pPr>
              <w:pStyle w:val="518"/>
              <w:rPr>
                <w:lang w:eastAsia="zh-CN"/>
              </w:rPr>
            </w:pPr>
            <w:r>
              <w:rPr>
                <w:lang w:eastAsia="zh-CN"/>
              </w:rPr>
              <w:t>备注</w:t>
            </w:r>
          </w:p>
        </w:tc>
      </w:tr>
      <w:tr w14:paraId="074C6D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Align w:val="center"/>
          </w:tcPr>
          <w:p w14:paraId="13CC0E4B">
            <w:pPr>
              <w:pStyle w:val="518"/>
              <w:rPr>
                <w:lang w:eastAsia="zh-CN"/>
              </w:rPr>
            </w:pPr>
            <w:r>
              <w:rPr>
                <w:lang w:eastAsia="zh-CN"/>
              </w:rPr>
              <w:t>含油</w:t>
            </w:r>
          </w:p>
          <w:p w14:paraId="1EE178AF">
            <w:pPr>
              <w:pStyle w:val="518"/>
              <w:rPr>
                <w:lang w:eastAsia="zh-CN"/>
              </w:rPr>
            </w:pPr>
            <w:r>
              <w:rPr>
                <w:lang w:eastAsia="zh-CN"/>
              </w:rPr>
              <w:t>污水</w:t>
            </w:r>
          </w:p>
        </w:tc>
        <w:tc>
          <w:tcPr>
            <w:tcW w:w="709" w:type="dxa"/>
            <w:vAlign w:val="center"/>
          </w:tcPr>
          <w:p w14:paraId="42EC4414">
            <w:pPr>
              <w:pStyle w:val="518"/>
              <w:rPr>
                <w:lang w:eastAsia="zh-CN"/>
              </w:rPr>
            </w:pPr>
            <w:r>
              <w:rPr>
                <w:lang w:eastAsia="zh-CN"/>
              </w:rPr>
              <w:t>采油</w:t>
            </w:r>
          </w:p>
        </w:tc>
        <w:tc>
          <w:tcPr>
            <w:tcW w:w="1701" w:type="dxa"/>
            <w:vAlign w:val="center"/>
          </w:tcPr>
          <w:p w14:paraId="2717C0A1">
            <w:pPr>
              <w:pStyle w:val="518"/>
              <w:rPr>
                <w:lang w:eastAsia="zh-CN"/>
              </w:rPr>
            </w:pPr>
            <w:r>
              <w:rPr>
                <w:lang w:eastAsia="zh-CN"/>
              </w:rPr>
              <w:t>石油类及少量表面活性剂</w:t>
            </w:r>
          </w:p>
        </w:tc>
        <w:tc>
          <w:tcPr>
            <w:tcW w:w="1275" w:type="dxa"/>
            <w:vAlign w:val="center"/>
          </w:tcPr>
          <w:p w14:paraId="74425428">
            <w:pPr>
              <w:pStyle w:val="518"/>
              <w:rPr>
                <w:lang w:eastAsia="zh-CN"/>
              </w:rPr>
            </w:pPr>
            <w:r>
              <w:rPr>
                <w:rFonts w:hint="eastAsia"/>
                <w:lang w:eastAsia="zh-CN"/>
              </w:rPr>
              <w:t>43.29</w:t>
            </w:r>
            <w:r>
              <w:rPr>
                <w:lang w:eastAsia="zh-CN"/>
              </w:rPr>
              <w:t>m</w:t>
            </w:r>
            <w:r>
              <w:rPr>
                <w:vertAlign w:val="superscript"/>
                <w:lang w:eastAsia="zh-CN"/>
              </w:rPr>
              <w:t>3</w:t>
            </w:r>
            <w:r>
              <w:rPr>
                <w:lang w:eastAsia="zh-CN"/>
              </w:rPr>
              <w:t>/d</w:t>
            </w:r>
          </w:p>
        </w:tc>
        <w:tc>
          <w:tcPr>
            <w:tcW w:w="1843" w:type="dxa"/>
            <w:vAlign w:val="center"/>
          </w:tcPr>
          <w:p w14:paraId="6F3DA3C1">
            <w:pPr>
              <w:pStyle w:val="518"/>
              <w:rPr>
                <w:lang w:eastAsia="zh-CN"/>
              </w:rPr>
            </w:pPr>
            <w:r>
              <w:rPr>
                <w:lang w:eastAsia="zh-CN"/>
              </w:rPr>
              <w:t>微生物</w:t>
            </w:r>
            <w:r>
              <w:rPr>
                <w:rFonts w:hint="eastAsia"/>
                <w:lang w:eastAsia="zh-CN"/>
              </w:rPr>
              <w:t>+膜处理</w:t>
            </w:r>
            <w:r>
              <w:rPr>
                <w:lang w:eastAsia="zh-CN"/>
              </w:rPr>
              <w:t>工艺</w:t>
            </w:r>
          </w:p>
        </w:tc>
        <w:tc>
          <w:tcPr>
            <w:tcW w:w="851" w:type="dxa"/>
            <w:vAlign w:val="center"/>
          </w:tcPr>
          <w:p w14:paraId="14093C34">
            <w:pPr>
              <w:pStyle w:val="518"/>
              <w:rPr>
                <w:lang w:eastAsia="zh-CN"/>
              </w:rPr>
            </w:pPr>
            <w:r>
              <w:rPr>
                <w:lang w:eastAsia="zh-CN"/>
              </w:rPr>
              <w:t>连续</w:t>
            </w:r>
          </w:p>
        </w:tc>
        <w:tc>
          <w:tcPr>
            <w:tcW w:w="1417" w:type="dxa"/>
            <w:vAlign w:val="center"/>
          </w:tcPr>
          <w:p w14:paraId="3B240C41">
            <w:pPr>
              <w:pStyle w:val="518"/>
              <w:rPr>
                <w:lang w:eastAsia="zh-CN"/>
              </w:rPr>
            </w:pPr>
            <w:r>
              <w:rPr>
                <w:lang w:eastAsia="zh-CN"/>
              </w:rPr>
              <w:t>回注</w:t>
            </w:r>
            <w:r>
              <w:rPr>
                <w:rFonts w:hint="eastAsia"/>
                <w:lang w:eastAsia="zh-CN"/>
              </w:rPr>
              <w:t>注水井</w:t>
            </w:r>
          </w:p>
        </w:tc>
      </w:tr>
      <w:tr w14:paraId="2150E3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Align w:val="center"/>
          </w:tcPr>
          <w:p w14:paraId="043CCFFC">
            <w:pPr>
              <w:pStyle w:val="518"/>
              <w:rPr>
                <w:lang w:eastAsia="zh-CN"/>
              </w:rPr>
            </w:pPr>
            <w:r>
              <w:rPr>
                <w:lang w:eastAsia="zh-CN"/>
              </w:rPr>
              <w:t>洗井</w:t>
            </w:r>
          </w:p>
          <w:p w14:paraId="0B41F923">
            <w:pPr>
              <w:pStyle w:val="518"/>
              <w:rPr>
                <w:lang w:eastAsia="zh-CN"/>
              </w:rPr>
            </w:pPr>
            <w:r>
              <w:rPr>
                <w:lang w:eastAsia="zh-CN"/>
              </w:rPr>
              <w:t>污水</w:t>
            </w:r>
          </w:p>
        </w:tc>
        <w:tc>
          <w:tcPr>
            <w:tcW w:w="709" w:type="dxa"/>
            <w:vAlign w:val="center"/>
          </w:tcPr>
          <w:p w14:paraId="31540126">
            <w:pPr>
              <w:pStyle w:val="518"/>
              <w:rPr>
                <w:lang w:eastAsia="zh-CN"/>
              </w:rPr>
            </w:pPr>
            <w:r>
              <w:rPr>
                <w:lang w:eastAsia="zh-CN"/>
              </w:rPr>
              <w:t>洗井</w:t>
            </w:r>
          </w:p>
          <w:p w14:paraId="254D1853">
            <w:pPr>
              <w:pStyle w:val="518"/>
              <w:rPr>
                <w:lang w:eastAsia="zh-CN"/>
              </w:rPr>
            </w:pPr>
            <w:r>
              <w:rPr>
                <w:lang w:eastAsia="zh-CN"/>
              </w:rPr>
              <w:t>作业</w:t>
            </w:r>
          </w:p>
        </w:tc>
        <w:tc>
          <w:tcPr>
            <w:tcW w:w="1701" w:type="dxa"/>
            <w:vAlign w:val="center"/>
          </w:tcPr>
          <w:p w14:paraId="147463FD">
            <w:pPr>
              <w:pStyle w:val="518"/>
              <w:rPr>
                <w:lang w:eastAsia="zh-CN"/>
              </w:rPr>
            </w:pPr>
            <w:r>
              <w:rPr>
                <w:lang w:eastAsia="zh-CN"/>
              </w:rPr>
              <w:t>石油类及少量</w:t>
            </w:r>
            <w:r>
              <w:rPr>
                <w:rFonts w:hint="eastAsia"/>
                <w:lang w:eastAsia="zh-CN"/>
              </w:rPr>
              <w:t>其他</w:t>
            </w:r>
            <w:r>
              <w:rPr>
                <w:lang w:eastAsia="zh-CN"/>
              </w:rPr>
              <w:t>化学药剂</w:t>
            </w:r>
          </w:p>
        </w:tc>
        <w:tc>
          <w:tcPr>
            <w:tcW w:w="1275" w:type="dxa"/>
            <w:vAlign w:val="center"/>
          </w:tcPr>
          <w:p w14:paraId="0257B2C3">
            <w:pPr>
              <w:pStyle w:val="518"/>
              <w:rPr>
                <w:lang w:eastAsia="zh-CN"/>
              </w:rPr>
            </w:pPr>
            <w:r>
              <w:rPr>
                <w:rFonts w:hint="eastAsia"/>
                <w:lang w:eastAsia="zh-CN"/>
              </w:rPr>
              <w:t>23.67</w:t>
            </w:r>
            <w:r>
              <w:t xml:space="preserve"> </w:t>
            </w:r>
            <w:r>
              <w:rPr>
                <w:lang w:eastAsia="zh-CN"/>
              </w:rPr>
              <w:t>m</w:t>
            </w:r>
            <w:r>
              <w:rPr>
                <w:vertAlign w:val="superscript"/>
                <w:lang w:eastAsia="zh-CN"/>
              </w:rPr>
              <w:t>3</w:t>
            </w:r>
            <w:r>
              <w:rPr>
                <w:lang w:eastAsia="zh-CN"/>
              </w:rPr>
              <w:t>/d</w:t>
            </w:r>
          </w:p>
        </w:tc>
        <w:tc>
          <w:tcPr>
            <w:tcW w:w="1843" w:type="dxa"/>
            <w:vAlign w:val="center"/>
          </w:tcPr>
          <w:p w14:paraId="01F1642A">
            <w:pPr>
              <w:pStyle w:val="518"/>
              <w:rPr>
                <w:lang w:eastAsia="zh-CN"/>
              </w:rPr>
            </w:pPr>
            <w:r>
              <w:rPr>
                <w:lang w:eastAsia="zh-CN"/>
              </w:rPr>
              <w:t>微生物</w:t>
            </w:r>
            <w:r>
              <w:rPr>
                <w:rFonts w:hint="eastAsia"/>
                <w:lang w:eastAsia="zh-CN"/>
              </w:rPr>
              <w:t>+膜处理</w:t>
            </w:r>
            <w:r>
              <w:rPr>
                <w:lang w:eastAsia="zh-CN"/>
              </w:rPr>
              <w:t>工艺</w:t>
            </w:r>
          </w:p>
        </w:tc>
        <w:tc>
          <w:tcPr>
            <w:tcW w:w="851" w:type="dxa"/>
            <w:vAlign w:val="center"/>
          </w:tcPr>
          <w:p w14:paraId="3FA368DD">
            <w:pPr>
              <w:pStyle w:val="518"/>
              <w:rPr>
                <w:lang w:eastAsia="zh-CN"/>
              </w:rPr>
            </w:pPr>
            <w:r>
              <w:rPr>
                <w:lang w:eastAsia="zh-CN"/>
              </w:rPr>
              <w:t>间断</w:t>
            </w:r>
          </w:p>
        </w:tc>
        <w:tc>
          <w:tcPr>
            <w:tcW w:w="1417" w:type="dxa"/>
            <w:vAlign w:val="center"/>
          </w:tcPr>
          <w:p w14:paraId="5D8A4505">
            <w:pPr>
              <w:pStyle w:val="518"/>
              <w:rPr>
                <w:lang w:eastAsia="zh-CN"/>
              </w:rPr>
            </w:pPr>
            <w:r>
              <w:rPr>
                <w:lang w:eastAsia="zh-CN"/>
              </w:rPr>
              <w:t>回注</w:t>
            </w:r>
            <w:r>
              <w:rPr>
                <w:rFonts w:hint="eastAsia"/>
                <w:lang w:eastAsia="zh-CN"/>
              </w:rPr>
              <w:t>注水井</w:t>
            </w:r>
          </w:p>
        </w:tc>
      </w:tr>
      <w:tr w14:paraId="10B71E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Align w:val="center"/>
          </w:tcPr>
          <w:p w14:paraId="2A9D1FE3">
            <w:pPr>
              <w:pStyle w:val="518"/>
              <w:rPr>
                <w:lang w:eastAsia="zh-CN"/>
              </w:rPr>
            </w:pPr>
            <w:r>
              <w:rPr>
                <w:lang w:eastAsia="zh-CN"/>
              </w:rPr>
              <w:t>生活</w:t>
            </w:r>
          </w:p>
          <w:p w14:paraId="34542CA1">
            <w:pPr>
              <w:pStyle w:val="518"/>
              <w:rPr>
                <w:lang w:eastAsia="zh-CN"/>
              </w:rPr>
            </w:pPr>
            <w:r>
              <w:rPr>
                <w:lang w:eastAsia="zh-CN"/>
              </w:rPr>
              <w:t>污水</w:t>
            </w:r>
          </w:p>
        </w:tc>
        <w:tc>
          <w:tcPr>
            <w:tcW w:w="709" w:type="dxa"/>
            <w:vAlign w:val="center"/>
          </w:tcPr>
          <w:p w14:paraId="5FBB9908">
            <w:pPr>
              <w:pStyle w:val="518"/>
              <w:rPr>
                <w:lang w:eastAsia="zh-CN"/>
              </w:rPr>
            </w:pPr>
            <w:r>
              <w:rPr>
                <w:rFonts w:hint="eastAsia"/>
                <w:lang w:eastAsia="zh-CN"/>
              </w:rPr>
              <w:t>联合站</w:t>
            </w:r>
          </w:p>
        </w:tc>
        <w:tc>
          <w:tcPr>
            <w:tcW w:w="1701" w:type="dxa"/>
            <w:vAlign w:val="center"/>
          </w:tcPr>
          <w:p w14:paraId="1CBE7A2C">
            <w:pPr>
              <w:pStyle w:val="518"/>
              <w:rPr>
                <w:lang w:eastAsia="zh-CN"/>
              </w:rPr>
            </w:pPr>
            <w:r>
              <w:rPr>
                <w:lang w:eastAsia="zh-CN"/>
              </w:rPr>
              <w:t>氨氮、化学需氧量</w:t>
            </w:r>
          </w:p>
        </w:tc>
        <w:tc>
          <w:tcPr>
            <w:tcW w:w="1275" w:type="dxa"/>
            <w:vAlign w:val="center"/>
          </w:tcPr>
          <w:p w14:paraId="379E75A1">
            <w:pPr>
              <w:pStyle w:val="518"/>
              <w:rPr>
                <w:lang w:eastAsia="zh-CN"/>
              </w:rPr>
            </w:pPr>
            <w:r>
              <w:rPr>
                <w:rFonts w:hint="eastAsia"/>
                <w:lang w:eastAsia="zh-CN"/>
              </w:rPr>
              <w:t>3.42</w:t>
            </w:r>
            <w:r>
              <w:rPr>
                <w:lang w:eastAsia="zh-CN"/>
              </w:rPr>
              <w:t xml:space="preserve"> m</w:t>
            </w:r>
            <w:r>
              <w:rPr>
                <w:vertAlign w:val="superscript"/>
                <w:lang w:eastAsia="zh-CN"/>
              </w:rPr>
              <w:t>3</w:t>
            </w:r>
            <w:r>
              <w:rPr>
                <w:lang w:eastAsia="zh-CN"/>
              </w:rPr>
              <w:t>/d</w:t>
            </w:r>
          </w:p>
        </w:tc>
        <w:tc>
          <w:tcPr>
            <w:tcW w:w="1843" w:type="dxa"/>
            <w:vAlign w:val="center"/>
          </w:tcPr>
          <w:p w14:paraId="21BFF73C">
            <w:pPr>
              <w:pStyle w:val="518"/>
              <w:rPr>
                <w:lang w:eastAsia="zh-CN"/>
              </w:rPr>
            </w:pPr>
            <w:r>
              <w:rPr>
                <w:rFonts w:hint="eastAsia"/>
                <w:lang w:eastAsia="zh-CN"/>
              </w:rPr>
              <w:t>化粪池+防渗蒸发池</w:t>
            </w:r>
          </w:p>
        </w:tc>
        <w:tc>
          <w:tcPr>
            <w:tcW w:w="851" w:type="dxa"/>
            <w:vAlign w:val="center"/>
          </w:tcPr>
          <w:p w14:paraId="6FAD7747">
            <w:pPr>
              <w:pStyle w:val="518"/>
              <w:rPr>
                <w:lang w:eastAsia="zh-CN"/>
              </w:rPr>
            </w:pPr>
            <w:r>
              <w:rPr>
                <w:lang w:eastAsia="zh-CN"/>
              </w:rPr>
              <w:t>连续</w:t>
            </w:r>
          </w:p>
        </w:tc>
        <w:tc>
          <w:tcPr>
            <w:tcW w:w="1417" w:type="dxa"/>
            <w:vAlign w:val="center"/>
          </w:tcPr>
          <w:p w14:paraId="5160163C">
            <w:pPr>
              <w:pStyle w:val="518"/>
              <w:rPr>
                <w:lang w:eastAsia="zh-CN"/>
              </w:rPr>
            </w:pPr>
            <w:r>
              <w:rPr>
                <w:rFonts w:hint="eastAsia"/>
                <w:lang w:eastAsia="zh-CN"/>
              </w:rPr>
              <w:t>绿化用水或</w:t>
            </w:r>
          </w:p>
          <w:p w14:paraId="656E8EE9">
            <w:pPr>
              <w:pStyle w:val="518"/>
              <w:rPr>
                <w:lang w:eastAsia="zh-CN"/>
              </w:rPr>
            </w:pPr>
            <w:r>
              <w:rPr>
                <w:rFonts w:hint="eastAsia"/>
                <w:lang w:eastAsia="zh-CN"/>
              </w:rPr>
              <w:t>洒水抑尘</w:t>
            </w:r>
          </w:p>
        </w:tc>
      </w:tr>
    </w:tbl>
    <w:p w14:paraId="7B88B4F5">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（2）</w:t>
      </w:r>
      <w:r>
        <w:rPr>
          <w:rFonts w:asciiTheme="minorEastAsia" w:hAnsiTheme="minorEastAsia" w:eastAsiaTheme="minorEastAsia"/>
          <w:lang w:eastAsia="zh-CN"/>
        </w:rPr>
        <w:t>大气污染物</w:t>
      </w:r>
      <w:r>
        <w:rPr>
          <w:rFonts w:hint="eastAsia" w:asciiTheme="minorEastAsia" w:hAnsiTheme="minorEastAsia" w:eastAsiaTheme="minorEastAsia"/>
          <w:lang w:eastAsia="zh-CN"/>
        </w:rPr>
        <w:t>产生</w:t>
      </w:r>
      <w:r>
        <w:rPr>
          <w:rFonts w:asciiTheme="minorEastAsia" w:hAnsiTheme="minorEastAsia" w:eastAsiaTheme="minorEastAsia"/>
          <w:lang w:eastAsia="zh-CN"/>
        </w:rPr>
        <w:t>及防治措施</w:t>
      </w:r>
    </w:p>
    <w:p w14:paraId="6BEAE6D1">
      <w:pPr>
        <w:ind w:firstLine="480"/>
        <w:rPr>
          <w:rFonts w:asciiTheme="minorEastAsia" w:hAnsiTheme="minorEastAsia" w:eastAsiaTheme="minorEastAsia"/>
          <w:lang w:eastAsia="zh-CN"/>
        </w:rPr>
      </w:pPr>
      <w:r>
        <w:rPr>
          <w:rFonts w:asciiTheme="minorEastAsia" w:hAnsiTheme="minorEastAsia" w:eastAsiaTheme="minorEastAsia"/>
          <w:lang w:eastAsia="zh-CN"/>
        </w:rPr>
        <w:tab/>
      </w:r>
      <w:r>
        <w:rPr>
          <w:rFonts w:asciiTheme="minorEastAsia" w:hAnsiTheme="minorEastAsia" w:eastAsiaTheme="minorEastAsia"/>
          <w:lang w:eastAsia="zh-CN"/>
        </w:rPr>
        <w:t>大气污染物主要为</w:t>
      </w:r>
      <w:r>
        <w:rPr>
          <w:rFonts w:hint="eastAsia" w:asciiTheme="minorEastAsia" w:hAnsiTheme="minorEastAsia" w:eastAsiaTheme="minorEastAsia"/>
          <w:lang w:eastAsia="zh-CN"/>
        </w:rPr>
        <w:t>燃气发电机及加热炉产生的废气、油气集输过程中产生的废气。</w:t>
      </w:r>
    </w:p>
    <w:p w14:paraId="22B1DDF3">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雅一站内建有燃气发电机房2座，分别设有燃气发电机组2</w:t>
      </w:r>
      <w:r>
        <w:rPr>
          <w:rFonts w:asciiTheme="minorEastAsia" w:hAnsiTheme="minorEastAsia" w:eastAsiaTheme="minorEastAsia"/>
          <w:lang w:eastAsia="zh-CN"/>
        </w:rPr>
        <w:t>×</w:t>
      </w:r>
      <w:r>
        <w:rPr>
          <w:rFonts w:hint="eastAsia" w:asciiTheme="minorEastAsia" w:hAnsiTheme="minorEastAsia" w:eastAsiaTheme="minorEastAsia"/>
          <w:lang w:eastAsia="zh-CN"/>
        </w:rPr>
        <w:t>200kw和燃气发电机组5</w:t>
      </w:r>
      <w:r>
        <w:rPr>
          <w:rFonts w:asciiTheme="minorEastAsia" w:hAnsiTheme="minorEastAsia" w:eastAsiaTheme="minorEastAsia"/>
          <w:lang w:eastAsia="zh-CN"/>
        </w:rPr>
        <w:t>×</w:t>
      </w:r>
      <w:r>
        <w:rPr>
          <w:rFonts w:hint="eastAsia" w:asciiTheme="minorEastAsia" w:hAnsiTheme="minorEastAsia" w:eastAsiaTheme="minorEastAsia"/>
          <w:lang w:eastAsia="zh-CN"/>
        </w:rPr>
        <w:t>500kw ，经10m高烟囱排放，建有锅炉房1座，内设管式加热炉 1台，经10m高烟囱排放。</w:t>
      </w:r>
    </w:p>
    <w:p w14:paraId="128A17DE">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燃气发电机组，是雅一站生产、生活主要供电电源，余热回收，与加热炉共同为乌里雅斯太油田生产生活供热。现有燃气机组及加热炉耗气量为1.68</w:t>
      </w:r>
      <w:r>
        <w:rPr>
          <w:rFonts w:asciiTheme="minorEastAsia" w:hAnsiTheme="minorEastAsia" w:eastAsiaTheme="minorEastAsia"/>
          <w:lang w:eastAsia="zh-CN"/>
        </w:rPr>
        <w:t>×</w:t>
      </w:r>
      <w:r>
        <w:rPr>
          <w:rFonts w:hint="eastAsia" w:asciiTheme="minorEastAsia" w:hAnsiTheme="minorEastAsia" w:eastAsiaTheme="minorEastAsia"/>
          <w:lang w:eastAsia="zh-CN"/>
        </w:rPr>
        <w:t>10</w:t>
      </w:r>
      <w:r>
        <w:rPr>
          <w:rFonts w:hint="eastAsia" w:asciiTheme="minorEastAsia" w:hAnsiTheme="minorEastAsia" w:eastAsiaTheme="minorEastAsia"/>
          <w:vertAlign w:val="superscript"/>
          <w:lang w:eastAsia="zh-CN"/>
        </w:rPr>
        <w:t>4</w:t>
      </w:r>
      <w:r>
        <w:rPr>
          <w:rFonts w:hint="eastAsia" w:asciiTheme="minorEastAsia" w:hAnsiTheme="minorEastAsia" w:eastAsiaTheme="minorEastAsia"/>
          <w:lang w:eastAsia="zh-CN"/>
        </w:rPr>
        <w:t>m</w:t>
      </w:r>
      <w:r>
        <w:rPr>
          <w:rFonts w:hint="eastAsia" w:asciiTheme="minorEastAsia" w:hAnsiTheme="minorEastAsia" w:eastAsiaTheme="minorEastAsia"/>
          <w:vertAlign w:val="superscript"/>
          <w:lang w:eastAsia="zh-CN"/>
        </w:rPr>
        <w:t>3</w:t>
      </w:r>
      <w:r>
        <w:rPr>
          <w:rFonts w:hint="eastAsia" w:asciiTheme="minorEastAsia" w:hAnsiTheme="minorEastAsia" w:eastAsiaTheme="minorEastAsia"/>
          <w:lang w:eastAsia="zh-CN"/>
        </w:rPr>
        <w:t>/d，其中发电机组年耗燃气1.12</w:t>
      </w:r>
      <w:r>
        <w:rPr>
          <w:rFonts w:asciiTheme="minorEastAsia" w:hAnsiTheme="minorEastAsia" w:eastAsiaTheme="minorEastAsia"/>
          <w:lang w:eastAsia="zh-CN"/>
        </w:rPr>
        <w:t>×</w:t>
      </w:r>
      <w:r>
        <w:rPr>
          <w:rFonts w:hint="eastAsia" w:asciiTheme="minorEastAsia" w:hAnsiTheme="minorEastAsia" w:eastAsiaTheme="minorEastAsia"/>
          <w:lang w:eastAsia="zh-CN"/>
        </w:rPr>
        <w:t>10</w:t>
      </w:r>
      <w:r>
        <w:rPr>
          <w:rFonts w:hint="eastAsia" w:asciiTheme="minorEastAsia" w:hAnsiTheme="minorEastAsia" w:eastAsiaTheme="minorEastAsia"/>
          <w:vertAlign w:val="superscript"/>
          <w:lang w:eastAsia="zh-CN"/>
        </w:rPr>
        <w:t>4</w:t>
      </w:r>
      <w:r>
        <w:rPr>
          <w:rFonts w:hint="eastAsia" w:asciiTheme="minorEastAsia" w:hAnsiTheme="minorEastAsia" w:eastAsiaTheme="minorEastAsia"/>
          <w:lang w:eastAsia="zh-CN"/>
        </w:rPr>
        <w:t>m</w:t>
      </w:r>
      <w:r>
        <w:rPr>
          <w:rFonts w:hint="eastAsia" w:asciiTheme="minorEastAsia" w:hAnsiTheme="minorEastAsia" w:eastAsiaTheme="minorEastAsia"/>
          <w:vertAlign w:val="superscript"/>
          <w:lang w:eastAsia="zh-CN"/>
        </w:rPr>
        <w:t>3</w:t>
      </w:r>
      <w:r>
        <w:rPr>
          <w:rFonts w:hint="eastAsia" w:asciiTheme="minorEastAsia" w:hAnsiTheme="minorEastAsia" w:eastAsiaTheme="minorEastAsia"/>
          <w:lang w:eastAsia="zh-CN"/>
        </w:rPr>
        <w:t>/d，加热炉年耗燃气  0.56</w:t>
      </w:r>
      <w:r>
        <w:rPr>
          <w:rFonts w:asciiTheme="minorEastAsia" w:hAnsiTheme="minorEastAsia" w:eastAsiaTheme="minorEastAsia"/>
          <w:lang w:eastAsia="zh-CN"/>
        </w:rPr>
        <w:t>×</w:t>
      </w:r>
      <w:r>
        <w:rPr>
          <w:rFonts w:hint="eastAsia" w:asciiTheme="minorEastAsia" w:hAnsiTheme="minorEastAsia" w:eastAsiaTheme="minorEastAsia"/>
          <w:lang w:eastAsia="zh-CN"/>
        </w:rPr>
        <w:t>10</w:t>
      </w:r>
      <w:r>
        <w:rPr>
          <w:rFonts w:hint="eastAsia" w:asciiTheme="minorEastAsia" w:hAnsiTheme="minorEastAsia" w:eastAsiaTheme="minorEastAsia"/>
          <w:vertAlign w:val="superscript"/>
          <w:lang w:eastAsia="zh-CN"/>
        </w:rPr>
        <w:t>4</w:t>
      </w:r>
      <w:r>
        <w:rPr>
          <w:rFonts w:hint="eastAsia" w:asciiTheme="minorEastAsia" w:hAnsiTheme="minorEastAsia" w:eastAsiaTheme="minorEastAsia"/>
          <w:lang w:eastAsia="zh-CN"/>
        </w:rPr>
        <w:t>m</w:t>
      </w:r>
      <w:r>
        <w:rPr>
          <w:rFonts w:hint="eastAsia" w:asciiTheme="minorEastAsia" w:hAnsiTheme="minorEastAsia" w:eastAsiaTheme="minorEastAsia"/>
          <w:vertAlign w:val="superscript"/>
          <w:lang w:eastAsia="zh-CN"/>
        </w:rPr>
        <w:t>3</w:t>
      </w:r>
      <w:r>
        <w:rPr>
          <w:rFonts w:hint="eastAsia" w:asciiTheme="minorEastAsia" w:hAnsiTheme="minorEastAsia" w:eastAsiaTheme="minorEastAsia"/>
          <w:lang w:eastAsia="zh-CN"/>
        </w:rPr>
        <w:t>/d。</w:t>
      </w:r>
    </w:p>
    <w:p w14:paraId="5E0C09E1">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现有工程大气</w:t>
      </w:r>
      <w:r>
        <w:rPr>
          <w:rFonts w:asciiTheme="minorEastAsia" w:hAnsiTheme="minorEastAsia" w:eastAsiaTheme="minorEastAsia"/>
          <w:lang w:eastAsia="zh-CN"/>
        </w:rPr>
        <w:t>污染物排放及防治措施见表3.5-2。</w:t>
      </w:r>
    </w:p>
    <w:p w14:paraId="43EB52CD">
      <w:pPr>
        <w:ind w:firstLine="480"/>
        <w:rPr>
          <w:rFonts w:asciiTheme="minorEastAsia" w:hAnsiTheme="minorEastAsia" w:eastAsiaTheme="minorEastAsia"/>
          <w:lang w:eastAsia="zh-CN"/>
        </w:rPr>
      </w:pPr>
    </w:p>
    <w:p w14:paraId="3CEBB730">
      <w:pPr>
        <w:ind w:firstLine="480"/>
        <w:rPr>
          <w:rFonts w:asciiTheme="minorEastAsia" w:hAnsiTheme="minorEastAsia" w:eastAsiaTheme="minorEastAsia"/>
          <w:lang w:eastAsia="zh-CN"/>
        </w:rPr>
      </w:pPr>
    </w:p>
    <w:p w14:paraId="3471BE2E">
      <w:pPr>
        <w:ind w:firstLine="480"/>
        <w:rPr>
          <w:rFonts w:asciiTheme="minorEastAsia" w:hAnsiTheme="minorEastAsia" w:eastAsiaTheme="minorEastAsia"/>
          <w:lang w:eastAsia="zh-CN"/>
        </w:rPr>
      </w:pPr>
    </w:p>
    <w:p w14:paraId="49A71519">
      <w:pPr>
        <w:spacing w:line="240" w:lineRule="auto"/>
        <w:ind w:firstLine="552" w:firstLineChars="229"/>
        <w:rPr>
          <w:b/>
          <w:bCs/>
          <w:lang w:eastAsia="zh-CN"/>
        </w:rPr>
      </w:pPr>
      <w:r>
        <w:rPr>
          <w:b/>
          <w:bCs/>
          <w:lang w:eastAsia="zh-CN"/>
        </w:rPr>
        <w:t xml:space="preserve">表3.5-2  </w:t>
      </w:r>
      <w:r>
        <w:rPr>
          <w:rFonts w:hint="eastAsia"/>
          <w:b/>
          <w:bCs/>
          <w:lang w:eastAsia="zh-CN"/>
        </w:rPr>
        <w:t xml:space="preserve">  现有工程大气污</w:t>
      </w:r>
      <w:r>
        <w:rPr>
          <w:b/>
          <w:bCs/>
          <w:lang w:eastAsia="zh-CN"/>
        </w:rPr>
        <w:t>染物排放情况表</w:t>
      </w:r>
    </w:p>
    <w:tbl>
      <w:tblPr>
        <w:tblStyle w:val="76"/>
        <w:tblW w:w="875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22"/>
        <w:gridCol w:w="1522"/>
        <w:gridCol w:w="1884"/>
        <w:gridCol w:w="1417"/>
        <w:gridCol w:w="1418"/>
        <w:gridCol w:w="992"/>
      </w:tblGrid>
      <w:tr w14:paraId="2AD6FF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22" w:type="dxa"/>
            <w:vAlign w:val="center"/>
          </w:tcPr>
          <w:p w14:paraId="0D7C7AF6">
            <w:pPr>
              <w:pStyle w:val="518"/>
              <w:rPr>
                <w:rFonts w:asciiTheme="minorEastAsia" w:hAnsiTheme="minorEastAsia" w:eastAsiaTheme="minorEastAsia"/>
                <w:szCs w:val="21"/>
                <w:lang w:eastAsia="zh-CN"/>
              </w:rPr>
            </w:pPr>
            <w:r>
              <w:rPr>
                <w:rFonts w:hint="eastAsia" w:asciiTheme="minorEastAsia" w:hAnsiTheme="minorEastAsia" w:eastAsiaTheme="minorEastAsia"/>
                <w:szCs w:val="21"/>
                <w:lang w:eastAsia="zh-CN"/>
              </w:rPr>
              <w:t>污染源</w:t>
            </w:r>
          </w:p>
        </w:tc>
        <w:tc>
          <w:tcPr>
            <w:tcW w:w="1522" w:type="dxa"/>
            <w:vAlign w:val="center"/>
          </w:tcPr>
          <w:p w14:paraId="26B9A371">
            <w:pPr>
              <w:pStyle w:val="518"/>
              <w:rPr>
                <w:rFonts w:asciiTheme="minorEastAsia" w:hAnsiTheme="minorEastAsia" w:eastAsiaTheme="minorEastAsia"/>
                <w:szCs w:val="21"/>
                <w:lang w:eastAsia="zh-CN"/>
              </w:rPr>
            </w:pPr>
            <w:r>
              <w:rPr>
                <w:rFonts w:asciiTheme="minorEastAsia" w:hAnsiTheme="minorEastAsia" w:eastAsiaTheme="minorEastAsia"/>
                <w:szCs w:val="21"/>
                <w:lang w:eastAsia="zh-CN"/>
              </w:rPr>
              <w:t>污染物种类</w:t>
            </w:r>
          </w:p>
        </w:tc>
        <w:tc>
          <w:tcPr>
            <w:tcW w:w="1884" w:type="dxa"/>
            <w:vAlign w:val="center"/>
          </w:tcPr>
          <w:p w14:paraId="7053599F">
            <w:pPr>
              <w:pStyle w:val="518"/>
              <w:rPr>
                <w:rFonts w:asciiTheme="minorEastAsia" w:hAnsiTheme="minorEastAsia" w:eastAsiaTheme="minorEastAsia"/>
                <w:szCs w:val="21"/>
                <w:lang w:eastAsia="zh-CN"/>
              </w:rPr>
            </w:pPr>
            <w:r>
              <w:rPr>
                <w:rFonts w:asciiTheme="minorEastAsia" w:hAnsiTheme="minorEastAsia" w:eastAsiaTheme="minorEastAsia"/>
                <w:szCs w:val="21"/>
                <w:lang w:eastAsia="zh-CN"/>
              </w:rPr>
              <w:t>排放量</w:t>
            </w:r>
          </w:p>
        </w:tc>
        <w:tc>
          <w:tcPr>
            <w:tcW w:w="1417" w:type="dxa"/>
            <w:vAlign w:val="center"/>
          </w:tcPr>
          <w:p w14:paraId="25F2168F">
            <w:pPr>
              <w:pStyle w:val="518"/>
              <w:rPr>
                <w:rFonts w:asciiTheme="minorEastAsia" w:hAnsiTheme="minorEastAsia" w:eastAsiaTheme="minorEastAsia"/>
                <w:szCs w:val="21"/>
                <w:lang w:eastAsia="zh-CN"/>
              </w:rPr>
            </w:pPr>
            <w:r>
              <w:rPr>
                <w:rFonts w:asciiTheme="minorEastAsia" w:hAnsiTheme="minorEastAsia" w:eastAsiaTheme="minorEastAsia"/>
                <w:szCs w:val="21"/>
                <w:lang w:eastAsia="zh-CN"/>
              </w:rPr>
              <w:t>处理措施</w:t>
            </w:r>
          </w:p>
        </w:tc>
        <w:tc>
          <w:tcPr>
            <w:tcW w:w="1418" w:type="dxa"/>
            <w:vAlign w:val="center"/>
          </w:tcPr>
          <w:p w14:paraId="68808816">
            <w:pPr>
              <w:pStyle w:val="518"/>
              <w:rPr>
                <w:rFonts w:asciiTheme="minorEastAsia" w:hAnsiTheme="minorEastAsia" w:eastAsiaTheme="minorEastAsia"/>
                <w:szCs w:val="21"/>
                <w:lang w:eastAsia="zh-CN"/>
              </w:rPr>
            </w:pPr>
            <w:r>
              <w:rPr>
                <w:rFonts w:asciiTheme="minorEastAsia" w:hAnsiTheme="minorEastAsia" w:eastAsiaTheme="minorEastAsia"/>
                <w:szCs w:val="21"/>
                <w:lang w:eastAsia="zh-CN"/>
              </w:rPr>
              <w:t>排放方式</w:t>
            </w:r>
          </w:p>
        </w:tc>
        <w:tc>
          <w:tcPr>
            <w:tcW w:w="992" w:type="dxa"/>
            <w:vAlign w:val="center"/>
          </w:tcPr>
          <w:p w14:paraId="0097DBAE">
            <w:pPr>
              <w:pStyle w:val="518"/>
              <w:rPr>
                <w:rFonts w:asciiTheme="minorEastAsia" w:hAnsiTheme="minorEastAsia" w:eastAsiaTheme="minorEastAsia"/>
                <w:szCs w:val="21"/>
                <w:lang w:eastAsia="zh-CN"/>
              </w:rPr>
            </w:pPr>
            <w:r>
              <w:rPr>
                <w:rFonts w:asciiTheme="minorEastAsia" w:hAnsiTheme="minorEastAsia" w:eastAsiaTheme="minorEastAsia"/>
                <w:szCs w:val="21"/>
                <w:lang w:eastAsia="zh-CN"/>
              </w:rPr>
              <w:t>备注</w:t>
            </w:r>
          </w:p>
        </w:tc>
      </w:tr>
      <w:tr w14:paraId="599A82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22" w:type="dxa"/>
            <w:vMerge w:val="restart"/>
            <w:vAlign w:val="center"/>
          </w:tcPr>
          <w:p w14:paraId="25F18F8F">
            <w:pPr>
              <w:pStyle w:val="518"/>
              <w:rPr>
                <w:rFonts w:asciiTheme="minorEastAsia" w:hAnsiTheme="minorEastAsia" w:eastAsiaTheme="minorEastAsia"/>
                <w:szCs w:val="21"/>
                <w:lang w:eastAsia="zh-CN"/>
              </w:rPr>
            </w:pPr>
            <w:r>
              <w:rPr>
                <w:rFonts w:hint="eastAsia" w:asciiTheme="minorEastAsia" w:hAnsiTheme="minorEastAsia" w:eastAsiaTheme="minorEastAsia"/>
                <w:szCs w:val="21"/>
                <w:lang w:eastAsia="zh-CN"/>
              </w:rPr>
              <w:t>发电机组</w:t>
            </w:r>
          </w:p>
        </w:tc>
        <w:tc>
          <w:tcPr>
            <w:tcW w:w="1522" w:type="dxa"/>
            <w:vAlign w:val="center"/>
          </w:tcPr>
          <w:p w14:paraId="0D1CFFB6">
            <w:pPr>
              <w:pStyle w:val="518"/>
              <w:rPr>
                <w:rFonts w:asciiTheme="minorEastAsia" w:hAnsiTheme="minorEastAsia" w:eastAsiaTheme="minorEastAsia"/>
                <w:szCs w:val="21"/>
                <w:lang w:eastAsia="zh-CN"/>
              </w:rPr>
            </w:pPr>
            <w:r>
              <w:rPr>
                <w:rFonts w:hint="eastAsia" w:asciiTheme="minorEastAsia" w:hAnsiTheme="minorEastAsia" w:eastAsiaTheme="minorEastAsia"/>
                <w:szCs w:val="21"/>
                <w:lang w:eastAsia="zh-CN"/>
              </w:rPr>
              <w:t>废气量</w:t>
            </w:r>
          </w:p>
        </w:tc>
        <w:tc>
          <w:tcPr>
            <w:tcW w:w="1884" w:type="dxa"/>
            <w:vAlign w:val="center"/>
          </w:tcPr>
          <w:p w14:paraId="25B5F5B3">
            <w:pPr>
              <w:pStyle w:val="518"/>
              <w:rPr>
                <w:rFonts w:asciiTheme="minorEastAsia" w:hAnsiTheme="minorEastAsia" w:eastAsiaTheme="minorEastAsia"/>
                <w:szCs w:val="21"/>
                <w:lang w:eastAsia="zh-CN"/>
              </w:rPr>
            </w:pPr>
            <w:r>
              <w:rPr>
                <w:rFonts w:hint="eastAsia" w:asciiTheme="minorEastAsia" w:hAnsiTheme="minorEastAsia" w:eastAsiaTheme="minorEastAsia"/>
                <w:szCs w:val="21"/>
                <w:lang w:eastAsia="zh-CN"/>
              </w:rPr>
              <w:t>10036.04</w:t>
            </w:r>
            <w:r>
              <w:rPr>
                <w:rFonts w:asciiTheme="minorEastAsia" w:hAnsiTheme="minorEastAsia" w:eastAsiaTheme="minorEastAsia"/>
                <w:szCs w:val="21"/>
                <w:lang w:eastAsia="zh-CN"/>
              </w:rPr>
              <w:t>×</w:t>
            </w:r>
            <w:r>
              <w:rPr>
                <w:rFonts w:hint="eastAsia" w:asciiTheme="minorEastAsia" w:hAnsiTheme="minorEastAsia" w:eastAsiaTheme="minorEastAsia"/>
                <w:szCs w:val="21"/>
                <w:lang w:eastAsia="zh-CN"/>
              </w:rPr>
              <w:t>10</w:t>
            </w:r>
            <w:r>
              <w:rPr>
                <w:rFonts w:hint="eastAsia" w:asciiTheme="minorEastAsia" w:hAnsiTheme="minorEastAsia" w:eastAsiaTheme="minorEastAsia"/>
                <w:szCs w:val="21"/>
                <w:vertAlign w:val="superscript"/>
                <w:lang w:eastAsia="zh-CN"/>
              </w:rPr>
              <w:t>4</w:t>
            </w:r>
            <w:r>
              <w:rPr>
                <w:rFonts w:hint="eastAsia" w:asciiTheme="minorEastAsia" w:hAnsiTheme="minorEastAsia" w:eastAsiaTheme="minorEastAsia"/>
                <w:szCs w:val="21"/>
                <w:lang w:eastAsia="zh-CN"/>
              </w:rPr>
              <w:t>m</w:t>
            </w:r>
            <w:r>
              <w:rPr>
                <w:rFonts w:hint="eastAsia" w:asciiTheme="minorEastAsia" w:hAnsiTheme="minorEastAsia" w:eastAsiaTheme="minorEastAsia"/>
                <w:szCs w:val="21"/>
                <w:vertAlign w:val="superscript"/>
                <w:lang w:eastAsia="zh-CN"/>
              </w:rPr>
              <w:t>3</w:t>
            </w:r>
            <w:r>
              <w:rPr>
                <w:rFonts w:hint="eastAsia" w:asciiTheme="minorEastAsia" w:hAnsiTheme="minorEastAsia" w:eastAsiaTheme="minorEastAsia"/>
                <w:szCs w:val="21"/>
                <w:lang w:eastAsia="zh-CN"/>
              </w:rPr>
              <w:t>/a</w:t>
            </w:r>
          </w:p>
        </w:tc>
        <w:tc>
          <w:tcPr>
            <w:tcW w:w="1417" w:type="dxa"/>
            <w:vMerge w:val="restart"/>
            <w:vAlign w:val="center"/>
          </w:tcPr>
          <w:p w14:paraId="0A962FBB">
            <w:pPr>
              <w:pStyle w:val="518"/>
              <w:rPr>
                <w:rFonts w:asciiTheme="minorEastAsia" w:hAnsiTheme="minorEastAsia" w:eastAsiaTheme="minorEastAsia"/>
                <w:szCs w:val="21"/>
                <w:lang w:eastAsia="zh-CN"/>
              </w:rPr>
            </w:pPr>
            <w:r>
              <w:rPr>
                <w:rFonts w:hint="eastAsia" w:asciiTheme="minorEastAsia" w:hAnsiTheme="minorEastAsia" w:eastAsiaTheme="minorEastAsia"/>
                <w:szCs w:val="21"/>
                <w:lang w:eastAsia="zh-CN"/>
              </w:rPr>
              <w:t>1</w:t>
            </w:r>
            <w:r>
              <w:rPr>
                <w:rFonts w:asciiTheme="minorEastAsia" w:hAnsiTheme="minorEastAsia" w:eastAsiaTheme="minorEastAsia"/>
                <w:szCs w:val="21"/>
                <w:lang w:eastAsia="zh-CN"/>
              </w:rPr>
              <w:t>0m高</w:t>
            </w:r>
          </w:p>
          <w:p w14:paraId="0F40753F">
            <w:pPr>
              <w:pStyle w:val="518"/>
              <w:rPr>
                <w:rFonts w:asciiTheme="minorEastAsia" w:hAnsiTheme="minorEastAsia" w:eastAsiaTheme="minorEastAsia"/>
                <w:szCs w:val="21"/>
                <w:lang w:eastAsia="zh-CN"/>
              </w:rPr>
            </w:pPr>
            <w:r>
              <w:rPr>
                <w:rFonts w:asciiTheme="minorEastAsia" w:hAnsiTheme="minorEastAsia" w:eastAsiaTheme="minorEastAsia"/>
                <w:szCs w:val="21"/>
                <w:lang w:eastAsia="zh-CN"/>
              </w:rPr>
              <w:t>烟囱排放</w:t>
            </w:r>
          </w:p>
        </w:tc>
        <w:tc>
          <w:tcPr>
            <w:tcW w:w="1418" w:type="dxa"/>
            <w:vAlign w:val="center"/>
          </w:tcPr>
          <w:p w14:paraId="3236E88B">
            <w:pPr>
              <w:pStyle w:val="518"/>
              <w:rPr>
                <w:rFonts w:asciiTheme="minorEastAsia" w:hAnsiTheme="minorEastAsia" w:eastAsiaTheme="minorEastAsia"/>
                <w:szCs w:val="21"/>
                <w:lang w:eastAsia="zh-CN"/>
              </w:rPr>
            </w:pPr>
            <w:r>
              <w:rPr>
                <w:rFonts w:hint="eastAsia" w:asciiTheme="minorEastAsia" w:hAnsiTheme="minorEastAsia" w:eastAsiaTheme="minorEastAsia"/>
                <w:szCs w:val="21"/>
                <w:lang w:eastAsia="zh-CN"/>
              </w:rPr>
              <w:t>连续</w:t>
            </w:r>
          </w:p>
        </w:tc>
        <w:tc>
          <w:tcPr>
            <w:tcW w:w="992" w:type="dxa"/>
            <w:vMerge w:val="restart"/>
            <w:vAlign w:val="center"/>
          </w:tcPr>
          <w:p w14:paraId="53F084D5">
            <w:pPr>
              <w:pStyle w:val="518"/>
              <w:rPr>
                <w:rFonts w:asciiTheme="minorEastAsia" w:hAnsiTheme="minorEastAsia" w:eastAsiaTheme="minorEastAsia"/>
                <w:szCs w:val="21"/>
                <w:lang w:eastAsia="zh-CN"/>
              </w:rPr>
            </w:pPr>
          </w:p>
        </w:tc>
      </w:tr>
      <w:tr w14:paraId="3CB768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22" w:type="dxa"/>
            <w:vMerge w:val="continue"/>
            <w:vAlign w:val="center"/>
          </w:tcPr>
          <w:p w14:paraId="5AB3E374">
            <w:pPr>
              <w:pStyle w:val="518"/>
              <w:rPr>
                <w:rFonts w:asciiTheme="minorEastAsia" w:hAnsiTheme="minorEastAsia" w:eastAsiaTheme="minorEastAsia"/>
                <w:szCs w:val="21"/>
                <w:lang w:eastAsia="zh-CN"/>
              </w:rPr>
            </w:pPr>
          </w:p>
        </w:tc>
        <w:tc>
          <w:tcPr>
            <w:tcW w:w="1522" w:type="dxa"/>
            <w:vAlign w:val="center"/>
          </w:tcPr>
          <w:p w14:paraId="744E568A">
            <w:pPr>
              <w:pStyle w:val="518"/>
              <w:rPr>
                <w:rFonts w:asciiTheme="minorEastAsia" w:hAnsiTheme="minorEastAsia" w:eastAsiaTheme="minorEastAsia"/>
                <w:szCs w:val="21"/>
                <w:lang w:eastAsia="zh-CN"/>
              </w:rPr>
            </w:pPr>
            <w:r>
              <w:rPr>
                <w:rFonts w:asciiTheme="minorEastAsia" w:hAnsiTheme="minorEastAsia" w:eastAsiaTheme="minorEastAsia"/>
                <w:szCs w:val="21"/>
                <w:lang w:eastAsia="zh-CN"/>
              </w:rPr>
              <w:t>烟尘</w:t>
            </w:r>
          </w:p>
        </w:tc>
        <w:tc>
          <w:tcPr>
            <w:tcW w:w="1884" w:type="dxa"/>
            <w:vAlign w:val="center"/>
          </w:tcPr>
          <w:p w14:paraId="57DE2055">
            <w:pPr>
              <w:pStyle w:val="518"/>
              <w:rPr>
                <w:rFonts w:asciiTheme="minorEastAsia" w:hAnsiTheme="minorEastAsia" w:eastAsiaTheme="minorEastAsia"/>
                <w:szCs w:val="21"/>
                <w:lang w:eastAsia="zh-CN"/>
              </w:rPr>
            </w:pPr>
            <w:r>
              <w:rPr>
                <w:rFonts w:hint="eastAsia" w:asciiTheme="minorEastAsia" w:hAnsiTheme="minorEastAsia" w:eastAsiaTheme="minorEastAsia"/>
                <w:szCs w:val="21"/>
                <w:lang w:eastAsia="zh-CN"/>
              </w:rPr>
              <w:t>0.43</w:t>
            </w:r>
            <w:r>
              <w:rPr>
                <w:rFonts w:asciiTheme="minorEastAsia" w:hAnsiTheme="minorEastAsia" w:eastAsiaTheme="minorEastAsia"/>
                <w:szCs w:val="21"/>
                <w:lang w:eastAsia="zh-CN"/>
              </w:rPr>
              <w:t>t/a</w:t>
            </w:r>
          </w:p>
        </w:tc>
        <w:tc>
          <w:tcPr>
            <w:tcW w:w="1417" w:type="dxa"/>
            <w:vMerge w:val="continue"/>
            <w:vAlign w:val="center"/>
          </w:tcPr>
          <w:p w14:paraId="5FC28E22">
            <w:pPr>
              <w:pStyle w:val="518"/>
              <w:rPr>
                <w:rFonts w:asciiTheme="minorEastAsia" w:hAnsiTheme="minorEastAsia" w:eastAsiaTheme="minorEastAsia"/>
                <w:szCs w:val="21"/>
                <w:lang w:eastAsia="zh-CN"/>
              </w:rPr>
            </w:pPr>
          </w:p>
        </w:tc>
        <w:tc>
          <w:tcPr>
            <w:tcW w:w="1418" w:type="dxa"/>
            <w:vAlign w:val="center"/>
          </w:tcPr>
          <w:p w14:paraId="7B9760F1">
            <w:pPr>
              <w:pStyle w:val="518"/>
              <w:rPr>
                <w:rFonts w:asciiTheme="minorEastAsia" w:hAnsiTheme="minorEastAsia" w:eastAsiaTheme="minorEastAsia"/>
                <w:szCs w:val="21"/>
                <w:lang w:eastAsia="zh-CN"/>
              </w:rPr>
            </w:pPr>
            <w:r>
              <w:rPr>
                <w:rFonts w:asciiTheme="minorEastAsia" w:hAnsiTheme="minorEastAsia" w:eastAsiaTheme="minorEastAsia"/>
                <w:szCs w:val="21"/>
                <w:lang w:eastAsia="zh-CN"/>
              </w:rPr>
              <w:t>连续</w:t>
            </w:r>
          </w:p>
        </w:tc>
        <w:tc>
          <w:tcPr>
            <w:tcW w:w="992" w:type="dxa"/>
            <w:vMerge w:val="continue"/>
            <w:vAlign w:val="center"/>
          </w:tcPr>
          <w:p w14:paraId="016432A6">
            <w:pPr>
              <w:pStyle w:val="518"/>
              <w:rPr>
                <w:rFonts w:asciiTheme="minorEastAsia" w:hAnsiTheme="minorEastAsia" w:eastAsiaTheme="minorEastAsia"/>
                <w:szCs w:val="21"/>
                <w:lang w:eastAsia="zh-CN"/>
              </w:rPr>
            </w:pPr>
          </w:p>
        </w:tc>
      </w:tr>
      <w:tr w14:paraId="43F172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22" w:type="dxa"/>
            <w:vMerge w:val="continue"/>
            <w:vAlign w:val="center"/>
          </w:tcPr>
          <w:p w14:paraId="6993311E">
            <w:pPr>
              <w:pStyle w:val="518"/>
              <w:rPr>
                <w:rFonts w:asciiTheme="minorEastAsia" w:hAnsiTheme="minorEastAsia" w:eastAsiaTheme="minorEastAsia"/>
                <w:szCs w:val="21"/>
                <w:lang w:eastAsia="zh-CN"/>
              </w:rPr>
            </w:pPr>
          </w:p>
        </w:tc>
        <w:tc>
          <w:tcPr>
            <w:tcW w:w="1522" w:type="dxa"/>
            <w:vAlign w:val="center"/>
          </w:tcPr>
          <w:p w14:paraId="7217530A">
            <w:pPr>
              <w:pStyle w:val="518"/>
              <w:rPr>
                <w:rFonts w:asciiTheme="minorEastAsia" w:hAnsiTheme="minorEastAsia" w:eastAsiaTheme="minorEastAsia"/>
                <w:szCs w:val="21"/>
                <w:lang w:eastAsia="zh-CN"/>
              </w:rPr>
            </w:pPr>
            <w:r>
              <w:rPr>
                <w:rFonts w:asciiTheme="minorEastAsia" w:hAnsiTheme="minorEastAsia" w:eastAsiaTheme="minorEastAsia"/>
                <w:szCs w:val="21"/>
                <w:lang w:eastAsia="zh-CN"/>
              </w:rPr>
              <w:t>SO</w:t>
            </w:r>
            <w:r>
              <w:rPr>
                <w:rFonts w:asciiTheme="minorEastAsia" w:hAnsiTheme="minorEastAsia" w:eastAsiaTheme="minorEastAsia"/>
                <w:szCs w:val="21"/>
                <w:vertAlign w:val="subscript"/>
                <w:lang w:eastAsia="zh-CN"/>
              </w:rPr>
              <w:t>2</w:t>
            </w:r>
          </w:p>
        </w:tc>
        <w:tc>
          <w:tcPr>
            <w:tcW w:w="1884" w:type="dxa"/>
            <w:vAlign w:val="center"/>
          </w:tcPr>
          <w:p w14:paraId="54BB8391">
            <w:pPr>
              <w:pStyle w:val="518"/>
              <w:rPr>
                <w:rFonts w:asciiTheme="minorEastAsia" w:hAnsiTheme="minorEastAsia" w:eastAsiaTheme="minorEastAsia"/>
                <w:szCs w:val="21"/>
                <w:lang w:eastAsia="zh-CN"/>
              </w:rPr>
            </w:pPr>
            <w:r>
              <w:rPr>
                <w:rFonts w:hint="eastAsia" w:asciiTheme="minorEastAsia" w:hAnsiTheme="minorEastAsia" w:eastAsiaTheme="minorEastAsia"/>
                <w:szCs w:val="21"/>
                <w:lang w:eastAsia="zh-CN"/>
              </w:rPr>
              <w:t>0.29</w:t>
            </w:r>
            <w:r>
              <w:rPr>
                <w:rFonts w:asciiTheme="minorEastAsia" w:hAnsiTheme="minorEastAsia" w:eastAsiaTheme="minorEastAsia"/>
                <w:szCs w:val="21"/>
                <w:lang w:eastAsia="zh-CN"/>
              </w:rPr>
              <w:t>t/a</w:t>
            </w:r>
          </w:p>
        </w:tc>
        <w:tc>
          <w:tcPr>
            <w:tcW w:w="1417" w:type="dxa"/>
            <w:vMerge w:val="continue"/>
            <w:vAlign w:val="center"/>
          </w:tcPr>
          <w:p w14:paraId="1DE6E07D">
            <w:pPr>
              <w:pStyle w:val="518"/>
              <w:rPr>
                <w:rFonts w:asciiTheme="minorEastAsia" w:hAnsiTheme="minorEastAsia" w:eastAsiaTheme="minorEastAsia"/>
                <w:szCs w:val="21"/>
                <w:lang w:eastAsia="zh-CN"/>
              </w:rPr>
            </w:pPr>
          </w:p>
        </w:tc>
        <w:tc>
          <w:tcPr>
            <w:tcW w:w="1418" w:type="dxa"/>
            <w:vAlign w:val="center"/>
          </w:tcPr>
          <w:p w14:paraId="234CEFFE">
            <w:pPr>
              <w:pStyle w:val="518"/>
              <w:rPr>
                <w:rFonts w:asciiTheme="minorEastAsia" w:hAnsiTheme="minorEastAsia" w:eastAsiaTheme="minorEastAsia"/>
                <w:szCs w:val="21"/>
                <w:lang w:eastAsia="zh-CN"/>
              </w:rPr>
            </w:pPr>
            <w:r>
              <w:rPr>
                <w:rFonts w:asciiTheme="minorEastAsia" w:hAnsiTheme="minorEastAsia" w:eastAsiaTheme="minorEastAsia"/>
                <w:szCs w:val="21"/>
                <w:lang w:eastAsia="zh-CN"/>
              </w:rPr>
              <w:t>连续</w:t>
            </w:r>
          </w:p>
        </w:tc>
        <w:tc>
          <w:tcPr>
            <w:tcW w:w="992" w:type="dxa"/>
            <w:vMerge w:val="continue"/>
            <w:vAlign w:val="center"/>
          </w:tcPr>
          <w:p w14:paraId="3A9784AA">
            <w:pPr>
              <w:pStyle w:val="518"/>
              <w:rPr>
                <w:rFonts w:asciiTheme="minorEastAsia" w:hAnsiTheme="minorEastAsia" w:eastAsiaTheme="minorEastAsia"/>
                <w:szCs w:val="21"/>
                <w:lang w:eastAsia="zh-CN"/>
              </w:rPr>
            </w:pPr>
          </w:p>
        </w:tc>
      </w:tr>
      <w:tr w14:paraId="1825DC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22" w:type="dxa"/>
            <w:vMerge w:val="continue"/>
            <w:tcBorders>
              <w:bottom w:val="single" w:color="auto" w:sz="4" w:space="0"/>
            </w:tcBorders>
            <w:vAlign w:val="center"/>
          </w:tcPr>
          <w:p w14:paraId="0F3971A2">
            <w:pPr>
              <w:pStyle w:val="518"/>
              <w:rPr>
                <w:rFonts w:asciiTheme="minorEastAsia" w:hAnsiTheme="minorEastAsia" w:eastAsiaTheme="minorEastAsia"/>
                <w:szCs w:val="21"/>
                <w:lang w:eastAsia="zh-CN"/>
              </w:rPr>
            </w:pPr>
          </w:p>
        </w:tc>
        <w:tc>
          <w:tcPr>
            <w:tcW w:w="1522" w:type="dxa"/>
            <w:vAlign w:val="center"/>
          </w:tcPr>
          <w:p w14:paraId="45CF7716">
            <w:pPr>
              <w:pStyle w:val="518"/>
              <w:rPr>
                <w:rFonts w:asciiTheme="minorEastAsia" w:hAnsiTheme="minorEastAsia" w:eastAsiaTheme="minorEastAsia"/>
                <w:szCs w:val="21"/>
                <w:lang w:eastAsia="zh-CN"/>
              </w:rPr>
            </w:pPr>
            <w:r>
              <w:rPr>
                <w:rFonts w:asciiTheme="minorEastAsia" w:hAnsiTheme="minorEastAsia" w:eastAsiaTheme="minorEastAsia"/>
                <w:szCs w:val="21"/>
                <w:lang w:eastAsia="zh-CN"/>
              </w:rPr>
              <w:t>NO</w:t>
            </w:r>
            <w:r>
              <w:rPr>
                <w:rFonts w:asciiTheme="minorEastAsia" w:hAnsiTheme="minorEastAsia" w:eastAsiaTheme="minorEastAsia"/>
                <w:szCs w:val="21"/>
                <w:vertAlign w:val="subscript"/>
                <w:lang w:eastAsia="zh-CN"/>
              </w:rPr>
              <w:t>x</w:t>
            </w:r>
          </w:p>
        </w:tc>
        <w:tc>
          <w:tcPr>
            <w:tcW w:w="1884" w:type="dxa"/>
            <w:vAlign w:val="center"/>
          </w:tcPr>
          <w:p w14:paraId="56143FAC">
            <w:pPr>
              <w:pStyle w:val="518"/>
              <w:rPr>
                <w:rFonts w:asciiTheme="minorEastAsia" w:hAnsiTheme="minorEastAsia" w:eastAsiaTheme="minorEastAsia"/>
                <w:szCs w:val="21"/>
                <w:lang w:eastAsia="zh-CN"/>
              </w:rPr>
            </w:pPr>
            <w:r>
              <w:rPr>
                <w:rFonts w:hint="eastAsia" w:asciiTheme="minorEastAsia" w:hAnsiTheme="minorEastAsia" w:eastAsiaTheme="minorEastAsia"/>
                <w:szCs w:val="21"/>
                <w:lang w:eastAsia="zh-CN"/>
              </w:rPr>
              <w:t>0.823</w:t>
            </w:r>
            <w:r>
              <w:rPr>
                <w:rFonts w:asciiTheme="minorEastAsia" w:hAnsiTheme="minorEastAsia" w:eastAsiaTheme="minorEastAsia"/>
                <w:szCs w:val="21"/>
              </w:rPr>
              <w:t xml:space="preserve"> </w:t>
            </w:r>
            <w:r>
              <w:rPr>
                <w:rFonts w:asciiTheme="minorEastAsia" w:hAnsiTheme="minorEastAsia" w:eastAsiaTheme="minorEastAsia"/>
                <w:szCs w:val="21"/>
                <w:lang w:eastAsia="zh-CN"/>
              </w:rPr>
              <w:t>t/a</w:t>
            </w:r>
          </w:p>
        </w:tc>
        <w:tc>
          <w:tcPr>
            <w:tcW w:w="1417" w:type="dxa"/>
            <w:vMerge w:val="continue"/>
            <w:vAlign w:val="center"/>
          </w:tcPr>
          <w:p w14:paraId="477F16E8">
            <w:pPr>
              <w:pStyle w:val="518"/>
              <w:rPr>
                <w:rFonts w:asciiTheme="minorEastAsia" w:hAnsiTheme="minorEastAsia" w:eastAsiaTheme="minorEastAsia"/>
                <w:szCs w:val="21"/>
                <w:lang w:eastAsia="zh-CN"/>
              </w:rPr>
            </w:pPr>
          </w:p>
        </w:tc>
        <w:tc>
          <w:tcPr>
            <w:tcW w:w="1418" w:type="dxa"/>
            <w:vAlign w:val="center"/>
          </w:tcPr>
          <w:p w14:paraId="6DB8EF6D">
            <w:pPr>
              <w:pStyle w:val="518"/>
              <w:rPr>
                <w:rFonts w:asciiTheme="minorEastAsia" w:hAnsiTheme="minorEastAsia" w:eastAsiaTheme="minorEastAsia"/>
                <w:szCs w:val="21"/>
                <w:lang w:eastAsia="zh-CN"/>
              </w:rPr>
            </w:pPr>
            <w:r>
              <w:rPr>
                <w:rFonts w:asciiTheme="minorEastAsia" w:hAnsiTheme="minorEastAsia" w:eastAsiaTheme="minorEastAsia"/>
                <w:szCs w:val="21"/>
                <w:lang w:eastAsia="zh-CN"/>
              </w:rPr>
              <w:t>连续</w:t>
            </w:r>
          </w:p>
        </w:tc>
        <w:tc>
          <w:tcPr>
            <w:tcW w:w="992" w:type="dxa"/>
            <w:vMerge w:val="continue"/>
            <w:vAlign w:val="center"/>
          </w:tcPr>
          <w:p w14:paraId="64E58BFA">
            <w:pPr>
              <w:pStyle w:val="518"/>
              <w:rPr>
                <w:rFonts w:asciiTheme="minorEastAsia" w:hAnsiTheme="minorEastAsia" w:eastAsiaTheme="minorEastAsia"/>
                <w:szCs w:val="21"/>
                <w:lang w:eastAsia="zh-CN"/>
              </w:rPr>
            </w:pPr>
          </w:p>
        </w:tc>
      </w:tr>
      <w:tr w14:paraId="025AEC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22" w:type="dxa"/>
            <w:vMerge w:val="restart"/>
            <w:tcBorders>
              <w:top w:val="single" w:color="auto" w:sz="4" w:space="0"/>
            </w:tcBorders>
            <w:vAlign w:val="center"/>
          </w:tcPr>
          <w:p w14:paraId="3F2279A5">
            <w:pPr>
              <w:pStyle w:val="518"/>
              <w:rPr>
                <w:rFonts w:asciiTheme="minorEastAsia" w:hAnsiTheme="minorEastAsia" w:eastAsiaTheme="minorEastAsia"/>
                <w:szCs w:val="21"/>
                <w:lang w:eastAsia="zh-CN"/>
              </w:rPr>
            </w:pPr>
            <w:r>
              <w:rPr>
                <w:rFonts w:hint="eastAsia" w:asciiTheme="minorEastAsia" w:hAnsiTheme="minorEastAsia" w:eastAsiaTheme="minorEastAsia"/>
                <w:szCs w:val="21"/>
                <w:lang w:eastAsia="zh-CN"/>
              </w:rPr>
              <w:t>加热炉</w:t>
            </w:r>
          </w:p>
        </w:tc>
        <w:tc>
          <w:tcPr>
            <w:tcW w:w="1522" w:type="dxa"/>
            <w:vAlign w:val="center"/>
          </w:tcPr>
          <w:p w14:paraId="6E1BF2BF">
            <w:pPr>
              <w:pStyle w:val="518"/>
              <w:rPr>
                <w:rFonts w:asciiTheme="minorEastAsia" w:hAnsiTheme="minorEastAsia" w:eastAsiaTheme="minorEastAsia"/>
                <w:szCs w:val="21"/>
                <w:lang w:eastAsia="zh-CN"/>
              </w:rPr>
            </w:pPr>
            <w:r>
              <w:rPr>
                <w:rFonts w:hint="eastAsia" w:asciiTheme="minorEastAsia" w:hAnsiTheme="minorEastAsia" w:eastAsiaTheme="minorEastAsia"/>
                <w:szCs w:val="21"/>
                <w:lang w:eastAsia="zh-CN"/>
              </w:rPr>
              <w:t>废气量</w:t>
            </w:r>
          </w:p>
        </w:tc>
        <w:tc>
          <w:tcPr>
            <w:tcW w:w="1884" w:type="dxa"/>
            <w:vAlign w:val="center"/>
          </w:tcPr>
          <w:p w14:paraId="0640542A">
            <w:pPr>
              <w:pStyle w:val="518"/>
              <w:rPr>
                <w:rFonts w:asciiTheme="minorEastAsia" w:hAnsiTheme="minorEastAsia" w:eastAsiaTheme="minorEastAsia"/>
                <w:szCs w:val="21"/>
                <w:lang w:eastAsia="zh-CN"/>
              </w:rPr>
            </w:pPr>
            <w:r>
              <w:rPr>
                <w:rFonts w:hint="eastAsia" w:asciiTheme="minorEastAsia" w:hAnsiTheme="minorEastAsia" w:eastAsiaTheme="minorEastAsia"/>
                <w:szCs w:val="21"/>
                <w:lang w:eastAsia="zh-CN"/>
              </w:rPr>
              <w:t>2784.95</w:t>
            </w:r>
            <w:r>
              <w:rPr>
                <w:rFonts w:asciiTheme="minorEastAsia" w:hAnsiTheme="minorEastAsia" w:eastAsiaTheme="minorEastAsia"/>
                <w:szCs w:val="21"/>
                <w:lang w:eastAsia="zh-CN"/>
              </w:rPr>
              <w:t>×</w:t>
            </w:r>
            <w:r>
              <w:rPr>
                <w:rFonts w:hint="eastAsia" w:asciiTheme="minorEastAsia" w:hAnsiTheme="minorEastAsia" w:eastAsiaTheme="minorEastAsia"/>
                <w:szCs w:val="21"/>
                <w:lang w:eastAsia="zh-CN"/>
              </w:rPr>
              <w:t>10</w:t>
            </w:r>
            <w:r>
              <w:rPr>
                <w:rFonts w:hint="eastAsia" w:asciiTheme="minorEastAsia" w:hAnsiTheme="minorEastAsia" w:eastAsiaTheme="minorEastAsia"/>
                <w:szCs w:val="21"/>
                <w:vertAlign w:val="superscript"/>
                <w:lang w:eastAsia="zh-CN"/>
              </w:rPr>
              <w:t>4</w:t>
            </w:r>
            <w:r>
              <w:rPr>
                <w:rFonts w:hint="eastAsia" w:asciiTheme="minorEastAsia" w:hAnsiTheme="minorEastAsia" w:eastAsiaTheme="minorEastAsia"/>
                <w:szCs w:val="21"/>
                <w:lang w:eastAsia="zh-CN"/>
              </w:rPr>
              <w:t>m</w:t>
            </w:r>
            <w:r>
              <w:rPr>
                <w:rFonts w:hint="eastAsia" w:asciiTheme="minorEastAsia" w:hAnsiTheme="minorEastAsia" w:eastAsiaTheme="minorEastAsia"/>
                <w:szCs w:val="21"/>
                <w:vertAlign w:val="superscript"/>
                <w:lang w:eastAsia="zh-CN"/>
              </w:rPr>
              <w:t>3</w:t>
            </w:r>
            <w:r>
              <w:rPr>
                <w:rFonts w:hint="eastAsia" w:asciiTheme="minorEastAsia" w:hAnsiTheme="minorEastAsia" w:eastAsiaTheme="minorEastAsia"/>
                <w:szCs w:val="21"/>
                <w:lang w:eastAsia="zh-CN"/>
              </w:rPr>
              <w:t>/a</w:t>
            </w:r>
          </w:p>
        </w:tc>
        <w:tc>
          <w:tcPr>
            <w:tcW w:w="1417" w:type="dxa"/>
            <w:vMerge w:val="restart"/>
            <w:vAlign w:val="center"/>
          </w:tcPr>
          <w:p w14:paraId="2314BCA3">
            <w:pPr>
              <w:pStyle w:val="518"/>
              <w:rPr>
                <w:rFonts w:asciiTheme="minorEastAsia" w:hAnsiTheme="minorEastAsia" w:eastAsiaTheme="minorEastAsia"/>
                <w:szCs w:val="21"/>
                <w:lang w:eastAsia="zh-CN"/>
              </w:rPr>
            </w:pPr>
            <w:r>
              <w:rPr>
                <w:rFonts w:hint="eastAsia" w:asciiTheme="minorEastAsia" w:hAnsiTheme="minorEastAsia" w:eastAsiaTheme="minorEastAsia"/>
                <w:szCs w:val="21"/>
                <w:lang w:eastAsia="zh-CN"/>
              </w:rPr>
              <w:t>1</w:t>
            </w:r>
            <w:r>
              <w:rPr>
                <w:rFonts w:asciiTheme="minorEastAsia" w:hAnsiTheme="minorEastAsia" w:eastAsiaTheme="minorEastAsia"/>
                <w:szCs w:val="21"/>
                <w:lang w:eastAsia="zh-CN"/>
              </w:rPr>
              <w:t>0m高</w:t>
            </w:r>
          </w:p>
          <w:p w14:paraId="1C77CD46">
            <w:pPr>
              <w:pStyle w:val="518"/>
              <w:rPr>
                <w:rFonts w:asciiTheme="minorEastAsia" w:hAnsiTheme="minorEastAsia" w:eastAsiaTheme="minorEastAsia"/>
                <w:szCs w:val="21"/>
                <w:lang w:eastAsia="zh-CN"/>
              </w:rPr>
            </w:pPr>
            <w:r>
              <w:rPr>
                <w:rFonts w:asciiTheme="minorEastAsia" w:hAnsiTheme="minorEastAsia" w:eastAsiaTheme="minorEastAsia"/>
                <w:szCs w:val="21"/>
                <w:lang w:eastAsia="zh-CN"/>
              </w:rPr>
              <w:t>烟囱排放</w:t>
            </w:r>
          </w:p>
        </w:tc>
        <w:tc>
          <w:tcPr>
            <w:tcW w:w="1418" w:type="dxa"/>
            <w:vAlign w:val="center"/>
          </w:tcPr>
          <w:p w14:paraId="6BA20AAC">
            <w:pPr>
              <w:pStyle w:val="518"/>
              <w:rPr>
                <w:rFonts w:asciiTheme="minorEastAsia" w:hAnsiTheme="minorEastAsia" w:eastAsiaTheme="minorEastAsia"/>
                <w:szCs w:val="21"/>
                <w:lang w:eastAsia="zh-CN"/>
              </w:rPr>
            </w:pPr>
            <w:r>
              <w:rPr>
                <w:rFonts w:asciiTheme="minorEastAsia" w:hAnsiTheme="minorEastAsia" w:eastAsiaTheme="minorEastAsia"/>
                <w:szCs w:val="21"/>
                <w:lang w:eastAsia="zh-CN"/>
              </w:rPr>
              <w:t>连续</w:t>
            </w:r>
          </w:p>
        </w:tc>
        <w:tc>
          <w:tcPr>
            <w:tcW w:w="992" w:type="dxa"/>
            <w:vMerge w:val="restart"/>
            <w:vAlign w:val="center"/>
          </w:tcPr>
          <w:p w14:paraId="17AECAA4">
            <w:pPr>
              <w:pStyle w:val="518"/>
              <w:rPr>
                <w:rFonts w:asciiTheme="minorEastAsia" w:hAnsiTheme="minorEastAsia" w:eastAsiaTheme="minorEastAsia"/>
                <w:szCs w:val="21"/>
                <w:lang w:eastAsia="zh-CN"/>
              </w:rPr>
            </w:pPr>
          </w:p>
        </w:tc>
      </w:tr>
      <w:tr w14:paraId="239EAF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22" w:type="dxa"/>
            <w:vMerge w:val="continue"/>
            <w:vAlign w:val="center"/>
          </w:tcPr>
          <w:p w14:paraId="2AB55333">
            <w:pPr>
              <w:pStyle w:val="518"/>
              <w:rPr>
                <w:rFonts w:asciiTheme="minorEastAsia" w:hAnsiTheme="minorEastAsia" w:eastAsiaTheme="minorEastAsia"/>
                <w:szCs w:val="21"/>
                <w:lang w:eastAsia="zh-CN"/>
              </w:rPr>
            </w:pPr>
          </w:p>
        </w:tc>
        <w:tc>
          <w:tcPr>
            <w:tcW w:w="1522" w:type="dxa"/>
            <w:vAlign w:val="center"/>
          </w:tcPr>
          <w:p w14:paraId="4AEA1AB5">
            <w:pPr>
              <w:pStyle w:val="518"/>
              <w:rPr>
                <w:rFonts w:asciiTheme="minorEastAsia" w:hAnsiTheme="minorEastAsia" w:eastAsiaTheme="minorEastAsia"/>
                <w:szCs w:val="21"/>
                <w:lang w:eastAsia="zh-CN"/>
              </w:rPr>
            </w:pPr>
            <w:r>
              <w:rPr>
                <w:rFonts w:asciiTheme="minorEastAsia" w:hAnsiTheme="minorEastAsia" w:eastAsiaTheme="minorEastAsia"/>
                <w:szCs w:val="21"/>
                <w:lang w:eastAsia="zh-CN"/>
              </w:rPr>
              <w:t>NO</w:t>
            </w:r>
            <w:r>
              <w:rPr>
                <w:rFonts w:asciiTheme="minorEastAsia" w:hAnsiTheme="minorEastAsia" w:eastAsiaTheme="minorEastAsia"/>
                <w:szCs w:val="21"/>
                <w:vertAlign w:val="subscript"/>
                <w:lang w:eastAsia="zh-CN"/>
              </w:rPr>
              <w:t>x</w:t>
            </w:r>
          </w:p>
        </w:tc>
        <w:tc>
          <w:tcPr>
            <w:tcW w:w="1884" w:type="dxa"/>
            <w:vAlign w:val="center"/>
          </w:tcPr>
          <w:p w14:paraId="001C0D73">
            <w:pPr>
              <w:pStyle w:val="518"/>
              <w:rPr>
                <w:rFonts w:asciiTheme="minorEastAsia" w:hAnsiTheme="minorEastAsia" w:eastAsiaTheme="minorEastAsia"/>
                <w:szCs w:val="21"/>
                <w:lang w:eastAsia="zh-CN"/>
              </w:rPr>
            </w:pPr>
            <w:r>
              <w:rPr>
                <w:rFonts w:hint="eastAsia" w:asciiTheme="minorEastAsia" w:hAnsiTheme="minorEastAsia" w:eastAsiaTheme="minorEastAsia"/>
                <w:szCs w:val="21"/>
                <w:lang w:eastAsia="zh-CN"/>
              </w:rPr>
              <w:t>0.0785</w:t>
            </w:r>
            <w:r>
              <w:rPr>
                <w:rFonts w:asciiTheme="minorEastAsia" w:hAnsiTheme="minorEastAsia" w:eastAsiaTheme="minorEastAsia"/>
                <w:szCs w:val="21"/>
                <w:lang w:eastAsia="zh-CN"/>
              </w:rPr>
              <w:t>t/a</w:t>
            </w:r>
          </w:p>
        </w:tc>
        <w:tc>
          <w:tcPr>
            <w:tcW w:w="1417" w:type="dxa"/>
            <w:vMerge w:val="continue"/>
            <w:vAlign w:val="center"/>
          </w:tcPr>
          <w:p w14:paraId="26E78757">
            <w:pPr>
              <w:pStyle w:val="518"/>
              <w:rPr>
                <w:rFonts w:asciiTheme="minorEastAsia" w:hAnsiTheme="minorEastAsia" w:eastAsiaTheme="minorEastAsia"/>
                <w:szCs w:val="21"/>
                <w:lang w:eastAsia="zh-CN"/>
              </w:rPr>
            </w:pPr>
          </w:p>
        </w:tc>
        <w:tc>
          <w:tcPr>
            <w:tcW w:w="1418" w:type="dxa"/>
            <w:vAlign w:val="center"/>
          </w:tcPr>
          <w:p w14:paraId="4BC29717">
            <w:pPr>
              <w:pStyle w:val="518"/>
              <w:rPr>
                <w:rFonts w:asciiTheme="minorEastAsia" w:hAnsiTheme="minorEastAsia" w:eastAsiaTheme="minorEastAsia"/>
                <w:szCs w:val="21"/>
                <w:lang w:eastAsia="zh-CN"/>
              </w:rPr>
            </w:pPr>
            <w:r>
              <w:rPr>
                <w:rFonts w:asciiTheme="minorEastAsia" w:hAnsiTheme="minorEastAsia" w:eastAsiaTheme="minorEastAsia"/>
                <w:szCs w:val="21"/>
                <w:lang w:eastAsia="zh-CN"/>
              </w:rPr>
              <w:t>连续</w:t>
            </w:r>
          </w:p>
        </w:tc>
        <w:tc>
          <w:tcPr>
            <w:tcW w:w="992" w:type="dxa"/>
            <w:vMerge w:val="continue"/>
            <w:vAlign w:val="center"/>
          </w:tcPr>
          <w:p w14:paraId="7220EEEB">
            <w:pPr>
              <w:pStyle w:val="518"/>
              <w:rPr>
                <w:rFonts w:asciiTheme="minorEastAsia" w:hAnsiTheme="minorEastAsia" w:eastAsiaTheme="minorEastAsia"/>
                <w:szCs w:val="21"/>
                <w:lang w:eastAsia="zh-CN"/>
              </w:rPr>
            </w:pPr>
          </w:p>
        </w:tc>
      </w:tr>
      <w:tr w14:paraId="56F5D7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22" w:type="dxa"/>
            <w:vAlign w:val="center"/>
          </w:tcPr>
          <w:p w14:paraId="00C537C7">
            <w:pPr>
              <w:pStyle w:val="518"/>
              <w:rPr>
                <w:rFonts w:asciiTheme="minorEastAsia" w:hAnsiTheme="minorEastAsia" w:eastAsiaTheme="minorEastAsia"/>
                <w:szCs w:val="21"/>
                <w:lang w:eastAsia="zh-CN"/>
              </w:rPr>
            </w:pPr>
            <w:r>
              <w:rPr>
                <w:rFonts w:hint="eastAsia" w:asciiTheme="minorEastAsia" w:hAnsiTheme="minorEastAsia" w:eastAsiaTheme="minorEastAsia"/>
                <w:szCs w:val="21"/>
                <w:lang w:eastAsia="zh-CN"/>
              </w:rPr>
              <w:t>油气集输</w:t>
            </w:r>
          </w:p>
        </w:tc>
        <w:tc>
          <w:tcPr>
            <w:tcW w:w="1522" w:type="dxa"/>
            <w:vAlign w:val="center"/>
          </w:tcPr>
          <w:p w14:paraId="6303AE21">
            <w:pPr>
              <w:pStyle w:val="518"/>
              <w:rPr>
                <w:rFonts w:asciiTheme="minorEastAsia" w:hAnsiTheme="minorEastAsia" w:eastAsiaTheme="minorEastAsia"/>
                <w:szCs w:val="21"/>
                <w:lang w:eastAsia="zh-CN"/>
              </w:rPr>
            </w:pPr>
            <w:r>
              <w:rPr>
                <w:rFonts w:hint="eastAsia" w:asciiTheme="minorEastAsia" w:hAnsiTheme="minorEastAsia" w:eastAsiaTheme="minorEastAsia"/>
                <w:szCs w:val="21"/>
                <w:lang w:eastAsia="zh-CN"/>
              </w:rPr>
              <w:t>非甲烷总烃</w:t>
            </w:r>
          </w:p>
        </w:tc>
        <w:tc>
          <w:tcPr>
            <w:tcW w:w="1884" w:type="dxa"/>
            <w:vAlign w:val="center"/>
          </w:tcPr>
          <w:p w14:paraId="163968F8">
            <w:pPr>
              <w:pStyle w:val="518"/>
              <w:rPr>
                <w:rFonts w:asciiTheme="minorEastAsia" w:hAnsiTheme="minorEastAsia" w:eastAsiaTheme="minorEastAsia"/>
                <w:szCs w:val="21"/>
                <w:lang w:eastAsia="zh-CN"/>
              </w:rPr>
            </w:pPr>
            <w:r>
              <w:rPr>
                <w:rFonts w:hint="eastAsia" w:asciiTheme="minorEastAsia" w:hAnsiTheme="minorEastAsia" w:eastAsiaTheme="minorEastAsia"/>
                <w:szCs w:val="21"/>
                <w:lang w:eastAsia="zh-CN"/>
              </w:rPr>
              <w:t>105.66</w:t>
            </w:r>
          </w:p>
        </w:tc>
        <w:tc>
          <w:tcPr>
            <w:tcW w:w="1417" w:type="dxa"/>
            <w:vAlign w:val="center"/>
          </w:tcPr>
          <w:p w14:paraId="32FB8AF7">
            <w:pPr>
              <w:pStyle w:val="518"/>
              <w:rPr>
                <w:rFonts w:asciiTheme="minorEastAsia" w:hAnsiTheme="minorEastAsia" w:eastAsiaTheme="minorEastAsia"/>
                <w:szCs w:val="21"/>
                <w:lang w:eastAsia="zh-CN"/>
              </w:rPr>
            </w:pPr>
            <w:r>
              <w:rPr>
                <w:rFonts w:hint="eastAsia" w:asciiTheme="minorEastAsia" w:hAnsiTheme="minorEastAsia" w:eastAsiaTheme="minorEastAsia"/>
                <w:szCs w:val="21"/>
                <w:lang w:eastAsia="zh-CN"/>
              </w:rPr>
              <w:t>无组织</w:t>
            </w:r>
          </w:p>
        </w:tc>
        <w:tc>
          <w:tcPr>
            <w:tcW w:w="1418" w:type="dxa"/>
            <w:vAlign w:val="center"/>
          </w:tcPr>
          <w:p w14:paraId="3B95A8C9">
            <w:pPr>
              <w:pStyle w:val="518"/>
              <w:rPr>
                <w:rFonts w:asciiTheme="minorEastAsia" w:hAnsiTheme="minorEastAsia" w:eastAsiaTheme="minorEastAsia"/>
                <w:szCs w:val="21"/>
                <w:lang w:eastAsia="zh-CN"/>
              </w:rPr>
            </w:pPr>
            <w:r>
              <w:rPr>
                <w:rFonts w:asciiTheme="minorEastAsia" w:hAnsiTheme="minorEastAsia" w:eastAsiaTheme="minorEastAsia"/>
                <w:szCs w:val="21"/>
                <w:lang w:eastAsia="zh-CN"/>
              </w:rPr>
              <w:t>连续</w:t>
            </w:r>
          </w:p>
        </w:tc>
        <w:tc>
          <w:tcPr>
            <w:tcW w:w="992" w:type="dxa"/>
            <w:vAlign w:val="center"/>
          </w:tcPr>
          <w:p w14:paraId="11424320">
            <w:pPr>
              <w:pStyle w:val="518"/>
              <w:rPr>
                <w:rFonts w:asciiTheme="minorEastAsia" w:hAnsiTheme="minorEastAsia" w:eastAsiaTheme="minorEastAsia"/>
                <w:szCs w:val="21"/>
                <w:lang w:eastAsia="zh-CN"/>
              </w:rPr>
            </w:pPr>
          </w:p>
        </w:tc>
      </w:tr>
    </w:tbl>
    <w:p w14:paraId="4CC63154">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（3）</w:t>
      </w:r>
      <w:r>
        <w:rPr>
          <w:rFonts w:asciiTheme="minorEastAsia" w:hAnsiTheme="minorEastAsia" w:eastAsiaTheme="minorEastAsia"/>
          <w:lang w:eastAsia="zh-CN"/>
        </w:rPr>
        <w:t>固体废弃物</w:t>
      </w:r>
      <w:r>
        <w:rPr>
          <w:rFonts w:hint="eastAsia" w:asciiTheme="minorEastAsia" w:hAnsiTheme="minorEastAsia" w:eastAsiaTheme="minorEastAsia"/>
          <w:lang w:eastAsia="zh-CN"/>
        </w:rPr>
        <w:t>产生情况</w:t>
      </w:r>
      <w:r>
        <w:rPr>
          <w:rFonts w:asciiTheme="minorEastAsia" w:hAnsiTheme="minorEastAsia" w:eastAsiaTheme="minorEastAsia"/>
          <w:lang w:eastAsia="zh-CN"/>
        </w:rPr>
        <w:t>及防治措施</w:t>
      </w:r>
    </w:p>
    <w:p w14:paraId="3B0164F2">
      <w:pPr>
        <w:ind w:firstLine="480"/>
        <w:rPr>
          <w:rFonts w:asciiTheme="minorEastAsia" w:hAnsiTheme="minorEastAsia" w:eastAsiaTheme="minorEastAsia"/>
          <w:lang w:eastAsia="zh-CN"/>
        </w:rPr>
      </w:pPr>
      <w:r>
        <w:rPr>
          <w:rFonts w:asciiTheme="minorEastAsia" w:hAnsiTheme="minorEastAsia" w:eastAsiaTheme="minorEastAsia"/>
          <w:lang w:eastAsia="zh-CN"/>
        </w:rPr>
        <w:t>固体废物主要</w:t>
      </w:r>
      <w:r>
        <w:rPr>
          <w:rFonts w:hint="eastAsia" w:asciiTheme="minorEastAsia" w:hAnsiTheme="minorEastAsia" w:eastAsiaTheme="minorEastAsia"/>
          <w:lang w:eastAsia="zh-CN"/>
        </w:rPr>
        <w:t>包括含油污水处理系统产生的</w:t>
      </w:r>
      <w:r>
        <w:rPr>
          <w:rFonts w:asciiTheme="minorEastAsia" w:hAnsiTheme="minorEastAsia" w:eastAsiaTheme="minorEastAsia"/>
          <w:lang w:eastAsia="zh-CN"/>
        </w:rPr>
        <w:t>油泥砂</w:t>
      </w:r>
      <w:r>
        <w:rPr>
          <w:rFonts w:hint="eastAsia" w:asciiTheme="minorEastAsia" w:hAnsiTheme="minorEastAsia" w:eastAsiaTheme="minorEastAsia"/>
          <w:lang w:eastAsia="zh-CN"/>
        </w:rPr>
        <w:t>、储油罐沉降产生的油泥砂，采油井生产产生的落地原油，职工生活产生的</w:t>
      </w:r>
      <w:r>
        <w:rPr>
          <w:rFonts w:asciiTheme="minorEastAsia" w:hAnsiTheme="minorEastAsia" w:eastAsiaTheme="minorEastAsia"/>
          <w:lang w:eastAsia="zh-CN"/>
        </w:rPr>
        <w:t>生活垃圾。</w:t>
      </w:r>
    </w:p>
    <w:p w14:paraId="027B1AA3">
      <w:pPr>
        <w:ind w:firstLine="480"/>
        <w:rPr>
          <w:rFonts w:asciiTheme="minorEastAsia" w:hAnsiTheme="minorEastAsia" w:eastAsiaTheme="minorEastAsia"/>
          <w:lang w:eastAsia="zh-CN"/>
        </w:rPr>
      </w:pPr>
      <w:r>
        <w:rPr>
          <w:rFonts w:asciiTheme="minorEastAsia" w:hAnsiTheme="minorEastAsia" w:eastAsiaTheme="minorEastAsia"/>
          <w:lang w:eastAsia="zh-CN"/>
        </w:rPr>
        <w:t>油泥砂主要来源于污水处理系统</w:t>
      </w:r>
      <w:r>
        <w:rPr>
          <w:rFonts w:hint="eastAsia" w:asciiTheme="minorEastAsia" w:hAnsiTheme="minorEastAsia" w:eastAsiaTheme="minorEastAsia"/>
          <w:lang w:eastAsia="zh-CN"/>
        </w:rPr>
        <w:t>和储油罐。现有工程最大污水产生量为：1.58</w:t>
      </w:r>
      <w:r>
        <w:rPr>
          <w:rFonts w:asciiTheme="minorEastAsia" w:hAnsiTheme="minorEastAsia" w:eastAsiaTheme="minorEastAsia"/>
          <w:lang w:eastAsia="zh-CN"/>
        </w:rPr>
        <w:t>×10</w:t>
      </w:r>
      <w:r>
        <w:rPr>
          <w:rFonts w:asciiTheme="minorEastAsia" w:hAnsiTheme="minorEastAsia" w:eastAsiaTheme="minorEastAsia"/>
          <w:vertAlign w:val="superscript"/>
          <w:lang w:eastAsia="zh-CN"/>
        </w:rPr>
        <w:t>4</w:t>
      </w:r>
      <w:r>
        <w:rPr>
          <w:rFonts w:asciiTheme="minorEastAsia" w:hAnsiTheme="minorEastAsia" w:eastAsiaTheme="minorEastAsia"/>
          <w:lang w:eastAsia="zh-CN"/>
        </w:rPr>
        <w:t>t/a</w:t>
      </w:r>
      <w:r>
        <w:rPr>
          <w:rFonts w:hint="eastAsia" w:asciiTheme="minorEastAsia" w:hAnsiTheme="minorEastAsia" w:eastAsiaTheme="minorEastAsia"/>
          <w:lang w:eastAsia="zh-CN"/>
        </w:rPr>
        <w:t>（43.29</w:t>
      </w:r>
      <w:r>
        <w:rPr>
          <w:rFonts w:asciiTheme="minorEastAsia" w:hAnsiTheme="minorEastAsia" w:eastAsiaTheme="minorEastAsia"/>
          <w:lang w:eastAsia="zh-CN"/>
        </w:rPr>
        <w:t xml:space="preserve"> 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/d</w:t>
      </w:r>
      <w:r>
        <w:rPr>
          <w:rFonts w:hint="eastAsia" w:asciiTheme="minorEastAsia" w:hAnsiTheme="minorEastAsia" w:eastAsiaTheme="minorEastAsia"/>
          <w:lang w:eastAsia="zh-CN"/>
        </w:rPr>
        <w:t>），</w:t>
      </w:r>
      <w:r>
        <w:rPr>
          <w:rFonts w:asciiTheme="minorEastAsia" w:hAnsiTheme="minorEastAsia" w:eastAsiaTheme="minorEastAsia"/>
          <w:lang w:eastAsia="zh-CN"/>
        </w:rPr>
        <w:t>经污水处理系统处理后产生的油泥砂</w:t>
      </w:r>
      <w:r>
        <w:rPr>
          <w:rFonts w:hint="eastAsia" w:asciiTheme="minorEastAsia" w:hAnsiTheme="minorEastAsia" w:eastAsiaTheme="minorEastAsia"/>
          <w:lang w:eastAsia="zh-CN"/>
        </w:rPr>
        <w:t>3.75</w:t>
      </w:r>
      <w:r>
        <w:rPr>
          <w:rFonts w:asciiTheme="minorEastAsia" w:hAnsiTheme="minorEastAsia" w:eastAsiaTheme="minorEastAsia"/>
          <w:lang w:eastAsia="zh-CN"/>
        </w:rPr>
        <w:t>t/a。</w:t>
      </w:r>
      <w:r>
        <w:rPr>
          <w:rFonts w:hint="eastAsia" w:asciiTheme="minorEastAsia" w:hAnsiTheme="minorEastAsia" w:eastAsiaTheme="minorEastAsia"/>
          <w:lang w:eastAsia="zh-CN"/>
        </w:rPr>
        <w:t>现有工程最大产能3.0</w:t>
      </w:r>
      <w:r>
        <w:rPr>
          <w:rFonts w:asciiTheme="minorEastAsia" w:hAnsiTheme="minorEastAsia" w:eastAsiaTheme="minorEastAsia"/>
          <w:lang w:eastAsia="zh-CN"/>
        </w:rPr>
        <w:t>×10</w:t>
      </w:r>
      <w:r>
        <w:rPr>
          <w:rFonts w:asciiTheme="minorEastAsia" w:hAnsiTheme="minorEastAsia" w:eastAsiaTheme="minorEastAsia"/>
          <w:vertAlign w:val="superscript"/>
          <w:lang w:eastAsia="zh-CN"/>
        </w:rPr>
        <w:t>4</w:t>
      </w:r>
      <w:r>
        <w:rPr>
          <w:rFonts w:asciiTheme="minorEastAsia" w:hAnsiTheme="minorEastAsia" w:eastAsiaTheme="minorEastAsia"/>
          <w:lang w:eastAsia="zh-CN"/>
        </w:rPr>
        <w:t>t/a</w:t>
      </w:r>
      <w:r>
        <w:rPr>
          <w:rFonts w:hint="eastAsia" w:asciiTheme="minorEastAsia" w:hAnsiTheme="minorEastAsia" w:eastAsiaTheme="minorEastAsia"/>
          <w:lang w:eastAsia="zh-CN"/>
        </w:rPr>
        <w:t>，则储油罐每年产生油泥砂4.29</w:t>
      </w:r>
      <w:r>
        <w:rPr>
          <w:rFonts w:asciiTheme="minorEastAsia" w:hAnsiTheme="minorEastAsia" w:eastAsiaTheme="minorEastAsia"/>
          <w:lang w:eastAsia="zh-CN"/>
        </w:rPr>
        <w:t>t/a</w:t>
      </w:r>
      <w:r>
        <w:rPr>
          <w:rFonts w:hint="eastAsia" w:asciiTheme="minorEastAsia" w:hAnsiTheme="minorEastAsia" w:eastAsiaTheme="minorEastAsia"/>
          <w:lang w:eastAsia="zh-CN"/>
        </w:rPr>
        <w:t>。现有工程</w:t>
      </w:r>
      <w:r>
        <w:rPr>
          <w:rFonts w:asciiTheme="minorEastAsia" w:hAnsiTheme="minorEastAsia" w:eastAsiaTheme="minorEastAsia"/>
          <w:lang w:eastAsia="zh-CN"/>
        </w:rPr>
        <w:t>产生总油泥砂量为</w:t>
      </w:r>
      <w:r>
        <w:rPr>
          <w:rFonts w:hint="eastAsia" w:asciiTheme="minorEastAsia" w:hAnsiTheme="minorEastAsia" w:eastAsiaTheme="minorEastAsia"/>
          <w:lang w:eastAsia="zh-CN"/>
        </w:rPr>
        <w:t>8.04t</w:t>
      </w:r>
      <w:r>
        <w:rPr>
          <w:rFonts w:asciiTheme="minorEastAsia" w:hAnsiTheme="minorEastAsia" w:eastAsiaTheme="minorEastAsia"/>
          <w:lang w:eastAsia="zh-CN"/>
        </w:rPr>
        <w:t>/a。</w:t>
      </w:r>
      <w:r>
        <w:rPr>
          <w:rFonts w:hint="eastAsia" w:asciiTheme="minorEastAsia" w:hAnsiTheme="minorEastAsia" w:eastAsiaTheme="minorEastAsia"/>
          <w:lang w:eastAsia="zh-CN"/>
        </w:rPr>
        <w:t>现有工程产生的</w:t>
      </w:r>
      <w:r>
        <w:rPr>
          <w:rFonts w:asciiTheme="minorEastAsia" w:hAnsiTheme="minorEastAsia" w:eastAsiaTheme="minorEastAsia"/>
          <w:lang w:eastAsia="zh-CN"/>
        </w:rPr>
        <w:t>油泥砂</w:t>
      </w:r>
      <w:r>
        <w:rPr>
          <w:rFonts w:hint="eastAsia" w:asciiTheme="minorEastAsia" w:hAnsiTheme="minorEastAsia" w:eastAsiaTheme="minorEastAsia"/>
          <w:lang w:eastAsia="zh-CN"/>
        </w:rPr>
        <w:t>由拉油罐车运至阿尔善基地处置。</w:t>
      </w:r>
    </w:p>
    <w:p w14:paraId="3D41FB31">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现有油井48口，开井42口，采油井生产产生的落地原油为252.0 t</w:t>
      </w:r>
      <w:r>
        <w:rPr>
          <w:rFonts w:asciiTheme="minorEastAsia" w:hAnsiTheme="minorEastAsia" w:eastAsiaTheme="minorEastAsia"/>
          <w:lang w:eastAsia="zh-CN"/>
        </w:rPr>
        <w:t>/a</w:t>
      </w:r>
      <w:r>
        <w:rPr>
          <w:rFonts w:hint="eastAsia" w:asciiTheme="minorEastAsia" w:hAnsiTheme="minorEastAsia" w:eastAsiaTheme="minorEastAsia"/>
          <w:lang w:eastAsia="zh-CN"/>
        </w:rPr>
        <w:t>，落地原油回收249.5t</w:t>
      </w:r>
      <w:r>
        <w:rPr>
          <w:rFonts w:asciiTheme="minorEastAsia" w:hAnsiTheme="minorEastAsia" w:eastAsiaTheme="minorEastAsia"/>
          <w:lang w:eastAsia="zh-CN"/>
        </w:rPr>
        <w:t>/a</w:t>
      </w:r>
      <w:r>
        <w:rPr>
          <w:rFonts w:hint="eastAsia" w:asciiTheme="minorEastAsia" w:hAnsiTheme="minorEastAsia" w:eastAsiaTheme="minorEastAsia"/>
          <w:lang w:eastAsia="zh-CN"/>
        </w:rPr>
        <w:t>，排至防渗布上的落地原油为2.5 t</w:t>
      </w:r>
      <w:r>
        <w:rPr>
          <w:rFonts w:asciiTheme="minorEastAsia" w:hAnsiTheme="minorEastAsia" w:eastAsiaTheme="minorEastAsia"/>
          <w:lang w:eastAsia="zh-CN"/>
        </w:rPr>
        <w:t>/a</w:t>
      </w:r>
      <w:r>
        <w:rPr>
          <w:rFonts w:hint="eastAsia" w:asciiTheme="minorEastAsia" w:hAnsiTheme="minorEastAsia" w:eastAsiaTheme="minorEastAsia"/>
          <w:lang w:eastAsia="zh-CN"/>
        </w:rPr>
        <w:t>。</w:t>
      </w:r>
      <w:r>
        <w:rPr>
          <w:rFonts w:asciiTheme="minorEastAsia" w:hAnsiTheme="minorEastAsia" w:eastAsiaTheme="minorEastAsia"/>
          <w:lang w:eastAsia="zh-CN"/>
        </w:rPr>
        <w:t>回收的落地油</w:t>
      </w:r>
      <w:r>
        <w:rPr>
          <w:rFonts w:hint="eastAsia" w:asciiTheme="minorEastAsia" w:hAnsiTheme="minorEastAsia" w:eastAsiaTheme="minorEastAsia"/>
          <w:lang w:eastAsia="zh-CN"/>
        </w:rPr>
        <w:t>进入废液池，进行有效降解、沉降，上清液进入污水处理系统，底泥一般3-5年清理一次，集中运至阿尔善基地集中处置，落至</w:t>
      </w:r>
      <w:r>
        <w:rPr>
          <w:rFonts w:asciiTheme="minorEastAsia" w:hAnsiTheme="minorEastAsia" w:eastAsiaTheme="minorEastAsia"/>
          <w:lang w:eastAsia="zh-CN"/>
        </w:rPr>
        <w:t>防渗布</w:t>
      </w:r>
      <w:r>
        <w:rPr>
          <w:rFonts w:hint="eastAsia" w:asciiTheme="minorEastAsia" w:hAnsiTheme="minorEastAsia" w:eastAsiaTheme="minorEastAsia"/>
          <w:lang w:eastAsia="zh-CN"/>
        </w:rPr>
        <w:t>上的落地油统一运至阿尔善基地处置</w:t>
      </w:r>
      <w:r>
        <w:rPr>
          <w:rFonts w:asciiTheme="minorEastAsia" w:hAnsiTheme="minorEastAsia" w:eastAsiaTheme="minorEastAsia"/>
          <w:lang w:eastAsia="zh-CN"/>
        </w:rPr>
        <w:t>。</w:t>
      </w:r>
    </w:p>
    <w:p w14:paraId="3BCD3189">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生活垃圾产生量按照每人1.0kg/d计算，则每年产生生活垃圾14.6t/a。生活垃圾在雅一站内设有垃圾箱，定期运至雅一站西侧填埋。</w:t>
      </w:r>
    </w:p>
    <w:p w14:paraId="7818DC39">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现有工程</w:t>
      </w:r>
      <w:r>
        <w:rPr>
          <w:rFonts w:asciiTheme="minorEastAsia" w:hAnsiTheme="minorEastAsia" w:eastAsiaTheme="minorEastAsia"/>
          <w:lang w:eastAsia="zh-CN"/>
        </w:rPr>
        <w:t>固体废弃物</w:t>
      </w:r>
      <w:r>
        <w:rPr>
          <w:rFonts w:hint="eastAsia" w:asciiTheme="minorEastAsia" w:hAnsiTheme="minorEastAsia" w:eastAsiaTheme="minorEastAsia"/>
          <w:lang w:eastAsia="zh-CN"/>
        </w:rPr>
        <w:t>产生</w:t>
      </w:r>
      <w:r>
        <w:rPr>
          <w:rFonts w:asciiTheme="minorEastAsia" w:hAnsiTheme="minorEastAsia" w:eastAsiaTheme="minorEastAsia"/>
          <w:lang w:eastAsia="zh-CN"/>
        </w:rPr>
        <w:t>及防治措施见表3.5-3。</w:t>
      </w:r>
    </w:p>
    <w:p w14:paraId="6624CDA2">
      <w:pPr>
        <w:spacing w:line="240" w:lineRule="auto"/>
        <w:ind w:firstLine="482"/>
        <w:rPr>
          <w:b/>
          <w:bCs/>
          <w:lang w:eastAsia="zh-CN"/>
        </w:rPr>
      </w:pPr>
      <w:r>
        <w:rPr>
          <w:b/>
          <w:bCs/>
          <w:lang w:eastAsia="zh-CN"/>
        </w:rPr>
        <w:t xml:space="preserve">表3.5-3  </w:t>
      </w:r>
      <w:r>
        <w:rPr>
          <w:rFonts w:hint="eastAsia"/>
          <w:b/>
          <w:bCs/>
          <w:lang w:eastAsia="zh-CN"/>
        </w:rPr>
        <w:t xml:space="preserve">   现有工程</w:t>
      </w:r>
      <w:r>
        <w:rPr>
          <w:b/>
          <w:bCs/>
          <w:lang w:eastAsia="zh-CN"/>
        </w:rPr>
        <w:t>固体废弃物排放情况表</w:t>
      </w:r>
    </w:p>
    <w:tbl>
      <w:tblPr>
        <w:tblStyle w:val="7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93"/>
        <w:gridCol w:w="1843"/>
        <w:gridCol w:w="4593"/>
      </w:tblGrid>
      <w:tr w14:paraId="7BCE2F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093" w:type="dxa"/>
            <w:vAlign w:val="center"/>
          </w:tcPr>
          <w:p w14:paraId="753987AC">
            <w:pPr>
              <w:pStyle w:val="337"/>
              <w:rPr>
                <w:color w:val="auto"/>
                <w:lang w:val="en-US" w:eastAsia="en-US" w:bidi="en-US"/>
              </w:rPr>
            </w:pPr>
            <w:r>
              <w:rPr>
                <w:color w:val="auto"/>
                <w:lang w:val="en-US" w:eastAsia="en-US" w:bidi="en-US"/>
              </w:rPr>
              <w:t>类型</w:t>
            </w:r>
          </w:p>
        </w:tc>
        <w:tc>
          <w:tcPr>
            <w:tcW w:w="1843" w:type="dxa"/>
            <w:vAlign w:val="center"/>
          </w:tcPr>
          <w:p w14:paraId="46B86B4A">
            <w:pPr>
              <w:pStyle w:val="337"/>
              <w:rPr>
                <w:color w:val="auto"/>
                <w:lang w:val="en-US" w:eastAsia="en-US" w:bidi="en-US"/>
              </w:rPr>
            </w:pPr>
            <w:r>
              <w:rPr>
                <w:color w:val="auto"/>
                <w:lang w:val="en-US" w:eastAsia="en-US" w:bidi="en-US"/>
              </w:rPr>
              <w:t>排放量(t/a)</w:t>
            </w:r>
          </w:p>
        </w:tc>
        <w:tc>
          <w:tcPr>
            <w:tcW w:w="4593" w:type="dxa"/>
            <w:vAlign w:val="center"/>
          </w:tcPr>
          <w:p w14:paraId="531C6D94">
            <w:pPr>
              <w:pStyle w:val="337"/>
              <w:rPr>
                <w:color w:val="auto"/>
                <w:lang w:val="en-US" w:eastAsia="en-US" w:bidi="en-US"/>
              </w:rPr>
            </w:pPr>
            <w:r>
              <w:rPr>
                <w:color w:val="auto"/>
                <w:lang w:val="en-US" w:eastAsia="en-US" w:bidi="en-US"/>
              </w:rPr>
              <w:t>排放去向</w:t>
            </w:r>
          </w:p>
        </w:tc>
      </w:tr>
      <w:tr w14:paraId="07343D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093" w:type="dxa"/>
            <w:vAlign w:val="center"/>
          </w:tcPr>
          <w:p w14:paraId="71891A3D">
            <w:pPr>
              <w:pStyle w:val="337"/>
              <w:rPr>
                <w:color w:val="auto"/>
                <w:lang w:val="en-US" w:eastAsia="en-US" w:bidi="en-US"/>
              </w:rPr>
            </w:pPr>
            <w:r>
              <w:rPr>
                <w:color w:val="auto"/>
                <w:lang w:val="en-US" w:eastAsia="en-US" w:bidi="en-US"/>
              </w:rPr>
              <w:t>油泥砂</w:t>
            </w:r>
          </w:p>
        </w:tc>
        <w:tc>
          <w:tcPr>
            <w:tcW w:w="1843" w:type="dxa"/>
            <w:vAlign w:val="center"/>
          </w:tcPr>
          <w:p w14:paraId="7E307FD6">
            <w:pPr>
              <w:pStyle w:val="337"/>
              <w:rPr>
                <w:color w:val="auto"/>
                <w:lang w:val="en-US" w:eastAsia="zh-CN" w:bidi="en-US"/>
              </w:rPr>
            </w:pPr>
            <w:r>
              <w:rPr>
                <w:rFonts w:hint="eastAsia"/>
                <w:color w:val="auto"/>
                <w:lang w:val="en-US" w:eastAsia="zh-CN"/>
              </w:rPr>
              <w:t>8.04</w:t>
            </w:r>
          </w:p>
        </w:tc>
        <w:tc>
          <w:tcPr>
            <w:tcW w:w="4593" w:type="dxa"/>
            <w:vAlign w:val="center"/>
          </w:tcPr>
          <w:p w14:paraId="39DC9AD1">
            <w:pPr>
              <w:pStyle w:val="337"/>
              <w:rPr>
                <w:color w:val="auto"/>
                <w:lang w:val="en-US" w:eastAsia="zh-CN"/>
              </w:rPr>
            </w:pPr>
            <w:r>
              <w:rPr>
                <w:rFonts w:hint="eastAsia"/>
                <w:color w:val="auto"/>
                <w:lang w:val="en-US" w:eastAsia="zh-CN" w:bidi="en-US"/>
              </w:rPr>
              <w:t>进入废液池进行有效降解、沉降，上清液进入污水处理系统，底泥一般3-5年清理一次，</w:t>
            </w:r>
            <w:r>
              <w:rPr>
                <w:rFonts w:hint="eastAsia"/>
                <w:color w:val="auto"/>
                <w:lang w:val="en-US" w:eastAsia="zh-CN"/>
              </w:rPr>
              <w:t>委托东乌珠穆沁旗高科危险废物处理有限公司进行处置。</w:t>
            </w:r>
          </w:p>
        </w:tc>
      </w:tr>
      <w:tr w14:paraId="079543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7" w:hRule="atLeast"/>
        </w:trPr>
        <w:tc>
          <w:tcPr>
            <w:tcW w:w="2093" w:type="dxa"/>
            <w:vAlign w:val="center"/>
          </w:tcPr>
          <w:p w14:paraId="52EC6F39">
            <w:pPr>
              <w:pStyle w:val="337"/>
              <w:rPr>
                <w:color w:val="auto"/>
                <w:lang w:val="en-US" w:eastAsia="en-US" w:bidi="en-US"/>
              </w:rPr>
            </w:pPr>
            <w:r>
              <w:rPr>
                <w:color w:val="auto"/>
                <w:lang w:val="en-US" w:eastAsia="en-US" w:bidi="en-US"/>
              </w:rPr>
              <w:t>落地油</w:t>
            </w:r>
          </w:p>
        </w:tc>
        <w:tc>
          <w:tcPr>
            <w:tcW w:w="1843" w:type="dxa"/>
            <w:vAlign w:val="center"/>
          </w:tcPr>
          <w:p w14:paraId="0A2D195E">
            <w:pPr>
              <w:pStyle w:val="337"/>
              <w:rPr>
                <w:color w:val="auto"/>
                <w:lang w:val="en-US" w:eastAsia="zh-CN" w:bidi="en-US"/>
              </w:rPr>
            </w:pPr>
            <w:r>
              <w:rPr>
                <w:rFonts w:hint="eastAsia"/>
                <w:color w:val="auto"/>
                <w:lang w:val="en-US" w:eastAsia="zh-CN" w:bidi="en-US"/>
              </w:rPr>
              <w:t>2.5</w:t>
            </w:r>
          </w:p>
        </w:tc>
        <w:tc>
          <w:tcPr>
            <w:tcW w:w="4593" w:type="dxa"/>
            <w:vAlign w:val="center"/>
          </w:tcPr>
          <w:p w14:paraId="5300CB9C">
            <w:pPr>
              <w:pStyle w:val="337"/>
              <w:rPr>
                <w:color w:val="auto"/>
                <w:lang w:val="en-US" w:eastAsia="zh-CN"/>
              </w:rPr>
            </w:pPr>
            <w:r>
              <w:rPr>
                <w:color w:val="auto"/>
                <w:lang w:val="en-US" w:eastAsia="zh-CN"/>
              </w:rPr>
              <w:t>回收的落地油</w:t>
            </w:r>
            <w:r>
              <w:rPr>
                <w:rFonts w:hint="eastAsia"/>
                <w:color w:val="auto"/>
                <w:lang w:val="en-US" w:eastAsia="zh-CN"/>
              </w:rPr>
              <w:t>进入废液池，进行有效降解、沉降，上清液进入污水处理系统，底泥一般3-5年清理一次，集中运至阿尔善基地集中处置，</w:t>
            </w:r>
            <w:r>
              <w:rPr>
                <w:rFonts w:hint="eastAsia"/>
                <w:color w:val="auto"/>
                <w:lang w:val="en-US" w:eastAsia="zh-CN" w:bidi="en-US"/>
              </w:rPr>
              <w:t>落至</w:t>
            </w:r>
            <w:r>
              <w:rPr>
                <w:color w:val="auto"/>
                <w:lang w:val="en-US" w:eastAsia="zh-CN" w:bidi="en-US"/>
              </w:rPr>
              <w:t>防渗布</w:t>
            </w:r>
            <w:r>
              <w:rPr>
                <w:rFonts w:hint="eastAsia"/>
                <w:color w:val="auto"/>
                <w:lang w:val="en-US" w:eastAsia="zh-CN" w:bidi="en-US"/>
              </w:rPr>
              <w:t>上的落地油</w:t>
            </w:r>
            <w:r>
              <w:rPr>
                <w:rFonts w:hint="eastAsia"/>
                <w:color w:val="auto"/>
                <w:lang w:val="en-US" w:eastAsia="zh-CN"/>
              </w:rPr>
              <w:t>委托东乌珠穆沁旗高科危险废物处理有限公司进行处置。</w:t>
            </w:r>
          </w:p>
        </w:tc>
      </w:tr>
      <w:tr w14:paraId="63914A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093" w:type="dxa"/>
            <w:vAlign w:val="center"/>
          </w:tcPr>
          <w:p w14:paraId="4360134D">
            <w:pPr>
              <w:pStyle w:val="337"/>
              <w:rPr>
                <w:color w:val="auto"/>
                <w:lang w:val="en-US" w:eastAsia="en-US" w:bidi="en-US"/>
              </w:rPr>
            </w:pPr>
            <w:r>
              <w:rPr>
                <w:color w:val="auto"/>
                <w:lang w:val="en-US" w:eastAsia="en-US" w:bidi="en-US"/>
              </w:rPr>
              <w:t>生活垃圾</w:t>
            </w:r>
          </w:p>
        </w:tc>
        <w:tc>
          <w:tcPr>
            <w:tcW w:w="1843" w:type="dxa"/>
            <w:vAlign w:val="center"/>
          </w:tcPr>
          <w:p w14:paraId="528B07B8">
            <w:pPr>
              <w:pStyle w:val="337"/>
              <w:rPr>
                <w:color w:val="auto"/>
                <w:lang w:val="en-US" w:eastAsia="zh-CN" w:bidi="en-US"/>
              </w:rPr>
            </w:pPr>
            <w:r>
              <w:rPr>
                <w:rFonts w:hint="eastAsia"/>
                <w:color w:val="auto"/>
                <w:lang w:val="en-US" w:eastAsia="zh-CN" w:bidi="en-US"/>
              </w:rPr>
              <w:t>14.6</w:t>
            </w:r>
          </w:p>
        </w:tc>
        <w:tc>
          <w:tcPr>
            <w:tcW w:w="4593" w:type="dxa"/>
            <w:vAlign w:val="center"/>
          </w:tcPr>
          <w:p w14:paraId="29187B90">
            <w:pPr>
              <w:pStyle w:val="337"/>
              <w:rPr>
                <w:color w:val="auto"/>
                <w:lang w:val="en-US" w:eastAsia="zh-CN" w:bidi="en-US"/>
              </w:rPr>
            </w:pPr>
            <w:r>
              <w:rPr>
                <w:rFonts w:hint="eastAsia"/>
                <w:color w:val="auto"/>
                <w:lang w:val="en-US" w:eastAsia="zh-CN"/>
              </w:rPr>
              <w:t>雅斯联合站内设有生活垃圾箱，集中收集后，运至联合站西侧集中填埋处置</w:t>
            </w:r>
          </w:p>
        </w:tc>
      </w:tr>
    </w:tbl>
    <w:p w14:paraId="005E06AD">
      <w:pPr>
        <w:pStyle w:val="3"/>
        <w:rPr>
          <w:lang w:eastAsia="zh-CN"/>
        </w:rPr>
      </w:pPr>
      <w:bookmarkStart w:id="207" w:name="_Toc408413947"/>
      <w:r>
        <w:rPr>
          <w:rFonts w:hint="eastAsia"/>
          <w:lang w:eastAsia="zh-CN"/>
        </w:rPr>
        <w:t>3.6</w:t>
      </w:r>
      <w:r>
        <w:rPr>
          <w:lang w:eastAsia="zh-CN"/>
        </w:rPr>
        <w:t>改扩建后</w:t>
      </w:r>
      <w:r>
        <w:rPr>
          <w:rFonts w:hint="eastAsia"/>
          <w:lang w:eastAsia="zh-CN"/>
        </w:rPr>
        <w:t>8</w:t>
      </w:r>
      <w:r>
        <w:rPr>
          <w:lang w:eastAsia="zh-CN"/>
        </w:rPr>
        <w:t>万吨/年规模环境影响因素分析</w:t>
      </w:r>
      <w:bookmarkEnd w:id="207"/>
    </w:p>
    <w:p w14:paraId="00E52DDB">
      <w:pPr>
        <w:pStyle w:val="4"/>
        <w:rPr>
          <w:lang w:eastAsia="zh-CN"/>
        </w:rPr>
      </w:pPr>
      <w:bookmarkStart w:id="208" w:name="_Toc408413948"/>
      <w:r>
        <w:rPr>
          <w:rFonts w:hint="eastAsia"/>
          <w:lang w:eastAsia="zh-CN"/>
        </w:rPr>
        <w:t>3.6.1产污环节</w:t>
      </w:r>
      <w:r>
        <w:rPr>
          <w:lang w:eastAsia="zh-CN"/>
        </w:rPr>
        <w:t>分析</w:t>
      </w:r>
      <w:bookmarkEnd w:id="208"/>
    </w:p>
    <w:p w14:paraId="4F8DEB89">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油气田的开发建设</w:t>
      </w:r>
      <w:r>
        <w:rPr>
          <w:rFonts w:asciiTheme="minorEastAsia" w:hAnsiTheme="minorEastAsia" w:eastAsiaTheme="minorEastAsia"/>
          <w:lang w:eastAsia="zh-CN"/>
        </w:rPr>
        <w:t>，是一项包含有地下、地上等多种工艺技术的系统工程。</w:t>
      </w:r>
      <w:r>
        <w:rPr>
          <w:rFonts w:hint="eastAsia" w:asciiTheme="minorEastAsia" w:hAnsiTheme="minorEastAsia" w:eastAsiaTheme="minorEastAsia"/>
          <w:lang w:eastAsia="zh-CN"/>
        </w:rPr>
        <w:t>主要</w:t>
      </w:r>
      <w:r>
        <w:rPr>
          <w:rFonts w:asciiTheme="minorEastAsia" w:hAnsiTheme="minorEastAsia" w:eastAsiaTheme="minorEastAsia"/>
          <w:lang w:eastAsia="zh-CN"/>
        </w:rPr>
        <w:t>包括地质调查、勘探、钻井、测井、井下作业、采油气、油气集输、储运及辅助配套工艺过程，如供水、供电、通讯、排水等。在不同工艺和不同开发阶段，排放的污染物及构成是不相同的。</w:t>
      </w:r>
    </w:p>
    <w:p w14:paraId="74A40FF3">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乌里雅斯太</w:t>
      </w:r>
      <w:r>
        <w:rPr>
          <w:rFonts w:asciiTheme="minorEastAsia" w:hAnsiTheme="minorEastAsia" w:eastAsiaTheme="minorEastAsia"/>
          <w:lang w:eastAsia="zh-CN"/>
        </w:rPr>
        <w:t>油田开发过程包括施工期、运行期和闭井期3个阶段。施工期的主要内容为钻井；运行期的主要内容为</w:t>
      </w:r>
      <w:r>
        <w:rPr>
          <w:rFonts w:hint="eastAsia" w:asciiTheme="minorEastAsia" w:hAnsiTheme="minorEastAsia" w:eastAsiaTheme="minorEastAsia"/>
          <w:lang w:eastAsia="zh-CN"/>
        </w:rPr>
        <w:t>老井恢复生产，</w:t>
      </w:r>
      <w:r>
        <w:rPr>
          <w:rFonts w:asciiTheme="minorEastAsia" w:hAnsiTheme="minorEastAsia" w:eastAsiaTheme="minorEastAsia"/>
          <w:lang w:eastAsia="zh-CN"/>
        </w:rPr>
        <w:t>采油、井下作业、油气集输及相应配套生产等。</w:t>
      </w:r>
      <w:r>
        <w:rPr>
          <w:rFonts w:hint="eastAsia" w:asciiTheme="minorEastAsia" w:hAnsiTheme="minorEastAsia" w:eastAsiaTheme="minorEastAsia"/>
          <w:lang w:eastAsia="zh-CN"/>
        </w:rPr>
        <w:t>目前</w:t>
      </w:r>
      <w:r>
        <w:rPr>
          <w:rFonts w:asciiTheme="minorEastAsia" w:hAnsiTheme="minorEastAsia" w:eastAsiaTheme="minorEastAsia"/>
          <w:lang w:eastAsia="zh-CN"/>
        </w:rPr>
        <w:t>油田勘探</w:t>
      </w:r>
      <w:r>
        <w:rPr>
          <w:rFonts w:hint="eastAsia" w:asciiTheme="minorEastAsia" w:hAnsiTheme="minorEastAsia" w:eastAsiaTheme="minorEastAsia"/>
          <w:lang w:eastAsia="zh-CN"/>
        </w:rPr>
        <w:t>已经</w:t>
      </w:r>
      <w:r>
        <w:rPr>
          <w:rFonts w:asciiTheme="minorEastAsia" w:hAnsiTheme="minorEastAsia" w:eastAsiaTheme="minorEastAsia"/>
          <w:lang w:eastAsia="zh-CN"/>
        </w:rPr>
        <w:t>完毕，以滚动开发为主，其开发过程环境污染源构成示意图见图3.</w:t>
      </w:r>
      <w:r>
        <w:rPr>
          <w:rFonts w:hint="eastAsia" w:asciiTheme="minorEastAsia" w:hAnsiTheme="minorEastAsia" w:eastAsiaTheme="minorEastAsia"/>
          <w:lang w:eastAsia="zh-CN"/>
        </w:rPr>
        <w:t>6</w:t>
      </w:r>
      <w:r>
        <w:rPr>
          <w:rFonts w:asciiTheme="minorEastAsia" w:hAnsiTheme="minorEastAsia" w:eastAsiaTheme="minorEastAsia"/>
          <w:lang w:eastAsia="zh-CN"/>
        </w:rPr>
        <w:t>-1。</w:t>
      </w:r>
    </w:p>
    <w:p w14:paraId="488DE582">
      <w:pPr>
        <w:ind w:firstLine="480"/>
        <w:rPr>
          <w:rFonts w:asciiTheme="minorEastAsia" w:hAnsiTheme="minorEastAsia" w:eastAsiaTheme="minorEastAsia"/>
          <w:lang w:eastAsia="zh-CN"/>
        </w:rPr>
      </w:pPr>
    </w:p>
    <w:p w14:paraId="3A1E9476">
      <w:pPr>
        <w:ind w:firstLine="480"/>
        <w:rPr>
          <w:rFonts w:asciiTheme="minorEastAsia" w:hAnsiTheme="minorEastAsia" w:eastAsiaTheme="minorEastAsia"/>
          <w:lang w:eastAsia="zh-CN"/>
        </w:rPr>
      </w:pPr>
    </w:p>
    <w:p w14:paraId="2A6E221B">
      <w:pPr>
        <w:ind w:firstLine="480"/>
        <w:rPr>
          <w:rFonts w:asciiTheme="minorEastAsia" w:hAnsiTheme="minorEastAsia" w:eastAsiaTheme="minorEastAsia"/>
          <w:lang w:eastAsia="zh-CN"/>
        </w:rPr>
      </w:pPr>
    </w:p>
    <w:p w14:paraId="4F2824F6">
      <w:pPr>
        <w:ind w:firstLine="480"/>
        <w:rPr>
          <w:rFonts w:asciiTheme="minorEastAsia" w:hAnsiTheme="minorEastAsia" w:eastAsiaTheme="minorEastAsia"/>
          <w:lang w:eastAsia="zh-CN"/>
        </w:rPr>
      </w:pPr>
    </w:p>
    <w:p w14:paraId="5E933489">
      <w:pPr>
        <w:ind w:firstLine="480"/>
        <w:rPr>
          <w:rFonts w:asciiTheme="minorEastAsia" w:hAnsiTheme="minorEastAsia" w:eastAsiaTheme="minorEastAsia"/>
          <w:lang w:eastAsia="zh-CN"/>
        </w:rPr>
      </w:pPr>
    </w:p>
    <w:p w14:paraId="1887355F">
      <w:pPr>
        <w:ind w:firstLine="480"/>
        <w:rPr>
          <w:rFonts w:asciiTheme="minorEastAsia" w:hAnsiTheme="minorEastAsia" w:eastAsiaTheme="minorEastAsia"/>
          <w:lang w:eastAsia="zh-CN"/>
        </w:rPr>
      </w:pPr>
    </w:p>
    <w:p w14:paraId="6B0FDBDD">
      <w:pPr>
        <w:ind w:firstLine="480"/>
        <w:rPr>
          <w:rFonts w:asciiTheme="minorEastAsia" w:hAnsiTheme="minorEastAsia" w:eastAsiaTheme="minorEastAsia"/>
          <w:lang w:eastAsia="zh-CN"/>
        </w:rPr>
      </w:pPr>
    </w:p>
    <w:p w14:paraId="1262C937">
      <w:pPr>
        <w:ind w:firstLine="480"/>
        <w:rPr>
          <w:rFonts w:asciiTheme="minorEastAsia" w:hAnsiTheme="minorEastAsia" w:eastAsiaTheme="minorEastAsia"/>
          <w:lang w:eastAsia="zh-CN"/>
        </w:rPr>
      </w:pPr>
    </w:p>
    <w:p w14:paraId="70801318">
      <w:pPr>
        <w:ind w:firstLine="480"/>
        <w:rPr>
          <w:rFonts w:asciiTheme="minorEastAsia" w:hAnsiTheme="minorEastAsia" w:eastAsiaTheme="minorEastAsia"/>
          <w:lang w:eastAsia="zh-CN"/>
        </w:rPr>
      </w:pPr>
    </w:p>
    <w:p w14:paraId="0A957675">
      <w:pPr>
        <w:ind w:firstLine="480"/>
        <w:rPr>
          <w:rFonts w:asciiTheme="minorEastAsia" w:hAnsiTheme="minorEastAsia" w:eastAsiaTheme="minorEastAsia"/>
          <w:lang w:eastAsia="zh-CN"/>
        </w:rPr>
      </w:pPr>
    </w:p>
    <w:p w14:paraId="267827BF">
      <w:pPr>
        <w:ind w:firstLine="480"/>
        <w:rPr>
          <w:rFonts w:asciiTheme="minorEastAsia" w:hAnsiTheme="minorEastAsia" w:eastAsiaTheme="minorEastAsia"/>
          <w:lang w:eastAsia="zh-CN"/>
        </w:rPr>
      </w:pPr>
    </w:p>
    <w:p w14:paraId="19D00DD8">
      <w:pPr>
        <w:ind w:firstLine="480"/>
        <w:rPr>
          <w:rFonts w:asciiTheme="minorEastAsia" w:hAnsiTheme="minorEastAsia" w:eastAsiaTheme="minorEastAsia"/>
          <w:lang w:eastAsia="zh-CN"/>
        </w:rPr>
      </w:pPr>
    </w:p>
    <w:p w14:paraId="21949D21">
      <w:pPr>
        <w:ind w:firstLine="480"/>
        <w:rPr>
          <w:rFonts w:asciiTheme="minorEastAsia" w:hAnsiTheme="minorEastAsia" w:eastAsiaTheme="minorEastAsia"/>
          <w:lang w:eastAsia="zh-CN"/>
        </w:rPr>
      </w:pPr>
    </w:p>
    <w:p w14:paraId="3C054BF0">
      <w:pPr>
        <w:ind w:firstLine="480"/>
        <w:rPr>
          <w:rFonts w:asciiTheme="minorEastAsia" w:hAnsiTheme="minorEastAsia" w:eastAsiaTheme="minorEastAsia"/>
          <w:lang w:eastAsia="zh-CN"/>
        </w:rPr>
      </w:pPr>
    </w:p>
    <w:p w14:paraId="62907F64">
      <w:pPr>
        <w:ind w:firstLine="480"/>
        <w:rPr>
          <w:rFonts w:asciiTheme="minorEastAsia" w:hAnsiTheme="minorEastAsia" w:eastAsiaTheme="minorEastAsia"/>
          <w:lang w:eastAsia="zh-CN"/>
        </w:rPr>
      </w:pPr>
    </w:p>
    <w:p w14:paraId="6759C14B">
      <w:pPr>
        <w:ind w:firstLine="480"/>
        <w:rPr>
          <w:rFonts w:asciiTheme="minorEastAsia" w:hAnsiTheme="minorEastAsia" w:eastAsiaTheme="minorEastAsia"/>
          <w:lang w:eastAsia="zh-CN"/>
        </w:rPr>
      </w:pPr>
    </w:p>
    <w:p w14:paraId="596AE88F">
      <w:pPr>
        <w:ind w:firstLine="480"/>
        <w:rPr>
          <w:rFonts w:asciiTheme="minorEastAsia" w:hAnsiTheme="minorEastAsia" w:eastAsiaTheme="minorEastAsia"/>
          <w:lang w:eastAsia="zh-CN"/>
        </w:rPr>
      </w:pPr>
    </w:p>
    <w:p w14:paraId="13526EDB">
      <w:pPr>
        <w:ind w:firstLine="480"/>
        <w:rPr>
          <w:rFonts w:asciiTheme="minorEastAsia" w:hAnsiTheme="minorEastAsia" w:eastAsiaTheme="minorEastAsia"/>
          <w:lang w:eastAsia="zh-CN"/>
        </w:rPr>
      </w:pPr>
    </w:p>
    <w:p w14:paraId="297192EE">
      <w:pPr>
        <w:ind w:firstLine="199" w:firstLineChars="83"/>
        <w:rPr>
          <w:rFonts w:asciiTheme="minorEastAsia" w:hAnsiTheme="minorEastAsia" w:eastAsiaTheme="minorEastAsia"/>
          <w:lang w:eastAsia="zh-CN"/>
        </w:rPr>
      </w:pPr>
    </w:p>
    <w:p w14:paraId="3B3EAEE5">
      <w:pPr>
        <w:spacing w:line="480" w:lineRule="auto"/>
        <w:ind w:firstLine="480"/>
        <w:jc w:val="center"/>
        <w:rPr>
          <w:b/>
          <w:lang w:eastAsia="zh-CN"/>
        </w:rPr>
      </w:pPr>
      <w:r>
        <w:rPr>
          <w:lang w:eastAsia="zh-CN" w:bidi="mn-Mong-CN"/>
        </w:rPr>
        <mc:AlternateContent>
          <mc:Choice Requires="wpg">
            <w:drawing>
              <wp:anchor distT="0" distB="0" distL="114300" distR="114300" simplePos="0" relativeHeight="251663360" behindDoc="0" locked="0" layoutInCell="1" allowOverlap="1">
                <wp:simplePos x="0" y="0"/>
                <wp:positionH relativeFrom="column">
                  <wp:posOffset>48260</wp:posOffset>
                </wp:positionH>
                <wp:positionV relativeFrom="paragraph">
                  <wp:posOffset>97790</wp:posOffset>
                </wp:positionV>
                <wp:extent cx="5202555" cy="7133590"/>
                <wp:effectExtent l="6350" t="19050" r="48895" b="48260"/>
                <wp:wrapNone/>
                <wp:docPr id="140" name="Group 1462"/>
                <wp:cNvGraphicFramePr/>
                <a:graphic xmlns:a="http://schemas.openxmlformats.org/drawingml/2006/main">
                  <a:graphicData uri="http://schemas.microsoft.com/office/word/2010/wordprocessingGroup">
                    <wpg:wgp>
                      <wpg:cNvGrpSpPr/>
                      <wpg:grpSpPr>
                        <a:xfrm>
                          <a:off x="0" y="0"/>
                          <a:ext cx="5202555" cy="7133590"/>
                          <a:chOff x="0" y="0"/>
                          <a:chExt cx="8193" cy="10108"/>
                        </a:xfrm>
                      </wpg:grpSpPr>
                      <wps:wsp>
                        <wps:cNvPr id="72" name="未知"/>
                        <wps:cNvSpPr/>
                        <wps:spPr>
                          <a:xfrm>
                            <a:off x="4091" y="645"/>
                            <a:ext cx="71" cy="948"/>
                          </a:xfrm>
                          <a:custGeom>
                            <a:avLst/>
                            <a:gdLst/>
                            <a:ahLst/>
                            <a:cxnLst/>
                            <a:pathLst>
                              <a:path w="1" h="1065">
                                <a:moveTo>
                                  <a:pt x="0" y="0"/>
                                </a:moveTo>
                                <a:lnTo>
                                  <a:pt x="0" y="1065"/>
                                </a:lnTo>
                              </a:path>
                            </a:pathLst>
                          </a:custGeom>
                          <a:noFill/>
                          <a:ln w="9525" cap="flat" cmpd="sng">
                            <a:solidFill>
                              <a:srgbClr val="000000"/>
                            </a:solidFill>
                            <a:prstDash val="solid"/>
                            <a:headEnd type="none" w="med" len="med"/>
                            <a:tailEnd type="stealth" w="med" len="med"/>
                          </a:ln>
                        </wps:spPr>
                        <wps:bodyPr wrap="square" upright="1"/>
                      </wps:wsp>
                      <wpg:grpSp>
                        <wpg:cNvPr id="139" name="Group 1464"/>
                        <wpg:cNvGrpSpPr/>
                        <wpg:grpSpPr>
                          <a:xfrm>
                            <a:off x="0" y="0"/>
                            <a:ext cx="8193" cy="10108"/>
                            <a:chOff x="0" y="0"/>
                            <a:chExt cx="8193" cy="10108"/>
                          </a:xfrm>
                        </wpg:grpSpPr>
                        <wps:wsp>
                          <wps:cNvPr id="73" name="Text Box 1465"/>
                          <wps:cNvSpPr txBox="1"/>
                          <wps:spPr>
                            <a:xfrm>
                              <a:off x="90" y="734"/>
                              <a:ext cx="1680" cy="588"/>
                            </a:xfrm>
                            <a:prstGeom prst="rect">
                              <a:avLst/>
                            </a:prstGeom>
                            <a:noFill/>
                            <a:ln w="38100" cap="flat" cmpd="sng">
                              <a:solidFill>
                                <a:srgbClr val="F2F2F2"/>
                              </a:solidFill>
                              <a:prstDash val="solid"/>
                              <a:miter/>
                              <a:headEnd type="none" w="med" len="med"/>
                              <a:tailEnd type="none" w="med" len="med"/>
                            </a:ln>
                            <a:effectLst>
                              <a:outerShdw dist="28398" dir="3806096" algn="ctr" rotWithShape="0">
                                <a:srgbClr val="974706">
                                  <a:alpha val="50000"/>
                                </a:srgbClr>
                              </a:outerShdw>
                            </a:effectLst>
                          </wps:spPr>
                          <wps:txbx>
                            <w:txbxContent>
                              <w:p w14:paraId="30A95B8E">
                                <w:pPr>
                                  <w:ind w:firstLine="240" w:firstLineChars="100"/>
                                  <w:rPr>
                                    <w:szCs w:val="21"/>
                                  </w:rPr>
                                </w:pPr>
                                <w:r>
                                  <w:rPr>
                                    <w:rFonts w:hint="eastAsia"/>
                                    <w:szCs w:val="21"/>
                                  </w:rPr>
                                  <w:t>钻井废水</w:t>
                                </w:r>
                              </w:p>
                            </w:txbxContent>
                          </wps:txbx>
                          <wps:bodyPr upright="1"/>
                        </wps:wsp>
                        <wps:wsp>
                          <wps:cNvPr id="74" name="Text Box 1466"/>
                          <wps:cNvSpPr txBox="1"/>
                          <wps:spPr>
                            <a:xfrm>
                              <a:off x="90" y="1425"/>
                              <a:ext cx="1680" cy="597"/>
                            </a:xfrm>
                            <a:prstGeom prst="rect">
                              <a:avLst/>
                            </a:prstGeom>
                            <a:noFill/>
                            <a:ln w="38100" cap="flat" cmpd="sng">
                              <a:solidFill>
                                <a:srgbClr val="FFFFFF"/>
                              </a:solidFill>
                              <a:prstDash val="solid"/>
                              <a:miter/>
                              <a:headEnd type="none" w="med" len="med"/>
                              <a:tailEnd type="none" w="med" len="med"/>
                            </a:ln>
                            <a:effectLst>
                              <a:outerShdw dist="28398" dir="3806096" algn="ctr" rotWithShape="0">
                                <a:srgbClr val="974706">
                                  <a:alpha val="50000"/>
                                </a:srgbClr>
                              </a:outerShdw>
                            </a:effectLst>
                          </wps:spPr>
                          <wps:txbx>
                            <w:txbxContent>
                              <w:p w14:paraId="470BA68C">
                                <w:pPr>
                                  <w:ind w:firstLine="240" w:firstLineChars="100"/>
                                  <w:rPr>
                                    <w:szCs w:val="21"/>
                                  </w:rPr>
                                </w:pPr>
                                <w:r>
                                  <w:rPr>
                                    <w:rFonts w:hint="eastAsia"/>
                                    <w:szCs w:val="21"/>
                                  </w:rPr>
                                  <w:t>生活废水</w:t>
                                </w:r>
                              </w:p>
                            </w:txbxContent>
                          </wps:txbx>
                          <wps:bodyPr upright="1"/>
                        </wps:wsp>
                        <wps:wsp>
                          <wps:cNvPr id="75" name="Text Box 1467"/>
                          <wps:cNvSpPr txBox="1"/>
                          <wps:spPr>
                            <a:xfrm>
                              <a:off x="90" y="2095"/>
                              <a:ext cx="1710" cy="647"/>
                            </a:xfrm>
                            <a:prstGeom prst="rect">
                              <a:avLst/>
                            </a:prstGeom>
                            <a:noFill/>
                            <a:ln w="38100" cap="flat" cmpd="sng">
                              <a:solidFill>
                                <a:srgbClr val="F2F2F2"/>
                              </a:solidFill>
                              <a:prstDash val="solid"/>
                              <a:miter/>
                              <a:headEnd type="none" w="med" len="med"/>
                              <a:tailEnd type="none" w="med" len="med"/>
                            </a:ln>
                            <a:effectLst>
                              <a:outerShdw dist="28398" dir="3806096" algn="ctr" rotWithShape="0">
                                <a:srgbClr val="974706">
                                  <a:alpha val="50000"/>
                                </a:srgbClr>
                              </a:outerShdw>
                            </a:effectLst>
                          </wps:spPr>
                          <wps:txbx>
                            <w:txbxContent>
                              <w:p w14:paraId="7B5F861C">
                                <w:pPr>
                                  <w:ind w:firstLine="0" w:firstLineChars="0"/>
                                  <w:jc w:val="center"/>
                                  <w:rPr>
                                    <w:szCs w:val="21"/>
                                  </w:rPr>
                                </w:pPr>
                                <w:r>
                                  <w:rPr>
                                    <w:rFonts w:hint="eastAsia"/>
                                    <w:szCs w:val="21"/>
                                    <w:lang w:eastAsia="zh-CN"/>
                                  </w:rPr>
                                  <w:t>废弃</w:t>
                                </w:r>
                                <w:r>
                                  <w:rPr>
                                    <w:rFonts w:hint="eastAsia"/>
                                    <w:szCs w:val="21"/>
                                  </w:rPr>
                                  <w:t>泥浆</w:t>
                                </w:r>
                              </w:p>
                            </w:txbxContent>
                          </wps:txbx>
                          <wps:bodyPr upright="1"/>
                        </wps:wsp>
                        <wps:wsp>
                          <wps:cNvPr id="76" name="Text Box 1468"/>
                          <wps:cNvSpPr txBox="1"/>
                          <wps:spPr>
                            <a:xfrm>
                              <a:off x="90" y="2822"/>
                              <a:ext cx="1680" cy="563"/>
                            </a:xfrm>
                            <a:prstGeom prst="rect">
                              <a:avLst/>
                            </a:prstGeom>
                            <a:noFill/>
                            <a:ln w="38100" cap="flat" cmpd="sng">
                              <a:solidFill>
                                <a:srgbClr val="F2F2F2"/>
                              </a:solidFill>
                              <a:prstDash val="solid"/>
                              <a:miter/>
                              <a:headEnd type="none" w="med" len="med"/>
                              <a:tailEnd type="none" w="med" len="med"/>
                            </a:ln>
                            <a:effectLst>
                              <a:outerShdw dist="28398" dir="3806096" algn="ctr" rotWithShape="0">
                                <a:srgbClr val="974706">
                                  <a:alpha val="50000"/>
                                </a:srgbClr>
                              </a:outerShdw>
                            </a:effectLst>
                          </wps:spPr>
                          <wps:txbx>
                            <w:txbxContent>
                              <w:p w14:paraId="7998BE6A">
                                <w:pPr>
                                  <w:ind w:firstLine="240" w:firstLineChars="100"/>
                                  <w:rPr>
                                    <w:szCs w:val="21"/>
                                  </w:rPr>
                                </w:pPr>
                                <w:r>
                                  <w:rPr>
                                    <w:rFonts w:hint="eastAsia"/>
                                    <w:szCs w:val="21"/>
                                  </w:rPr>
                                  <w:t>钻井岩屑</w:t>
                                </w:r>
                              </w:p>
                            </w:txbxContent>
                          </wps:txbx>
                          <wps:bodyPr upright="1"/>
                        </wps:wsp>
                        <wps:wsp>
                          <wps:cNvPr id="77" name="Text Box 1469"/>
                          <wps:cNvSpPr txBox="1"/>
                          <wps:spPr>
                            <a:xfrm>
                              <a:off x="3170" y="1526"/>
                              <a:ext cx="1680" cy="689"/>
                            </a:xfrm>
                            <a:prstGeom prst="rect">
                              <a:avLst/>
                            </a:prstGeom>
                            <a:noFill/>
                            <a:ln>
                              <a:noFill/>
                            </a:ln>
                          </wps:spPr>
                          <wps:txbx>
                            <w:txbxContent>
                              <w:p w14:paraId="2BD4340E">
                                <w:pPr>
                                  <w:ind w:firstLine="0" w:firstLineChars="0"/>
                                  <w:jc w:val="center"/>
                                  <w:rPr>
                                    <w:szCs w:val="21"/>
                                  </w:rPr>
                                </w:pPr>
                                <w:r>
                                  <w:rPr>
                                    <w:rFonts w:hint="eastAsia"/>
                                    <w:szCs w:val="21"/>
                                  </w:rPr>
                                  <w:t>钻  井</w:t>
                                </w:r>
                              </w:p>
                            </w:txbxContent>
                          </wps:txbx>
                          <wps:bodyPr upright="1"/>
                        </wps:wsp>
                        <wps:wsp>
                          <wps:cNvPr id="78" name="Text Box 1470"/>
                          <wps:cNvSpPr txBox="1"/>
                          <wps:spPr>
                            <a:xfrm>
                              <a:off x="6420" y="734"/>
                              <a:ext cx="1650" cy="571"/>
                            </a:xfrm>
                            <a:prstGeom prst="rect">
                              <a:avLst/>
                            </a:prstGeom>
                            <a:noFill/>
                            <a:ln w="38100" cap="flat" cmpd="sng">
                              <a:solidFill>
                                <a:srgbClr val="F2F2F2"/>
                              </a:solidFill>
                              <a:prstDash val="solid"/>
                              <a:miter/>
                              <a:headEnd type="none" w="med" len="med"/>
                              <a:tailEnd type="none" w="med" len="med"/>
                            </a:ln>
                            <a:effectLst>
                              <a:outerShdw dist="28398" dir="3806096" algn="ctr" rotWithShape="0">
                                <a:srgbClr val="974706">
                                  <a:alpha val="50000"/>
                                </a:srgbClr>
                              </a:outerShdw>
                            </a:effectLst>
                          </wps:spPr>
                          <wps:txbx>
                            <w:txbxContent>
                              <w:p w14:paraId="0E8B6101">
                                <w:pPr>
                                  <w:ind w:firstLine="0" w:firstLineChars="0"/>
                                  <w:jc w:val="center"/>
                                  <w:rPr>
                                    <w:szCs w:val="21"/>
                                  </w:rPr>
                                </w:pPr>
                                <w:r>
                                  <w:rPr>
                                    <w:rFonts w:hint="eastAsia"/>
                                    <w:szCs w:val="21"/>
                                  </w:rPr>
                                  <w:t>柴油机烟气</w:t>
                                </w:r>
                              </w:p>
                            </w:txbxContent>
                          </wps:txbx>
                          <wps:bodyPr upright="1"/>
                        </wps:wsp>
                        <wps:wsp>
                          <wps:cNvPr id="79" name="Text Box 1471"/>
                          <wps:cNvSpPr txBox="1"/>
                          <wps:spPr>
                            <a:xfrm>
                              <a:off x="6390" y="1425"/>
                              <a:ext cx="1680" cy="597"/>
                            </a:xfrm>
                            <a:prstGeom prst="rect">
                              <a:avLst/>
                            </a:prstGeom>
                            <a:noFill/>
                            <a:ln w="38100" cap="flat" cmpd="sng">
                              <a:solidFill>
                                <a:srgbClr val="F2F2F2"/>
                              </a:solidFill>
                              <a:prstDash val="solid"/>
                              <a:miter/>
                              <a:headEnd type="none" w="med" len="med"/>
                              <a:tailEnd type="none" w="med" len="med"/>
                            </a:ln>
                            <a:effectLst>
                              <a:outerShdw dist="28398" dir="3806096" algn="ctr" rotWithShape="0">
                                <a:srgbClr val="974706">
                                  <a:alpha val="50000"/>
                                </a:srgbClr>
                              </a:outerShdw>
                            </a:effectLst>
                          </wps:spPr>
                          <wps:txbx>
                            <w:txbxContent>
                              <w:p w14:paraId="224AEA6A">
                                <w:pPr>
                                  <w:ind w:firstLine="480"/>
                                  <w:rPr>
                                    <w:szCs w:val="21"/>
                                  </w:rPr>
                                </w:pPr>
                                <w:r>
                                  <w:rPr>
                                    <w:rFonts w:hint="eastAsia"/>
                                    <w:szCs w:val="21"/>
                                  </w:rPr>
                                  <w:t>噪 声</w:t>
                                </w:r>
                              </w:p>
                            </w:txbxContent>
                          </wps:txbx>
                          <wps:bodyPr upright="1"/>
                        </wps:wsp>
                        <wps:wsp>
                          <wps:cNvPr id="80" name="Text Box 1472"/>
                          <wps:cNvSpPr txBox="1"/>
                          <wps:spPr>
                            <a:xfrm>
                              <a:off x="6390" y="2095"/>
                              <a:ext cx="1680" cy="570"/>
                            </a:xfrm>
                            <a:prstGeom prst="rect">
                              <a:avLst/>
                            </a:prstGeom>
                            <a:noFill/>
                            <a:ln w="38100" cap="flat" cmpd="sng">
                              <a:solidFill>
                                <a:srgbClr val="F2F2F2"/>
                              </a:solidFill>
                              <a:prstDash val="solid"/>
                              <a:miter/>
                              <a:headEnd type="none" w="med" len="med"/>
                              <a:tailEnd type="none" w="med" len="med"/>
                            </a:ln>
                            <a:effectLst>
                              <a:outerShdw dist="28398" dir="3806096" algn="ctr" rotWithShape="0">
                                <a:srgbClr val="974706">
                                  <a:alpha val="50000"/>
                                </a:srgbClr>
                              </a:outerShdw>
                            </a:effectLst>
                          </wps:spPr>
                          <wps:txbx>
                            <w:txbxContent>
                              <w:p w14:paraId="5BA0F7C6">
                                <w:pPr>
                                  <w:ind w:firstLine="240" w:firstLineChars="100"/>
                                  <w:rPr>
                                    <w:szCs w:val="21"/>
                                  </w:rPr>
                                </w:pPr>
                                <w:r>
                                  <w:rPr>
                                    <w:rFonts w:hint="eastAsia"/>
                                    <w:szCs w:val="21"/>
                                  </w:rPr>
                                  <w:t>生态破坏</w:t>
                                </w:r>
                              </w:p>
                            </w:txbxContent>
                          </wps:txbx>
                          <wps:bodyPr upright="1"/>
                        </wps:wsp>
                        <wps:wsp>
                          <wps:cNvPr id="81" name="Text Box 1473"/>
                          <wps:cNvSpPr txBox="1"/>
                          <wps:spPr>
                            <a:xfrm>
                              <a:off x="6513" y="3569"/>
                              <a:ext cx="1680" cy="570"/>
                            </a:xfrm>
                            <a:prstGeom prst="rect">
                              <a:avLst/>
                            </a:prstGeom>
                            <a:noFill/>
                            <a:ln w="38100" cap="flat" cmpd="sng">
                              <a:solidFill>
                                <a:srgbClr val="F2F2F2"/>
                              </a:solidFill>
                              <a:prstDash val="solid"/>
                              <a:miter/>
                              <a:headEnd type="none" w="med" len="med"/>
                              <a:tailEnd type="none" w="med" len="med"/>
                            </a:ln>
                            <a:effectLst>
                              <a:outerShdw dist="28398" dir="3806096" algn="ctr" rotWithShape="0">
                                <a:srgbClr val="974706">
                                  <a:alpha val="50000"/>
                                </a:srgbClr>
                              </a:outerShdw>
                            </a:effectLst>
                          </wps:spPr>
                          <wps:txbx>
                            <w:txbxContent>
                              <w:p w14:paraId="3740A6B1">
                                <w:pPr>
                                  <w:ind w:firstLine="0" w:firstLineChars="0"/>
                                  <w:jc w:val="center"/>
                                  <w:rPr>
                                    <w:szCs w:val="21"/>
                                  </w:rPr>
                                </w:pPr>
                                <w:r>
                                  <w:rPr>
                                    <w:rFonts w:hint="eastAsia"/>
                                    <w:szCs w:val="21"/>
                                  </w:rPr>
                                  <w:t>修洗井废水</w:t>
                                </w:r>
                              </w:p>
                            </w:txbxContent>
                          </wps:txbx>
                          <wps:bodyPr upright="1"/>
                        </wps:wsp>
                        <wps:wsp>
                          <wps:cNvPr id="82" name="Text Box 1474"/>
                          <wps:cNvSpPr txBox="1"/>
                          <wps:spPr>
                            <a:xfrm>
                              <a:off x="6513" y="2822"/>
                              <a:ext cx="1680" cy="618"/>
                            </a:xfrm>
                            <a:prstGeom prst="rect">
                              <a:avLst/>
                            </a:prstGeom>
                            <a:noFill/>
                            <a:ln w="38100" cap="flat" cmpd="sng">
                              <a:solidFill>
                                <a:srgbClr val="F2F2F2"/>
                              </a:solidFill>
                              <a:prstDash val="solid"/>
                              <a:miter/>
                              <a:headEnd type="none" w="med" len="med"/>
                              <a:tailEnd type="none" w="med" len="med"/>
                            </a:ln>
                            <a:effectLst>
                              <a:outerShdw dist="28398" dir="3806096" algn="ctr" rotWithShape="0">
                                <a:srgbClr val="974706">
                                  <a:alpha val="50000"/>
                                </a:srgbClr>
                              </a:outerShdw>
                            </a:effectLst>
                          </wps:spPr>
                          <wps:txbx>
                            <w:txbxContent>
                              <w:p w14:paraId="239C181F">
                                <w:pPr>
                                  <w:ind w:firstLine="360" w:firstLineChars="150"/>
                                  <w:rPr>
                                    <w:szCs w:val="21"/>
                                  </w:rPr>
                                </w:pPr>
                                <w:r>
                                  <w:rPr>
                                    <w:rFonts w:hint="eastAsia"/>
                                    <w:szCs w:val="21"/>
                                  </w:rPr>
                                  <w:t>落地油</w:t>
                                </w:r>
                              </w:p>
                            </w:txbxContent>
                          </wps:txbx>
                          <wps:bodyPr upright="1"/>
                        </wps:wsp>
                        <wps:wsp>
                          <wps:cNvPr id="83" name="Text Box 1475"/>
                          <wps:cNvSpPr txBox="1"/>
                          <wps:spPr>
                            <a:xfrm>
                              <a:off x="6498" y="4220"/>
                              <a:ext cx="1680" cy="583"/>
                            </a:xfrm>
                            <a:prstGeom prst="rect">
                              <a:avLst/>
                            </a:prstGeom>
                            <a:noFill/>
                            <a:ln w="38100" cap="flat" cmpd="sng">
                              <a:solidFill>
                                <a:srgbClr val="F2F2F2"/>
                              </a:solidFill>
                              <a:prstDash val="solid"/>
                              <a:miter/>
                              <a:headEnd type="none" w="med" len="med"/>
                              <a:tailEnd type="none" w="med" len="med"/>
                            </a:ln>
                            <a:effectLst>
                              <a:outerShdw dist="28398" dir="3806096" algn="ctr" rotWithShape="0">
                                <a:srgbClr val="974706">
                                  <a:alpha val="50000"/>
                                </a:srgbClr>
                              </a:outerShdw>
                            </a:effectLst>
                          </wps:spPr>
                          <wps:txbx>
                            <w:txbxContent>
                              <w:p w14:paraId="60923C43">
                                <w:pPr>
                                  <w:ind w:firstLine="0" w:firstLineChars="0"/>
                                  <w:jc w:val="center"/>
                                  <w:rPr>
                                    <w:szCs w:val="21"/>
                                  </w:rPr>
                                </w:pPr>
                                <w:r>
                                  <w:rPr>
                                    <w:rFonts w:hint="eastAsia"/>
                                    <w:szCs w:val="21"/>
                                  </w:rPr>
                                  <w:t>噪 声</w:t>
                                </w:r>
                              </w:p>
                            </w:txbxContent>
                          </wps:txbx>
                          <wps:bodyPr upright="1"/>
                        </wps:wsp>
                        <wps:wsp>
                          <wps:cNvPr id="84" name="Text Box 1476"/>
                          <wps:cNvSpPr txBox="1"/>
                          <wps:spPr>
                            <a:xfrm>
                              <a:off x="4570" y="3148"/>
                              <a:ext cx="1260" cy="604"/>
                            </a:xfrm>
                            <a:prstGeom prst="rect">
                              <a:avLst/>
                            </a:prstGeom>
                            <a:noFill/>
                            <a:ln>
                              <a:noFill/>
                            </a:ln>
                          </wps:spPr>
                          <wps:txbx>
                            <w:txbxContent>
                              <w:p w14:paraId="509BB503">
                                <w:pPr>
                                  <w:ind w:firstLine="0" w:firstLineChars="0"/>
                                  <w:rPr>
                                    <w:szCs w:val="21"/>
                                  </w:rPr>
                                </w:pPr>
                                <w:r>
                                  <w:rPr>
                                    <w:rFonts w:hint="eastAsia"/>
                                    <w:szCs w:val="21"/>
                                  </w:rPr>
                                  <w:t>井下作业</w:t>
                                </w:r>
                              </w:p>
                            </w:txbxContent>
                          </wps:txbx>
                          <wps:bodyPr upright="1"/>
                        </wps:wsp>
                        <wps:wsp>
                          <wps:cNvPr id="85" name="Oval 1477"/>
                          <wps:cNvSpPr/>
                          <wps:spPr>
                            <a:xfrm>
                              <a:off x="3170" y="3925"/>
                              <a:ext cx="1558" cy="1671"/>
                            </a:xfrm>
                            <a:prstGeom prst="ellipse">
                              <a:avLst/>
                            </a:prstGeom>
                            <a:noFill/>
                            <a:ln w="12700" cap="flat" cmpd="sng">
                              <a:solidFill>
                                <a:srgbClr val="95B3D7"/>
                              </a:solidFill>
                              <a:prstDash val="solid"/>
                              <a:headEnd type="none" w="med" len="med"/>
                              <a:tailEnd type="none" w="med" len="med"/>
                            </a:ln>
                            <a:effectLst>
                              <a:outerShdw dist="28398" dir="3806096" algn="ctr" rotWithShape="0">
                                <a:srgbClr val="243F60">
                                  <a:alpha val="50000"/>
                                </a:srgbClr>
                              </a:outerShdw>
                            </a:effectLst>
                          </wps:spPr>
                          <wps:txbx>
                            <w:txbxContent>
                              <w:p w14:paraId="515204C2">
                                <w:pPr>
                                  <w:ind w:firstLine="240" w:firstLineChars="100"/>
                                  <w:rPr>
                                    <w:lang w:eastAsia="zh-CN"/>
                                  </w:rPr>
                                </w:pPr>
                              </w:p>
                              <w:p w14:paraId="5C8E5DE8">
                                <w:pPr>
                                  <w:ind w:firstLine="240" w:firstLineChars="100"/>
                                  <w:rPr>
                                    <w:lang w:eastAsia="zh-CN"/>
                                  </w:rPr>
                                </w:pPr>
                                <w:r>
                                  <w:rPr>
                                    <w:rFonts w:hint="eastAsia"/>
                                    <w:lang w:eastAsia="zh-CN"/>
                                  </w:rPr>
                                  <w:t>采油</w:t>
                                </w:r>
                              </w:p>
                            </w:txbxContent>
                          </wps:txbx>
                          <wps:bodyPr upright="1"/>
                        </wps:wsp>
                        <wps:wsp>
                          <wps:cNvPr id="86" name="Text Box 1478"/>
                          <wps:cNvSpPr txBox="1"/>
                          <wps:spPr>
                            <a:xfrm>
                              <a:off x="18" y="6166"/>
                              <a:ext cx="1782" cy="591"/>
                            </a:xfrm>
                            <a:prstGeom prst="rect">
                              <a:avLst/>
                            </a:prstGeom>
                            <a:noFill/>
                            <a:ln w="12700" cap="flat" cmpd="sng">
                              <a:solidFill>
                                <a:srgbClr val="FABF8F"/>
                              </a:solidFill>
                              <a:prstDash val="solid"/>
                              <a:miter/>
                              <a:headEnd type="none" w="med" len="med"/>
                              <a:tailEnd type="none" w="med" len="med"/>
                            </a:ln>
                            <a:effectLst>
                              <a:outerShdw dist="28398" dir="3806096" algn="ctr" rotWithShape="0">
                                <a:srgbClr val="974706">
                                  <a:alpha val="50000"/>
                                </a:srgbClr>
                              </a:outerShdw>
                            </a:effectLst>
                          </wps:spPr>
                          <wps:txbx>
                            <w:txbxContent>
                              <w:p w14:paraId="718FF233">
                                <w:pPr>
                                  <w:ind w:firstLine="240" w:firstLineChars="100"/>
                                  <w:rPr>
                                    <w:szCs w:val="21"/>
                                  </w:rPr>
                                </w:pPr>
                                <w:r>
                                  <w:rPr>
                                    <w:rFonts w:hint="eastAsia"/>
                                    <w:szCs w:val="21"/>
                                  </w:rPr>
                                  <w:t>烃类气体</w:t>
                                </w:r>
                              </w:p>
                              <w:p w14:paraId="7F968956">
                                <w:pPr>
                                  <w:ind w:firstLine="240" w:firstLineChars="100"/>
                                  <w:rPr>
                                    <w:szCs w:val="21"/>
                                  </w:rPr>
                                </w:pPr>
                                <w:r>
                                  <w:rPr>
                                    <w:rFonts w:hint="eastAsia"/>
                                    <w:szCs w:val="21"/>
                                  </w:rPr>
                                  <w:t>汽车尾气</w:t>
                                </w:r>
                              </w:p>
                            </w:txbxContent>
                          </wps:txbx>
                          <wps:bodyPr upright="1"/>
                        </wps:wsp>
                        <wps:wsp>
                          <wps:cNvPr id="87" name="Text Box 1479"/>
                          <wps:cNvSpPr txBox="1"/>
                          <wps:spPr>
                            <a:xfrm>
                              <a:off x="3180" y="6166"/>
                              <a:ext cx="1680" cy="581"/>
                            </a:xfrm>
                            <a:prstGeom prst="rect">
                              <a:avLst/>
                            </a:prstGeom>
                            <a:noFill/>
                            <a:ln w="12700" cap="flat" cmpd="sng">
                              <a:solidFill>
                                <a:srgbClr val="95B3D7"/>
                              </a:solidFill>
                              <a:prstDash val="solid"/>
                              <a:miter/>
                              <a:headEnd type="none" w="med" len="med"/>
                              <a:tailEnd type="none" w="med" len="med"/>
                            </a:ln>
                            <a:effectLst>
                              <a:outerShdw dist="28398" dir="3806096" algn="ctr" rotWithShape="0">
                                <a:srgbClr val="243F60">
                                  <a:alpha val="50000"/>
                                </a:srgbClr>
                              </a:outerShdw>
                            </a:effectLst>
                          </wps:spPr>
                          <wps:txbx>
                            <w:txbxContent>
                              <w:p w14:paraId="7BDA4364">
                                <w:pPr>
                                  <w:ind w:firstLine="0" w:firstLineChars="0"/>
                                  <w:jc w:val="center"/>
                                  <w:rPr>
                                    <w:szCs w:val="21"/>
                                    <w:lang w:eastAsia="zh-CN"/>
                                  </w:rPr>
                                </w:pPr>
                                <w:r>
                                  <w:rPr>
                                    <w:rFonts w:hint="eastAsia"/>
                                    <w:szCs w:val="21"/>
                                    <w:lang w:eastAsia="zh-CN"/>
                                  </w:rPr>
                                  <w:t>集输管线</w:t>
                                </w:r>
                              </w:p>
                            </w:txbxContent>
                          </wps:txbx>
                          <wps:bodyPr upright="1"/>
                        </wps:wsp>
                        <wps:wsp>
                          <wps:cNvPr id="88" name="Line 1480"/>
                          <wps:cNvCnPr/>
                          <wps:spPr>
                            <a:xfrm>
                              <a:off x="3993" y="2215"/>
                              <a:ext cx="1" cy="1710"/>
                            </a:xfrm>
                            <a:prstGeom prst="line">
                              <a:avLst/>
                            </a:prstGeom>
                            <a:ln w="9525" cap="flat" cmpd="sng">
                              <a:solidFill>
                                <a:srgbClr val="000000"/>
                              </a:solidFill>
                              <a:prstDash val="solid"/>
                              <a:headEnd type="none" w="med" len="med"/>
                              <a:tailEnd type="stealth" w="med" len="med"/>
                            </a:ln>
                          </wps:spPr>
                          <wps:bodyPr upright="1"/>
                        </wps:wsp>
                        <wps:wsp>
                          <wps:cNvPr id="89" name="Line 1481"/>
                          <wps:cNvCnPr/>
                          <wps:spPr>
                            <a:xfrm>
                              <a:off x="4010" y="5596"/>
                              <a:ext cx="1" cy="570"/>
                            </a:xfrm>
                            <a:prstGeom prst="line">
                              <a:avLst/>
                            </a:prstGeom>
                            <a:ln w="9525" cap="flat" cmpd="sng">
                              <a:solidFill>
                                <a:srgbClr val="000000"/>
                              </a:solidFill>
                              <a:prstDash val="solid"/>
                              <a:headEnd type="none" w="med" len="med"/>
                              <a:tailEnd type="stealth" w="med" len="med"/>
                            </a:ln>
                          </wps:spPr>
                          <wps:bodyPr upright="1"/>
                        </wps:wsp>
                        <wps:wsp>
                          <wps:cNvPr id="90" name="未知"/>
                          <wps:cNvSpPr/>
                          <wps:spPr>
                            <a:xfrm>
                              <a:off x="3923" y="6747"/>
                              <a:ext cx="71" cy="650"/>
                            </a:xfrm>
                            <a:custGeom>
                              <a:avLst/>
                              <a:gdLst/>
                              <a:ahLst/>
                              <a:cxnLst/>
                              <a:pathLst>
                                <a:path w="1" h="915">
                                  <a:moveTo>
                                    <a:pt x="0" y="0"/>
                                  </a:moveTo>
                                  <a:lnTo>
                                    <a:pt x="0" y="915"/>
                                  </a:lnTo>
                                </a:path>
                              </a:pathLst>
                            </a:custGeom>
                            <a:noFill/>
                            <a:ln w="9525" cap="flat" cmpd="sng">
                              <a:solidFill>
                                <a:srgbClr val="000000"/>
                              </a:solidFill>
                              <a:prstDash val="solid"/>
                              <a:headEnd type="none" w="med" len="med"/>
                              <a:tailEnd type="stealth" w="med" len="med"/>
                            </a:ln>
                          </wps:spPr>
                          <wps:bodyPr wrap="square" upright="1"/>
                        </wps:wsp>
                        <wps:wsp>
                          <wps:cNvPr id="91" name="Line 1483"/>
                          <wps:cNvCnPr/>
                          <wps:spPr>
                            <a:xfrm flipH="1">
                              <a:off x="2330" y="1075"/>
                              <a:ext cx="10" cy="2073"/>
                            </a:xfrm>
                            <a:prstGeom prst="line">
                              <a:avLst/>
                            </a:prstGeom>
                            <a:ln w="9525" cap="flat" cmpd="sng">
                              <a:solidFill>
                                <a:srgbClr val="000000"/>
                              </a:solidFill>
                              <a:prstDash val="solid"/>
                              <a:headEnd type="none" w="med" len="med"/>
                              <a:tailEnd type="none" w="med" len="med"/>
                            </a:ln>
                          </wps:spPr>
                          <wps:bodyPr upright="1"/>
                        </wps:wsp>
                        <wps:wsp>
                          <wps:cNvPr id="92" name="Line 1484"/>
                          <wps:cNvCnPr/>
                          <wps:spPr>
                            <a:xfrm>
                              <a:off x="5827" y="1075"/>
                              <a:ext cx="3" cy="1442"/>
                            </a:xfrm>
                            <a:prstGeom prst="line">
                              <a:avLst/>
                            </a:prstGeom>
                            <a:ln w="9525" cap="flat" cmpd="sng">
                              <a:solidFill>
                                <a:srgbClr val="000000"/>
                              </a:solidFill>
                              <a:prstDash val="solid"/>
                              <a:headEnd type="none" w="med" len="med"/>
                              <a:tailEnd type="none" w="med" len="med"/>
                            </a:ln>
                          </wps:spPr>
                          <wps:bodyPr upright="1"/>
                        </wps:wsp>
                        <wps:wsp>
                          <wps:cNvPr id="93" name="Line 1485"/>
                          <wps:cNvCnPr/>
                          <wps:spPr>
                            <a:xfrm>
                              <a:off x="5830" y="1075"/>
                              <a:ext cx="560" cy="0"/>
                            </a:xfrm>
                            <a:prstGeom prst="line">
                              <a:avLst/>
                            </a:prstGeom>
                            <a:ln w="9525" cap="flat" cmpd="sng">
                              <a:solidFill>
                                <a:srgbClr val="000000"/>
                              </a:solidFill>
                              <a:prstDash val="solid"/>
                              <a:headEnd type="none" w="med" len="med"/>
                              <a:tailEnd type="stealth" w="med" len="med"/>
                            </a:ln>
                          </wps:spPr>
                          <wps:bodyPr upright="1"/>
                        </wps:wsp>
                        <wps:wsp>
                          <wps:cNvPr id="94" name="Line 1486"/>
                          <wps:cNvCnPr/>
                          <wps:spPr>
                            <a:xfrm>
                              <a:off x="4840" y="1767"/>
                              <a:ext cx="1540" cy="0"/>
                            </a:xfrm>
                            <a:prstGeom prst="line">
                              <a:avLst/>
                            </a:prstGeom>
                            <a:ln w="9525" cap="flat" cmpd="sng">
                              <a:solidFill>
                                <a:srgbClr val="000000"/>
                              </a:solidFill>
                              <a:prstDash val="solid"/>
                              <a:headEnd type="none" w="med" len="med"/>
                              <a:tailEnd type="stealth" w="med" len="med"/>
                            </a:ln>
                          </wps:spPr>
                          <wps:bodyPr upright="1"/>
                        </wps:wsp>
                        <wps:wsp>
                          <wps:cNvPr id="95" name="Line 1487"/>
                          <wps:cNvCnPr/>
                          <wps:spPr>
                            <a:xfrm>
                              <a:off x="5845" y="2517"/>
                              <a:ext cx="560" cy="0"/>
                            </a:xfrm>
                            <a:prstGeom prst="line">
                              <a:avLst/>
                            </a:prstGeom>
                            <a:ln w="9525" cap="flat" cmpd="sng">
                              <a:solidFill>
                                <a:srgbClr val="000000"/>
                              </a:solidFill>
                              <a:prstDash val="solid"/>
                              <a:headEnd type="none" w="med" len="med"/>
                              <a:tailEnd type="stealth" w="med" len="med"/>
                            </a:ln>
                          </wps:spPr>
                          <wps:bodyPr upright="1"/>
                        </wps:wsp>
                        <wps:wsp>
                          <wps:cNvPr id="96" name="Line 1488"/>
                          <wps:cNvCnPr/>
                          <wps:spPr>
                            <a:xfrm flipH="1">
                              <a:off x="1770" y="1075"/>
                              <a:ext cx="560" cy="0"/>
                            </a:xfrm>
                            <a:prstGeom prst="line">
                              <a:avLst/>
                            </a:prstGeom>
                            <a:ln w="9525" cap="flat" cmpd="sng">
                              <a:solidFill>
                                <a:srgbClr val="000000"/>
                              </a:solidFill>
                              <a:prstDash val="solid"/>
                              <a:headEnd type="none" w="med" len="med"/>
                              <a:tailEnd type="stealth" w="med" len="med"/>
                            </a:ln>
                          </wps:spPr>
                          <wps:bodyPr upright="1"/>
                        </wps:wsp>
                        <wps:wsp>
                          <wps:cNvPr id="97" name="Line 1489"/>
                          <wps:cNvCnPr/>
                          <wps:spPr>
                            <a:xfrm flipH="1">
                              <a:off x="1735" y="1767"/>
                              <a:ext cx="1400" cy="0"/>
                            </a:xfrm>
                            <a:prstGeom prst="line">
                              <a:avLst/>
                            </a:prstGeom>
                            <a:ln w="9525" cap="flat" cmpd="sng">
                              <a:solidFill>
                                <a:srgbClr val="000000"/>
                              </a:solidFill>
                              <a:prstDash val="solid"/>
                              <a:headEnd type="none" w="med" len="med"/>
                              <a:tailEnd type="stealth" w="med" len="med"/>
                            </a:ln>
                          </wps:spPr>
                          <wps:bodyPr upright="1"/>
                        </wps:wsp>
                        <wps:wsp>
                          <wps:cNvPr id="98" name="Line 1490"/>
                          <wps:cNvCnPr/>
                          <wps:spPr>
                            <a:xfrm flipH="1">
                              <a:off x="1770" y="2397"/>
                              <a:ext cx="560" cy="0"/>
                            </a:xfrm>
                            <a:prstGeom prst="line">
                              <a:avLst/>
                            </a:prstGeom>
                            <a:ln w="9525" cap="flat" cmpd="sng">
                              <a:solidFill>
                                <a:srgbClr val="000000"/>
                              </a:solidFill>
                              <a:prstDash val="solid"/>
                              <a:headEnd type="none" w="med" len="med"/>
                              <a:tailEnd type="stealth" w="med" len="med"/>
                            </a:ln>
                          </wps:spPr>
                          <wps:bodyPr upright="1"/>
                        </wps:wsp>
                        <wps:wsp>
                          <wps:cNvPr id="99" name="Line 1491"/>
                          <wps:cNvCnPr/>
                          <wps:spPr>
                            <a:xfrm flipH="1">
                              <a:off x="1770" y="3148"/>
                              <a:ext cx="560" cy="0"/>
                            </a:xfrm>
                            <a:prstGeom prst="line">
                              <a:avLst/>
                            </a:prstGeom>
                            <a:ln w="9525" cap="flat" cmpd="sng">
                              <a:solidFill>
                                <a:srgbClr val="000000"/>
                              </a:solidFill>
                              <a:prstDash val="solid"/>
                              <a:headEnd type="none" w="med" len="med"/>
                              <a:tailEnd type="stealth" w="med" len="med"/>
                            </a:ln>
                          </wps:spPr>
                          <wps:bodyPr upright="1"/>
                        </wps:wsp>
                        <wps:wsp>
                          <wps:cNvPr id="100" name="Line 1492"/>
                          <wps:cNvCnPr/>
                          <wps:spPr>
                            <a:xfrm>
                              <a:off x="6110" y="3148"/>
                              <a:ext cx="10" cy="1334"/>
                            </a:xfrm>
                            <a:prstGeom prst="line">
                              <a:avLst/>
                            </a:prstGeom>
                            <a:ln w="9525" cap="flat" cmpd="sng">
                              <a:solidFill>
                                <a:srgbClr val="000000"/>
                              </a:solidFill>
                              <a:prstDash val="solid"/>
                              <a:headEnd type="none" w="med" len="med"/>
                              <a:tailEnd type="none" w="med" len="med"/>
                            </a:ln>
                          </wps:spPr>
                          <wps:bodyPr upright="1"/>
                        </wps:wsp>
                        <wps:wsp>
                          <wps:cNvPr id="101" name="Line 1493"/>
                          <wps:cNvCnPr/>
                          <wps:spPr>
                            <a:xfrm>
                              <a:off x="6110" y="3148"/>
                              <a:ext cx="403" cy="0"/>
                            </a:xfrm>
                            <a:prstGeom prst="line">
                              <a:avLst/>
                            </a:prstGeom>
                            <a:ln w="9525" cap="flat" cmpd="sng">
                              <a:solidFill>
                                <a:srgbClr val="000000"/>
                              </a:solidFill>
                              <a:prstDash val="solid"/>
                              <a:headEnd type="none" w="med" len="med"/>
                              <a:tailEnd type="stealth" w="med" len="med"/>
                            </a:ln>
                          </wps:spPr>
                          <wps:bodyPr upright="1"/>
                        </wps:wsp>
                        <wps:wsp>
                          <wps:cNvPr id="102" name="Line 1494"/>
                          <wps:cNvCnPr/>
                          <wps:spPr>
                            <a:xfrm>
                              <a:off x="6120" y="3854"/>
                              <a:ext cx="413" cy="0"/>
                            </a:xfrm>
                            <a:prstGeom prst="line">
                              <a:avLst/>
                            </a:prstGeom>
                            <a:ln w="9525" cap="flat" cmpd="sng">
                              <a:solidFill>
                                <a:srgbClr val="000000"/>
                              </a:solidFill>
                              <a:prstDash val="solid"/>
                              <a:headEnd type="none" w="med" len="med"/>
                              <a:tailEnd type="stealth" w="med" len="med"/>
                            </a:ln>
                          </wps:spPr>
                          <wps:bodyPr upright="1"/>
                        </wps:wsp>
                        <wps:wsp>
                          <wps:cNvPr id="103" name="Line 1495"/>
                          <wps:cNvCnPr/>
                          <wps:spPr>
                            <a:xfrm>
                              <a:off x="5830" y="3440"/>
                              <a:ext cx="280" cy="0"/>
                            </a:xfrm>
                            <a:prstGeom prst="line">
                              <a:avLst/>
                            </a:prstGeom>
                            <a:ln w="9525" cap="flat" cmpd="sng">
                              <a:solidFill>
                                <a:srgbClr val="000000"/>
                              </a:solidFill>
                              <a:prstDash val="solid"/>
                              <a:headEnd type="none" w="med" len="med"/>
                              <a:tailEnd type="none" w="med" len="med"/>
                            </a:ln>
                          </wps:spPr>
                          <wps:bodyPr upright="1"/>
                        </wps:wsp>
                        <wps:wsp>
                          <wps:cNvPr id="104" name="Line 1496"/>
                          <wps:cNvCnPr/>
                          <wps:spPr>
                            <a:xfrm flipH="1">
                              <a:off x="4570" y="3854"/>
                              <a:ext cx="420" cy="520"/>
                            </a:xfrm>
                            <a:prstGeom prst="line">
                              <a:avLst/>
                            </a:prstGeom>
                            <a:ln w="9525" cap="flat" cmpd="sng">
                              <a:solidFill>
                                <a:srgbClr val="000000"/>
                              </a:solidFill>
                              <a:prstDash val="solid"/>
                              <a:headEnd type="none" w="med" len="med"/>
                              <a:tailEnd type="stealth" w="med" len="med"/>
                            </a:ln>
                          </wps:spPr>
                          <wps:bodyPr upright="1"/>
                        </wps:wsp>
                        <wps:wsp>
                          <wps:cNvPr id="105" name="Text Box 1497"/>
                          <wps:cNvSpPr txBox="1"/>
                          <wps:spPr>
                            <a:xfrm>
                              <a:off x="90" y="0"/>
                              <a:ext cx="1680" cy="596"/>
                            </a:xfrm>
                            <a:prstGeom prst="rect">
                              <a:avLst/>
                            </a:prstGeom>
                            <a:noFill/>
                            <a:ln w="19050" cap="flat" cmpd="sng">
                              <a:solidFill>
                                <a:srgbClr val="F2F2F2"/>
                              </a:solidFill>
                              <a:prstDash val="solid"/>
                              <a:miter/>
                              <a:headEnd type="none" w="med" len="med"/>
                              <a:tailEnd type="none" w="med" len="med"/>
                            </a:ln>
                            <a:effectLst>
                              <a:outerShdw dist="28398" dir="3806096" algn="ctr" rotWithShape="0">
                                <a:srgbClr val="974706">
                                  <a:alpha val="50000"/>
                                </a:srgbClr>
                              </a:outerShdw>
                            </a:effectLst>
                          </wps:spPr>
                          <wps:txbx>
                            <w:txbxContent>
                              <w:p w14:paraId="0AE84673">
                                <w:pPr>
                                  <w:ind w:firstLine="240" w:firstLineChars="100"/>
                                  <w:rPr>
                                    <w:szCs w:val="21"/>
                                  </w:rPr>
                                </w:pPr>
                                <w:r>
                                  <w:rPr>
                                    <w:rFonts w:hint="eastAsia"/>
                                    <w:szCs w:val="21"/>
                                  </w:rPr>
                                  <w:t>生态破坏</w:t>
                                </w:r>
                              </w:p>
                            </w:txbxContent>
                          </wps:txbx>
                          <wps:bodyPr upright="1"/>
                        </wps:wsp>
                        <wps:wsp>
                          <wps:cNvPr id="106" name="Text Box 1498"/>
                          <wps:cNvSpPr txBox="1"/>
                          <wps:spPr>
                            <a:xfrm>
                              <a:off x="3170" y="0"/>
                              <a:ext cx="1680" cy="596"/>
                            </a:xfrm>
                            <a:prstGeom prst="rect">
                              <a:avLst/>
                            </a:prstGeom>
                            <a:noFill/>
                            <a:ln>
                              <a:noFill/>
                            </a:ln>
                          </wps:spPr>
                          <wps:txbx>
                            <w:txbxContent>
                              <w:p w14:paraId="527F125A">
                                <w:pPr>
                                  <w:ind w:firstLine="0" w:firstLineChars="0"/>
                                  <w:jc w:val="center"/>
                                  <w:rPr>
                                    <w:szCs w:val="21"/>
                                  </w:rPr>
                                </w:pPr>
                                <w:r>
                                  <w:rPr>
                                    <w:rFonts w:hint="eastAsia"/>
                                    <w:szCs w:val="21"/>
                                  </w:rPr>
                                  <w:t>勘  探</w:t>
                                </w:r>
                              </w:p>
                            </w:txbxContent>
                          </wps:txbx>
                          <wps:bodyPr upright="1"/>
                        </wps:wsp>
                        <wps:wsp>
                          <wps:cNvPr id="107" name="Text Box 1499"/>
                          <wps:cNvSpPr txBox="1"/>
                          <wps:spPr>
                            <a:xfrm>
                              <a:off x="6405" y="0"/>
                              <a:ext cx="1680" cy="651"/>
                            </a:xfrm>
                            <a:prstGeom prst="rect">
                              <a:avLst/>
                            </a:prstGeom>
                            <a:noFill/>
                            <a:ln w="38100" cap="flat" cmpd="sng">
                              <a:solidFill>
                                <a:srgbClr val="F2F2F2"/>
                              </a:solidFill>
                              <a:prstDash val="solid"/>
                              <a:miter/>
                              <a:headEnd type="none" w="med" len="med"/>
                              <a:tailEnd type="none" w="med" len="med"/>
                            </a:ln>
                            <a:effectLst>
                              <a:outerShdw dist="28398" dir="3806096" algn="ctr" rotWithShape="0">
                                <a:srgbClr val="974706">
                                  <a:alpha val="50000"/>
                                </a:srgbClr>
                              </a:outerShdw>
                            </a:effectLst>
                          </wps:spPr>
                          <wps:txbx>
                            <w:txbxContent>
                              <w:p w14:paraId="1569EAB5">
                                <w:pPr>
                                  <w:ind w:firstLine="240" w:firstLineChars="100"/>
                                  <w:rPr>
                                    <w:szCs w:val="21"/>
                                  </w:rPr>
                                </w:pPr>
                                <w:r>
                                  <w:rPr>
                                    <w:rFonts w:hint="eastAsia"/>
                                    <w:szCs w:val="21"/>
                                  </w:rPr>
                                  <w:t>噪声</w:t>
                                </w:r>
                                <w:r>
                                  <w:rPr>
                                    <w:rFonts w:hint="eastAsia"/>
                                    <w:szCs w:val="21"/>
                                    <w:lang w:eastAsia="zh-CN"/>
                                  </w:rPr>
                                  <w:t>、</w:t>
                                </w:r>
                                <w:r>
                                  <w:rPr>
                                    <w:rFonts w:hint="eastAsia"/>
                                    <w:szCs w:val="21"/>
                                  </w:rPr>
                                  <w:t>振动</w:t>
                                </w:r>
                              </w:p>
                            </w:txbxContent>
                          </wps:txbx>
                          <wps:bodyPr upright="1"/>
                        </wps:wsp>
                        <wps:wsp>
                          <wps:cNvPr id="108" name="Line 1500"/>
                          <wps:cNvCnPr/>
                          <wps:spPr>
                            <a:xfrm>
                              <a:off x="4850" y="403"/>
                              <a:ext cx="1540" cy="0"/>
                            </a:xfrm>
                            <a:prstGeom prst="line">
                              <a:avLst/>
                            </a:prstGeom>
                            <a:ln w="9525" cap="flat" cmpd="sng">
                              <a:solidFill>
                                <a:srgbClr val="000000"/>
                              </a:solidFill>
                              <a:prstDash val="solid"/>
                              <a:headEnd type="none" w="med" len="med"/>
                              <a:tailEnd type="stealth" w="med" len="med"/>
                            </a:ln>
                          </wps:spPr>
                          <wps:bodyPr upright="1"/>
                        </wps:wsp>
                        <wps:wsp>
                          <wps:cNvPr id="109" name="Line 1501"/>
                          <wps:cNvCnPr/>
                          <wps:spPr>
                            <a:xfrm flipH="1">
                              <a:off x="1770" y="403"/>
                              <a:ext cx="1400" cy="0"/>
                            </a:xfrm>
                            <a:prstGeom prst="line">
                              <a:avLst/>
                            </a:prstGeom>
                            <a:ln w="9525" cap="flat" cmpd="sng">
                              <a:solidFill>
                                <a:srgbClr val="000000"/>
                              </a:solidFill>
                              <a:prstDash val="solid"/>
                              <a:headEnd type="none" w="med" len="med"/>
                              <a:tailEnd type="stealth" w="med" len="med"/>
                            </a:ln>
                          </wps:spPr>
                          <wps:bodyPr upright="1"/>
                        </wps:wsp>
                        <wps:wsp>
                          <wps:cNvPr id="110" name="Text Box 1502"/>
                          <wps:cNvSpPr txBox="1"/>
                          <wps:spPr>
                            <a:xfrm>
                              <a:off x="90" y="3515"/>
                              <a:ext cx="1800" cy="624"/>
                            </a:xfrm>
                            <a:prstGeom prst="rect">
                              <a:avLst/>
                            </a:prstGeom>
                            <a:noFill/>
                            <a:ln w="38100" cap="flat" cmpd="sng">
                              <a:solidFill>
                                <a:srgbClr val="F2F2F2"/>
                              </a:solidFill>
                              <a:prstDash val="solid"/>
                              <a:miter/>
                              <a:headEnd type="none" w="med" len="med"/>
                              <a:tailEnd type="none" w="med" len="med"/>
                            </a:ln>
                            <a:effectLst>
                              <a:outerShdw dist="28398" dir="3806096" algn="ctr" rotWithShape="0">
                                <a:srgbClr val="974706">
                                  <a:alpha val="50000"/>
                                </a:srgbClr>
                              </a:outerShdw>
                            </a:effectLst>
                          </wps:spPr>
                          <wps:txbx>
                            <w:txbxContent>
                              <w:p w14:paraId="029918F0">
                                <w:pPr>
                                  <w:spacing w:line="400" w:lineRule="atLeast"/>
                                  <w:ind w:firstLine="120" w:firstLineChars="50"/>
                                  <w:rPr>
                                    <w:szCs w:val="21"/>
                                  </w:rPr>
                                </w:pPr>
                                <w:r>
                                  <w:rPr>
                                    <w:rFonts w:hint="eastAsia"/>
                                    <w:szCs w:val="21"/>
                                  </w:rPr>
                                  <w:t>井喷泄漏油气</w:t>
                                </w:r>
                              </w:p>
                            </w:txbxContent>
                          </wps:txbx>
                          <wps:bodyPr upright="1"/>
                        </wps:wsp>
                        <wps:wsp>
                          <wps:cNvPr id="111" name="Text Box 1503"/>
                          <wps:cNvSpPr txBox="1"/>
                          <wps:spPr>
                            <a:xfrm>
                              <a:off x="0" y="4802"/>
                              <a:ext cx="1800" cy="468"/>
                            </a:xfrm>
                            <a:prstGeom prst="rect">
                              <a:avLst/>
                            </a:prstGeom>
                            <a:noFill/>
                            <a:ln w="12700" cap="flat" cmpd="sng">
                              <a:solidFill>
                                <a:srgbClr val="FABF8F"/>
                              </a:solidFill>
                              <a:prstDash val="solid"/>
                              <a:miter/>
                              <a:headEnd type="none" w="med" len="med"/>
                              <a:tailEnd type="none" w="med" len="med"/>
                            </a:ln>
                            <a:effectLst>
                              <a:outerShdw dist="28398" dir="3806096" algn="ctr" rotWithShape="0">
                                <a:srgbClr val="974706">
                                  <a:alpha val="50000"/>
                                </a:srgbClr>
                              </a:outerShdw>
                            </a:effectLst>
                          </wps:spPr>
                          <wps:txbx>
                            <w:txbxContent>
                              <w:p w14:paraId="764A27A9">
                                <w:pPr>
                                  <w:spacing w:line="300" w:lineRule="atLeast"/>
                                  <w:ind w:firstLine="199" w:firstLineChars="83"/>
                                  <w:rPr>
                                    <w:szCs w:val="21"/>
                                  </w:rPr>
                                </w:pPr>
                                <w:r>
                                  <w:rPr>
                                    <w:rFonts w:hint="eastAsia"/>
                                    <w:szCs w:val="21"/>
                                  </w:rPr>
                                  <w:t>烃类气体</w:t>
                                </w:r>
                              </w:p>
                            </w:txbxContent>
                          </wps:txbx>
                          <wps:bodyPr upright="1"/>
                        </wps:wsp>
                        <wps:wsp>
                          <wps:cNvPr id="112" name="Line 1504"/>
                          <wps:cNvCnPr/>
                          <wps:spPr>
                            <a:xfrm flipH="1" flipV="1">
                              <a:off x="1890" y="3854"/>
                              <a:ext cx="1290" cy="628"/>
                            </a:xfrm>
                            <a:prstGeom prst="line">
                              <a:avLst/>
                            </a:prstGeom>
                            <a:ln w="9525" cap="flat" cmpd="sng">
                              <a:solidFill>
                                <a:srgbClr val="000000"/>
                              </a:solidFill>
                              <a:prstDash val="solid"/>
                              <a:headEnd type="none" w="med" len="med"/>
                              <a:tailEnd type="stealth" w="med" len="med"/>
                            </a:ln>
                          </wps:spPr>
                          <wps:bodyPr upright="1"/>
                        </wps:wsp>
                        <wps:wsp>
                          <wps:cNvPr id="113" name="未知"/>
                          <wps:cNvSpPr/>
                          <wps:spPr>
                            <a:xfrm flipV="1">
                              <a:off x="1800" y="4905"/>
                              <a:ext cx="1370" cy="147"/>
                            </a:xfrm>
                            <a:custGeom>
                              <a:avLst/>
                              <a:gdLst/>
                              <a:ahLst/>
                              <a:cxnLst/>
                              <a:pathLst>
                                <a:path w="1260" h="38">
                                  <a:moveTo>
                                    <a:pt x="1260" y="38"/>
                                  </a:moveTo>
                                  <a:lnTo>
                                    <a:pt x="0" y="0"/>
                                  </a:lnTo>
                                </a:path>
                              </a:pathLst>
                            </a:custGeom>
                            <a:noFill/>
                            <a:ln w="9525" cap="flat" cmpd="sng">
                              <a:solidFill>
                                <a:srgbClr val="000000"/>
                              </a:solidFill>
                              <a:prstDash val="solid"/>
                              <a:headEnd type="none" w="med" len="med"/>
                              <a:tailEnd type="stealth" w="med" len="med"/>
                            </a:ln>
                          </wps:spPr>
                          <wps:bodyPr wrap="square" upright="1"/>
                        </wps:wsp>
                        <wps:wsp>
                          <wps:cNvPr id="114" name="Line 1506"/>
                          <wps:cNvCnPr/>
                          <wps:spPr>
                            <a:xfrm flipH="1">
                              <a:off x="1800" y="6425"/>
                              <a:ext cx="1340" cy="0"/>
                            </a:xfrm>
                            <a:prstGeom prst="line">
                              <a:avLst/>
                            </a:prstGeom>
                            <a:ln w="9525" cap="flat" cmpd="sng">
                              <a:solidFill>
                                <a:srgbClr val="000000"/>
                              </a:solidFill>
                              <a:prstDash val="solid"/>
                              <a:headEnd type="none" w="med" len="med"/>
                              <a:tailEnd type="stealth" w="med" len="med"/>
                            </a:ln>
                          </wps:spPr>
                          <wps:bodyPr upright="1"/>
                        </wps:wsp>
                        <wps:wsp>
                          <wps:cNvPr id="115" name="Text Box 1507"/>
                          <wps:cNvSpPr txBox="1"/>
                          <wps:spPr>
                            <a:xfrm>
                              <a:off x="6420" y="8904"/>
                              <a:ext cx="1680" cy="623"/>
                            </a:xfrm>
                            <a:prstGeom prst="rect">
                              <a:avLst/>
                            </a:prstGeom>
                            <a:noFill/>
                            <a:ln w="12700" cap="flat" cmpd="sng">
                              <a:solidFill>
                                <a:srgbClr val="FABF8F"/>
                              </a:solidFill>
                              <a:prstDash val="solid"/>
                              <a:miter/>
                              <a:headEnd type="none" w="med" len="med"/>
                              <a:tailEnd type="none" w="med" len="med"/>
                            </a:ln>
                            <a:effectLst>
                              <a:outerShdw dist="28398" dir="3806096" algn="ctr" rotWithShape="0">
                                <a:srgbClr val="974706">
                                  <a:alpha val="50000"/>
                                </a:srgbClr>
                              </a:outerShdw>
                            </a:effectLst>
                          </wps:spPr>
                          <wps:txbx>
                            <w:txbxContent>
                              <w:p w14:paraId="5FB8DE75">
                                <w:pPr>
                                  <w:ind w:firstLine="480"/>
                                  <w:rPr>
                                    <w:szCs w:val="21"/>
                                  </w:rPr>
                                </w:pPr>
                                <w:r>
                                  <w:rPr>
                                    <w:rFonts w:hint="eastAsia"/>
                                    <w:szCs w:val="21"/>
                                  </w:rPr>
                                  <w:t>噪 声</w:t>
                                </w:r>
                              </w:p>
                            </w:txbxContent>
                          </wps:txbx>
                          <wps:bodyPr upright="1"/>
                        </wps:wsp>
                        <wps:wsp>
                          <wps:cNvPr id="116" name="Text Box 1508"/>
                          <wps:cNvSpPr txBox="1"/>
                          <wps:spPr>
                            <a:xfrm>
                              <a:off x="6390" y="8335"/>
                              <a:ext cx="1680" cy="484"/>
                            </a:xfrm>
                            <a:prstGeom prst="rect">
                              <a:avLst/>
                            </a:prstGeom>
                            <a:noFill/>
                            <a:ln w="12700" cap="flat" cmpd="sng">
                              <a:solidFill>
                                <a:srgbClr val="FABF8F"/>
                              </a:solidFill>
                              <a:prstDash val="solid"/>
                              <a:miter/>
                              <a:headEnd type="none" w="med" len="med"/>
                              <a:tailEnd type="none" w="med" len="med"/>
                            </a:ln>
                            <a:effectLst>
                              <a:outerShdw dist="28398" dir="3806096" algn="ctr" rotWithShape="0">
                                <a:srgbClr val="974706">
                                  <a:alpha val="50000"/>
                                </a:srgbClr>
                              </a:outerShdw>
                            </a:effectLst>
                          </wps:spPr>
                          <wps:txbx>
                            <w:txbxContent>
                              <w:p w14:paraId="50A081E9">
                                <w:pPr>
                                  <w:spacing w:line="360" w:lineRule="atLeast"/>
                                  <w:ind w:firstLine="240" w:firstLineChars="100"/>
                                  <w:rPr>
                                    <w:szCs w:val="21"/>
                                  </w:rPr>
                                </w:pPr>
                                <w:r>
                                  <w:rPr>
                                    <w:rFonts w:hint="eastAsia"/>
                                    <w:szCs w:val="21"/>
                                  </w:rPr>
                                  <w:t>油泥（砂）</w:t>
                                </w:r>
                              </w:p>
                            </w:txbxContent>
                          </wps:txbx>
                          <wps:bodyPr upright="1"/>
                        </wps:wsp>
                        <wps:wsp>
                          <wps:cNvPr id="117" name="Text Box 1509"/>
                          <wps:cNvSpPr txBox="1"/>
                          <wps:spPr>
                            <a:xfrm>
                              <a:off x="6420" y="7627"/>
                              <a:ext cx="1680" cy="538"/>
                            </a:xfrm>
                            <a:prstGeom prst="rect">
                              <a:avLst/>
                            </a:prstGeom>
                            <a:noFill/>
                            <a:ln w="12700" cap="flat" cmpd="sng">
                              <a:solidFill>
                                <a:srgbClr val="FABF8F"/>
                              </a:solidFill>
                              <a:prstDash val="solid"/>
                              <a:miter/>
                              <a:headEnd type="none" w="med" len="med"/>
                              <a:tailEnd type="none" w="med" len="med"/>
                            </a:ln>
                            <a:effectLst>
                              <a:outerShdw dist="28398" dir="3806096" algn="ctr" rotWithShape="0">
                                <a:srgbClr val="974706">
                                  <a:alpha val="50000"/>
                                </a:srgbClr>
                              </a:outerShdw>
                            </a:effectLst>
                          </wps:spPr>
                          <wps:txbx>
                            <w:txbxContent>
                              <w:p w14:paraId="2AA8D655">
                                <w:pPr>
                                  <w:spacing w:line="360" w:lineRule="atLeast"/>
                                  <w:ind w:firstLine="240" w:firstLineChars="100"/>
                                  <w:rPr>
                                    <w:szCs w:val="21"/>
                                  </w:rPr>
                                </w:pPr>
                                <w:r>
                                  <w:rPr>
                                    <w:rFonts w:hint="eastAsia"/>
                                    <w:szCs w:val="21"/>
                                  </w:rPr>
                                  <w:t>生活污水</w:t>
                                </w:r>
                              </w:p>
                            </w:txbxContent>
                          </wps:txbx>
                          <wps:bodyPr upright="1"/>
                        </wps:wsp>
                        <wps:wsp>
                          <wps:cNvPr id="118" name="Text Box 1510"/>
                          <wps:cNvSpPr txBox="1"/>
                          <wps:spPr>
                            <a:xfrm>
                              <a:off x="210" y="9582"/>
                              <a:ext cx="1590" cy="522"/>
                            </a:xfrm>
                            <a:prstGeom prst="rect">
                              <a:avLst/>
                            </a:prstGeom>
                            <a:noFill/>
                            <a:ln w="12700" cap="flat" cmpd="sng">
                              <a:solidFill>
                                <a:srgbClr val="FABF8F"/>
                              </a:solidFill>
                              <a:prstDash val="solid"/>
                              <a:miter/>
                              <a:headEnd type="none" w="med" len="med"/>
                              <a:tailEnd type="none" w="med" len="med"/>
                            </a:ln>
                            <a:effectLst>
                              <a:outerShdw dist="28398" dir="3806096" algn="ctr" rotWithShape="0">
                                <a:srgbClr val="974706">
                                  <a:alpha val="50000"/>
                                </a:srgbClr>
                              </a:outerShdw>
                            </a:effectLst>
                          </wps:spPr>
                          <wps:txbx>
                            <w:txbxContent>
                              <w:p w14:paraId="7FCF8A7D">
                                <w:pPr>
                                  <w:spacing w:line="340" w:lineRule="atLeast"/>
                                  <w:ind w:firstLine="240" w:firstLineChars="100"/>
                                  <w:rPr>
                                    <w:szCs w:val="21"/>
                                  </w:rPr>
                                </w:pPr>
                                <w:r>
                                  <w:rPr>
                                    <w:rFonts w:hint="eastAsia"/>
                                    <w:szCs w:val="21"/>
                                  </w:rPr>
                                  <w:t>烃类气体</w:t>
                                </w:r>
                              </w:p>
                            </w:txbxContent>
                          </wps:txbx>
                          <wps:bodyPr upright="1"/>
                        </wps:wsp>
                        <wps:wsp>
                          <wps:cNvPr id="119" name="Text Box 1511"/>
                          <wps:cNvSpPr txBox="1"/>
                          <wps:spPr>
                            <a:xfrm>
                              <a:off x="75" y="7945"/>
                              <a:ext cx="1590" cy="550"/>
                            </a:xfrm>
                            <a:prstGeom prst="rect">
                              <a:avLst/>
                            </a:prstGeom>
                            <a:noFill/>
                            <a:ln w="12700" cap="flat" cmpd="sng">
                              <a:solidFill>
                                <a:srgbClr val="FABF8F"/>
                              </a:solidFill>
                              <a:prstDash val="solid"/>
                              <a:miter/>
                              <a:headEnd type="none" w="med" len="med"/>
                              <a:tailEnd type="none" w="med" len="med"/>
                            </a:ln>
                            <a:effectLst>
                              <a:outerShdw dist="28398" dir="3806096" algn="ctr" rotWithShape="0">
                                <a:srgbClr val="974706">
                                  <a:alpha val="50000"/>
                                </a:srgbClr>
                              </a:outerShdw>
                            </a:effectLst>
                          </wps:spPr>
                          <wps:txbx>
                            <w:txbxContent>
                              <w:p w14:paraId="2D7D51DA">
                                <w:pPr>
                                  <w:spacing w:line="360" w:lineRule="atLeast"/>
                                  <w:ind w:firstLine="240" w:firstLineChars="100"/>
                                  <w:rPr>
                                    <w:szCs w:val="21"/>
                                  </w:rPr>
                                </w:pPr>
                                <w:r>
                                  <w:rPr>
                                    <w:rFonts w:hint="eastAsia"/>
                                    <w:szCs w:val="21"/>
                                  </w:rPr>
                                  <w:t>烃类气体</w:t>
                                </w:r>
                              </w:p>
                            </w:txbxContent>
                          </wps:txbx>
                          <wps:bodyPr upright="1"/>
                        </wps:wsp>
                        <wps:wsp>
                          <wps:cNvPr id="120" name="Text Box 1512"/>
                          <wps:cNvSpPr txBox="1"/>
                          <wps:spPr>
                            <a:xfrm>
                              <a:off x="3030" y="7427"/>
                              <a:ext cx="1960" cy="960"/>
                            </a:xfrm>
                            <a:prstGeom prst="rect">
                              <a:avLst/>
                            </a:prstGeom>
                            <a:noFill/>
                            <a:ln>
                              <a:noFill/>
                            </a:ln>
                          </wps:spPr>
                          <wps:txbx>
                            <w:txbxContent>
                              <w:p w14:paraId="01A2C423">
                                <w:pPr>
                                  <w:spacing w:beforeLines="50"/>
                                  <w:ind w:firstLine="0" w:firstLineChars="0"/>
                                  <w:jc w:val="center"/>
                                  <w:rPr>
                                    <w:szCs w:val="21"/>
                                    <w:lang w:eastAsia="zh-CN"/>
                                  </w:rPr>
                                </w:pPr>
                                <w:r>
                                  <w:rPr>
                                    <w:rFonts w:hint="eastAsia"/>
                                    <w:szCs w:val="21"/>
                                    <w:lang w:eastAsia="zh-CN"/>
                                  </w:rPr>
                                  <w:t>雅斯联合站</w:t>
                                </w:r>
                              </w:p>
                            </w:txbxContent>
                          </wps:txbx>
                          <wps:bodyPr upright="1"/>
                        </wps:wsp>
                        <wps:wsp>
                          <wps:cNvPr id="121" name="Text Box 1513"/>
                          <wps:cNvSpPr txBox="1"/>
                          <wps:spPr>
                            <a:xfrm>
                              <a:off x="3200" y="9396"/>
                              <a:ext cx="1680" cy="712"/>
                            </a:xfrm>
                            <a:prstGeom prst="rect">
                              <a:avLst/>
                            </a:prstGeom>
                            <a:noFill/>
                            <a:ln w="12700" cap="flat" cmpd="sng">
                              <a:solidFill>
                                <a:srgbClr val="95B3D7"/>
                              </a:solidFill>
                              <a:prstDash val="solid"/>
                              <a:miter/>
                              <a:headEnd type="none" w="med" len="med"/>
                              <a:tailEnd type="none" w="med" len="med"/>
                            </a:ln>
                            <a:effectLst>
                              <a:outerShdw dist="28398" dir="3806096" algn="ctr" rotWithShape="0">
                                <a:srgbClr val="243F60">
                                  <a:alpha val="50000"/>
                                </a:srgbClr>
                              </a:outerShdw>
                            </a:effectLst>
                          </wps:spPr>
                          <wps:txbx>
                            <w:txbxContent>
                              <w:p w14:paraId="44DBE22E">
                                <w:pPr>
                                  <w:ind w:firstLine="240" w:firstLineChars="100"/>
                                  <w:rPr>
                                    <w:szCs w:val="21"/>
                                    <w:lang w:eastAsia="zh-CN"/>
                                  </w:rPr>
                                </w:pPr>
                                <w:r>
                                  <w:rPr>
                                    <w:rFonts w:hint="eastAsia"/>
                                    <w:szCs w:val="21"/>
                                    <w:lang w:eastAsia="zh-CN"/>
                                  </w:rPr>
                                  <w:t>外输管线</w:t>
                                </w:r>
                              </w:p>
                            </w:txbxContent>
                          </wps:txbx>
                          <wps:bodyPr upright="1"/>
                        </wps:wsp>
                        <wps:wsp>
                          <wps:cNvPr id="122" name="Line 1514"/>
                          <wps:cNvCnPr/>
                          <wps:spPr>
                            <a:xfrm>
                              <a:off x="3923" y="8328"/>
                              <a:ext cx="1" cy="1009"/>
                            </a:xfrm>
                            <a:prstGeom prst="line">
                              <a:avLst/>
                            </a:prstGeom>
                            <a:ln w="9525" cap="flat" cmpd="sng">
                              <a:solidFill>
                                <a:srgbClr val="000000"/>
                              </a:solidFill>
                              <a:prstDash val="solid"/>
                              <a:headEnd type="none" w="med" len="med"/>
                              <a:tailEnd type="stealth" w="sm" len="med"/>
                            </a:ln>
                          </wps:spPr>
                          <wps:bodyPr upright="1"/>
                        </wps:wsp>
                        <wps:wsp>
                          <wps:cNvPr id="123" name="Line 1515"/>
                          <wps:cNvCnPr/>
                          <wps:spPr>
                            <a:xfrm>
                              <a:off x="2190" y="7245"/>
                              <a:ext cx="1" cy="1090"/>
                            </a:xfrm>
                            <a:prstGeom prst="line">
                              <a:avLst/>
                            </a:prstGeom>
                            <a:ln w="9525" cap="flat" cmpd="sng">
                              <a:solidFill>
                                <a:srgbClr val="000000"/>
                              </a:solidFill>
                              <a:prstDash val="solid"/>
                              <a:headEnd type="none" w="med" len="med"/>
                              <a:tailEnd type="none" w="med" len="med"/>
                            </a:ln>
                          </wps:spPr>
                          <wps:bodyPr upright="1"/>
                        </wps:wsp>
                        <wps:wsp>
                          <wps:cNvPr id="124" name="Line 1516"/>
                          <wps:cNvCnPr/>
                          <wps:spPr>
                            <a:xfrm>
                              <a:off x="5970" y="7245"/>
                              <a:ext cx="1" cy="1905"/>
                            </a:xfrm>
                            <a:prstGeom prst="line">
                              <a:avLst/>
                            </a:prstGeom>
                            <a:ln w="9525" cap="flat" cmpd="sng">
                              <a:solidFill>
                                <a:srgbClr val="000000"/>
                              </a:solidFill>
                              <a:prstDash val="solid"/>
                              <a:headEnd type="none" w="med" len="med"/>
                              <a:tailEnd type="none" w="med" len="med"/>
                            </a:ln>
                          </wps:spPr>
                          <wps:bodyPr upright="1"/>
                        </wps:wsp>
                        <wps:wsp>
                          <wps:cNvPr id="125" name="Line 1517"/>
                          <wps:cNvCnPr/>
                          <wps:spPr>
                            <a:xfrm flipH="1">
                              <a:off x="1740" y="7245"/>
                              <a:ext cx="450" cy="0"/>
                            </a:xfrm>
                            <a:prstGeom prst="line">
                              <a:avLst/>
                            </a:prstGeom>
                            <a:ln w="9525" cap="flat" cmpd="sng">
                              <a:solidFill>
                                <a:srgbClr val="000000"/>
                              </a:solidFill>
                              <a:prstDash val="solid"/>
                              <a:headEnd type="none" w="med" len="med"/>
                              <a:tailEnd type="stealth" w="sm" len="med"/>
                            </a:ln>
                          </wps:spPr>
                          <wps:bodyPr upright="1"/>
                        </wps:wsp>
                        <wps:wsp>
                          <wps:cNvPr id="126" name="Line 1518"/>
                          <wps:cNvCnPr/>
                          <wps:spPr>
                            <a:xfrm flipH="1">
                              <a:off x="1665" y="8334"/>
                              <a:ext cx="525" cy="1"/>
                            </a:xfrm>
                            <a:prstGeom prst="line">
                              <a:avLst/>
                            </a:prstGeom>
                            <a:ln w="9525" cap="flat" cmpd="sng">
                              <a:solidFill>
                                <a:srgbClr val="000000"/>
                              </a:solidFill>
                              <a:prstDash val="solid"/>
                              <a:headEnd type="none" w="med" len="med"/>
                              <a:tailEnd type="stealth" w="sm" len="med"/>
                            </a:ln>
                          </wps:spPr>
                          <wps:bodyPr upright="1"/>
                        </wps:wsp>
                        <wps:wsp>
                          <wps:cNvPr id="127" name="Line 1519"/>
                          <wps:cNvCnPr/>
                          <wps:spPr>
                            <a:xfrm>
                              <a:off x="5985" y="7245"/>
                              <a:ext cx="435" cy="0"/>
                            </a:xfrm>
                            <a:prstGeom prst="line">
                              <a:avLst/>
                            </a:prstGeom>
                            <a:ln w="9525" cap="flat" cmpd="sng">
                              <a:solidFill>
                                <a:srgbClr val="000000"/>
                              </a:solidFill>
                              <a:prstDash val="solid"/>
                              <a:headEnd type="none" w="med" len="med"/>
                              <a:tailEnd type="stealth" w="sm" len="med"/>
                            </a:ln>
                          </wps:spPr>
                          <wps:bodyPr upright="1"/>
                        </wps:wsp>
                        <wps:wsp>
                          <wps:cNvPr id="128" name="Line 1520"/>
                          <wps:cNvCnPr/>
                          <wps:spPr>
                            <a:xfrm>
                              <a:off x="5985" y="7977"/>
                              <a:ext cx="420" cy="0"/>
                            </a:xfrm>
                            <a:prstGeom prst="line">
                              <a:avLst/>
                            </a:prstGeom>
                            <a:ln w="9525" cap="flat" cmpd="sng">
                              <a:solidFill>
                                <a:srgbClr val="000000"/>
                              </a:solidFill>
                              <a:prstDash val="solid"/>
                              <a:headEnd type="none" w="med" len="med"/>
                              <a:tailEnd type="stealth" w="sm" len="med"/>
                            </a:ln>
                          </wps:spPr>
                          <wps:bodyPr upright="1"/>
                        </wps:wsp>
                        <wps:wsp>
                          <wps:cNvPr id="129" name="Line 1521"/>
                          <wps:cNvCnPr/>
                          <wps:spPr>
                            <a:xfrm>
                              <a:off x="5960" y="8550"/>
                              <a:ext cx="420" cy="0"/>
                            </a:xfrm>
                            <a:prstGeom prst="line">
                              <a:avLst/>
                            </a:prstGeom>
                            <a:ln w="9525" cap="flat" cmpd="sng">
                              <a:solidFill>
                                <a:srgbClr val="000000"/>
                              </a:solidFill>
                              <a:prstDash val="solid"/>
                              <a:headEnd type="none" w="med" len="med"/>
                              <a:tailEnd type="stealth" w="sm" len="med"/>
                            </a:ln>
                          </wps:spPr>
                          <wps:bodyPr upright="1"/>
                        </wps:wsp>
                        <wps:wsp>
                          <wps:cNvPr id="130" name="未知"/>
                          <wps:cNvSpPr/>
                          <wps:spPr>
                            <a:xfrm>
                              <a:off x="5960" y="9149"/>
                              <a:ext cx="458" cy="1"/>
                            </a:xfrm>
                            <a:custGeom>
                              <a:avLst/>
                              <a:gdLst/>
                              <a:ahLst/>
                              <a:cxnLst/>
                              <a:pathLst>
                                <a:path w="458" h="7">
                                  <a:moveTo>
                                    <a:pt x="0" y="7"/>
                                  </a:moveTo>
                                  <a:lnTo>
                                    <a:pt x="458" y="0"/>
                                  </a:lnTo>
                                </a:path>
                              </a:pathLst>
                            </a:custGeom>
                            <a:noFill/>
                            <a:ln w="9525" cap="flat" cmpd="sng">
                              <a:solidFill>
                                <a:srgbClr val="000000"/>
                              </a:solidFill>
                              <a:prstDash val="solid"/>
                              <a:headEnd type="none" w="med" len="med"/>
                              <a:tailEnd type="stealth" w="sm" len="med"/>
                            </a:ln>
                          </wps:spPr>
                          <wps:bodyPr wrap="square" upright="1"/>
                        </wps:wsp>
                        <wps:wsp>
                          <wps:cNvPr id="131" name="Line 1523"/>
                          <wps:cNvCnPr/>
                          <wps:spPr>
                            <a:xfrm>
                              <a:off x="2190" y="7945"/>
                              <a:ext cx="840" cy="0"/>
                            </a:xfrm>
                            <a:prstGeom prst="line">
                              <a:avLst/>
                            </a:prstGeom>
                            <a:ln w="9525" cap="flat" cmpd="sng">
                              <a:solidFill>
                                <a:srgbClr val="000000"/>
                              </a:solidFill>
                              <a:prstDash val="solid"/>
                              <a:headEnd type="none" w="med" len="med"/>
                              <a:tailEnd type="none" w="med" len="med"/>
                            </a:ln>
                          </wps:spPr>
                          <wps:bodyPr upright="1"/>
                        </wps:wsp>
                        <wps:wsp>
                          <wps:cNvPr id="132" name="Line 1524"/>
                          <wps:cNvCnPr/>
                          <wps:spPr>
                            <a:xfrm>
                              <a:off x="4990" y="7945"/>
                              <a:ext cx="980" cy="0"/>
                            </a:xfrm>
                            <a:prstGeom prst="line">
                              <a:avLst/>
                            </a:prstGeom>
                            <a:ln w="9525" cap="flat" cmpd="sng">
                              <a:solidFill>
                                <a:srgbClr val="000000"/>
                              </a:solidFill>
                              <a:prstDash val="solid"/>
                              <a:headEnd type="none" w="med" len="med"/>
                              <a:tailEnd type="none" w="med" len="med"/>
                            </a:ln>
                          </wps:spPr>
                          <wps:bodyPr upright="1"/>
                        </wps:wsp>
                        <wps:wsp>
                          <wps:cNvPr id="133" name="Line 1525"/>
                          <wps:cNvCnPr/>
                          <wps:spPr>
                            <a:xfrm flipH="1">
                              <a:off x="1800" y="9787"/>
                              <a:ext cx="1335" cy="0"/>
                            </a:xfrm>
                            <a:prstGeom prst="line">
                              <a:avLst/>
                            </a:prstGeom>
                            <a:ln w="9525" cap="flat" cmpd="sng">
                              <a:solidFill>
                                <a:srgbClr val="000000"/>
                              </a:solidFill>
                              <a:prstDash val="solid"/>
                              <a:headEnd type="none" w="med" len="med"/>
                              <a:tailEnd type="stealth" w="sm" len="med"/>
                            </a:ln>
                          </wps:spPr>
                          <wps:bodyPr upright="1"/>
                        </wps:wsp>
                        <wps:wsp>
                          <wps:cNvPr id="134" name="Text Box 1526"/>
                          <wps:cNvSpPr txBox="1"/>
                          <wps:spPr>
                            <a:xfrm>
                              <a:off x="6405" y="6994"/>
                              <a:ext cx="1680" cy="548"/>
                            </a:xfrm>
                            <a:prstGeom prst="rect">
                              <a:avLst/>
                            </a:prstGeom>
                            <a:noFill/>
                            <a:ln w="12700" cap="flat" cmpd="sng">
                              <a:solidFill>
                                <a:srgbClr val="FABF8F"/>
                              </a:solidFill>
                              <a:prstDash val="solid"/>
                              <a:miter/>
                              <a:headEnd type="none" w="med" len="med"/>
                              <a:tailEnd type="none" w="med" len="med"/>
                            </a:ln>
                            <a:effectLst>
                              <a:outerShdw dist="28398" dir="3806096" algn="ctr" rotWithShape="0">
                                <a:srgbClr val="974706">
                                  <a:alpha val="50000"/>
                                </a:srgbClr>
                              </a:outerShdw>
                            </a:effectLst>
                          </wps:spPr>
                          <wps:txbx>
                            <w:txbxContent>
                              <w:p w14:paraId="68E7AE19">
                                <w:pPr>
                                  <w:spacing w:line="360" w:lineRule="atLeast"/>
                                  <w:ind w:firstLine="0" w:firstLineChars="0"/>
                                  <w:rPr>
                                    <w:szCs w:val="21"/>
                                  </w:rPr>
                                </w:pPr>
                                <w:r>
                                  <w:rPr>
                                    <w:rFonts w:hint="eastAsia"/>
                                    <w:szCs w:val="21"/>
                                  </w:rPr>
                                  <w:t>采油</w:t>
                                </w:r>
                                <w:r>
                                  <w:rPr>
                                    <w:rFonts w:hint="eastAsia"/>
                                    <w:szCs w:val="21"/>
                                    <w:lang w:eastAsia="zh-CN"/>
                                  </w:rPr>
                                  <w:t>废水</w:t>
                                </w:r>
                                <w:r>
                                  <w:rPr>
                                    <w:rFonts w:hint="eastAsia"/>
                                    <w:szCs w:val="21"/>
                                  </w:rPr>
                                  <w:t>（气）废水</w:t>
                                </w:r>
                              </w:p>
                            </w:txbxContent>
                          </wps:txbx>
                          <wps:bodyPr upright="1"/>
                        </wps:wsp>
                        <wps:wsp>
                          <wps:cNvPr id="135" name="Text Box 1527"/>
                          <wps:cNvSpPr txBox="1"/>
                          <wps:spPr>
                            <a:xfrm>
                              <a:off x="145" y="7024"/>
                              <a:ext cx="1590" cy="518"/>
                            </a:xfrm>
                            <a:prstGeom prst="rect">
                              <a:avLst/>
                            </a:prstGeom>
                            <a:noFill/>
                            <a:ln w="12700" cap="flat" cmpd="sng">
                              <a:solidFill>
                                <a:srgbClr val="FABF8F"/>
                              </a:solidFill>
                              <a:prstDash val="solid"/>
                              <a:miter/>
                              <a:headEnd type="none" w="med" len="med"/>
                              <a:tailEnd type="none" w="med" len="med"/>
                            </a:ln>
                            <a:effectLst>
                              <a:outerShdw dist="28398" dir="3806096" algn="ctr" rotWithShape="0">
                                <a:srgbClr val="974706">
                                  <a:alpha val="50000"/>
                                </a:srgbClr>
                              </a:outerShdw>
                            </a:effectLst>
                          </wps:spPr>
                          <wps:txbx>
                            <w:txbxContent>
                              <w:p w14:paraId="5CB4B703">
                                <w:pPr>
                                  <w:spacing w:line="340" w:lineRule="atLeast"/>
                                  <w:ind w:firstLine="240" w:firstLineChars="100"/>
                                  <w:rPr>
                                    <w:szCs w:val="21"/>
                                  </w:rPr>
                                </w:pPr>
                                <w:r>
                                  <w:rPr>
                                    <w:rFonts w:hint="eastAsia"/>
                                    <w:szCs w:val="21"/>
                                  </w:rPr>
                                  <w:t>锅炉烟气</w:t>
                                </w:r>
                              </w:p>
                            </w:txbxContent>
                          </wps:txbx>
                          <wps:bodyPr upright="1"/>
                        </wps:wsp>
                        <wps:wsp>
                          <wps:cNvPr id="136" name="Text Box 1528"/>
                          <wps:cNvSpPr txBox="1"/>
                          <wps:spPr>
                            <a:xfrm>
                              <a:off x="6450" y="5270"/>
                              <a:ext cx="1680" cy="468"/>
                            </a:xfrm>
                            <a:prstGeom prst="rect">
                              <a:avLst/>
                            </a:prstGeom>
                            <a:noFill/>
                            <a:ln w="12700" cap="flat" cmpd="sng">
                              <a:solidFill>
                                <a:srgbClr val="FABF8F"/>
                              </a:solidFill>
                              <a:prstDash val="solid"/>
                              <a:miter/>
                              <a:headEnd type="none" w="med" len="med"/>
                              <a:tailEnd type="none" w="med" len="med"/>
                            </a:ln>
                            <a:effectLst>
                              <a:outerShdw dist="28398" dir="3806096" algn="ctr" rotWithShape="0">
                                <a:srgbClr val="974706">
                                  <a:alpha val="50000"/>
                                </a:srgbClr>
                              </a:outerShdw>
                            </a:effectLst>
                          </wps:spPr>
                          <wps:txbx>
                            <w:txbxContent>
                              <w:p w14:paraId="7AC1C4B9">
                                <w:pPr>
                                  <w:spacing w:line="320" w:lineRule="atLeast"/>
                                  <w:ind w:firstLine="480"/>
                                  <w:rPr>
                                    <w:szCs w:val="21"/>
                                  </w:rPr>
                                </w:pPr>
                                <w:r>
                                  <w:rPr>
                                    <w:rFonts w:hint="eastAsia"/>
                                    <w:szCs w:val="21"/>
                                  </w:rPr>
                                  <w:t>噪 声</w:t>
                                </w:r>
                              </w:p>
                            </w:txbxContent>
                          </wps:txbx>
                          <wps:bodyPr upright="1"/>
                        </wps:wsp>
                        <wps:wsp>
                          <wps:cNvPr id="137" name="Line 1529"/>
                          <wps:cNvCnPr/>
                          <wps:spPr>
                            <a:xfrm>
                              <a:off x="6120" y="4482"/>
                              <a:ext cx="413" cy="0"/>
                            </a:xfrm>
                            <a:prstGeom prst="line">
                              <a:avLst/>
                            </a:prstGeom>
                            <a:ln w="9525" cap="flat" cmpd="sng">
                              <a:solidFill>
                                <a:srgbClr val="000000"/>
                              </a:solidFill>
                              <a:prstDash val="solid"/>
                              <a:headEnd type="none" w="med" len="med"/>
                              <a:tailEnd type="stealth" w="med" len="med"/>
                            </a:ln>
                          </wps:spPr>
                          <wps:bodyPr upright="1"/>
                        </wps:wsp>
                        <wps:wsp>
                          <wps:cNvPr id="138" name="Line 1530"/>
                          <wps:cNvCnPr/>
                          <wps:spPr>
                            <a:xfrm>
                              <a:off x="4728" y="5052"/>
                              <a:ext cx="1631" cy="544"/>
                            </a:xfrm>
                            <a:prstGeom prst="line">
                              <a:avLst/>
                            </a:prstGeom>
                            <a:ln w="9525" cap="flat" cmpd="sng">
                              <a:solidFill>
                                <a:srgbClr val="000000"/>
                              </a:solidFill>
                              <a:prstDash val="solid"/>
                              <a:headEnd type="none" w="med" len="med"/>
                              <a:tailEnd type="stealth" w="med" len="med"/>
                            </a:ln>
                          </wps:spPr>
                          <wps:bodyPr upright="1"/>
                        </wps:wsp>
                      </wpg:grpSp>
                    </wpg:wgp>
                  </a:graphicData>
                </a:graphic>
              </wp:anchor>
            </w:drawing>
          </mc:Choice>
          <mc:Fallback>
            <w:pict>
              <v:group id="Group 1462" o:spid="_x0000_s1026" o:spt="203" style="position:absolute;left:0pt;margin-left:3.8pt;margin-top:7.7pt;height:561.7pt;width:409.65pt;z-index:251663360;mso-width-relative:page;mso-height-relative:page;" coordsize="8193,10108" o:gfxdata="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">
                <o:lock v:ext="edit" aspectratio="f"/>
                <v:shape id="未知" o:spid="_x0000_s1026" o:spt="100" style="position:absolute;left:4091;top:645;height:948;width:71;" filled="f" stroked="t" coordsize="1,1065" o:gfxdata="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xctR7sAAADb&#10;AAAADwAAAAAAAAABACAAAAAiAAAAZHJzL2Rvd25yZXYueG1sUEsBAhQAFAAAAAgAh07iQDMvBZ47&#10;AAAAOQAAABAAAAAAAAAAAQAgAAAACgEAAGRycy9zaGFwZXhtbC54bWxQSwUGAAAAAAYABgBbAQAA&#10;tAMAAAAA&#10;" path="m0,0l0,1065e">
                  <v:fill on="f" focussize="0,0"/>
                  <v:stroke color="#000000" joinstyle="round" endarrow="classic"/>
                  <v:imagedata o:title=""/>
                  <o:lock v:ext="edit" aspectratio="f"/>
                </v:shape>
                <v:group id="Group 1464" o:spid="_x0000_s1026" o:spt="203" style="position:absolute;left:0;top:0;height:10108;width:8193;" coordsize="8193,10108" o:gfxdata="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SzP7xvAAAANwAAAAPAAAAAAAAAAEAIAAAACIAAABkcnMvZG93bnJldi54bWxQ&#10;SwECFAAUAAAACACHTuJAMy8FnjsAAAA5AAAAFQAAAAAAAAABACAAAAALAQAAZHJzL2dyb3Vwc2hh&#10;cGV4bWwueG1sUEsFBgAAAAAGAAYAYAEAAMgDAAAAAA==&#10;">
                  <o:lock v:ext="edit" aspectratio="f"/>
                  <v:shape id="Text Box 1465" o:spid="_x0000_s1026" o:spt="202" type="#_x0000_t202" style="position:absolute;left:90;top:734;height:588;width:1680;" filled="f" stroked="t" coordsize="21600,21600" o:gfxdata="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V2Y0vQAA&#10;ANsAAAAPAAAAAAAAAAEAIAAAACIAAABkcnMvZG93bnJldi54bWxQSwECFAAUAAAACACHTuJAMy8F&#10;njsAAAA5AAAAEAAAAAAAAAABACAAAAAMAQAAZHJzL3NoYXBleG1sLnhtbFBLBQYAAAAABgAGAFsB&#10;AAC2AwAAAAA=&#10;">
                    <v:fill on="f" focussize="0,0"/>
                    <v:stroke weight="3pt" color="#F2F2F2" joinstyle="miter"/>
                    <v:imagedata o:title=""/>
                    <o:lock v:ext="edit" aspectratio="f"/>
                    <v:shadow on="t" color="#974706" opacity="32768f" offset="1pt,2pt" origin="0f,0f" matrix="65536f,0f,0f,65536f"/>
                    <v:textbox>
                      <w:txbxContent>
                        <w:p w14:paraId="30A95B8E">
                          <w:pPr>
                            <w:ind w:firstLine="240" w:firstLineChars="100"/>
                            <w:rPr>
                              <w:szCs w:val="21"/>
                            </w:rPr>
                          </w:pPr>
                          <w:r>
                            <w:rPr>
                              <w:rFonts w:hint="eastAsia"/>
                              <w:szCs w:val="21"/>
                            </w:rPr>
                            <w:t>钻井废水</w:t>
                          </w:r>
                        </w:p>
                      </w:txbxContent>
                    </v:textbox>
                  </v:shape>
                  <v:shape id="Text Box 1466" o:spid="_x0000_s1026" o:spt="202" type="#_x0000_t202" style="position:absolute;left:90;top:1425;height:597;width:1680;" filled="f" stroked="t" coordsize="21600,21600" o:gfxdata="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VC3KbsAAADb&#10;AAAADwAAAAAAAAABACAAAAAiAAAAZHJzL2Rvd25yZXYueG1sUEsBAhQAFAAAAAgAh07iQDMvBZ47&#10;AAAAOQAAABAAAAAAAAAAAQAgAAAACgEAAGRycy9zaGFwZXhtbC54bWxQSwUGAAAAAAYABgBbAQAA&#10;tAMAAAAA&#10;">
                    <v:fill on="f" focussize="0,0"/>
                    <v:stroke weight="3pt" color="#FFFFFF" joinstyle="miter"/>
                    <v:imagedata o:title=""/>
                    <o:lock v:ext="edit" aspectratio="f"/>
                    <v:shadow on="t" color="#974706" opacity="32768f" offset="1pt,2pt" origin="0f,0f" matrix="65536f,0f,0f,65536f"/>
                    <v:textbox>
                      <w:txbxContent>
                        <w:p w14:paraId="470BA68C">
                          <w:pPr>
                            <w:ind w:firstLine="240" w:firstLineChars="100"/>
                            <w:rPr>
                              <w:szCs w:val="21"/>
                            </w:rPr>
                          </w:pPr>
                          <w:r>
                            <w:rPr>
                              <w:rFonts w:hint="eastAsia"/>
                              <w:szCs w:val="21"/>
                            </w:rPr>
                            <w:t>生活废水</w:t>
                          </w:r>
                        </w:p>
                      </w:txbxContent>
                    </v:textbox>
                  </v:shape>
                  <v:shape id="Text Box 1467" o:spid="_x0000_s1026" o:spt="202" type="#_x0000_t202" style="position:absolute;left:90;top:2095;height:647;width:1710;" filled="f" stroked="t" coordsize="21600,21600" o:gfxdata="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8lvbugAAANsA&#10;AAAPAAAAAAAAAAEAIAAAACIAAABkcnMvZG93bnJldi54bWxQSwECFAAUAAAACACHTuJAMy8FnjsA&#10;AAA5AAAAEAAAAAAAAAABACAAAAAJAQAAZHJzL3NoYXBleG1sLnhtbFBLBQYAAAAABgAGAFsBAACz&#10;AwAAAAA=&#10;">
                    <v:fill on="f" focussize="0,0"/>
                    <v:stroke weight="3pt" color="#F2F2F2" joinstyle="miter"/>
                    <v:imagedata o:title=""/>
                    <o:lock v:ext="edit" aspectratio="f"/>
                    <v:shadow on="t" color="#974706" opacity="32768f" offset="1pt,2pt" origin="0f,0f" matrix="65536f,0f,0f,65536f"/>
                    <v:textbox>
                      <w:txbxContent>
                        <w:p w14:paraId="7B5F861C">
                          <w:pPr>
                            <w:ind w:firstLine="0" w:firstLineChars="0"/>
                            <w:jc w:val="center"/>
                            <w:rPr>
                              <w:szCs w:val="21"/>
                            </w:rPr>
                          </w:pPr>
                          <w:r>
                            <w:rPr>
                              <w:rFonts w:hint="eastAsia"/>
                              <w:szCs w:val="21"/>
                              <w:lang w:eastAsia="zh-CN"/>
                            </w:rPr>
                            <w:t>废弃</w:t>
                          </w:r>
                          <w:r>
                            <w:rPr>
                              <w:rFonts w:hint="eastAsia"/>
                              <w:szCs w:val="21"/>
                            </w:rPr>
                            <w:t>泥浆</w:t>
                          </w:r>
                        </w:p>
                      </w:txbxContent>
                    </v:textbox>
                  </v:shape>
                  <v:shape id="Text Box 1468" o:spid="_x0000_s1026" o:spt="202" type="#_x0000_t202" style="position:absolute;left:90;top:2822;height:563;width:1680;" filled="f" stroked="t" coordsize="21600,21600" o:gfxdata="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IMWsvQAA&#10;ANsAAAAPAAAAAAAAAAEAIAAAACIAAABkcnMvZG93bnJldi54bWxQSwECFAAUAAAACACHTuJAMy8F&#10;njsAAAA5AAAAEAAAAAAAAAABACAAAAAMAQAAZHJzL3NoYXBleG1sLnhtbFBLBQYAAAAABgAGAFsB&#10;AAC2AwAAAAA=&#10;">
                    <v:fill on="f" focussize="0,0"/>
                    <v:stroke weight="3pt" color="#F2F2F2" joinstyle="miter"/>
                    <v:imagedata o:title=""/>
                    <o:lock v:ext="edit" aspectratio="f"/>
                    <v:shadow on="t" color="#974706" opacity="32768f" offset="1pt,2pt" origin="0f,0f" matrix="65536f,0f,0f,65536f"/>
                    <v:textbox>
                      <w:txbxContent>
                        <w:p w14:paraId="7998BE6A">
                          <w:pPr>
                            <w:ind w:firstLine="240" w:firstLineChars="100"/>
                            <w:rPr>
                              <w:szCs w:val="21"/>
                            </w:rPr>
                          </w:pPr>
                          <w:r>
                            <w:rPr>
                              <w:rFonts w:hint="eastAsia"/>
                              <w:szCs w:val="21"/>
                            </w:rPr>
                            <w:t>钻井岩屑</w:t>
                          </w:r>
                        </w:p>
                      </w:txbxContent>
                    </v:textbox>
                  </v:shape>
                  <v:shape id="Text Box 1469" o:spid="_x0000_s1026" o:spt="202" type="#_x0000_t202" style="position:absolute;left:3170;top:1526;height:689;width:1680;" filled="f" stroked="f" coordsize="21600,21600" o:gfxdata="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F+yK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2BD4340E">
                          <w:pPr>
                            <w:ind w:firstLine="0" w:firstLineChars="0"/>
                            <w:jc w:val="center"/>
                            <w:rPr>
                              <w:szCs w:val="21"/>
                            </w:rPr>
                          </w:pPr>
                          <w:r>
                            <w:rPr>
                              <w:rFonts w:hint="eastAsia"/>
                              <w:szCs w:val="21"/>
                            </w:rPr>
                            <w:t>钻  井</w:t>
                          </w:r>
                        </w:p>
                      </w:txbxContent>
                    </v:textbox>
                  </v:shape>
                  <v:shape id="Text Box 1470" o:spid="_x0000_s1026" o:spt="202" type="#_x0000_t202" style="position:absolute;left:6420;top:734;height:571;width:1650;" filled="f" stroked="t" coordsize="21600,21600" o:gfxdata="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y8/RFtwAAANsAAAAP&#10;AAAAAAAAAAEAIAAAACIAAABkcnMvZG93bnJldi54bWxQSwECFAAUAAAACACHTuJAMy8FnjsAAAA5&#10;AAAAEAAAAAAAAAABACAAAAAGAQAAZHJzL3NoYXBleG1sLnhtbFBLBQYAAAAABgAGAFsBAACwAwAA&#10;AAA=&#10;">
                    <v:fill on="f" focussize="0,0"/>
                    <v:stroke weight="3pt" color="#F2F2F2" joinstyle="miter"/>
                    <v:imagedata o:title=""/>
                    <o:lock v:ext="edit" aspectratio="f"/>
                    <v:shadow on="t" color="#974706" opacity="32768f" offset="1pt,2pt" origin="0f,0f" matrix="65536f,0f,0f,65536f"/>
                    <v:textbox>
                      <w:txbxContent>
                        <w:p w14:paraId="0E8B6101">
                          <w:pPr>
                            <w:ind w:firstLine="0" w:firstLineChars="0"/>
                            <w:jc w:val="center"/>
                            <w:rPr>
                              <w:szCs w:val="21"/>
                            </w:rPr>
                          </w:pPr>
                          <w:r>
                            <w:rPr>
                              <w:rFonts w:hint="eastAsia"/>
                              <w:szCs w:val="21"/>
                            </w:rPr>
                            <w:t>柴油机烟气</w:t>
                          </w:r>
                        </w:p>
                      </w:txbxContent>
                    </v:textbox>
                  </v:shape>
                  <v:shape id="Text Box 1471" o:spid="_x0000_s1026" o:spt="202" type="#_x0000_t202" style="position:absolute;left:6390;top:1425;height:597;width:1680;" filled="f" stroked="t" coordsize="21600,21600" o:gfxdata="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2/Ud6/&#10;AAAA2wAAAA8AAAAAAAAAAQAgAAAAIgAAAGRycy9kb3ducmV2LnhtbFBLAQIUABQAAAAIAIdO4kAz&#10;LwWeOwAAADkAAAAQAAAAAAAAAAEAIAAAAA4BAABkcnMvc2hhcGV4bWwueG1sUEsFBgAAAAAGAAYA&#10;WwEAALgDAAAAAA==&#10;">
                    <v:fill on="f" focussize="0,0"/>
                    <v:stroke weight="3pt" color="#F2F2F2" joinstyle="miter"/>
                    <v:imagedata o:title=""/>
                    <o:lock v:ext="edit" aspectratio="f"/>
                    <v:shadow on="t" color="#974706" opacity="32768f" offset="1pt,2pt" origin="0f,0f" matrix="65536f,0f,0f,65536f"/>
                    <v:textbox>
                      <w:txbxContent>
                        <w:p w14:paraId="224AEA6A">
                          <w:pPr>
                            <w:ind w:firstLine="480"/>
                            <w:rPr>
                              <w:szCs w:val="21"/>
                            </w:rPr>
                          </w:pPr>
                          <w:r>
                            <w:rPr>
                              <w:rFonts w:hint="eastAsia"/>
                              <w:szCs w:val="21"/>
                            </w:rPr>
                            <w:t>噪 声</w:t>
                          </w:r>
                        </w:p>
                      </w:txbxContent>
                    </v:textbox>
                  </v:shape>
                  <v:shape id="Text Box 1472" o:spid="_x0000_s1026" o:spt="202" type="#_x0000_t202" style="position:absolute;left:6390;top:2095;height:570;width:1680;" filled="f" stroked="t" coordsize="21600,21600" o:gfxdata="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5UIhktwAAANsAAAAP&#10;AAAAAAAAAAEAIAAAACIAAABkcnMvZG93bnJldi54bWxQSwECFAAUAAAACACHTuJAMy8FnjsAAAA5&#10;AAAAEAAAAAAAAAABACAAAAAGAQAAZHJzL3NoYXBleG1sLnhtbFBLBQYAAAAABgAGAFsBAACwAwAA&#10;AAA=&#10;">
                    <v:fill on="f" focussize="0,0"/>
                    <v:stroke weight="3pt" color="#F2F2F2" joinstyle="miter"/>
                    <v:imagedata o:title=""/>
                    <o:lock v:ext="edit" aspectratio="f"/>
                    <v:shadow on="t" color="#974706" opacity="32768f" offset="1pt,2pt" origin="0f,0f" matrix="65536f,0f,0f,65536f"/>
                    <v:textbox>
                      <w:txbxContent>
                        <w:p w14:paraId="5BA0F7C6">
                          <w:pPr>
                            <w:ind w:firstLine="240" w:firstLineChars="100"/>
                            <w:rPr>
                              <w:szCs w:val="21"/>
                            </w:rPr>
                          </w:pPr>
                          <w:r>
                            <w:rPr>
                              <w:rFonts w:hint="eastAsia"/>
                              <w:szCs w:val="21"/>
                            </w:rPr>
                            <w:t>生态破坏</w:t>
                          </w:r>
                        </w:p>
                      </w:txbxContent>
                    </v:textbox>
                  </v:shape>
                  <v:shape id="Text Box 1473" o:spid="_x0000_s1026" o:spt="202" type="#_x0000_t202" style="position:absolute;left:6513;top:3569;height:570;width:1680;" filled="f" stroked="t" coordsize="21600,21600" o:gfxdata="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HC3/ugAAANsA&#10;AAAPAAAAAAAAAAEAIAAAACIAAABkcnMvZG93bnJldi54bWxQSwECFAAUAAAACACHTuJAMy8FnjsA&#10;AAA5AAAAEAAAAAAAAAABACAAAAAJAQAAZHJzL3NoYXBleG1sLnhtbFBLBQYAAAAABgAGAFsBAACz&#10;AwAAAAA=&#10;">
                    <v:fill on="f" focussize="0,0"/>
                    <v:stroke weight="3pt" color="#F2F2F2" joinstyle="miter"/>
                    <v:imagedata o:title=""/>
                    <o:lock v:ext="edit" aspectratio="f"/>
                    <v:shadow on="t" color="#974706" opacity="32768f" offset="1pt,2pt" origin="0f,0f" matrix="65536f,0f,0f,65536f"/>
                    <v:textbox>
                      <w:txbxContent>
                        <w:p w14:paraId="3740A6B1">
                          <w:pPr>
                            <w:ind w:firstLine="0" w:firstLineChars="0"/>
                            <w:jc w:val="center"/>
                            <w:rPr>
                              <w:szCs w:val="21"/>
                            </w:rPr>
                          </w:pPr>
                          <w:r>
                            <w:rPr>
                              <w:rFonts w:hint="eastAsia"/>
                              <w:szCs w:val="21"/>
                            </w:rPr>
                            <w:t>修洗井废水</w:t>
                          </w:r>
                        </w:p>
                      </w:txbxContent>
                    </v:textbox>
                  </v:shape>
                  <v:shape id="Text Box 1474" o:spid="_x0000_s1026" o:spt="202" type="#_x0000_t202" style="position:absolute;left:6513;top:2822;height:618;width:1680;" filled="f" stroked="t" coordsize="21600,21600" o:gfxdata="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zrOIugAAANsA&#10;AAAPAAAAAAAAAAEAIAAAACIAAABkcnMvZG93bnJldi54bWxQSwECFAAUAAAACACHTuJAMy8FnjsA&#10;AAA5AAAAEAAAAAAAAAABACAAAAAJAQAAZHJzL3NoYXBleG1sLnhtbFBLBQYAAAAABgAGAFsBAACz&#10;AwAAAAA=&#10;">
                    <v:fill on="f" focussize="0,0"/>
                    <v:stroke weight="3pt" color="#F2F2F2" joinstyle="miter"/>
                    <v:imagedata o:title=""/>
                    <o:lock v:ext="edit" aspectratio="f"/>
                    <v:shadow on="t" color="#974706" opacity="32768f" offset="1pt,2pt" origin="0f,0f" matrix="65536f,0f,0f,65536f"/>
                    <v:textbox>
                      <w:txbxContent>
                        <w:p w14:paraId="239C181F">
                          <w:pPr>
                            <w:ind w:firstLine="360" w:firstLineChars="150"/>
                            <w:rPr>
                              <w:szCs w:val="21"/>
                            </w:rPr>
                          </w:pPr>
                          <w:r>
                            <w:rPr>
                              <w:rFonts w:hint="eastAsia"/>
                              <w:szCs w:val="21"/>
                            </w:rPr>
                            <w:t>落地油</w:t>
                          </w:r>
                        </w:p>
                      </w:txbxContent>
                    </v:textbox>
                  </v:shape>
                  <v:shape id="Text Box 1475" o:spid="_x0000_s1026" o:spt="202" type="#_x0000_t202" style="position:absolute;left:6498;top:4220;height:583;width:1680;" filled="f" stroked="t" coordsize="21600,21600" o:gfxdata="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ghYTugAAANsA&#10;AAAPAAAAAAAAAAEAIAAAACIAAABkcnMvZG93bnJldi54bWxQSwECFAAUAAAACACHTuJAMy8FnjsA&#10;AAA5AAAAEAAAAAAAAAABACAAAAAJAQAAZHJzL3NoYXBleG1sLnhtbFBLBQYAAAAABgAGAFsBAACz&#10;AwAAAAA=&#10;">
                    <v:fill on="f" focussize="0,0"/>
                    <v:stroke weight="3pt" color="#F2F2F2" joinstyle="miter"/>
                    <v:imagedata o:title=""/>
                    <o:lock v:ext="edit" aspectratio="f"/>
                    <v:shadow on="t" color="#974706" opacity="32768f" offset="1pt,2pt" origin="0f,0f" matrix="65536f,0f,0f,65536f"/>
                    <v:textbox>
                      <w:txbxContent>
                        <w:p w14:paraId="60923C43">
                          <w:pPr>
                            <w:ind w:firstLine="0" w:firstLineChars="0"/>
                            <w:jc w:val="center"/>
                            <w:rPr>
                              <w:szCs w:val="21"/>
                            </w:rPr>
                          </w:pPr>
                          <w:r>
                            <w:rPr>
                              <w:rFonts w:hint="eastAsia"/>
                              <w:szCs w:val="21"/>
                            </w:rPr>
                            <w:t>噪 声</w:t>
                          </w:r>
                        </w:p>
                      </w:txbxContent>
                    </v:textbox>
                  </v:shape>
                  <v:shape id="Text Box 1476" o:spid="_x0000_s1026" o:spt="202" type="#_x0000_t202" style="position:absolute;left:4570;top:3148;height:604;width:1260;" filled="f" stroked="f" coordsize="21600,21600" o:gfxdata="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IIVcr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509BB503">
                          <w:pPr>
                            <w:ind w:firstLine="0" w:firstLineChars="0"/>
                            <w:rPr>
                              <w:szCs w:val="21"/>
                            </w:rPr>
                          </w:pPr>
                          <w:r>
                            <w:rPr>
                              <w:rFonts w:hint="eastAsia"/>
                              <w:szCs w:val="21"/>
                            </w:rPr>
                            <w:t>井下作业</w:t>
                          </w:r>
                        </w:p>
                      </w:txbxContent>
                    </v:textbox>
                  </v:shape>
                  <v:shape id="Oval 1477" o:spid="_x0000_s1026" o:spt="3" type="#_x0000_t3" style="position:absolute;left:3170;top:3925;height:1671;width:1558;" filled="f" stroked="t" coordsize="21600,21600" o:gfxdata="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t3ae8AAAA&#10;2wAAAA8AAAAAAAAAAQAgAAAAIgAAAGRycy9kb3ducmV2LnhtbFBLAQIUABQAAAAIAIdO4kAzLwWe&#10;OwAAADkAAAAQAAAAAAAAAAEAIAAAAAsBAABkcnMvc2hhcGV4bWwueG1sUEsFBgAAAAAGAAYAWwEA&#10;ALUDAAAAAA==&#10;">
                    <v:fill on="f" focussize="0,0"/>
                    <v:stroke weight="1pt" color="#95B3D7" joinstyle="round"/>
                    <v:imagedata o:title=""/>
                    <o:lock v:ext="edit" aspectratio="f"/>
                    <v:shadow on="t" color="#243F60" opacity="32768f" offset="1pt,2pt" origin="0f,0f" matrix="65536f,0f,0f,65536f"/>
                    <v:textbox>
                      <w:txbxContent>
                        <w:p w14:paraId="515204C2">
                          <w:pPr>
                            <w:ind w:firstLine="240" w:firstLineChars="100"/>
                            <w:rPr>
                              <w:lang w:eastAsia="zh-CN"/>
                            </w:rPr>
                          </w:pPr>
                        </w:p>
                        <w:p w14:paraId="5C8E5DE8">
                          <w:pPr>
                            <w:ind w:firstLine="240" w:firstLineChars="100"/>
                            <w:rPr>
                              <w:lang w:eastAsia="zh-CN"/>
                            </w:rPr>
                          </w:pPr>
                          <w:r>
                            <w:rPr>
                              <w:rFonts w:hint="eastAsia"/>
                              <w:lang w:eastAsia="zh-CN"/>
                            </w:rPr>
                            <w:t>采油</w:t>
                          </w:r>
                        </w:p>
                      </w:txbxContent>
                    </v:textbox>
                  </v:shape>
                  <v:shape id="Text Box 1478" o:spid="_x0000_s1026" o:spt="202" type="#_x0000_t202" style="position:absolute;left:18;top:6166;height:591;width:1782;" filled="f" stroked="t" coordsize="21600,21600" o:gfxdata="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69MNvQAA&#10;ANsAAAAPAAAAAAAAAAEAIAAAACIAAABkcnMvZG93bnJldi54bWxQSwECFAAUAAAACACHTuJAMy8F&#10;njsAAAA5AAAAEAAAAAAAAAABACAAAAAMAQAAZHJzL3NoYXBleG1sLnhtbFBLBQYAAAAABgAGAFsB&#10;AAC2AwAAAAA=&#10;">
                    <v:fill on="f" focussize="0,0"/>
                    <v:stroke weight="1pt" color="#FABF8F" joinstyle="miter"/>
                    <v:imagedata o:title=""/>
                    <o:lock v:ext="edit" aspectratio="f"/>
                    <v:shadow on="t" color="#974706" opacity="32768f" offset="1pt,2pt" origin="0f,0f" matrix="65536f,0f,0f,65536f"/>
                    <v:textbox>
                      <w:txbxContent>
                        <w:p w14:paraId="718FF233">
                          <w:pPr>
                            <w:ind w:firstLine="240" w:firstLineChars="100"/>
                            <w:rPr>
                              <w:szCs w:val="21"/>
                            </w:rPr>
                          </w:pPr>
                          <w:r>
                            <w:rPr>
                              <w:rFonts w:hint="eastAsia"/>
                              <w:szCs w:val="21"/>
                            </w:rPr>
                            <w:t>烃类气体</w:t>
                          </w:r>
                        </w:p>
                        <w:p w14:paraId="7F968956">
                          <w:pPr>
                            <w:ind w:firstLine="240" w:firstLineChars="100"/>
                            <w:rPr>
                              <w:szCs w:val="21"/>
                            </w:rPr>
                          </w:pPr>
                          <w:r>
                            <w:rPr>
                              <w:rFonts w:hint="eastAsia"/>
                              <w:szCs w:val="21"/>
                            </w:rPr>
                            <w:t>汽车尾气</w:t>
                          </w:r>
                        </w:p>
                      </w:txbxContent>
                    </v:textbox>
                  </v:shape>
                  <v:shape id="Text Box 1479" o:spid="_x0000_s1026" o:spt="202" type="#_x0000_t202" style="position:absolute;left:3180;top:6166;height:581;width:1680;" filled="f" stroked="t" coordsize="21600,21600" o:gfxdata="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9uRsLsAAADb&#10;AAAADwAAAAAAAAABACAAAAAiAAAAZHJzL2Rvd25yZXYueG1sUEsBAhQAFAAAAAgAh07iQDMvBZ47&#10;AAAAOQAAABAAAAAAAAAAAQAgAAAACgEAAGRycy9zaGFwZXhtbC54bWxQSwUGAAAAAAYABgBbAQAA&#10;tAMAAAAA&#10;">
                    <v:fill on="f" focussize="0,0"/>
                    <v:stroke weight="1pt" color="#95B3D7" joinstyle="miter"/>
                    <v:imagedata o:title=""/>
                    <o:lock v:ext="edit" aspectratio="f"/>
                    <v:shadow on="t" color="#243F60" opacity="32768f" offset="1pt,2pt" origin="0f,0f" matrix="65536f,0f,0f,65536f"/>
                    <v:textbox>
                      <w:txbxContent>
                        <w:p w14:paraId="7BDA4364">
                          <w:pPr>
                            <w:ind w:firstLine="0" w:firstLineChars="0"/>
                            <w:jc w:val="center"/>
                            <w:rPr>
                              <w:szCs w:val="21"/>
                              <w:lang w:eastAsia="zh-CN"/>
                            </w:rPr>
                          </w:pPr>
                          <w:r>
                            <w:rPr>
                              <w:rFonts w:hint="eastAsia"/>
                              <w:szCs w:val="21"/>
                              <w:lang w:eastAsia="zh-CN"/>
                            </w:rPr>
                            <w:t>集输管线</w:t>
                          </w:r>
                        </w:p>
                      </w:txbxContent>
                    </v:textbox>
                  </v:shape>
                  <v:line id="Line 1480" o:spid="_x0000_s1026" o:spt="20" style="position:absolute;left:3993;top:2215;height:1710;width:1;" filled="f" stroked="t" coordsize="21600,21600" o:gfxdata="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pp0e8twAAANsAAAAP&#10;AAAAAAAAAAEAIAAAACIAAABkcnMvZG93bnJldi54bWxQSwECFAAUAAAACACHTuJAMy8FnjsAAAA5&#10;AAAAEAAAAAAAAAABACAAAAAGAQAAZHJzL3NoYXBleG1sLnhtbFBLBQYAAAAABgAGAFsBAACwAwAA&#10;AAA=&#10;">
                    <v:fill on="f" focussize="0,0"/>
                    <v:stroke color="#000000" joinstyle="round" endarrow="classic"/>
                    <v:imagedata o:title=""/>
                    <o:lock v:ext="edit" aspectratio="f"/>
                  </v:line>
                  <v:line id="Line 1481" o:spid="_x0000_s1026" o:spt="20" style="position:absolute;left:4010;top:5596;height:570;width:1;" filled="f" stroked="t" coordsize="21600,21600" o:gfxdata="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uviJ7sAAADb&#10;AAAADwAAAAAAAAABACAAAAAiAAAAZHJzL2Rvd25yZXYueG1sUEsBAhQAFAAAAAgAh07iQDMvBZ47&#10;AAAAOQAAABAAAAAAAAAAAQAgAAAACgEAAGRycy9zaGFwZXhtbC54bWxQSwUGAAAAAAYABgBbAQAA&#10;tAMAAAAA&#10;">
                    <v:fill on="f" focussize="0,0"/>
                    <v:stroke color="#000000" joinstyle="round" endarrow="classic"/>
                    <v:imagedata o:title=""/>
                    <o:lock v:ext="edit" aspectratio="f"/>
                  </v:line>
                  <v:shape id="未知" o:spid="_x0000_s1026" o:spt="100" style="position:absolute;left:3923;top:6747;height:650;width:71;" filled="f" stroked="t" coordsize="1,915" o:gfxdata="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xx0vvQAA&#10;ANsAAAAPAAAAAAAAAAEAIAAAACIAAABkcnMvZG93bnJldi54bWxQSwECFAAUAAAACACHTuJAMy8F&#10;njsAAAA5AAAAEAAAAAAAAAABACAAAAAMAQAAZHJzL3NoYXBleG1sLnhtbFBLBQYAAAAABgAGAFsB&#10;AAC2AwAAAAA=&#10;" path="m0,0l0,915e">
                    <v:fill on="f" focussize="0,0"/>
                    <v:stroke color="#000000" joinstyle="round" endarrow="classic"/>
                    <v:imagedata o:title=""/>
                    <o:lock v:ext="edit" aspectratio="f"/>
                  </v:shape>
                  <v:line id="Line 1483" o:spid="_x0000_s1026" o:spt="20" style="position:absolute;left:2330;top:1075;flip:x;height:2073;width:10;" filled="f" stroked="t" coordsize="21600,21600" o:gfxdata="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tSEO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1484" o:spid="_x0000_s1026" o:spt="20" style="position:absolute;left:5827;top:1075;height:1442;width:3;" filled="f" stroked="t" coordsize="21600,21600" o:gfxdata="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cege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485" o:spid="_x0000_s1026" o:spt="20" style="position:absolute;left:5830;top:1075;height:0;width:560;" filled="f" stroked="t" coordsize="21600,21600" o:gfxdata="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tpDELsAAADb&#10;AAAADwAAAAAAAAABACAAAAAiAAAAZHJzL2Rvd25yZXYueG1sUEsBAhQAFAAAAAgAh07iQDMvBZ47&#10;AAAAOQAAABAAAAAAAAAAAQAgAAAACgEAAGRycy9zaGFwZXhtbC54bWxQSwUGAAAAAAYABgBbAQAA&#10;tAMAAAAA&#10;">
                    <v:fill on="f" focussize="0,0"/>
                    <v:stroke color="#000000" joinstyle="round" endarrow="classic"/>
                    <v:imagedata o:title=""/>
                    <o:lock v:ext="edit" aspectratio="f"/>
                  </v:line>
                  <v:line id="Line 1486" o:spid="_x0000_s1026" o:spt="20" style="position:absolute;left:4840;top:1767;height:0;width:1540;" filled="f" stroked="t" coordsize="21600,21600" o:gfxdata="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TPbZLsAAADb&#10;AAAADwAAAAAAAAABACAAAAAiAAAAZHJzL2Rvd25yZXYueG1sUEsBAhQAFAAAAAgAh07iQDMvBZ47&#10;AAAAOQAAABAAAAAAAAAAAQAgAAAACgEAAGRycy9zaGFwZXhtbC54bWxQSwUGAAAAAAYABgBbAQAA&#10;tAMAAAAA&#10;">
                    <v:fill on="f" focussize="0,0"/>
                    <v:stroke color="#000000" joinstyle="round" endarrow="classic"/>
                    <v:imagedata o:title=""/>
                    <o:lock v:ext="edit" aspectratio="f"/>
                  </v:line>
                  <v:line id="Line 1487" o:spid="_x0000_s1026" o:spt="20" style="position:absolute;left:5845;top:2517;height:0;width:560;" filled="f" stroked="t" coordsize="21600,21600" o:gfxdata="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n9+/7sAAADb&#10;AAAADwAAAAAAAAABACAAAAAiAAAAZHJzL2Rvd25yZXYueG1sUEsBAhQAFAAAAAgAh07iQDMvBZ47&#10;AAAAOQAAABAAAAAAAAAAAQAgAAAACgEAAGRycy9zaGFwZXhtbC54bWxQSwUGAAAAAAYABgBbAQAA&#10;tAMAAAAA&#10;">
                    <v:fill on="f" focussize="0,0"/>
                    <v:stroke color="#000000" joinstyle="round" endarrow="classic"/>
                    <v:imagedata o:title=""/>
                    <o:lock v:ext="edit" aspectratio="f"/>
                  </v:line>
                  <v:line id="Line 1488" o:spid="_x0000_s1026" o:spt="20" style="position:absolute;left:1770;top:1075;flip:x;height:0;width:560;" filled="f" stroked="t" coordsize="21600,21600" o:gfxdata="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AcMe8AAAA&#10;2w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line id="Line 1489" o:spid="_x0000_s1026" o:spt="20" style="position:absolute;left:1735;top:1767;flip:x;height:0;width:1400;" filled="f" stroked="t" coordsize="21600,21600" o:gfxdata="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M1Vy8AAAA&#10;2w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line id="Line 1490" o:spid="_x0000_s1026" o:spt="20" style="position:absolute;left:1770;top:2397;flip:x;height:0;width:560;" filled="f" stroked="t" coordsize="21600,21600" o:gfxdata="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xNBLrsAAADb&#10;AAAADwAAAAAAAAABACAAAAAiAAAAZHJzL2Rvd25yZXYueG1sUEsBAhQAFAAAAAgAh07iQDMvBZ47&#10;AAAAOQAAABAAAAAAAAAAAQAgAAAACgEAAGRycy9zaGFwZXhtbC54bWxQSwUGAAAAAAYABgBbAQAA&#10;tAMAAAAA&#10;">
                    <v:fill on="f" focussize="0,0"/>
                    <v:stroke color="#000000" joinstyle="round" endarrow="classic"/>
                    <v:imagedata o:title=""/>
                    <o:lock v:ext="edit" aspectratio="f"/>
                  </v:line>
                  <v:line id="Line 1491" o:spid="_x0000_s1026" o:spt="20" style="position:absolute;left:1770;top:3148;flip:x;height:0;width:560;" filled="f" stroked="t" coordsize="21600,21600" o:gfxdata="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f5LW8AAAA&#10;2w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line id="Line 1492" o:spid="_x0000_s1026" o:spt="20" style="position:absolute;left:6110;top:3148;height:1334;width:10;" filled="f" stroked="t" coordsize="21600,21600" o:gfxdata="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P2ZJ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493" o:spid="_x0000_s1026" o:spt="20" style="position:absolute;left:6110;top:3148;height:0;width:403;" filled="f" stroked="t" coordsize="21600,21600" o:gfxdata="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rloTS5AAAA3AAA&#10;AA8AAAAAAAAAAQAgAAAAIgAAAGRycy9kb3ducmV2LnhtbFBLAQIUABQAAAAIAIdO4kAzLwWeOwAA&#10;ADkAAAAQAAAAAAAAAAEAIAAAAAgBAABkcnMvc2hhcGV4bWwueG1sUEsFBgAAAAAGAAYAWwEAALID&#10;AAAAAA==&#10;">
                    <v:fill on="f" focussize="0,0"/>
                    <v:stroke color="#000000" joinstyle="round" endarrow="classic"/>
                    <v:imagedata o:title=""/>
                    <o:lock v:ext="edit" aspectratio="f"/>
                  </v:line>
                  <v:line id="Line 1494" o:spid="_x0000_s1026" o:spt="20" style="position:absolute;left:6120;top:3854;height:0;width:413;" filled="f" stroked="t" coordsize="21600,21600" o:gfxdata="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o3P0O5AAAA3AAA&#10;AA8AAAAAAAAAAQAgAAAAIgAAAGRycy9kb3ducmV2LnhtbFBLAQIUABQAAAAIAIdO4kAzLwWeOwAA&#10;ADkAAAAQAAAAAAAAAAEAIAAAAAgBAABkcnMvc2hhcGV4bWwueG1sUEsFBgAAAAAGAAYAWwEAALID&#10;AAAAAA==&#10;">
                    <v:fill on="f" focussize="0,0"/>
                    <v:stroke color="#000000" joinstyle="round" endarrow="classic"/>
                    <v:imagedata o:title=""/>
                    <o:lock v:ext="edit" aspectratio="f"/>
                  </v:line>
                  <v:line id="Line 1495" o:spid="_x0000_s1026" o:spt="20" style="position:absolute;left:5830;top:3440;height:0;width:280;" filled="f" stroked="t" coordsize="21600,21600" o:gfxdata="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vB1C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1496" o:spid="_x0000_s1026" o:spt="20" style="position:absolute;left:4570;top:3854;flip:x;height:520;width:420;" filled="f" stroked="t" coordsize="21600,21600" o:gfxdata="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EAvQAA&#10;ANwAAAAPAAAAAAAAAAEAIAAAACIAAABkcnMvZG93bnJldi54bWxQSwECFAAUAAAACACHTuJAMy8F&#10;njsAAAA5AAAAEAAAAAAAAAABACAAAAAMAQAAZHJzL3NoYXBleG1sLnhtbFBLBQYAAAAABgAGAFsB&#10;AAC2AwAAAAA=&#10;">
                    <v:fill on="f" focussize="0,0"/>
                    <v:stroke color="#000000" joinstyle="round" endarrow="classic"/>
                    <v:imagedata o:title=""/>
                    <o:lock v:ext="edit" aspectratio="f"/>
                  </v:line>
                  <v:shape id="Text Box 1497" o:spid="_x0000_s1026" o:spt="202" type="#_x0000_t202" style="position:absolute;left:90;top:0;height:596;width:1680;" filled="f" stroked="t" coordsize="21600,21600" o:gfxdata="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w+bWi5AAAA3AAA&#10;AA8AAAAAAAAAAQAgAAAAIgAAAGRycy9kb3ducmV2LnhtbFBLAQIUABQAAAAIAIdO4kAzLwWeOwAA&#10;ADkAAAAQAAAAAAAAAAEAIAAAAAgBAABkcnMvc2hhcGV4bWwueG1sUEsFBgAAAAAGAAYAWwEAALID&#10;AAAAAA==&#10;">
                    <v:fill on="f" focussize="0,0"/>
                    <v:stroke weight="1.5pt" color="#F2F2F2" joinstyle="miter"/>
                    <v:imagedata o:title=""/>
                    <o:lock v:ext="edit" aspectratio="f"/>
                    <v:shadow on="t" color="#974706" opacity="32768f" offset="1pt,2pt" origin="0f,0f" matrix="65536f,0f,0f,65536f"/>
                    <v:textbox>
                      <w:txbxContent>
                        <w:p w14:paraId="0AE84673">
                          <w:pPr>
                            <w:ind w:firstLine="240" w:firstLineChars="100"/>
                            <w:rPr>
                              <w:szCs w:val="21"/>
                            </w:rPr>
                          </w:pPr>
                          <w:r>
                            <w:rPr>
                              <w:rFonts w:hint="eastAsia"/>
                              <w:szCs w:val="21"/>
                            </w:rPr>
                            <w:t>生态破坏</w:t>
                          </w:r>
                        </w:p>
                      </w:txbxContent>
                    </v:textbox>
                  </v:shape>
                  <v:shape id="Text Box 1498" o:spid="_x0000_s1026" o:spt="202" type="#_x0000_t202" style="position:absolute;left:3170;top:0;height:596;width:1680;" filled="f" stroked="f" coordsize="21600,21600" o:gfxdata="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qslg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527F125A">
                          <w:pPr>
                            <w:ind w:firstLine="0" w:firstLineChars="0"/>
                            <w:jc w:val="center"/>
                            <w:rPr>
                              <w:szCs w:val="21"/>
                            </w:rPr>
                          </w:pPr>
                          <w:r>
                            <w:rPr>
                              <w:rFonts w:hint="eastAsia"/>
                              <w:szCs w:val="21"/>
                            </w:rPr>
                            <w:t>勘  探</w:t>
                          </w:r>
                        </w:p>
                      </w:txbxContent>
                    </v:textbox>
                  </v:shape>
                  <v:shape id="Text Box 1499" o:spid="_x0000_s1026" o:spt="202" type="#_x0000_t202" style="position:absolute;left:6405;top:0;height:651;width:1680;" filled="f" stroked="t" coordsize="21600,21600" o:gfxdata="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M8Jy8AAAA&#10;3AAAAA8AAAAAAAAAAQAgAAAAIgAAAGRycy9kb3ducmV2LnhtbFBLAQIUABQAAAAIAIdO4kAzLwWe&#10;OwAAADkAAAAQAAAAAAAAAAEAIAAAAAsBAABkcnMvc2hhcGV4bWwueG1sUEsFBgAAAAAGAAYAWwEA&#10;ALUDAAAAAA==&#10;">
                    <v:fill on="f" focussize="0,0"/>
                    <v:stroke weight="3pt" color="#F2F2F2" joinstyle="miter"/>
                    <v:imagedata o:title=""/>
                    <o:lock v:ext="edit" aspectratio="f"/>
                    <v:shadow on="t" color="#974706" opacity="32768f" offset="1pt,2pt" origin="0f,0f" matrix="65536f,0f,0f,65536f"/>
                    <v:textbox>
                      <w:txbxContent>
                        <w:p w14:paraId="1569EAB5">
                          <w:pPr>
                            <w:ind w:firstLine="240" w:firstLineChars="100"/>
                            <w:rPr>
                              <w:szCs w:val="21"/>
                            </w:rPr>
                          </w:pPr>
                          <w:r>
                            <w:rPr>
                              <w:rFonts w:hint="eastAsia"/>
                              <w:szCs w:val="21"/>
                            </w:rPr>
                            <w:t>噪声</w:t>
                          </w:r>
                          <w:r>
                            <w:rPr>
                              <w:rFonts w:hint="eastAsia"/>
                              <w:szCs w:val="21"/>
                              <w:lang w:eastAsia="zh-CN"/>
                            </w:rPr>
                            <w:t>、</w:t>
                          </w:r>
                          <w:r>
                            <w:rPr>
                              <w:rFonts w:hint="eastAsia"/>
                              <w:szCs w:val="21"/>
                            </w:rPr>
                            <w:t>振动</w:t>
                          </w:r>
                        </w:p>
                      </w:txbxContent>
                    </v:textbox>
                  </v:shape>
                  <v:line id="Line 1500" o:spid="_x0000_s1026" o:spt="20" style="position:absolute;left:4850;top:403;height:0;width:1540;" filled="f" stroked="t" coordsize="21600,21600" o:gfxdata="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fCKm8AAAA&#10;3AAAAA8AAAAAAAAAAQAgAAAAIgAAAGRycy9kb3ducmV2LnhtbFBLAQIUABQAAAAIAIdO4kAzLwWe&#10;OwAAADkAAAAQAAAAAAAAAAEAIAAAAAsBAABkcnMvc2hhcGV4bWwueG1sUEsFBgAAAAAGAAYAWwEA&#10;ALUDAAAAAA==&#10;">
                    <v:fill on="f" focussize="0,0"/>
                    <v:stroke color="#000000" joinstyle="round" endarrow="classic"/>
                    <v:imagedata o:title=""/>
                    <o:lock v:ext="edit" aspectratio="f"/>
                  </v:line>
                  <v:line id="Line 1501" o:spid="_x0000_s1026" o:spt="20" style="position:absolute;left:1770;top:403;flip:x;height:0;width:1400;" filled="f" stroked="t" coordsize="21600,21600" o:gfxdata="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l6evQAA&#10;ANwAAAAPAAAAAAAAAAEAIAAAACIAAABkcnMvZG93bnJldi54bWxQSwECFAAUAAAACACHTuJAMy8F&#10;njsAAAA5AAAAEAAAAAAAAAABACAAAAAMAQAAZHJzL3NoYXBleG1sLnhtbFBLBQYAAAAABgAGAFsB&#10;AAC2AwAAAAA=&#10;">
                    <v:fill on="f" focussize="0,0"/>
                    <v:stroke color="#000000" joinstyle="round" endarrow="classic"/>
                    <v:imagedata o:title=""/>
                    <o:lock v:ext="edit" aspectratio="f"/>
                  </v:line>
                  <v:shape id="Text Box 1502" o:spid="_x0000_s1026" o:spt="202" type="#_x0000_t202" style="position:absolute;left:90;top:3515;height:624;width:1800;" filled="f" stroked="t" coordsize="21600,21600" o:gfxdata="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nz+Nb4A&#10;AADcAAAADwAAAAAAAAABACAAAAAiAAAAZHJzL2Rvd25yZXYueG1sUEsBAhQAFAAAAAgAh07iQDMv&#10;BZ47AAAAOQAAABAAAAAAAAAAAQAgAAAADQEAAGRycy9zaGFwZXhtbC54bWxQSwUGAAAAAAYABgBb&#10;AQAAtwMAAAAA&#10;">
                    <v:fill on="f" focussize="0,0"/>
                    <v:stroke weight="3pt" color="#F2F2F2" joinstyle="miter"/>
                    <v:imagedata o:title=""/>
                    <o:lock v:ext="edit" aspectratio="f"/>
                    <v:shadow on="t" color="#974706" opacity="32768f" offset="1pt,2pt" origin="0f,0f" matrix="65536f,0f,0f,65536f"/>
                    <v:textbox>
                      <w:txbxContent>
                        <w:p w14:paraId="029918F0">
                          <w:pPr>
                            <w:spacing w:line="400" w:lineRule="atLeast"/>
                            <w:ind w:firstLine="120" w:firstLineChars="50"/>
                            <w:rPr>
                              <w:szCs w:val="21"/>
                            </w:rPr>
                          </w:pPr>
                          <w:r>
                            <w:rPr>
                              <w:rFonts w:hint="eastAsia"/>
                              <w:szCs w:val="21"/>
                            </w:rPr>
                            <w:t>井喷泄漏油气</w:t>
                          </w:r>
                        </w:p>
                      </w:txbxContent>
                    </v:textbox>
                  </v:shape>
                  <v:shape id="Text Box 1503" o:spid="_x0000_s1026" o:spt="202" type="#_x0000_t202" style="position:absolute;left:0;top:4802;height:468;width:1800;" filled="f" stroked="t" coordsize="21600,21600" o:gfxdata="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HaJS8AAAA&#10;3AAAAA8AAAAAAAAAAQAgAAAAIgAAAGRycy9kb3ducmV2LnhtbFBLAQIUABQAAAAIAIdO4kAzLwWe&#10;OwAAADkAAAAQAAAAAAAAAAEAIAAAAAsBAABkcnMvc2hhcGV4bWwueG1sUEsFBgAAAAAGAAYAWwEA&#10;ALUDAAAAAA==&#10;">
                    <v:fill on="f" focussize="0,0"/>
                    <v:stroke weight="1pt" color="#FABF8F" joinstyle="miter"/>
                    <v:imagedata o:title=""/>
                    <o:lock v:ext="edit" aspectratio="f"/>
                    <v:shadow on="t" color="#974706" opacity="32768f" offset="1pt,2pt" origin="0f,0f" matrix="65536f,0f,0f,65536f"/>
                    <v:textbox>
                      <w:txbxContent>
                        <w:p w14:paraId="764A27A9">
                          <w:pPr>
                            <w:spacing w:line="300" w:lineRule="atLeast"/>
                            <w:ind w:firstLine="199" w:firstLineChars="83"/>
                            <w:rPr>
                              <w:szCs w:val="21"/>
                            </w:rPr>
                          </w:pPr>
                          <w:r>
                            <w:rPr>
                              <w:rFonts w:hint="eastAsia"/>
                              <w:szCs w:val="21"/>
                            </w:rPr>
                            <w:t>烃类气体</w:t>
                          </w:r>
                        </w:p>
                      </w:txbxContent>
                    </v:textbox>
                  </v:shape>
                  <v:line id="Line 1504" o:spid="_x0000_s1026" o:spt="20" style="position:absolute;left:1890;top:3854;flip:x y;height:628;width:1290;" filled="f" stroked="t" coordsize="21600,21600" o:gfxdata="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ABGtvQAA&#10;ANwAAAAPAAAAAAAAAAEAIAAAACIAAABkcnMvZG93bnJldi54bWxQSwECFAAUAAAACACHTuJAMy8F&#10;njsAAAA5AAAAEAAAAAAAAAABACAAAAAMAQAAZHJzL3NoYXBleG1sLnhtbFBLBQYAAAAABgAGAFsB&#10;AAC2AwAAAAA=&#10;">
                    <v:fill on="f" focussize="0,0"/>
                    <v:stroke color="#000000" joinstyle="round" endarrow="classic"/>
                    <v:imagedata o:title=""/>
                    <o:lock v:ext="edit" aspectratio="f"/>
                  </v:line>
                  <v:shape id="未知" o:spid="_x0000_s1026" o:spt="100" style="position:absolute;left:1800;top:4905;flip:y;height:147;width:1370;" filled="f" stroked="t" coordsize="1260,38" o:gfxdata="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yiZgbsAAADc&#10;AAAADwAAAAAAAAABACAAAAAiAAAAZHJzL2Rvd25yZXYueG1sUEsBAhQAFAAAAAgAh07iQDMvBZ47&#10;AAAAOQAAABAAAAAAAAAAAQAgAAAACgEAAGRycy9zaGFwZXhtbC54bWxQSwUGAAAAAAYABgBbAQAA&#10;tAMAAAAA&#10;" path="m1260,38l0,0e">
                    <v:fill on="f" focussize="0,0"/>
                    <v:stroke color="#000000" joinstyle="round" endarrow="classic"/>
                    <v:imagedata o:title=""/>
                    <o:lock v:ext="edit" aspectratio="f"/>
                  </v:shape>
                  <v:line id="Line 1506" o:spid="_x0000_s1026" o:spt="20" style="position:absolute;left:1800;top:6425;flip:x;height:0;width:1340;" filled="f" stroked="t" coordsize="21600,21600" o:gfxdata="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iJn3bsAAADc&#10;AAAADwAAAAAAAAABACAAAAAiAAAAZHJzL2Rvd25yZXYueG1sUEsBAhQAFAAAAAgAh07iQDMvBZ47&#10;AAAAOQAAABAAAAAAAAAAAQAgAAAACgEAAGRycy9zaGFwZXhtbC54bWxQSwUGAAAAAAYABgBbAQAA&#10;tAMAAAAA&#10;">
                    <v:fill on="f" focussize="0,0"/>
                    <v:stroke color="#000000" joinstyle="round" endarrow="classic"/>
                    <v:imagedata o:title=""/>
                    <o:lock v:ext="edit" aspectratio="f"/>
                  </v:line>
                  <v:shape id="Text Box 1507" o:spid="_x0000_s1026" o:spt="202" type="#_x0000_t202" style="position:absolute;left:6420;top:8904;height:623;width:1680;" filled="f" stroked="t" coordsize="21600,21600" o:gfxdata="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jxul7sAAADc&#10;AAAADwAAAAAAAAABACAAAAAiAAAAZHJzL2Rvd25yZXYueG1sUEsBAhQAFAAAAAgAh07iQDMvBZ47&#10;AAAAOQAAABAAAAAAAAAAAQAgAAAACgEAAGRycy9zaGFwZXhtbC54bWxQSwUGAAAAAAYABgBbAQAA&#10;tAMAAAAA&#10;">
                    <v:fill on="f" focussize="0,0"/>
                    <v:stroke weight="1pt" color="#FABF8F" joinstyle="miter"/>
                    <v:imagedata o:title=""/>
                    <o:lock v:ext="edit" aspectratio="f"/>
                    <v:shadow on="t" color="#974706" opacity="32768f" offset="1pt,2pt" origin="0f,0f" matrix="65536f,0f,0f,65536f"/>
                    <v:textbox>
                      <w:txbxContent>
                        <w:p w14:paraId="5FB8DE75">
                          <w:pPr>
                            <w:ind w:firstLine="480"/>
                            <w:rPr>
                              <w:szCs w:val="21"/>
                            </w:rPr>
                          </w:pPr>
                          <w:r>
                            <w:rPr>
                              <w:rFonts w:hint="eastAsia"/>
                              <w:szCs w:val="21"/>
                            </w:rPr>
                            <w:t>噪 声</w:t>
                          </w:r>
                        </w:p>
                      </w:txbxContent>
                    </v:textbox>
                  </v:shape>
                  <v:shape id="Text Box 1508" o:spid="_x0000_s1026" o:spt="202" type="#_x0000_t202" style="position:absolute;left:6390;top:8335;height:484;width:1680;" filled="f" stroked="t" coordsize="21600,21600" o:gfxdata="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7vDgvQAA&#10;ANwAAAAPAAAAAAAAAAEAIAAAACIAAABkcnMvZG93bnJldi54bWxQSwECFAAUAAAACACHTuJAMy8F&#10;njsAAAA5AAAAEAAAAAAAAAABACAAAAAMAQAAZHJzL3NoYXBleG1sLnhtbFBLBQYAAAAABgAGAFsB&#10;AAC2AwAAAAA=&#10;">
                    <v:fill on="f" focussize="0,0"/>
                    <v:stroke weight="1pt" color="#FABF8F" joinstyle="miter"/>
                    <v:imagedata o:title=""/>
                    <o:lock v:ext="edit" aspectratio="f"/>
                    <v:shadow on="t" color="#974706" opacity="32768f" offset="1pt,2pt" origin="0f,0f" matrix="65536f,0f,0f,65536f"/>
                    <v:textbox>
                      <w:txbxContent>
                        <w:p w14:paraId="50A081E9">
                          <w:pPr>
                            <w:spacing w:line="360" w:lineRule="atLeast"/>
                            <w:ind w:firstLine="240" w:firstLineChars="100"/>
                            <w:rPr>
                              <w:szCs w:val="21"/>
                            </w:rPr>
                          </w:pPr>
                          <w:r>
                            <w:rPr>
                              <w:rFonts w:hint="eastAsia"/>
                              <w:szCs w:val="21"/>
                            </w:rPr>
                            <w:t>油泥（砂）</w:t>
                          </w:r>
                        </w:p>
                      </w:txbxContent>
                    </v:textbox>
                  </v:shape>
                  <v:shape id="Text Box 1509" o:spid="_x0000_s1026" o:spt="202" type="#_x0000_t202" style="position:absolute;left:6420;top:7627;height:538;width:1680;" filled="f" stroked="t" coordsize="21600,21600" o:gfxdata="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aJVe7sAAADc&#10;AAAADwAAAAAAAAABACAAAAAiAAAAZHJzL2Rvd25yZXYueG1sUEsBAhQAFAAAAAgAh07iQDMvBZ47&#10;AAAAOQAAABAAAAAAAAAAAQAgAAAACgEAAGRycy9zaGFwZXhtbC54bWxQSwUGAAAAAAYABgBbAQAA&#10;tAMAAAAA&#10;">
                    <v:fill on="f" focussize="0,0"/>
                    <v:stroke weight="1pt" color="#FABF8F" joinstyle="miter"/>
                    <v:imagedata o:title=""/>
                    <o:lock v:ext="edit" aspectratio="f"/>
                    <v:shadow on="t" color="#974706" opacity="32768f" offset="1pt,2pt" origin="0f,0f" matrix="65536f,0f,0f,65536f"/>
                    <v:textbox>
                      <w:txbxContent>
                        <w:p w14:paraId="2AA8D655">
                          <w:pPr>
                            <w:spacing w:line="360" w:lineRule="atLeast"/>
                            <w:ind w:firstLine="240" w:firstLineChars="100"/>
                            <w:rPr>
                              <w:szCs w:val="21"/>
                            </w:rPr>
                          </w:pPr>
                          <w:r>
                            <w:rPr>
                              <w:rFonts w:hint="eastAsia"/>
                              <w:szCs w:val="21"/>
                            </w:rPr>
                            <w:t>生活污水</w:t>
                          </w:r>
                        </w:p>
                      </w:txbxContent>
                    </v:textbox>
                  </v:shape>
                  <v:shape id="Text Box 1510" o:spid="_x0000_s1026" o:spt="202" type="#_x0000_t202" style="position:absolute;left:210;top:9582;height:522;width:1590;" filled="f" stroked="t" coordsize="21600,21600" o:gfxdata="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D3BCb4A&#10;AADcAAAADwAAAAAAAAABACAAAAAiAAAAZHJzL2Rvd25yZXYueG1sUEsBAhQAFAAAAAgAh07iQDMv&#10;BZ47AAAAOQAAABAAAAAAAAAAAQAgAAAADQEAAGRycy9zaGFwZXhtbC54bWxQSwUGAAAAAAYABgBb&#10;AQAAtwMAAAAA&#10;">
                    <v:fill on="f" focussize="0,0"/>
                    <v:stroke weight="1pt" color="#FABF8F" joinstyle="miter"/>
                    <v:imagedata o:title=""/>
                    <o:lock v:ext="edit" aspectratio="f"/>
                    <v:shadow on="t" color="#974706" opacity="32768f" offset="1pt,2pt" origin="0f,0f" matrix="65536f,0f,0f,65536f"/>
                    <v:textbox>
                      <w:txbxContent>
                        <w:p w14:paraId="7FCF8A7D">
                          <w:pPr>
                            <w:spacing w:line="340" w:lineRule="atLeast"/>
                            <w:ind w:firstLine="240" w:firstLineChars="100"/>
                            <w:rPr>
                              <w:szCs w:val="21"/>
                            </w:rPr>
                          </w:pPr>
                          <w:r>
                            <w:rPr>
                              <w:rFonts w:hint="eastAsia"/>
                              <w:szCs w:val="21"/>
                            </w:rPr>
                            <w:t>烃类气体</w:t>
                          </w:r>
                        </w:p>
                      </w:txbxContent>
                    </v:textbox>
                  </v:shape>
                  <v:shape id="Text Box 1511" o:spid="_x0000_s1026" o:spt="202" type="#_x0000_t202" style="position:absolute;left:75;top:7945;height:550;width:1590;" filled="f" stroked="t" coordsize="21600,21600" o:gfxdata="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9xZJK8AAAA&#10;3AAAAA8AAAAAAAAAAQAgAAAAIgAAAGRycy9kb3ducmV2LnhtbFBLAQIUABQAAAAIAIdO4kAzLwWe&#10;OwAAADkAAAAQAAAAAAAAAAEAIAAAAAsBAABkcnMvc2hhcGV4bWwueG1sUEsFBgAAAAAGAAYAWwEA&#10;ALUDAAAAAA==&#10;">
                    <v:fill on="f" focussize="0,0"/>
                    <v:stroke weight="1pt" color="#FABF8F" joinstyle="miter"/>
                    <v:imagedata o:title=""/>
                    <o:lock v:ext="edit" aspectratio="f"/>
                    <v:shadow on="t" color="#974706" opacity="32768f" offset="1pt,2pt" origin="0f,0f" matrix="65536f,0f,0f,65536f"/>
                    <v:textbox>
                      <w:txbxContent>
                        <w:p w14:paraId="2D7D51DA">
                          <w:pPr>
                            <w:spacing w:line="360" w:lineRule="atLeast"/>
                            <w:ind w:firstLine="240" w:firstLineChars="100"/>
                            <w:rPr>
                              <w:szCs w:val="21"/>
                            </w:rPr>
                          </w:pPr>
                          <w:r>
                            <w:rPr>
                              <w:rFonts w:hint="eastAsia"/>
                              <w:szCs w:val="21"/>
                            </w:rPr>
                            <w:t>烃类气体</w:t>
                          </w:r>
                        </w:p>
                      </w:txbxContent>
                    </v:textbox>
                  </v:shape>
                  <v:shape id="Text Box 1512" o:spid="_x0000_s1026" o:spt="202" type="#_x0000_t202" style="position:absolute;left:3030;top:7427;height:960;width:1960;" filled="f" stroked="f" coordsize="21600,21600" o:gfxdata="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tED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01A2C423">
                          <w:pPr>
                            <w:spacing w:beforeLines="50"/>
                            <w:ind w:firstLine="0" w:firstLineChars="0"/>
                            <w:jc w:val="center"/>
                            <w:rPr>
                              <w:szCs w:val="21"/>
                              <w:lang w:eastAsia="zh-CN"/>
                            </w:rPr>
                          </w:pPr>
                          <w:r>
                            <w:rPr>
                              <w:rFonts w:hint="eastAsia"/>
                              <w:szCs w:val="21"/>
                              <w:lang w:eastAsia="zh-CN"/>
                            </w:rPr>
                            <w:t>雅斯联合站</w:t>
                          </w:r>
                        </w:p>
                      </w:txbxContent>
                    </v:textbox>
                  </v:shape>
                  <v:shape id="Text Box 1513" o:spid="_x0000_s1026" o:spt="202" type="#_x0000_t202" style="position:absolute;left:3200;top:9396;height:712;width:1680;" filled="f" stroked="t" coordsize="21600,21600" o:gfxdata="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oYBtugAAANwA&#10;AAAPAAAAAAAAAAEAIAAAACIAAABkcnMvZG93bnJldi54bWxQSwECFAAUAAAACACHTuJAMy8FnjsA&#10;AAA5AAAAEAAAAAAAAAABACAAAAAJAQAAZHJzL3NoYXBleG1sLnhtbFBLBQYAAAAABgAGAFsBAACz&#10;AwAAAAA=&#10;">
                    <v:fill on="f" focussize="0,0"/>
                    <v:stroke weight="1pt" color="#95B3D7" joinstyle="miter"/>
                    <v:imagedata o:title=""/>
                    <o:lock v:ext="edit" aspectratio="f"/>
                    <v:shadow on="t" color="#243F60" opacity="32768f" offset="1pt,2pt" origin="0f,0f" matrix="65536f,0f,0f,65536f"/>
                    <v:textbox>
                      <w:txbxContent>
                        <w:p w14:paraId="44DBE22E">
                          <w:pPr>
                            <w:ind w:firstLine="240" w:firstLineChars="100"/>
                            <w:rPr>
                              <w:szCs w:val="21"/>
                              <w:lang w:eastAsia="zh-CN"/>
                            </w:rPr>
                          </w:pPr>
                          <w:r>
                            <w:rPr>
                              <w:rFonts w:hint="eastAsia"/>
                              <w:szCs w:val="21"/>
                              <w:lang w:eastAsia="zh-CN"/>
                            </w:rPr>
                            <w:t>外输管线</w:t>
                          </w:r>
                        </w:p>
                      </w:txbxContent>
                    </v:textbox>
                  </v:shape>
                  <v:line id="Line 1514" o:spid="_x0000_s1026" o:spt="20" style="position:absolute;left:3923;top:8328;height:1009;width:1;" filled="f" stroked="t" coordsize="21600,21600" o:gfxdata="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ses2rsAAADc&#10;AAAADwAAAAAAAAABACAAAAAiAAAAZHJzL2Rvd25yZXYueG1sUEsBAhQAFAAAAAgAh07iQDMvBZ47&#10;AAAAOQAAABAAAAAAAAAAAQAgAAAACgEAAGRycy9zaGFwZXhtbC54bWxQSwUGAAAAAAYABgBbAQAA&#10;tAMAAAAA&#10;">
                    <v:fill on="f" focussize="0,0"/>
                    <v:stroke color="#000000" joinstyle="round" endarrow="classic" endarrowwidth="narrow"/>
                    <v:imagedata o:title=""/>
                    <o:lock v:ext="edit" aspectratio="f"/>
                  </v:line>
                  <v:line id="Line 1515" o:spid="_x0000_s1026" o:spt="20" style="position:absolute;left:2190;top:7245;height:1090;width:1;" filled="f" stroked="t" coordsize="21600,21600" o:gfxdata="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mlsw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1516" o:spid="_x0000_s1026" o:spt="20" style="position:absolute;left:5970;top:7245;height:1905;width:1;" filled="f" stroked="t" coordsize="21600,21600" o:gfxdata="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HPDR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517" o:spid="_x0000_s1026" o:spt="20" style="position:absolute;left:1740;top:7245;flip:x;height:0;width:450;" filled="f" stroked="t" coordsize="21600,21600" o:gfxdata="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SveMugAAANwA&#10;AAAPAAAAAAAAAAEAIAAAACIAAABkcnMvZG93bnJldi54bWxQSwECFAAUAAAACACHTuJAMy8FnjsA&#10;AAA5AAAAEAAAAAAAAAABACAAAAAJAQAAZHJzL3NoYXBleG1sLnhtbFBLBQYAAAAABgAGAFsBAACz&#10;AwAAAAA=&#10;">
                    <v:fill on="f" focussize="0,0"/>
                    <v:stroke color="#000000" joinstyle="round" endarrow="classic" endarrowwidth="narrow"/>
                    <v:imagedata o:title=""/>
                    <o:lock v:ext="edit" aspectratio="f"/>
                  </v:line>
                  <v:line id="Line 1518" o:spid="_x0000_s1026" o:spt="20" style="position:absolute;left:1665;top:8334;flip:x;height:1;width:525;" filled="f" stroked="t" coordsize="21600,21600" o:gfxdata="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2Yafu5AAAA3AAA&#10;AA8AAAAAAAAAAQAgAAAAIgAAAGRycy9kb3ducmV2LnhtbFBLAQIUABQAAAAIAIdO4kAzLwWeOwAA&#10;ADkAAAAQAAAAAAAAAAEAIAAAAAgBAABkcnMvc2hhcGV4bWwueG1sUEsFBgAAAAAGAAYAWwEAALID&#10;AAAAAA==&#10;">
                    <v:fill on="f" focussize="0,0"/>
                    <v:stroke color="#000000" joinstyle="round" endarrow="classic" endarrowwidth="narrow"/>
                    <v:imagedata o:title=""/>
                    <o:lock v:ext="edit" aspectratio="f"/>
                  </v:line>
                  <v:line id="Line 1519" o:spid="_x0000_s1026" o:spt="20" style="position:absolute;left:5985;top:7245;height:0;width:435;" filled="f" stroked="t" coordsize="21600,21600" o:gfxdata="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wD0K8AAAA&#10;3AAAAA8AAAAAAAAAAQAgAAAAIgAAAGRycy9kb3ducmV2LnhtbFBLAQIUABQAAAAIAIdO4kAzLwWe&#10;OwAAADkAAAAQAAAAAAAAAAEAIAAAAAsBAABkcnMvc2hhcGV4bWwueG1sUEsFBgAAAAAGAAYAWwEA&#10;ALUDAAAAAA==&#10;">
                    <v:fill on="f" focussize="0,0"/>
                    <v:stroke color="#000000" joinstyle="round" endarrow="classic" endarrowwidth="narrow"/>
                    <v:imagedata o:title=""/>
                    <o:lock v:ext="edit" aspectratio="f"/>
                  </v:line>
                  <v:line id="Line 1520" o:spid="_x0000_s1026" o:spt="20" style="position:absolute;left:5985;top:7977;height:0;width:420;" filled="f" stroked="t" coordsize="21600,21600" o:gfxdata="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vmzC/&#10;AAAA3AAAAA8AAAAAAAAAAQAgAAAAIgAAAGRycy9kb3ducmV2LnhtbFBLAQIUABQAAAAIAIdO4kAz&#10;LwWeOwAAADkAAAAQAAAAAAAAAAEAIAAAAA4BAABkcnMvc2hhcGV4bWwueG1sUEsFBgAAAAAGAAYA&#10;WwEAALgDAAAAAA==&#10;">
                    <v:fill on="f" focussize="0,0"/>
                    <v:stroke color="#000000" joinstyle="round" endarrow="classic" endarrowwidth="narrow"/>
                    <v:imagedata o:title=""/>
                    <o:lock v:ext="edit" aspectratio="f"/>
                  </v:line>
                  <v:line id="Line 1521" o:spid="_x0000_s1026" o:spt="20" style="position:absolute;left:5960;top:8550;height:0;width:420;" filled="f" stroked="t" coordsize="21600,21600" o:gfxdata="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Yz6rvQAA&#10;ANwAAAAPAAAAAAAAAAEAIAAAACIAAABkcnMvZG93bnJldi54bWxQSwECFAAUAAAACACHTuJAMy8F&#10;njsAAAA5AAAAEAAAAAAAAAABACAAAAAMAQAAZHJzL3NoYXBleG1sLnhtbFBLBQYAAAAABgAGAFsB&#10;AAC2AwAAAAA=&#10;">
                    <v:fill on="f" focussize="0,0"/>
                    <v:stroke color="#000000" joinstyle="round" endarrow="classic" endarrowwidth="narrow"/>
                    <v:imagedata o:title=""/>
                    <o:lock v:ext="edit" aspectratio="f"/>
                  </v:line>
                  <v:shape id="未知" o:spid="_x0000_s1026" o:spt="100" style="position:absolute;left:5960;top:9149;height:1;width:458;" filled="f" stroked="t" coordsize="458,7" o:gfxdata="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dWCb4A&#10;AADcAAAADwAAAAAAAAABACAAAAAiAAAAZHJzL2Rvd25yZXYueG1sUEsBAhQAFAAAAAgAh07iQDMv&#10;BZ47AAAAOQAAABAAAAAAAAAAAQAgAAAADQEAAGRycy9zaGFwZXhtbC54bWxQSwUGAAAAAAYABgBb&#10;AQAAtwMAAAAA&#10;" path="m0,7l458,0e">
                    <v:fill on="f" focussize="0,0"/>
                    <v:stroke color="#000000" joinstyle="round" endarrow="classic" endarrowwidth="narrow"/>
                    <v:imagedata o:title=""/>
                    <o:lock v:ext="edit" aspectratio="f"/>
                  </v:shape>
                  <v:line id="Line 1523" o:spid="_x0000_s1026" o:spt="20" style="position:absolute;left:2190;top:7945;height:0;width:840;" filled="f" stroked="t" coordsize="21600,21600" o:gfxdata="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d9gG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1524" o:spid="_x0000_s1026" o:spt="20" style="position:absolute;left:4990;top:7945;height:0;width:980;" filled="f" stroked="t" coordsize="21600,21600" o:gfxdata="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D2h2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1525" o:spid="_x0000_s1026" o:spt="20" style="position:absolute;left:1800;top:9787;flip:x;height:0;width:1335;" filled="f" stroked="t" coordsize="21600,21600" o:gfxdata="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Nly+ugAAANwA&#10;AAAPAAAAAAAAAAEAIAAAACIAAABkcnMvZG93bnJldi54bWxQSwECFAAUAAAACACHTuJAMy8FnjsA&#10;AAA5AAAAEAAAAAAAAAABACAAAAAJAQAAZHJzL3NoYXBleG1sLnhtbFBLBQYAAAAABgAGAFsBAACz&#10;AwAAAAA=&#10;">
                    <v:fill on="f" focussize="0,0"/>
                    <v:stroke color="#000000" joinstyle="round" endarrow="classic" endarrowwidth="narrow"/>
                    <v:imagedata o:title=""/>
                    <o:lock v:ext="edit" aspectratio="f"/>
                  </v:line>
                  <v:shape id="Text Box 1526" o:spid="_x0000_s1026" o:spt="202" type="#_x0000_t202" style="position:absolute;left:6405;top:6994;height:548;width:1680;" filled="f" stroked="t" coordsize="21600,21600" o:gfxdata="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Fl2y8AAAA&#10;3AAAAA8AAAAAAAAAAQAgAAAAIgAAAGRycy9kb3ducmV2LnhtbFBLAQIUABQAAAAIAIdO4kAzLwWe&#10;OwAAADkAAAAQAAAAAAAAAAEAIAAAAAsBAABkcnMvc2hhcGV4bWwueG1sUEsFBgAAAAAGAAYAWwEA&#10;ALUDAAAAAA==&#10;">
                    <v:fill on="f" focussize="0,0"/>
                    <v:stroke weight="1pt" color="#FABF8F" joinstyle="miter"/>
                    <v:imagedata o:title=""/>
                    <o:lock v:ext="edit" aspectratio="f"/>
                    <v:shadow on="t" color="#974706" opacity="32768f" offset="1pt,2pt" origin="0f,0f" matrix="65536f,0f,0f,65536f"/>
                    <v:textbox>
                      <w:txbxContent>
                        <w:p w14:paraId="68E7AE19">
                          <w:pPr>
                            <w:spacing w:line="360" w:lineRule="atLeast"/>
                            <w:ind w:firstLine="0" w:firstLineChars="0"/>
                            <w:rPr>
                              <w:szCs w:val="21"/>
                            </w:rPr>
                          </w:pPr>
                          <w:r>
                            <w:rPr>
                              <w:rFonts w:hint="eastAsia"/>
                              <w:szCs w:val="21"/>
                            </w:rPr>
                            <w:t>采油</w:t>
                          </w:r>
                          <w:r>
                            <w:rPr>
                              <w:rFonts w:hint="eastAsia"/>
                              <w:szCs w:val="21"/>
                              <w:lang w:eastAsia="zh-CN"/>
                            </w:rPr>
                            <w:t>废水</w:t>
                          </w:r>
                          <w:r>
                            <w:rPr>
                              <w:rFonts w:hint="eastAsia"/>
                              <w:szCs w:val="21"/>
                            </w:rPr>
                            <w:t>（气）废水</w:t>
                          </w:r>
                        </w:p>
                      </w:txbxContent>
                    </v:textbox>
                  </v:shape>
                  <v:shape id="Text Box 1527" o:spid="_x0000_s1026" o:spt="202" type="#_x0000_t202" style="position:absolute;left:145;top:7024;height:518;width:1590;" filled="f" stroked="t" coordsize="21600,21600" o:gfxdata="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JMve8AAAA&#10;3AAAAA8AAAAAAAAAAQAgAAAAIgAAAGRycy9kb3ducmV2LnhtbFBLAQIUABQAAAAIAIdO4kAzLwWe&#10;OwAAADkAAAAQAAAAAAAAAAEAIAAAAAsBAABkcnMvc2hhcGV4bWwueG1sUEsFBgAAAAAGAAYAWwEA&#10;ALUDAAAAAA==&#10;">
                    <v:fill on="f" focussize="0,0"/>
                    <v:stroke weight="1pt" color="#FABF8F" joinstyle="miter"/>
                    <v:imagedata o:title=""/>
                    <o:lock v:ext="edit" aspectratio="f"/>
                    <v:shadow on="t" color="#974706" opacity="32768f" offset="1pt,2pt" origin="0f,0f" matrix="65536f,0f,0f,65536f"/>
                    <v:textbox>
                      <w:txbxContent>
                        <w:p w14:paraId="5CB4B703">
                          <w:pPr>
                            <w:spacing w:line="340" w:lineRule="atLeast"/>
                            <w:ind w:firstLine="240" w:firstLineChars="100"/>
                            <w:rPr>
                              <w:szCs w:val="21"/>
                            </w:rPr>
                          </w:pPr>
                          <w:r>
                            <w:rPr>
                              <w:rFonts w:hint="eastAsia"/>
                              <w:szCs w:val="21"/>
                            </w:rPr>
                            <w:t>锅炉烟气</w:t>
                          </w:r>
                        </w:p>
                      </w:txbxContent>
                    </v:textbox>
                  </v:shape>
                  <v:shape id="Text Box 1528" o:spid="_x0000_s1026" o:spt="202" type="#_x0000_t202" style="position:absolute;left:6450;top:5270;height:468;width:1680;" filled="f" stroked="t" coordsize="21600,21600" o:gfxdata="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brIC8AAAA&#10;3AAAAA8AAAAAAAAAAQAgAAAAIgAAAGRycy9kb3ducmV2LnhtbFBLAQIUABQAAAAIAIdO4kAzLwWe&#10;OwAAADkAAAAQAAAAAAAAAAEAIAAAAAsBAABkcnMvc2hhcGV4bWwueG1sUEsFBgAAAAAGAAYAWwEA&#10;ALUDAAAAAA==&#10;">
                    <v:fill on="f" focussize="0,0"/>
                    <v:stroke weight="1pt" color="#FABF8F" joinstyle="miter"/>
                    <v:imagedata o:title=""/>
                    <o:lock v:ext="edit" aspectratio="f"/>
                    <v:shadow on="t" color="#974706" opacity="32768f" offset="1pt,2pt" origin="0f,0f" matrix="65536f,0f,0f,65536f"/>
                    <v:textbox>
                      <w:txbxContent>
                        <w:p w14:paraId="7AC1C4B9">
                          <w:pPr>
                            <w:spacing w:line="320" w:lineRule="atLeast"/>
                            <w:ind w:firstLine="480"/>
                            <w:rPr>
                              <w:szCs w:val="21"/>
                            </w:rPr>
                          </w:pPr>
                          <w:r>
                            <w:rPr>
                              <w:rFonts w:hint="eastAsia"/>
                              <w:szCs w:val="21"/>
                            </w:rPr>
                            <w:t>噪 声</w:t>
                          </w:r>
                        </w:p>
                      </w:txbxContent>
                    </v:textbox>
                  </v:shape>
                  <v:line id="Line 1529" o:spid="_x0000_s1026" o:spt="20" style="position:absolute;left:6120;top:4482;height:0;width:413;" filled="f" stroked="t" coordsize="21600,21600" o:gfxdata="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CxWZrsAAADc&#10;AAAADwAAAAAAAAABACAAAAAiAAAAZHJzL2Rvd25yZXYueG1sUEsBAhQAFAAAAAgAh07iQDMvBZ47&#10;AAAAOQAAABAAAAAAAAAAAQAgAAAACgEAAGRycy9zaGFwZXhtbC54bWxQSwUGAAAAAAYABgBbAQAA&#10;tAMAAAAA&#10;">
                    <v:fill on="f" focussize="0,0"/>
                    <v:stroke color="#000000" joinstyle="round" endarrow="classic"/>
                    <v:imagedata o:title=""/>
                    <o:lock v:ext="edit" aspectratio="f"/>
                  </v:line>
                  <v:line id="Line 1530" o:spid="_x0000_s1026" o:spt="20" style="position:absolute;left:4728;top:5052;height:544;width:1631;" filled="f" stroked="t" coordsize="21600,21600" o:gfxdata="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s8IUvQAA&#10;ANwAAAAPAAAAAAAAAAEAIAAAACIAAABkcnMvZG93bnJldi54bWxQSwECFAAUAAAACACHTuJAMy8F&#10;njsAAAA5AAAAEAAAAAAAAAABACAAAAAMAQAAZHJzL3NoYXBleG1sLnhtbFBLBQYAAAAABgAGAFsB&#10;AAC2AwAAAAA=&#10;">
                    <v:fill on="f" focussize="0,0"/>
                    <v:stroke color="#000000" joinstyle="round" endarrow="classic"/>
                    <v:imagedata o:title=""/>
                    <o:lock v:ext="edit" aspectratio="f"/>
                  </v:line>
                </v:group>
              </v:group>
            </w:pict>
          </mc:Fallback>
        </mc:AlternateContent>
      </w:r>
    </w:p>
    <w:p w14:paraId="0660FDF6">
      <w:pPr>
        <w:spacing w:line="480" w:lineRule="auto"/>
        <w:ind w:firstLine="482"/>
        <w:jc w:val="center"/>
        <w:rPr>
          <w:b/>
          <w:lang w:eastAsia="zh-CN"/>
        </w:rPr>
      </w:pPr>
    </w:p>
    <w:p w14:paraId="2225A495">
      <w:pPr>
        <w:spacing w:line="480" w:lineRule="auto"/>
        <w:ind w:firstLine="482"/>
        <w:jc w:val="center"/>
        <w:rPr>
          <w:b/>
          <w:lang w:eastAsia="zh-CN"/>
        </w:rPr>
      </w:pPr>
    </w:p>
    <w:p w14:paraId="5250D53C">
      <w:pPr>
        <w:spacing w:line="480" w:lineRule="auto"/>
        <w:ind w:firstLine="482"/>
        <w:jc w:val="center"/>
        <w:rPr>
          <w:b/>
          <w:lang w:eastAsia="zh-CN"/>
        </w:rPr>
      </w:pPr>
    </w:p>
    <w:p w14:paraId="711172A1">
      <w:pPr>
        <w:spacing w:line="480" w:lineRule="auto"/>
        <w:ind w:firstLine="482"/>
        <w:jc w:val="center"/>
        <w:rPr>
          <w:b/>
          <w:lang w:eastAsia="zh-CN"/>
        </w:rPr>
      </w:pPr>
    </w:p>
    <w:p w14:paraId="3A8985D0">
      <w:pPr>
        <w:spacing w:line="480" w:lineRule="auto"/>
        <w:ind w:firstLine="482"/>
        <w:jc w:val="center"/>
        <w:rPr>
          <w:b/>
          <w:lang w:eastAsia="zh-CN"/>
        </w:rPr>
      </w:pPr>
    </w:p>
    <w:p w14:paraId="26AE6964">
      <w:pPr>
        <w:spacing w:line="480" w:lineRule="auto"/>
        <w:ind w:firstLine="482"/>
        <w:jc w:val="center"/>
        <w:rPr>
          <w:b/>
          <w:lang w:eastAsia="zh-CN"/>
        </w:rPr>
      </w:pPr>
    </w:p>
    <w:p w14:paraId="5107B19A">
      <w:pPr>
        <w:spacing w:line="480" w:lineRule="auto"/>
        <w:ind w:firstLine="482"/>
        <w:jc w:val="center"/>
        <w:rPr>
          <w:b/>
          <w:lang w:eastAsia="zh-CN"/>
        </w:rPr>
      </w:pPr>
    </w:p>
    <w:p w14:paraId="29E25BF8">
      <w:pPr>
        <w:spacing w:line="480" w:lineRule="auto"/>
        <w:ind w:firstLine="482"/>
        <w:jc w:val="center"/>
        <w:rPr>
          <w:b/>
          <w:lang w:eastAsia="zh-CN"/>
        </w:rPr>
      </w:pPr>
    </w:p>
    <w:p w14:paraId="52BAB5C6">
      <w:pPr>
        <w:spacing w:line="480" w:lineRule="auto"/>
        <w:ind w:firstLine="482"/>
        <w:jc w:val="center"/>
        <w:rPr>
          <w:b/>
          <w:lang w:eastAsia="zh-CN"/>
        </w:rPr>
      </w:pPr>
    </w:p>
    <w:p w14:paraId="7C011AAF">
      <w:pPr>
        <w:spacing w:line="480" w:lineRule="auto"/>
        <w:ind w:firstLine="482"/>
        <w:jc w:val="center"/>
        <w:rPr>
          <w:b/>
          <w:lang w:eastAsia="zh-CN"/>
        </w:rPr>
      </w:pPr>
    </w:p>
    <w:p w14:paraId="7C59A0B7">
      <w:pPr>
        <w:spacing w:line="480" w:lineRule="auto"/>
        <w:ind w:firstLine="482"/>
        <w:jc w:val="center"/>
        <w:rPr>
          <w:b/>
          <w:lang w:eastAsia="zh-CN"/>
        </w:rPr>
      </w:pPr>
    </w:p>
    <w:p w14:paraId="4F2F2270">
      <w:pPr>
        <w:spacing w:line="480" w:lineRule="auto"/>
        <w:ind w:firstLine="482"/>
        <w:jc w:val="center"/>
        <w:rPr>
          <w:b/>
          <w:lang w:eastAsia="zh-CN"/>
        </w:rPr>
      </w:pPr>
    </w:p>
    <w:p w14:paraId="0F7310CF">
      <w:pPr>
        <w:spacing w:line="480" w:lineRule="auto"/>
        <w:ind w:firstLine="482"/>
        <w:jc w:val="center"/>
        <w:rPr>
          <w:b/>
          <w:lang w:eastAsia="zh-CN"/>
        </w:rPr>
      </w:pPr>
    </w:p>
    <w:p w14:paraId="45C80E30">
      <w:pPr>
        <w:spacing w:line="480" w:lineRule="auto"/>
        <w:ind w:firstLine="482"/>
        <w:jc w:val="center"/>
        <w:rPr>
          <w:b/>
          <w:lang w:eastAsia="zh-CN"/>
        </w:rPr>
      </w:pPr>
    </w:p>
    <w:p w14:paraId="58E36C2E">
      <w:pPr>
        <w:spacing w:line="480" w:lineRule="auto"/>
        <w:ind w:firstLine="482"/>
        <w:jc w:val="center"/>
        <w:rPr>
          <w:b/>
          <w:lang w:eastAsia="zh-CN"/>
        </w:rPr>
      </w:pPr>
    </w:p>
    <w:p w14:paraId="31211046">
      <w:pPr>
        <w:spacing w:line="480" w:lineRule="auto"/>
        <w:ind w:firstLine="482"/>
        <w:jc w:val="center"/>
        <w:rPr>
          <w:b/>
          <w:lang w:eastAsia="zh-CN"/>
        </w:rPr>
      </w:pPr>
    </w:p>
    <w:p w14:paraId="68102C3E">
      <w:pPr>
        <w:spacing w:line="480" w:lineRule="auto"/>
        <w:ind w:firstLine="482"/>
        <w:jc w:val="center"/>
        <w:rPr>
          <w:b/>
          <w:lang w:eastAsia="zh-CN"/>
        </w:rPr>
      </w:pPr>
    </w:p>
    <w:p w14:paraId="76779C2A">
      <w:pPr>
        <w:spacing w:line="480" w:lineRule="auto"/>
        <w:ind w:firstLine="482"/>
        <w:jc w:val="center"/>
        <w:rPr>
          <w:b/>
          <w:lang w:eastAsia="zh-CN"/>
        </w:rPr>
      </w:pPr>
    </w:p>
    <w:p w14:paraId="058D1C3E">
      <w:pPr>
        <w:spacing w:line="480" w:lineRule="auto"/>
        <w:ind w:firstLine="482"/>
        <w:jc w:val="center"/>
        <w:rPr>
          <w:b/>
          <w:lang w:eastAsia="zh-CN"/>
        </w:rPr>
      </w:pPr>
    </w:p>
    <w:p w14:paraId="52692ABF">
      <w:pPr>
        <w:spacing w:line="480" w:lineRule="auto"/>
        <w:ind w:firstLine="482"/>
        <w:jc w:val="center"/>
        <w:rPr>
          <w:b/>
          <w:lang w:eastAsia="zh-CN"/>
        </w:rPr>
      </w:pPr>
    </w:p>
    <w:p w14:paraId="7A2A9E59">
      <w:pPr>
        <w:spacing w:line="480" w:lineRule="auto"/>
        <w:ind w:firstLine="482"/>
        <w:jc w:val="center"/>
        <w:rPr>
          <w:b/>
          <w:lang w:eastAsia="zh-CN"/>
        </w:rPr>
      </w:pPr>
    </w:p>
    <w:p w14:paraId="50EC58D6">
      <w:pPr>
        <w:spacing w:line="480" w:lineRule="auto"/>
        <w:ind w:firstLine="482"/>
        <w:jc w:val="center"/>
        <w:rPr>
          <w:b/>
          <w:lang w:eastAsia="zh-CN"/>
        </w:rPr>
      </w:pPr>
      <w:r>
        <w:rPr>
          <w:b/>
          <w:lang w:eastAsia="zh-CN"/>
        </w:rPr>
        <w:t>图3.</w:t>
      </w:r>
      <w:r>
        <w:rPr>
          <w:rFonts w:hint="eastAsia"/>
          <w:b/>
          <w:lang w:eastAsia="zh-CN"/>
        </w:rPr>
        <w:t>6</w:t>
      </w:r>
      <w:r>
        <w:rPr>
          <w:b/>
          <w:lang w:eastAsia="zh-CN"/>
        </w:rPr>
        <w:t xml:space="preserve">-1  </w:t>
      </w:r>
      <w:r>
        <w:rPr>
          <w:rFonts w:hint="eastAsia"/>
          <w:b/>
          <w:lang w:eastAsia="zh-CN"/>
        </w:rPr>
        <w:t>乌里雅斯太油田开发</w:t>
      </w:r>
      <w:r>
        <w:rPr>
          <w:b/>
          <w:lang w:eastAsia="zh-CN"/>
        </w:rPr>
        <w:t>生产过程环境污染源示意图</w:t>
      </w:r>
    </w:p>
    <w:p w14:paraId="1D91876A">
      <w:pPr>
        <w:pStyle w:val="4"/>
        <w:rPr>
          <w:lang w:eastAsia="zh-CN"/>
        </w:rPr>
      </w:pPr>
      <w:bookmarkStart w:id="209" w:name="_Toc408413949"/>
      <w:r>
        <w:rPr>
          <w:lang w:eastAsia="zh-CN"/>
        </w:rPr>
        <w:t>3.</w:t>
      </w:r>
      <w:r>
        <w:rPr>
          <w:rFonts w:hint="eastAsia"/>
          <w:lang w:eastAsia="zh-CN"/>
        </w:rPr>
        <w:t>6</w:t>
      </w:r>
      <w:r>
        <w:rPr>
          <w:lang w:eastAsia="zh-CN"/>
        </w:rPr>
        <w:t>.2环境空气污染源、污染物及治理</w:t>
      </w:r>
      <w:bookmarkEnd w:id="202"/>
      <w:bookmarkEnd w:id="203"/>
      <w:bookmarkEnd w:id="204"/>
      <w:r>
        <w:rPr>
          <w:lang w:eastAsia="zh-CN"/>
        </w:rPr>
        <w:t>措施</w:t>
      </w:r>
      <w:bookmarkEnd w:id="209"/>
    </w:p>
    <w:p w14:paraId="6DB68915">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乌里雅斯太</w:t>
      </w:r>
      <w:r>
        <w:rPr>
          <w:rFonts w:asciiTheme="minorEastAsia" w:hAnsiTheme="minorEastAsia" w:eastAsiaTheme="minorEastAsia"/>
          <w:lang w:eastAsia="zh-CN"/>
        </w:rPr>
        <w:t>油田滚动开发</w:t>
      </w:r>
      <w:r>
        <w:rPr>
          <w:rFonts w:hint="eastAsia" w:asciiTheme="minorEastAsia" w:hAnsiTheme="minorEastAsia" w:eastAsiaTheme="minorEastAsia"/>
          <w:lang w:eastAsia="zh-CN"/>
        </w:rPr>
        <w:t>，</w:t>
      </w:r>
      <w:r>
        <w:rPr>
          <w:rFonts w:asciiTheme="minorEastAsia" w:hAnsiTheme="minorEastAsia" w:eastAsiaTheme="minorEastAsia"/>
          <w:lang w:eastAsia="zh-CN"/>
        </w:rPr>
        <w:t>从开发建设到正常生产，主要是由于钻井、采油、集输及处理过程中使用动力机械、加热设施、集输储运设施等产生废气，废气中主要含有NO2、SO2、烃类等污染物。</w:t>
      </w:r>
    </w:p>
    <w:p w14:paraId="7DF00D5E">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1、钻井废气</w:t>
      </w:r>
    </w:p>
    <w:p w14:paraId="06DA49F1">
      <w:pPr>
        <w:ind w:firstLine="480"/>
        <w:rPr>
          <w:rFonts w:asciiTheme="minorEastAsia" w:hAnsiTheme="minorEastAsia" w:eastAsiaTheme="minorEastAsia"/>
          <w:lang w:eastAsia="zh-CN"/>
        </w:rPr>
      </w:pPr>
      <w:r>
        <w:rPr>
          <w:rFonts w:asciiTheme="minorEastAsia" w:hAnsiTheme="minorEastAsia" w:eastAsiaTheme="minorEastAsia"/>
          <w:lang w:eastAsia="zh-CN"/>
        </w:rPr>
        <w:t>油田钻井过程中产生的烟气主要来自柴油机运转时排出的烟气，其主要污染物是烃类、一氧化碳、二氧化碳和氮氧化物。</w:t>
      </w:r>
    </w:p>
    <w:p w14:paraId="04DEED2F">
      <w:pPr>
        <w:ind w:firstLine="480"/>
        <w:rPr>
          <w:rFonts w:asciiTheme="minorEastAsia" w:hAnsiTheme="minorEastAsia" w:eastAsiaTheme="minorEastAsia"/>
          <w:lang w:eastAsia="zh-CN"/>
        </w:rPr>
      </w:pPr>
      <w:r>
        <w:rPr>
          <w:rFonts w:asciiTheme="minorEastAsia" w:hAnsiTheme="minorEastAsia" w:eastAsiaTheme="minorEastAsia"/>
          <w:lang w:eastAsia="zh-CN"/>
        </w:rPr>
        <w:t>当柴油机满负荷运转时，每马力小时耗柴油175g，单井每小时按2631马力计</w:t>
      </w:r>
      <w:r>
        <w:rPr>
          <w:rFonts w:hint="eastAsia" w:asciiTheme="minorEastAsia" w:hAnsiTheme="minorEastAsia" w:eastAsiaTheme="minorEastAsia"/>
          <w:lang w:eastAsia="zh-CN"/>
        </w:rPr>
        <w:t>，</w:t>
      </w:r>
      <w:r>
        <w:rPr>
          <w:rFonts w:asciiTheme="minorEastAsia" w:hAnsiTheme="minorEastAsia" w:eastAsiaTheme="minorEastAsia"/>
          <w:lang w:eastAsia="zh-CN"/>
        </w:rPr>
        <w:t>则单井小时耗柴油460kg</w:t>
      </w:r>
      <w:r>
        <w:rPr>
          <w:rFonts w:hint="eastAsia" w:asciiTheme="minorEastAsia" w:hAnsiTheme="minorEastAsia" w:eastAsiaTheme="minorEastAsia"/>
          <w:lang w:eastAsia="zh-CN"/>
        </w:rPr>
        <w:t>，</w:t>
      </w:r>
      <w:r>
        <w:rPr>
          <w:rFonts w:asciiTheme="minorEastAsia" w:hAnsiTheme="minorEastAsia" w:eastAsiaTheme="minorEastAsia"/>
          <w:lang w:eastAsia="zh-CN"/>
        </w:rPr>
        <w:t>每日耗柴油</w:t>
      </w:r>
      <w:r>
        <w:rPr>
          <w:rFonts w:hint="eastAsia" w:asciiTheme="minorEastAsia" w:hAnsiTheme="minorEastAsia" w:eastAsiaTheme="minorEastAsia"/>
          <w:lang w:eastAsia="zh-CN"/>
        </w:rPr>
        <w:t>11.04</w:t>
      </w:r>
      <w:r>
        <w:rPr>
          <w:rFonts w:asciiTheme="minorEastAsia" w:hAnsiTheme="minorEastAsia" w:eastAsiaTheme="minorEastAsia"/>
          <w:lang w:eastAsia="zh-CN"/>
        </w:rPr>
        <w:t>t（每日工作按24h计），每个井钻井期约40天。经类比测试得，每吨柴油产生烃类23.3kg，CO 13.7kg，NOx 62.8kg，SO</w:t>
      </w:r>
      <w:r>
        <w:rPr>
          <w:rFonts w:asciiTheme="minorEastAsia" w:hAnsiTheme="minorEastAsia" w:eastAsiaTheme="minorEastAsia"/>
          <w:vertAlign w:val="subscript"/>
          <w:lang w:eastAsia="zh-CN"/>
        </w:rPr>
        <w:t>2</w:t>
      </w:r>
      <w:r>
        <w:rPr>
          <w:rFonts w:asciiTheme="minorEastAsia" w:hAnsiTheme="minorEastAsia" w:eastAsiaTheme="minorEastAsia"/>
          <w:lang w:eastAsia="zh-CN"/>
        </w:rPr>
        <w:t xml:space="preserve"> 8.52kg，烟尘5.79kg。钻井期间产生排放的大气污染物属于短期影响，随着钻井工程结束而消失。</w:t>
      </w:r>
    </w:p>
    <w:p w14:paraId="44513B4B">
      <w:pPr>
        <w:ind w:firstLine="480"/>
        <w:rPr>
          <w:lang w:eastAsia="zh-CN"/>
        </w:rPr>
      </w:pPr>
      <w:r>
        <w:rPr>
          <w:rFonts w:asciiTheme="minorEastAsia" w:hAnsiTheme="minorEastAsia" w:eastAsiaTheme="minorEastAsia"/>
          <w:lang w:eastAsia="zh-CN"/>
        </w:rPr>
        <w:t>本项目钻井单井柴油机排放废气中各污染物量，见表3.</w:t>
      </w:r>
      <w:r>
        <w:rPr>
          <w:rFonts w:hint="eastAsia" w:asciiTheme="minorEastAsia" w:hAnsiTheme="minorEastAsia" w:eastAsiaTheme="minorEastAsia"/>
          <w:lang w:eastAsia="zh-CN"/>
        </w:rPr>
        <w:t>6</w:t>
      </w:r>
      <w:r>
        <w:rPr>
          <w:rFonts w:asciiTheme="minorEastAsia" w:hAnsiTheme="minorEastAsia" w:eastAsiaTheme="minorEastAsia"/>
          <w:lang w:eastAsia="zh-CN"/>
        </w:rPr>
        <w:t>-</w:t>
      </w:r>
      <w:r>
        <w:rPr>
          <w:rFonts w:hint="eastAsia" w:asciiTheme="minorEastAsia" w:hAnsiTheme="minorEastAsia" w:eastAsiaTheme="minorEastAsia"/>
          <w:lang w:eastAsia="zh-CN"/>
        </w:rPr>
        <w:t>1</w:t>
      </w:r>
      <w:r>
        <w:rPr>
          <w:rFonts w:asciiTheme="minorEastAsia" w:hAnsiTheme="minorEastAsia" w:eastAsiaTheme="minorEastAsia"/>
          <w:lang w:eastAsia="zh-CN"/>
        </w:rPr>
        <w:t xml:space="preserve">。    </w:t>
      </w:r>
      <w:r>
        <w:rPr>
          <w:lang w:eastAsia="zh-CN"/>
        </w:rPr>
        <w:t xml:space="preserve">  </w:t>
      </w:r>
    </w:p>
    <w:p w14:paraId="628F6BA1">
      <w:pPr>
        <w:spacing w:line="240" w:lineRule="auto"/>
        <w:ind w:firstLine="964" w:firstLineChars="400"/>
        <w:rPr>
          <w:b/>
          <w:lang w:eastAsia="zh-CN"/>
        </w:rPr>
      </w:pPr>
      <w:r>
        <w:rPr>
          <w:b/>
          <w:lang w:eastAsia="zh-CN"/>
        </w:rPr>
        <w:t>表3.</w:t>
      </w:r>
      <w:r>
        <w:rPr>
          <w:rFonts w:hint="eastAsia"/>
          <w:b/>
          <w:lang w:eastAsia="zh-CN"/>
        </w:rPr>
        <w:t>6</w:t>
      </w:r>
      <w:r>
        <w:rPr>
          <w:b/>
          <w:lang w:eastAsia="zh-CN"/>
        </w:rPr>
        <w:t>-</w:t>
      </w:r>
      <w:r>
        <w:rPr>
          <w:rFonts w:hint="eastAsia"/>
          <w:b/>
          <w:lang w:eastAsia="zh-CN"/>
        </w:rPr>
        <w:t>1</w:t>
      </w:r>
      <w:r>
        <w:rPr>
          <w:b/>
          <w:lang w:eastAsia="zh-CN"/>
        </w:rPr>
        <w:t xml:space="preserve">   </w:t>
      </w:r>
      <w:r>
        <w:rPr>
          <w:rFonts w:hint="eastAsia"/>
          <w:b/>
          <w:lang w:eastAsia="zh-CN"/>
        </w:rPr>
        <w:t xml:space="preserve">  </w:t>
      </w:r>
      <w:r>
        <w:rPr>
          <w:b/>
          <w:lang w:eastAsia="zh-CN"/>
        </w:rPr>
        <w:t>钻井单井柴油机污染物排放量表</w:t>
      </w:r>
    </w:p>
    <w:tbl>
      <w:tblPr>
        <w:tblStyle w:val="76"/>
        <w:tblW w:w="0" w:type="auto"/>
        <w:tblInd w:w="25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70"/>
        <w:gridCol w:w="900"/>
        <w:gridCol w:w="1076"/>
        <w:gridCol w:w="949"/>
        <w:gridCol w:w="950"/>
        <w:gridCol w:w="950"/>
        <w:gridCol w:w="950"/>
        <w:gridCol w:w="950"/>
      </w:tblGrid>
      <w:tr w14:paraId="5E12BF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70" w:type="dxa"/>
            <w:vMerge w:val="restart"/>
            <w:vAlign w:val="center"/>
          </w:tcPr>
          <w:p w14:paraId="53E5A2D7">
            <w:pPr>
              <w:pStyle w:val="518"/>
              <w:rPr>
                <w:lang w:eastAsia="zh-CN"/>
              </w:rPr>
            </w:pPr>
          </w:p>
        </w:tc>
        <w:tc>
          <w:tcPr>
            <w:tcW w:w="900" w:type="dxa"/>
            <w:vMerge w:val="restart"/>
            <w:vAlign w:val="center"/>
          </w:tcPr>
          <w:p w14:paraId="7F9E0578">
            <w:pPr>
              <w:pStyle w:val="518"/>
            </w:pPr>
            <w:r>
              <w:t>工作日</w:t>
            </w:r>
          </w:p>
          <w:p w14:paraId="5D35B3AD">
            <w:pPr>
              <w:pStyle w:val="518"/>
            </w:pPr>
            <w:r>
              <w:t>(d)</w:t>
            </w:r>
          </w:p>
        </w:tc>
        <w:tc>
          <w:tcPr>
            <w:tcW w:w="1076" w:type="dxa"/>
            <w:vMerge w:val="restart"/>
            <w:vAlign w:val="center"/>
          </w:tcPr>
          <w:p w14:paraId="40149A19">
            <w:pPr>
              <w:pStyle w:val="518"/>
            </w:pPr>
            <w:r>
              <w:t>总耗柴油</w:t>
            </w:r>
          </w:p>
          <w:p w14:paraId="01E3342A">
            <w:pPr>
              <w:pStyle w:val="518"/>
            </w:pPr>
            <w:r>
              <w:t>(t)</w:t>
            </w:r>
          </w:p>
        </w:tc>
        <w:tc>
          <w:tcPr>
            <w:tcW w:w="4749" w:type="dxa"/>
            <w:gridSpan w:val="5"/>
            <w:vAlign w:val="center"/>
          </w:tcPr>
          <w:p w14:paraId="0567AD4C">
            <w:pPr>
              <w:pStyle w:val="518"/>
            </w:pPr>
            <w:r>
              <w:t>污染物排放量(t/a)</w:t>
            </w:r>
          </w:p>
        </w:tc>
      </w:tr>
      <w:tr w14:paraId="41ED67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70" w:type="dxa"/>
            <w:vMerge w:val="continue"/>
            <w:vAlign w:val="center"/>
          </w:tcPr>
          <w:p w14:paraId="7447D75C">
            <w:pPr>
              <w:pStyle w:val="518"/>
            </w:pPr>
          </w:p>
        </w:tc>
        <w:tc>
          <w:tcPr>
            <w:tcW w:w="900" w:type="dxa"/>
            <w:vMerge w:val="continue"/>
            <w:vAlign w:val="center"/>
          </w:tcPr>
          <w:p w14:paraId="7A86405F">
            <w:pPr>
              <w:pStyle w:val="518"/>
            </w:pPr>
          </w:p>
        </w:tc>
        <w:tc>
          <w:tcPr>
            <w:tcW w:w="1076" w:type="dxa"/>
            <w:vMerge w:val="continue"/>
            <w:vAlign w:val="center"/>
          </w:tcPr>
          <w:p w14:paraId="5C48B36A">
            <w:pPr>
              <w:pStyle w:val="518"/>
            </w:pPr>
          </w:p>
        </w:tc>
        <w:tc>
          <w:tcPr>
            <w:tcW w:w="949" w:type="dxa"/>
            <w:vAlign w:val="center"/>
          </w:tcPr>
          <w:p w14:paraId="0ABC08BB">
            <w:pPr>
              <w:pStyle w:val="518"/>
            </w:pPr>
            <w:r>
              <w:t>烃类</w:t>
            </w:r>
          </w:p>
        </w:tc>
        <w:tc>
          <w:tcPr>
            <w:tcW w:w="950" w:type="dxa"/>
            <w:vAlign w:val="center"/>
          </w:tcPr>
          <w:p w14:paraId="303072B3">
            <w:pPr>
              <w:pStyle w:val="518"/>
            </w:pPr>
            <w:r>
              <w:t>CO</w:t>
            </w:r>
          </w:p>
        </w:tc>
        <w:tc>
          <w:tcPr>
            <w:tcW w:w="950" w:type="dxa"/>
            <w:vAlign w:val="center"/>
          </w:tcPr>
          <w:p w14:paraId="7010B2BE">
            <w:pPr>
              <w:pStyle w:val="518"/>
              <w:rPr>
                <w:vertAlign w:val="subscript"/>
              </w:rPr>
            </w:pPr>
            <w:r>
              <w:t>NO</w:t>
            </w:r>
            <w:r>
              <w:rPr>
                <w:vertAlign w:val="subscript"/>
              </w:rPr>
              <w:t>x</w:t>
            </w:r>
          </w:p>
        </w:tc>
        <w:tc>
          <w:tcPr>
            <w:tcW w:w="950" w:type="dxa"/>
            <w:vAlign w:val="center"/>
          </w:tcPr>
          <w:p w14:paraId="4EE4691C">
            <w:pPr>
              <w:pStyle w:val="518"/>
            </w:pPr>
            <w:r>
              <w:rPr>
                <w:szCs w:val="21"/>
              </w:rPr>
              <w:t>SO</w:t>
            </w:r>
            <w:r>
              <w:rPr>
                <w:szCs w:val="21"/>
                <w:vertAlign w:val="subscript"/>
              </w:rPr>
              <w:t>2</w:t>
            </w:r>
          </w:p>
        </w:tc>
        <w:tc>
          <w:tcPr>
            <w:tcW w:w="950" w:type="dxa"/>
            <w:vAlign w:val="center"/>
          </w:tcPr>
          <w:p w14:paraId="5FFC2C28">
            <w:pPr>
              <w:pStyle w:val="518"/>
            </w:pPr>
            <w:r>
              <w:rPr>
                <w:szCs w:val="21"/>
              </w:rPr>
              <w:t>烟尘</w:t>
            </w:r>
          </w:p>
        </w:tc>
      </w:tr>
      <w:tr w14:paraId="0FF56F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370" w:type="dxa"/>
            <w:vAlign w:val="center"/>
          </w:tcPr>
          <w:p w14:paraId="7EAF9216">
            <w:pPr>
              <w:pStyle w:val="518"/>
            </w:pPr>
            <w:r>
              <w:t>单井</w:t>
            </w:r>
          </w:p>
        </w:tc>
        <w:tc>
          <w:tcPr>
            <w:tcW w:w="900" w:type="dxa"/>
            <w:vAlign w:val="center"/>
          </w:tcPr>
          <w:p w14:paraId="4AFDF94C">
            <w:pPr>
              <w:pStyle w:val="518"/>
            </w:pPr>
            <w:r>
              <w:t>40</w:t>
            </w:r>
          </w:p>
        </w:tc>
        <w:tc>
          <w:tcPr>
            <w:tcW w:w="1076" w:type="dxa"/>
            <w:vAlign w:val="center"/>
          </w:tcPr>
          <w:p w14:paraId="729E39F1">
            <w:pPr>
              <w:pStyle w:val="518"/>
              <w:rPr>
                <w:lang w:eastAsia="zh-CN"/>
              </w:rPr>
            </w:pPr>
            <w:r>
              <w:rPr>
                <w:rFonts w:hint="eastAsia"/>
                <w:lang w:eastAsia="zh-CN"/>
              </w:rPr>
              <w:t>441.6</w:t>
            </w:r>
          </w:p>
        </w:tc>
        <w:tc>
          <w:tcPr>
            <w:tcW w:w="949" w:type="dxa"/>
            <w:vAlign w:val="center"/>
          </w:tcPr>
          <w:p w14:paraId="116EB856">
            <w:pPr>
              <w:pStyle w:val="518"/>
              <w:rPr>
                <w:lang w:eastAsia="zh-CN"/>
              </w:rPr>
            </w:pPr>
            <w:r>
              <w:rPr>
                <w:rFonts w:hint="eastAsia"/>
                <w:lang w:eastAsia="zh-CN"/>
              </w:rPr>
              <w:t>10.29</w:t>
            </w:r>
          </w:p>
        </w:tc>
        <w:tc>
          <w:tcPr>
            <w:tcW w:w="950" w:type="dxa"/>
            <w:vAlign w:val="center"/>
          </w:tcPr>
          <w:p w14:paraId="11A24649">
            <w:pPr>
              <w:pStyle w:val="518"/>
              <w:rPr>
                <w:lang w:eastAsia="zh-CN"/>
              </w:rPr>
            </w:pPr>
            <w:r>
              <w:rPr>
                <w:rFonts w:hint="eastAsia"/>
                <w:lang w:eastAsia="zh-CN"/>
              </w:rPr>
              <w:t>6.05</w:t>
            </w:r>
          </w:p>
        </w:tc>
        <w:tc>
          <w:tcPr>
            <w:tcW w:w="950" w:type="dxa"/>
            <w:vAlign w:val="center"/>
          </w:tcPr>
          <w:p w14:paraId="19C3F4C7">
            <w:pPr>
              <w:pStyle w:val="518"/>
              <w:rPr>
                <w:lang w:eastAsia="zh-CN"/>
              </w:rPr>
            </w:pPr>
            <w:r>
              <w:rPr>
                <w:rFonts w:hint="eastAsia"/>
                <w:lang w:eastAsia="zh-CN"/>
              </w:rPr>
              <w:t>27.73</w:t>
            </w:r>
          </w:p>
        </w:tc>
        <w:tc>
          <w:tcPr>
            <w:tcW w:w="950" w:type="dxa"/>
            <w:vAlign w:val="center"/>
          </w:tcPr>
          <w:p w14:paraId="67886498">
            <w:pPr>
              <w:pStyle w:val="518"/>
              <w:rPr>
                <w:lang w:eastAsia="zh-CN"/>
              </w:rPr>
            </w:pPr>
            <w:r>
              <w:rPr>
                <w:rFonts w:hint="eastAsia"/>
                <w:lang w:eastAsia="zh-CN"/>
              </w:rPr>
              <w:t>3.76</w:t>
            </w:r>
          </w:p>
        </w:tc>
        <w:tc>
          <w:tcPr>
            <w:tcW w:w="950" w:type="dxa"/>
            <w:vAlign w:val="center"/>
          </w:tcPr>
          <w:p w14:paraId="22121048">
            <w:pPr>
              <w:pStyle w:val="518"/>
              <w:rPr>
                <w:lang w:eastAsia="zh-CN"/>
              </w:rPr>
            </w:pPr>
            <w:r>
              <w:rPr>
                <w:rFonts w:hint="eastAsia"/>
                <w:lang w:eastAsia="zh-CN"/>
              </w:rPr>
              <w:t>2.56</w:t>
            </w:r>
          </w:p>
        </w:tc>
      </w:tr>
    </w:tbl>
    <w:p w14:paraId="62CA2EED">
      <w:pPr>
        <w:ind w:firstLine="480"/>
        <w:rPr>
          <w:rFonts w:asciiTheme="minorEastAsia" w:hAnsiTheme="minorEastAsia" w:eastAsiaTheme="minorEastAsia"/>
          <w:lang w:eastAsia="zh-CN"/>
        </w:rPr>
      </w:pPr>
      <w:r>
        <w:rPr>
          <w:rFonts w:asciiTheme="minorEastAsia" w:hAnsiTheme="minorEastAsia" w:eastAsiaTheme="minorEastAsia"/>
          <w:lang w:eastAsia="zh-CN"/>
        </w:rPr>
        <w:t>2、</w:t>
      </w:r>
      <w:r>
        <w:rPr>
          <w:rFonts w:hint="eastAsia" w:asciiTheme="minorEastAsia" w:hAnsiTheme="minorEastAsia" w:eastAsiaTheme="minorEastAsia"/>
          <w:lang w:eastAsia="zh-CN"/>
        </w:rPr>
        <w:t>天然气发电机组及加热炉</w:t>
      </w:r>
      <w:r>
        <w:rPr>
          <w:rFonts w:asciiTheme="minorEastAsia" w:hAnsiTheme="minorEastAsia" w:eastAsiaTheme="minorEastAsia"/>
          <w:lang w:eastAsia="zh-CN"/>
        </w:rPr>
        <w:t>产生的污染物</w:t>
      </w:r>
    </w:p>
    <w:p w14:paraId="4B9D8313">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本次改扩建保留现有的5</w:t>
      </w:r>
      <w:r>
        <w:rPr>
          <w:rFonts w:asciiTheme="minorEastAsia" w:hAnsiTheme="minorEastAsia" w:eastAsiaTheme="minorEastAsia"/>
          <w:lang w:eastAsia="zh-CN"/>
        </w:rPr>
        <w:t>×</w:t>
      </w:r>
      <w:r>
        <w:rPr>
          <w:rFonts w:hint="eastAsia" w:asciiTheme="minorEastAsia" w:hAnsiTheme="minorEastAsia" w:eastAsiaTheme="minorEastAsia"/>
          <w:lang w:eastAsia="zh-CN"/>
        </w:rPr>
        <w:t>500kw燃气发电机组及发电机房，拆除现有的2</w:t>
      </w:r>
      <w:r>
        <w:rPr>
          <w:rFonts w:asciiTheme="minorEastAsia" w:hAnsiTheme="minorEastAsia" w:eastAsiaTheme="minorEastAsia"/>
          <w:lang w:eastAsia="zh-CN"/>
        </w:rPr>
        <w:t>×</w:t>
      </w:r>
      <w:r>
        <w:rPr>
          <w:rFonts w:hint="eastAsia" w:asciiTheme="minorEastAsia" w:hAnsiTheme="minorEastAsia" w:eastAsiaTheme="minorEastAsia"/>
          <w:lang w:eastAsia="zh-CN"/>
        </w:rPr>
        <w:t>200kw燃气发电机组及机房，新建1座发电机房，设置6</w:t>
      </w:r>
      <w:r>
        <w:rPr>
          <w:rFonts w:asciiTheme="minorEastAsia" w:hAnsiTheme="minorEastAsia" w:eastAsiaTheme="minorEastAsia"/>
          <w:lang w:eastAsia="zh-CN"/>
        </w:rPr>
        <w:t>×</w:t>
      </w:r>
      <w:r>
        <w:rPr>
          <w:rFonts w:hint="eastAsia" w:asciiTheme="minorEastAsia" w:hAnsiTheme="minorEastAsia" w:eastAsiaTheme="minorEastAsia"/>
          <w:lang w:eastAsia="zh-CN"/>
        </w:rPr>
        <w:t>400kw燃气发电机组。保留现有的</w:t>
      </w:r>
      <w:r>
        <w:rPr>
          <w:rFonts w:asciiTheme="minorEastAsia" w:hAnsiTheme="minorEastAsia" w:eastAsiaTheme="minorEastAsia"/>
          <w:lang w:eastAsia="zh-CN"/>
        </w:rPr>
        <w:t>1000kW</w:t>
      </w:r>
      <w:r>
        <w:rPr>
          <w:rFonts w:hint="eastAsia" w:asciiTheme="minorEastAsia" w:hAnsiTheme="minorEastAsia" w:eastAsiaTheme="minorEastAsia"/>
          <w:lang w:eastAsia="zh-CN"/>
        </w:rPr>
        <w:t>管式加热炉，新设置1台</w:t>
      </w:r>
      <w:r>
        <w:rPr>
          <w:rFonts w:asciiTheme="minorEastAsia" w:hAnsiTheme="minorEastAsia" w:eastAsiaTheme="minorEastAsia"/>
          <w:lang w:eastAsia="zh-CN"/>
        </w:rPr>
        <w:t>3000kW</w:t>
      </w:r>
      <w:r>
        <w:rPr>
          <w:rFonts w:hint="eastAsia" w:asciiTheme="minorEastAsia" w:hAnsiTheme="minorEastAsia" w:eastAsiaTheme="minorEastAsia"/>
          <w:lang w:eastAsia="zh-CN"/>
        </w:rPr>
        <w:t>管式加热炉。</w:t>
      </w:r>
      <w:r>
        <w:rPr>
          <w:rFonts w:asciiTheme="minorEastAsia" w:hAnsiTheme="minorEastAsia" w:eastAsiaTheme="minorEastAsia"/>
          <w:lang w:eastAsia="zh-CN"/>
        </w:rPr>
        <w:t xml:space="preserve"> </w:t>
      </w:r>
    </w:p>
    <w:p w14:paraId="153DBC49">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发电机房</w:t>
      </w:r>
      <w:r>
        <w:rPr>
          <w:rFonts w:asciiTheme="minorEastAsia" w:hAnsiTheme="minorEastAsia" w:eastAsiaTheme="minorEastAsia"/>
          <w:lang w:eastAsia="zh-CN"/>
        </w:rPr>
        <w:t>烟囱高度1</w:t>
      </w:r>
      <w:r>
        <w:rPr>
          <w:rFonts w:hint="eastAsia" w:asciiTheme="minorEastAsia" w:hAnsiTheme="minorEastAsia" w:eastAsiaTheme="minorEastAsia"/>
          <w:lang w:eastAsia="zh-CN"/>
        </w:rPr>
        <w:t>0</w:t>
      </w:r>
      <w:r>
        <w:rPr>
          <w:rFonts w:asciiTheme="minorEastAsia" w:hAnsiTheme="minorEastAsia" w:eastAsiaTheme="minorEastAsia"/>
          <w:lang w:eastAsia="zh-CN"/>
        </w:rPr>
        <w:t>m，烟囱内径0.4m；</w:t>
      </w:r>
      <w:r>
        <w:rPr>
          <w:rFonts w:hint="eastAsia" w:asciiTheme="minorEastAsia" w:hAnsiTheme="minorEastAsia" w:eastAsiaTheme="minorEastAsia"/>
          <w:lang w:eastAsia="zh-CN"/>
        </w:rPr>
        <w:t>加热炉</w:t>
      </w:r>
      <w:r>
        <w:rPr>
          <w:rFonts w:asciiTheme="minorEastAsia" w:hAnsiTheme="minorEastAsia" w:eastAsiaTheme="minorEastAsia"/>
          <w:lang w:eastAsia="zh-CN"/>
        </w:rPr>
        <w:t>锅炉房烟囱高度10m，烟囱内径0.4m。</w:t>
      </w:r>
    </w:p>
    <w:p w14:paraId="06AA4295">
      <w:pPr>
        <w:ind w:firstLine="480"/>
        <w:rPr>
          <w:rFonts w:asciiTheme="minorEastAsia" w:hAnsiTheme="minorEastAsia" w:eastAsiaTheme="minorEastAsia"/>
          <w:lang w:eastAsia="zh-CN"/>
        </w:rPr>
      </w:pPr>
      <w:r>
        <w:rPr>
          <w:rFonts w:asciiTheme="minorEastAsia" w:hAnsiTheme="minorEastAsia" w:eastAsiaTheme="minorEastAsia"/>
          <w:lang w:eastAsia="zh-CN"/>
        </w:rPr>
        <w:t>本项目</w:t>
      </w:r>
      <w:r>
        <w:rPr>
          <w:rFonts w:hint="eastAsia" w:asciiTheme="minorEastAsia" w:hAnsiTheme="minorEastAsia" w:eastAsiaTheme="minorEastAsia"/>
          <w:lang w:eastAsia="zh-CN"/>
        </w:rPr>
        <w:t>加热炉和燃气发电机</w:t>
      </w:r>
      <w:r>
        <w:rPr>
          <w:rFonts w:asciiTheme="minorEastAsia" w:hAnsiTheme="minorEastAsia" w:eastAsiaTheme="minorEastAsia"/>
          <w:lang w:eastAsia="zh-CN"/>
        </w:rPr>
        <w:t>主要燃用乌里雅斯太油田</w:t>
      </w:r>
      <w:r>
        <w:rPr>
          <w:rFonts w:hint="eastAsia" w:asciiTheme="minorEastAsia" w:hAnsiTheme="minorEastAsia" w:eastAsiaTheme="minorEastAsia"/>
          <w:lang w:eastAsia="zh-CN"/>
        </w:rPr>
        <w:t>原油分离产生的伴生气，经处理后的伴生气主要成分为CH4和N2，其中CH4含量平均占97.95%，N2含量平均占2.05%。根据伴生气处理方案，加热炉和天然气发电机组，用气量为3</w:t>
      </w:r>
      <w:r>
        <w:rPr>
          <w:rFonts w:asciiTheme="minorEastAsia" w:hAnsiTheme="minorEastAsia" w:eastAsiaTheme="minorEastAsia"/>
          <w:lang w:eastAsia="zh-CN"/>
        </w:rPr>
        <w:t>×</w:t>
      </w:r>
      <w:r>
        <w:rPr>
          <w:rFonts w:hint="eastAsia" w:asciiTheme="minorEastAsia" w:hAnsiTheme="minorEastAsia" w:eastAsiaTheme="minorEastAsia"/>
          <w:lang w:eastAsia="zh-CN"/>
        </w:rPr>
        <w:t>10</w:t>
      </w:r>
      <w:r>
        <w:rPr>
          <w:rFonts w:hint="eastAsia" w:asciiTheme="minorEastAsia" w:hAnsiTheme="minorEastAsia" w:eastAsiaTheme="minorEastAsia"/>
          <w:vertAlign w:val="superscript"/>
          <w:lang w:eastAsia="zh-CN"/>
        </w:rPr>
        <w:t>4</w:t>
      </w:r>
      <w:r>
        <w:rPr>
          <w:rFonts w:hint="eastAsia" w:asciiTheme="minorEastAsia" w:hAnsiTheme="minorEastAsia" w:eastAsiaTheme="minorEastAsia"/>
          <w:lang w:eastAsia="zh-CN"/>
        </w:rPr>
        <w:t>m</w:t>
      </w:r>
      <w:r>
        <w:rPr>
          <w:rFonts w:hint="eastAsia" w:asciiTheme="minorEastAsia" w:hAnsiTheme="minorEastAsia" w:eastAsiaTheme="minorEastAsia"/>
          <w:vertAlign w:val="superscript"/>
          <w:lang w:eastAsia="zh-CN"/>
        </w:rPr>
        <w:t>3</w:t>
      </w:r>
      <w:r>
        <w:rPr>
          <w:rFonts w:hint="eastAsia" w:asciiTheme="minorEastAsia" w:hAnsiTheme="minorEastAsia" w:eastAsiaTheme="minorEastAsia"/>
          <w:lang w:eastAsia="zh-CN"/>
        </w:rPr>
        <w:t>/d，其中加热炉耗气量为0.98</w:t>
      </w:r>
      <w:r>
        <w:rPr>
          <w:rFonts w:asciiTheme="minorEastAsia" w:hAnsiTheme="minorEastAsia" w:eastAsiaTheme="minorEastAsia"/>
          <w:lang w:eastAsia="zh-CN"/>
        </w:rPr>
        <w:t>×</w:t>
      </w:r>
      <w:r>
        <w:rPr>
          <w:rFonts w:hint="eastAsia" w:asciiTheme="minorEastAsia" w:hAnsiTheme="minorEastAsia" w:eastAsiaTheme="minorEastAsia"/>
          <w:lang w:eastAsia="zh-CN"/>
        </w:rPr>
        <w:t>10</w:t>
      </w:r>
      <w:r>
        <w:rPr>
          <w:rFonts w:hint="eastAsia" w:asciiTheme="minorEastAsia" w:hAnsiTheme="minorEastAsia" w:eastAsiaTheme="minorEastAsia"/>
          <w:vertAlign w:val="superscript"/>
          <w:lang w:eastAsia="zh-CN"/>
        </w:rPr>
        <w:t>4</w:t>
      </w:r>
      <w:r>
        <w:rPr>
          <w:rFonts w:hint="eastAsia" w:asciiTheme="minorEastAsia" w:hAnsiTheme="minorEastAsia" w:eastAsiaTheme="minorEastAsia"/>
          <w:lang w:eastAsia="zh-CN"/>
        </w:rPr>
        <w:t>m</w:t>
      </w:r>
      <w:r>
        <w:rPr>
          <w:rFonts w:hint="eastAsia" w:asciiTheme="minorEastAsia" w:hAnsiTheme="minorEastAsia" w:eastAsiaTheme="minorEastAsia"/>
          <w:vertAlign w:val="superscript"/>
          <w:lang w:eastAsia="zh-CN"/>
        </w:rPr>
        <w:t>3</w:t>
      </w:r>
      <w:r>
        <w:rPr>
          <w:rFonts w:hint="eastAsia" w:asciiTheme="minorEastAsia" w:hAnsiTheme="minorEastAsia" w:eastAsiaTheme="minorEastAsia"/>
          <w:lang w:eastAsia="zh-CN"/>
        </w:rPr>
        <w:t>/d，燃气机组耗气量为2.02</w:t>
      </w:r>
      <w:r>
        <w:rPr>
          <w:rFonts w:asciiTheme="minorEastAsia" w:hAnsiTheme="minorEastAsia" w:eastAsiaTheme="minorEastAsia"/>
          <w:lang w:eastAsia="zh-CN"/>
        </w:rPr>
        <w:t>×</w:t>
      </w:r>
      <w:r>
        <w:rPr>
          <w:rFonts w:hint="eastAsia" w:asciiTheme="minorEastAsia" w:hAnsiTheme="minorEastAsia" w:eastAsiaTheme="minorEastAsia"/>
          <w:lang w:eastAsia="zh-CN"/>
        </w:rPr>
        <w:t>10</w:t>
      </w:r>
      <w:r>
        <w:rPr>
          <w:rFonts w:hint="eastAsia" w:asciiTheme="minorEastAsia" w:hAnsiTheme="minorEastAsia" w:eastAsiaTheme="minorEastAsia"/>
          <w:vertAlign w:val="superscript"/>
          <w:lang w:eastAsia="zh-CN"/>
        </w:rPr>
        <w:t>4</w:t>
      </w:r>
      <w:r>
        <w:rPr>
          <w:rFonts w:hint="eastAsia" w:asciiTheme="minorEastAsia" w:hAnsiTheme="minorEastAsia" w:eastAsiaTheme="minorEastAsia"/>
          <w:lang w:eastAsia="zh-CN"/>
        </w:rPr>
        <w:t>m</w:t>
      </w:r>
      <w:r>
        <w:rPr>
          <w:rFonts w:hint="eastAsia" w:asciiTheme="minorEastAsia" w:hAnsiTheme="minorEastAsia" w:eastAsiaTheme="minorEastAsia"/>
          <w:vertAlign w:val="superscript"/>
          <w:lang w:eastAsia="zh-CN"/>
        </w:rPr>
        <w:t>3</w:t>
      </w:r>
      <w:r>
        <w:rPr>
          <w:rFonts w:hint="eastAsia" w:asciiTheme="minorEastAsia" w:hAnsiTheme="minorEastAsia" w:eastAsiaTheme="minorEastAsia"/>
          <w:lang w:eastAsia="zh-CN"/>
        </w:rPr>
        <w:t>/d。</w:t>
      </w:r>
    </w:p>
    <w:p w14:paraId="21BF6CD4">
      <w:pPr>
        <w:ind w:firstLine="480"/>
        <w:rPr>
          <w:rFonts w:asciiTheme="minorEastAsia" w:hAnsiTheme="minorEastAsia" w:eastAsiaTheme="minorEastAsia"/>
          <w:lang w:eastAsia="zh-CN"/>
        </w:rPr>
      </w:pPr>
      <w:r>
        <w:rPr>
          <w:rFonts w:asciiTheme="minorEastAsia" w:hAnsiTheme="minorEastAsia" w:eastAsiaTheme="minorEastAsia"/>
          <w:lang w:eastAsia="zh-CN"/>
        </w:rPr>
        <w:t>根据《第一次全国污染源普查工业污染源产排污系数手册 第十分册》中44</w:t>
      </w:r>
      <w:r>
        <w:rPr>
          <w:rFonts w:hint="eastAsia" w:asciiTheme="minorEastAsia" w:hAnsiTheme="minorEastAsia" w:eastAsiaTheme="minorEastAsia"/>
          <w:lang w:eastAsia="zh-CN"/>
        </w:rPr>
        <w:t>11火力发电行业</w:t>
      </w:r>
      <w:r>
        <w:rPr>
          <w:rFonts w:asciiTheme="minorEastAsia" w:hAnsiTheme="minorEastAsia" w:eastAsiaTheme="minorEastAsia"/>
          <w:lang w:eastAsia="zh-CN"/>
        </w:rPr>
        <w:t>产排污系数表-</w:t>
      </w:r>
      <w:r>
        <w:rPr>
          <w:rFonts w:hint="eastAsia" w:asciiTheme="minorEastAsia" w:hAnsiTheme="minorEastAsia" w:eastAsiaTheme="minorEastAsia"/>
          <w:lang w:eastAsia="zh-CN"/>
        </w:rPr>
        <w:t>天然气</w:t>
      </w:r>
      <w:r>
        <w:rPr>
          <w:rFonts w:asciiTheme="minorEastAsia" w:hAnsiTheme="minorEastAsia" w:eastAsiaTheme="minorEastAsia"/>
          <w:lang w:eastAsia="zh-CN"/>
        </w:rPr>
        <w:t>计算废气量及</w:t>
      </w:r>
      <w:r>
        <w:rPr>
          <w:rFonts w:hint="eastAsia" w:asciiTheme="minorEastAsia" w:hAnsiTheme="minorEastAsia" w:eastAsiaTheme="minorEastAsia"/>
          <w:lang w:eastAsia="zh-CN"/>
        </w:rPr>
        <w:t>主要污染物</w:t>
      </w:r>
      <w:r>
        <w:rPr>
          <w:rFonts w:asciiTheme="minorEastAsia" w:hAnsiTheme="minorEastAsia" w:eastAsiaTheme="minorEastAsia"/>
          <w:lang w:eastAsia="zh-CN"/>
        </w:rPr>
        <w:t>的量，</w:t>
      </w:r>
      <w:r>
        <w:rPr>
          <w:rFonts w:hint="eastAsia" w:asciiTheme="minorEastAsia" w:hAnsiTheme="minorEastAsia" w:eastAsiaTheme="minorEastAsia"/>
          <w:lang w:eastAsia="zh-CN"/>
        </w:rPr>
        <w:t>火力发电行业</w:t>
      </w:r>
      <w:r>
        <w:rPr>
          <w:rFonts w:asciiTheme="minorEastAsia" w:hAnsiTheme="minorEastAsia" w:eastAsiaTheme="minorEastAsia"/>
          <w:lang w:eastAsia="zh-CN"/>
        </w:rPr>
        <w:t>产排污系数见表3.</w:t>
      </w:r>
      <w:r>
        <w:rPr>
          <w:rFonts w:hint="eastAsia" w:asciiTheme="minorEastAsia" w:hAnsiTheme="minorEastAsia" w:eastAsiaTheme="minorEastAsia"/>
          <w:lang w:eastAsia="zh-CN"/>
        </w:rPr>
        <w:t>6</w:t>
      </w:r>
      <w:r>
        <w:rPr>
          <w:rFonts w:asciiTheme="minorEastAsia" w:hAnsiTheme="minorEastAsia" w:eastAsiaTheme="minorEastAsia"/>
          <w:lang w:eastAsia="zh-CN"/>
        </w:rPr>
        <w:t>-</w:t>
      </w:r>
      <w:r>
        <w:rPr>
          <w:rFonts w:hint="eastAsia" w:asciiTheme="minorEastAsia" w:hAnsiTheme="minorEastAsia" w:eastAsiaTheme="minorEastAsia"/>
          <w:lang w:eastAsia="zh-CN"/>
        </w:rPr>
        <w:t>2</w:t>
      </w:r>
      <w:r>
        <w:rPr>
          <w:rFonts w:asciiTheme="minorEastAsia" w:hAnsiTheme="minorEastAsia" w:eastAsiaTheme="minorEastAsia"/>
          <w:lang w:eastAsia="zh-CN"/>
        </w:rPr>
        <w:t>。《第一次全国污染源普查工业污染源产排污系数手册 第十分册》中4430工业锅炉（热力生产和供应行业）产排污系数表-燃</w:t>
      </w:r>
      <w:r>
        <w:rPr>
          <w:rFonts w:hint="eastAsia" w:asciiTheme="minorEastAsia" w:hAnsiTheme="minorEastAsia" w:eastAsiaTheme="minorEastAsia"/>
          <w:lang w:eastAsia="zh-CN"/>
        </w:rPr>
        <w:t>气</w:t>
      </w:r>
      <w:r>
        <w:rPr>
          <w:rFonts w:asciiTheme="minorEastAsia" w:hAnsiTheme="minorEastAsia" w:eastAsiaTheme="minorEastAsia"/>
          <w:lang w:eastAsia="zh-CN"/>
        </w:rPr>
        <w:t>工业锅炉计算废气量及氮氧化物的量，工业锅炉（热力生产和供应行业）产排污系数见表3.</w:t>
      </w:r>
      <w:r>
        <w:rPr>
          <w:rFonts w:hint="eastAsia" w:asciiTheme="minorEastAsia" w:hAnsiTheme="minorEastAsia" w:eastAsiaTheme="minorEastAsia"/>
          <w:lang w:eastAsia="zh-CN"/>
        </w:rPr>
        <w:t>6</w:t>
      </w:r>
      <w:r>
        <w:rPr>
          <w:rFonts w:asciiTheme="minorEastAsia" w:hAnsiTheme="minorEastAsia" w:eastAsiaTheme="minorEastAsia"/>
          <w:lang w:eastAsia="zh-CN"/>
        </w:rPr>
        <w:t>-</w:t>
      </w:r>
      <w:r>
        <w:rPr>
          <w:rFonts w:hint="eastAsia" w:asciiTheme="minorEastAsia" w:hAnsiTheme="minorEastAsia" w:eastAsiaTheme="minorEastAsia"/>
          <w:lang w:eastAsia="zh-CN"/>
        </w:rPr>
        <w:t>3</w:t>
      </w:r>
      <w:r>
        <w:rPr>
          <w:rFonts w:asciiTheme="minorEastAsia" w:hAnsiTheme="minorEastAsia" w:eastAsiaTheme="minorEastAsia"/>
          <w:lang w:eastAsia="zh-CN"/>
        </w:rPr>
        <w:t>。</w:t>
      </w:r>
    </w:p>
    <w:p w14:paraId="2E8EDFD4">
      <w:pPr>
        <w:ind w:firstLine="480"/>
        <w:outlineLvl w:val="0"/>
        <w:rPr>
          <w:rFonts w:asciiTheme="minorEastAsia" w:hAnsiTheme="minorEastAsia" w:eastAsiaTheme="minorEastAsia"/>
          <w:lang w:eastAsia="zh-CN"/>
        </w:rPr>
      </w:pPr>
      <w:r>
        <w:rPr>
          <w:rFonts w:hint="eastAsia" w:asciiTheme="minorEastAsia" w:hAnsiTheme="minorEastAsia" w:eastAsiaTheme="minorEastAsia"/>
          <w:lang w:eastAsia="zh-CN"/>
        </w:rPr>
        <w:t>（1）燃气机组</w:t>
      </w:r>
    </w:p>
    <w:p w14:paraId="68C8A708">
      <w:pPr>
        <w:ind w:firstLine="480"/>
        <w:rPr>
          <w:rFonts w:asciiTheme="minorEastAsia" w:hAnsiTheme="minorEastAsia" w:eastAsiaTheme="minorEastAsia"/>
          <w:lang w:eastAsia="zh-CN"/>
        </w:rPr>
      </w:pPr>
      <w:r>
        <w:rPr>
          <w:rFonts w:asciiTheme="minorEastAsia" w:hAnsiTheme="minorEastAsia" w:eastAsiaTheme="minorEastAsia"/>
          <w:lang w:eastAsia="zh-CN"/>
        </w:rPr>
        <w:t>废气量=</w:t>
      </w:r>
      <w:r>
        <w:rPr>
          <w:rFonts w:hint="eastAsia" w:asciiTheme="minorEastAsia" w:hAnsiTheme="minorEastAsia" w:eastAsiaTheme="minorEastAsia"/>
          <w:lang w:eastAsia="zh-CN"/>
        </w:rPr>
        <w:t>2.02</w:t>
      </w:r>
      <w:r>
        <w:rPr>
          <w:rFonts w:asciiTheme="minorEastAsia" w:hAnsiTheme="minorEastAsia" w:eastAsiaTheme="minorEastAsia"/>
          <w:lang w:eastAsia="zh-CN"/>
        </w:rPr>
        <w:t>×</w:t>
      </w:r>
      <w:r>
        <w:rPr>
          <w:rFonts w:hint="eastAsia" w:asciiTheme="minorEastAsia" w:hAnsiTheme="minorEastAsia" w:eastAsiaTheme="minorEastAsia"/>
          <w:lang w:eastAsia="zh-CN"/>
        </w:rPr>
        <w:t>104</w:t>
      </w:r>
      <w:r>
        <w:rPr>
          <w:rFonts w:asciiTheme="minorEastAsia" w:hAnsiTheme="minorEastAsia" w:eastAsiaTheme="minorEastAsia"/>
          <w:lang w:eastAsia="zh-CN"/>
        </w:rPr>
        <w:t>×</w:t>
      </w:r>
      <w:r>
        <w:rPr>
          <w:rFonts w:hint="eastAsia" w:asciiTheme="minorEastAsia" w:hAnsiTheme="minorEastAsia" w:eastAsiaTheme="minorEastAsia"/>
          <w:lang w:eastAsia="zh-CN"/>
        </w:rPr>
        <w:t>365</w:t>
      </w:r>
      <w:r>
        <w:rPr>
          <w:rFonts w:asciiTheme="minorEastAsia" w:hAnsiTheme="minorEastAsia" w:eastAsiaTheme="minorEastAsia"/>
          <w:lang w:eastAsia="zh-CN"/>
        </w:rPr>
        <w:t>×</w:t>
      </w:r>
      <w:r>
        <w:rPr>
          <w:rFonts w:hint="eastAsia" w:asciiTheme="minorEastAsia" w:hAnsiTheme="minorEastAsia" w:eastAsiaTheme="minorEastAsia"/>
          <w:lang w:eastAsia="zh-CN"/>
        </w:rPr>
        <w:t>24.55</w:t>
      </w:r>
      <w:r>
        <w:rPr>
          <w:rFonts w:asciiTheme="minorEastAsia" w:hAnsiTheme="minorEastAsia" w:eastAsiaTheme="minorEastAsia"/>
          <w:lang w:eastAsia="zh-CN"/>
        </w:rPr>
        <w:t>=</w:t>
      </w:r>
      <w:r>
        <w:rPr>
          <w:rFonts w:hint="eastAsia" w:asciiTheme="minorEastAsia" w:hAnsiTheme="minorEastAsia" w:eastAsiaTheme="minorEastAsia"/>
          <w:lang w:eastAsia="zh-CN"/>
        </w:rPr>
        <w:t>18100.72</w:t>
      </w:r>
      <w:r>
        <w:rPr>
          <w:rFonts w:asciiTheme="minorEastAsia" w:hAnsiTheme="minorEastAsia" w:eastAsiaTheme="minorEastAsia"/>
          <w:lang w:eastAsia="zh-CN"/>
        </w:rPr>
        <w:t>×10</w:t>
      </w:r>
      <w:r>
        <w:rPr>
          <w:rFonts w:asciiTheme="minorEastAsia" w:hAnsiTheme="minorEastAsia" w:eastAsiaTheme="minorEastAsia"/>
          <w:vertAlign w:val="superscript"/>
          <w:lang w:eastAsia="zh-CN"/>
        </w:rPr>
        <w:t>4</w:t>
      </w:r>
      <w:r>
        <w:rPr>
          <w:rFonts w:asciiTheme="minorEastAsia" w:hAnsiTheme="minorEastAsia" w:eastAsiaTheme="minorEastAsia"/>
          <w:lang w:eastAsia="zh-CN"/>
        </w:rPr>
        <w:t>Nm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/a</w:t>
      </w:r>
    </w:p>
    <w:p w14:paraId="74711C64">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SO</w:t>
      </w:r>
      <w:r>
        <w:rPr>
          <w:rFonts w:asciiTheme="minorEastAsia" w:hAnsiTheme="minorEastAsia" w:eastAsiaTheme="minorEastAsia"/>
          <w:vertAlign w:val="subscript"/>
          <w:lang w:eastAsia="zh-CN"/>
        </w:rPr>
        <w:t>2</w:t>
      </w:r>
      <w:r>
        <w:rPr>
          <w:rFonts w:hint="eastAsia" w:asciiTheme="minorEastAsia" w:hAnsiTheme="minorEastAsia" w:eastAsiaTheme="minorEastAsia"/>
          <w:lang w:eastAsia="zh-CN"/>
        </w:rPr>
        <w:t>排放</w:t>
      </w:r>
      <w:r>
        <w:rPr>
          <w:rFonts w:asciiTheme="minorEastAsia" w:hAnsiTheme="minorEastAsia" w:eastAsiaTheme="minorEastAsia"/>
          <w:lang w:eastAsia="zh-CN"/>
        </w:rPr>
        <w:t>量=</w:t>
      </w:r>
      <w:r>
        <w:rPr>
          <w:rFonts w:hint="eastAsia" w:asciiTheme="minorEastAsia" w:hAnsiTheme="minorEastAsia" w:eastAsiaTheme="minorEastAsia"/>
          <w:lang w:eastAsia="zh-CN"/>
        </w:rPr>
        <w:t>2.02</w:t>
      </w:r>
      <w:r>
        <w:rPr>
          <w:rFonts w:asciiTheme="minorEastAsia" w:hAnsiTheme="minorEastAsia" w:eastAsiaTheme="minorEastAsia"/>
          <w:lang w:eastAsia="zh-CN"/>
        </w:rPr>
        <w:t>×</w:t>
      </w:r>
      <w:r>
        <w:rPr>
          <w:rFonts w:hint="eastAsia" w:asciiTheme="minorEastAsia" w:hAnsiTheme="minorEastAsia" w:eastAsiaTheme="minorEastAsia"/>
          <w:lang w:eastAsia="zh-CN"/>
        </w:rPr>
        <w:t>104</w:t>
      </w:r>
      <w:r>
        <w:rPr>
          <w:rFonts w:asciiTheme="minorEastAsia" w:hAnsiTheme="minorEastAsia" w:eastAsiaTheme="minorEastAsia"/>
          <w:lang w:eastAsia="zh-CN"/>
        </w:rPr>
        <w:t>×</w:t>
      </w:r>
      <w:r>
        <w:rPr>
          <w:rFonts w:hint="eastAsia" w:asciiTheme="minorEastAsia" w:hAnsiTheme="minorEastAsia" w:eastAsiaTheme="minorEastAsia"/>
          <w:lang w:eastAsia="zh-CN"/>
        </w:rPr>
        <w:t>365</w:t>
      </w:r>
      <w:r>
        <w:rPr>
          <w:rFonts w:asciiTheme="minorEastAsia" w:hAnsiTheme="minorEastAsia" w:eastAsiaTheme="minorEastAsia"/>
          <w:lang w:eastAsia="zh-CN"/>
        </w:rPr>
        <w:t>×</w:t>
      </w:r>
      <w:r>
        <w:rPr>
          <w:rFonts w:hint="eastAsia" w:asciiTheme="minorEastAsia" w:hAnsiTheme="minorEastAsia" w:eastAsiaTheme="minorEastAsia"/>
          <w:lang w:eastAsia="zh-CN"/>
        </w:rPr>
        <w:t>70.7</w:t>
      </w:r>
      <w:r>
        <w:rPr>
          <w:rFonts w:asciiTheme="minorEastAsia" w:hAnsiTheme="minorEastAsia" w:eastAsiaTheme="minorEastAsia"/>
          <w:lang w:eastAsia="zh-CN"/>
        </w:rPr>
        <w:t>÷</w:t>
      </w:r>
      <w:r>
        <w:rPr>
          <w:rFonts w:hint="eastAsia" w:asciiTheme="minorEastAsia" w:hAnsiTheme="minorEastAsia" w:eastAsiaTheme="minorEastAsia"/>
          <w:lang w:eastAsia="zh-CN"/>
        </w:rPr>
        <w:t>1.0</w:t>
      </w:r>
      <w:r>
        <w:rPr>
          <w:rFonts w:asciiTheme="minorEastAsia" w:hAnsiTheme="minorEastAsia" w:eastAsiaTheme="minorEastAsia"/>
          <w:lang w:eastAsia="zh-CN"/>
        </w:rPr>
        <w:t>×</w:t>
      </w:r>
      <w:r>
        <w:rPr>
          <w:rFonts w:hint="eastAsia" w:asciiTheme="minorEastAsia" w:hAnsiTheme="minorEastAsia" w:eastAsiaTheme="minorEastAsia"/>
          <w:lang w:eastAsia="zh-CN"/>
        </w:rPr>
        <w:t>10</w:t>
      </w:r>
      <w:r>
        <w:rPr>
          <w:rFonts w:hint="eastAsia" w:asciiTheme="minorEastAsia" w:hAnsiTheme="minorEastAsia" w:eastAsiaTheme="minorEastAsia"/>
          <w:vertAlign w:val="superscript"/>
          <w:lang w:eastAsia="zh-CN"/>
        </w:rPr>
        <w:t>9</w:t>
      </w:r>
      <w:r>
        <w:rPr>
          <w:rFonts w:asciiTheme="minorEastAsia" w:hAnsiTheme="minorEastAsia" w:eastAsiaTheme="minorEastAsia"/>
          <w:lang w:eastAsia="zh-CN"/>
        </w:rPr>
        <w:t>=</w:t>
      </w:r>
      <w:r>
        <w:rPr>
          <w:rFonts w:hint="eastAsia" w:asciiTheme="minorEastAsia" w:hAnsiTheme="minorEastAsia" w:eastAsiaTheme="minorEastAsia"/>
          <w:lang w:eastAsia="zh-CN"/>
        </w:rPr>
        <w:t>0.52</w:t>
      </w:r>
      <w:r>
        <w:rPr>
          <w:rFonts w:asciiTheme="minorEastAsia" w:hAnsiTheme="minorEastAsia" w:eastAsiaTheme="minorEastAsia"/>
          <w:lang w:eastAsia="zh-CN"/>
        </w:rPr>
        <w:t>t/a</w:t>
      </w:r>
    </w:p>
    <w:p w14:paraId="3B8CE0DE">
      <w:pPr>
        <w:ind w:firstLine="480"/>
        <w:rPr>
          <w:rFonts w:asciiTheme="minorEastAsia" w:hAnsiTheme="minorEastAsia" w:eastAsiaTheme="minorEastAsia"/>
          <w:lang w:eastAsia="zh-CN"/>
        </w:rPr>
      </w:pPr>
      <w:r>
        <w:rPr>
          <w:rFonts w:asciiTheme="minorEastAsia" w:hAnsiTheme="minorEastAsia" w:eastAsiaTheme="minorEastAsia"/>
          <w:lang w:eastAsia="zh-CN"/>
        </w:rPr>
        <w:t>SO</w:t>
      </w:r>
      <w:r>
        <w:rPr>
          <w:rFonts w:asciiTheme="minorEastAsia" w:hAnsiTheme="minorEastAsia" w:eastAsiaTheme="minorEastAsia"/>
          <w:vertAlign w:val="subscript"/>
          <w:lang w:eastAsia="zh-CN"/>
        </w:rPr>
        <w:t>2</w:t>
      </w:r>
      <w:r>
        <w:rPr>
          <w:rFonts w:asciiTheme="minorEastAsia" w:hAnsiTheme="minorEastAsia" w:eastAsiaTheme="minorEastAsia"/>
          <w:lang w:eastAsia="zh-CN"/>
        </w:rPr>
        <w:t>排放浓度=</w:t>
      </w:r>
      <w:r>
        <w:rPr>
          <w:rFonts w:hint="eastAsia" w:asciiTheme="minorEastAsia" w:hAnsiTheme="minorEastAsia" w:eastAsiaTheme="minorEastAsia"/>
          <w:lang w:eastAsia="zh-CN"/>
        </w:rPr>
        <w:t>0.52</w:t>
      </w:r>
      <w:r>
        <w:rPr>
          <w:rFonts w:asciiTheme="minorEastAsia" w:hAnsiTheme="minorEastAsia" w:eastAsiaTheme="minorEastAsia"/>
          <w:lang w:eastAsia="zh-CN"/>
        </w:rPr>
        <w:t xml:space="preserve"> t/a÷</w:t>
      </w:r>
      <w:r>
        <w:rPr>
          <w:rFonts w:hint="eastAsia" w:asciiTheme="minorEastAsia" w:hAnsiTheme="minorEastAsia" w:eastAsiaTheme="minorEastAsia"/>
          <w:lang w:eastAsia="zh-CN"/>
        </w:rPr>
        <w:t>18100.72</w:t>
      </w:r>
      <w:r>
        <w:rPr>
          <w:rFonts w:asciiTheme="minorEastAsia" w:hAnsiTheme="minorEastAsia" w:eastAsiaTheme="minorEastAsia"/>
          <w:lang w:eastAsia="zh-CN"/>
        </w:rPr>
        <w:t>×10</w:t>
      </w:r>
      <w:r>
        <w:rPr>
          <w:rFonts w:asciiTheme="minorEastAsia" w:hAnsiTheme="minorEastAsia" w:eastAsiaTheme="minorEastAsia"/>
          <w:vertAlign w:val="superscript"/>
          <w:lang w:eastAsia="zh-CN"/>
        </w:rPr>
        <w:t>4</w:t>
      </w:r>
      <w:r>
        <w:rPr>
          <w:rFonts w:asciiTheme="minorEastAsia" w:hAnsiTheme="minorEastAsia" w:eastAsiaTheme="minorEastAsia"/>
          <w:lang w:eastAsia="zh-CN"/>
        </w:rPr>
        <w:t>Nm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 xml:space="preserve">/a </w:t>
      </w:r>
      <w:r>
        <w:rPr>
          <w:rFonts w:hint="eastAsia" w:asciiTheme="minorEastAsia" w:hAnsiTheme="minorEastAsia" w:eastAsiaTheme="minorEastAsia"/>
          <w:lang w:eastAsia="zh-CN"/>
        </w:rPr>
        <w:t>=2.88</w:t>
      </w:r>
      <w:r>
        <w:rPr>
          <w:rFonts w:asciiTheme="minorEastAsia" w:hAnsiTheme="minorEastAsia" w:eastAsiaTheme="minorEastAsia"/>
          <w:lang w:eastAsia="zh-CN"/>
        </w:rPr>
        <w:t>mg/Nm</w:t>
      </w:r>
      <w:r>
        <w:rPr>
          <w:rFonts w:asciiTheme="minorEastAsia" w:hAnsiTheme="minorEastAsia" w:eastAsiaTheme="minorEastAsia"/>
          <w:vertAlign w:val="superscript"/>
          <w:lang w:eastAsia="zh-CN"/>
        </w:rPr>
        <w:t>3</w:t>
      </w:r>
    </w:p>
    <w:p w14:paraId="3889F3BC">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烟尘排放量=2.02</w:t>
      </w:r>
      <w:r>
        <w:rPr>
          <w:rFonts w:asciiTheme="minorEastAsia" w:hAnsiTheme="minorEastAsia" w:eastAsiaTheme="minorEastAsia"/>
          <w:lang w:eastAsia="zh-CN"/>
        </w:rPr>
        <w:t>×</w:t>
      </w:r>
      <w:r>
        <w:rPr>
          <w:rFonts w:hint="eastAsia" w:asciiTheme="minorEastAsia" w:hAnsiTheme="minorEastAsia" w:eastAsiaTheme="minorEastAsia"/>
          <w:lang w:eastAsia="zh-CN"/>
        </w:rPr>
        <w:t>10</w:t>
      </w:r>
      <w:r>
        <w:rPr>
          <w:rFonts w:hint="eastAsia" w:asciiTheme="minorEastAsia" w:hAnsiTheme="minorEastAsia" w:eastAsiaTheme="minorEastAsia"/>
          <w:vertAlign w:val="superscript"/>
          <w:lang w:eastAsia="zh-CN"/>
        </w:rPr>
        <w:t>4</w:t>
      </w:r>
      <w:r>
        <w:rPr>
          <w:rFonts w:asciiTheme="minorEastAsia" w:hAnsiTheme="minorEastAsia" w:eastAsiaTheme="minorEastAsia"/>
          <w:lang w:eastAsia="zh-CN"/>
        </w:rPr>
        <w:t>×</w:t>
      </w:r>
      <w:r>
        <w:rPr>
          <w:rFonts w:hint="eastAsia" w:asciiTheme="minorEastAsia" w:hAnsiTheme="minorEastAsia" w:eastAsiaTheme="minorEastAsia"/>
          <w:lang w:eastAsia="zh-CN"/>
        </w:rPr>
        <w:t>365</w:t>
      </w:r>
      <w:r>
        <w:rPr>
          <w:rFonts w:asciiTheme="minorEastAsia" w:hAnsiTheme="minorEastAsia" w:eastAsiaTheme="minorEastAsia"/>
          <w:lang w:eastAsia="zh-CN"/>
        </w:rPr>
        <w:t>×</w:t>
      </w:r>
      <w:r>
        <w:rPr>
          <w:rFonts w:hint="eastAsia" w:asciiTheme="minorEastAsia" w:hAnsiTheme="minorEastAsia" w:eastAsiaTheme="minorEastAsia"/>
          <w:lang w:eastAsia="zh-CN"/>
        </w:rPr>
        <w:t>103.9</w:t>
      </w:r>
      <w:r>
        <w:rPr>
          <w:rFonts w:asciiTheme="minorEastAsia" w:hAnsiTheme="minorEastAsia" w:eastAsiaTheme="minorEastAsia"/>
          <w:lang w:eastAsia="zh-CN"/>
        </w:rPr>
        <w:t>÷</w:t>
      </w:r>
      <w:r>
        <w:rPr>
          <w:rFonts w:hint="eastAsia" w:asciiTheme="minorEastAsia" w:hAnsiTheme="minorEastAsia" w:eastAsiaTheme="minorEastAsia"/>
          <w:lang w:eastAsia="zh-CN"/>
        </w:rPr>
        <w:t>1.0</w:t>
      </w:r>
      <w:r>
        <w:rPr>
          <w:rFonts w:asciiTheme="minorEastAsia" w:hAnsiTheme="minorEastAsia" w:eastAsiaTheme="minorEastAsia"/>
          <w:lang w:eastAsia="zh-CN"/>
        </w:rPr>
        <w:t>×</w:t>
      </w:r>
      <w:r>
        <w:rPr>
          <w:rFonts w:hint="eastAsia" w:asciiTheme="minorEastAsia" w:hAnsiTheme="minorEastAsia" w:eastAsiaTheme="minorEastAsia"/>
          <w:lang w:eastAsia="zh-CN"/>
        </w:rPr>
        <w:t>10</w:t>
      </w:r>
      <w:r>
        <w:rPr>
          <w:rFonts w:hint="eastAsia" w:asciiTheme="minorEastAsia" w:hAnsiTheme="minorEastAsia" w:eastAsiaTheme="minorEastAsia"/>
          <w:vertAlign w:val="superscript"/>
          <w:lang w:eastAsia="zh-CN"/>
        </w:rPr>
        <w:t>9</w:t>
      </w:r>
      <w:r>
        <w:rPr>
          <w:rFonts w:asciiTheme="minorEastAsia" w:hAnsiTheme="minorEastAsia" w:eastAsiaTheme="minorEastAsia"/>
          <w:lang w:eastAsia="zh-CN"/>
        </w:rPr>
        <w:t>=</w:t>
      </w:r>
      <w:r>
        <w:rPr>
          <w:rFonts w:hint="eastAsia" w:asciiTheme="minorEastAsia" w:hAnsiTheme="minorEastAsia" w:eastAsiaTheme="minorEastAsia"/>
          <w:lang w:eastAsia="zh-CN"/>
        </w:rPr>
        <w:t>0.77</w:t>
      </w:r>
      <w:r>
        <w:rPr>
          <w:rFonts w:asciiTheme="minorEastAsia" w:hAnsiTheme="minorEastAsia" w:eastAsiaTheme="minorEastAsia"/>
          <w:lang w:eastAsia="zh-CN"/>
        </w:rPr>
        <w:t>t /a</w:t>
      </w:r>
    </w:p>
    <w:p w14:paraId="49F9528D">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烟尘</w:t>
      </w:r>
      <w:r>
        <w:rPr>
          <w:rFonts w:asciiTheme="minorEastAsia" w:hAnsiTheme="minorEastAsia" w:eastAsiaTheme="minorEastAsia"/>
          <w:lang w:eastAsia="zh-CN"/>
        </w:rPr>
        <w:t>排放浓度=</w:t>
      </w:r>
      <w:r>
        <w:rPr>
          <w:rFonts w:hint="eastAsia" w:asciiTheme="minorEastAsia" w:hAnsiTheme="minorEastAsia" w:eastAsiaTheme="minorEastAsia"/>
          <w:lang w:eastAsia="zh-CN"/>
        </w:rPr>
        <w:t>0.77</w:t>
      </w:r>
      <w:r>
        <w:rPr>
          <w:rFonts w:asciiTheme="minorEastAsia" w:hAnsiTheme="minorEastAsia" w:eastAsiaTheme="minorEastAsia"/>
          <w:lang w:eastAsia="zh-CN"/>
        </w:rPr>
        <w:t>t/a÷</w:t>
      </w:r>
      <w:r>
        <w:rPr>
          <w:rFonts w:hint="eastAsia" w:asciiTheme="minorEastAsia" w:hAnsiTheme="minorEastAsia" w:eastAsiaTheme="minorEastAsia"/>
          <w:lang w:eastAsia="zh-CN"/>
        </w:rPr>
        <w:t>18100.72</w:t>
      </w:r>
      <w:r>
        <w:rPr>
          <w:rFonts w:asciiTheme="minorEastAsia" w:hAnsiTheme="minorEastAsia" w:eastAsiaTheme="minorEastAsia"/>
          <w:lang w:eastAsia="zh-CN"/>
        </w:rPr>
        <w:t>×10</w:t>
      </w:r>
      <w:r>
        <w:rPr>
          <w:rFonts w:asciiTheme="minorEastAsia" w:hAnsiTheme="minorEastAsia" w:eastAsiaTheme="minorEastAsia"/>
          <w:vertAlign w:val="superscript"/>
          <w:lang w:eastAsia="zh-CN"/>
        </w:rPr>
        <w:t>4</w:t>
      </w:r>
      <w:r>
        <w:rPr>
          <w:rFonts w:asciiTheme="minorEastAsia" w:hAnsiTheme="minorEastAsia" w:eastAsiaTheme="minorEastAsia"/>
          <w:lang w:eastAsia="zh-CN"/>
        </w:rPr>
        <w:t>×10</w:t>
      </w:r>
      <w:r>
        <w:rPr>
          <w:rFonts w:asciiTheme="minorEastAsia" w:hAnsiTheme="minorEastAsia" w:eastAsiaTheme="minorEastAsia"/>
          <w:vertAlign w:val="superscript"/>
          <w:lang w:eastAsia="zh-CN"/>
        </w:rPr>
        <w:t>4</w:t>
      </w:r>
      <w:r>
        <w:rPr>
          <w:rFonts w:asciiTheme="minorEastAsia" w:hAnsiTheme="minorEastAsia" w:eastAsiaTheme="minorEastAsia"/>
          <w:lang w:eastAsia="zh-CN"/>
        </w:rPr>
        <w:t>Nm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 xml:space="preserve">/a </w:t>
      </w:r>
      <w:r>
        <w:rPr>
          <w:rFonts w:hint="eastAsia" w:asciiTheme="minorEastAsia" w:hAnsiTheme="minorEastAsia" w:eastAsiaTheme="minorEastAsia"/>
          <w:lang w:eastAsia="zh-CN"/>
        </w:rPr>
        <w:t>=4.25</w:t>
      </w:r>
      <w:r>
        <w:rPr>
          <w:rFonts w:asciiTheme="minorEastAsia" w:hAnsiTheme="minorEastAsia" w:eastAsiaTheme="minorEastAsia"/>
          <w:lang w:eastAsia="zh-CN"/>
        </w:rPr>
        <w:t>mg/Nm</w:t>
      </w:r>
      <w:r>
        <w:rPr>
          <w:rFonts w:asciiTheme="minorEastAsia" w:hAnsiTheme="minorEastAsia" w:eastAsiaTheme="minorEastAsia"/>
          <w:vertAlign w:val="superscript"/>
          <w:lang w:eastAsia="zh-CN"/>
        </w:rPr>
        <w:t>3</w:t>
      </w:r>
    </w:p>
    <w:p w14:paraId="47CC58C6">
      <w:pPr>
        <w:ind w:firstLine="480"/>
        <w:rPr>
          <w:rFonts w:asciiTheme="minorEastAsia" w:hAnsiTheme="minorEastAsia" w:eastAsiaTheme="minorEastAsia"/>
          <w:lang w:eastAsia="zh-CN"/>
        </w:rPr>
      </w:pPr>
      <w:r>
        <w:rPr>
          <w:rFonts w:asciiTheme="minorEastAsia" w:hAnsiTheme="minorEastAsia" w:eastAsiaTheme="minorEastAsia"/>
          <w:lang w:eastAsia="zh-CN"/>
        </w:rPr>
        <w:t>氮氧化物排放量=</w:t>
      </w:r>
      <w:r>
        <w:rPr>
          <w:rFonts w:hint="eastAsia" w:asciiTheme="minorEastAsia" w:hAnsiTheme="minorEastAsia" w:eastAsiaTheme="minorEastAsia"/>
          <w:lang w:eastAsia="zh-CN"/>
        </w:rPr>
        <w:t>2.02</w:t>
      </w:r>
      <w:r>
        <w:rPr>
          <w:rFonts w:asciiTheme="minorEastAsia" w:hAnsiTheme="minorEastAsia" w:eastAsiaTheme="minorEastAsia"/>
          <w:lang w:eastAsia="zh-CN"/>
        </w:rPr>
        <w:t>×</w:t>
      </w:r>
      <w:r>
        <w:rPr>
          <w:rFonts w:hint="eastAsia" w:asciiTheme="minorEastAsia" w:hAnsiTheme="minorEastAsia" w:eastAsiaTheme="minorEastAsia"/>
          <w:lang w:eastAsia="zh-CN"/>
        </w:rPr>
        <w:t>10</w:t>
      </w:r>
      <w:r>
        <w:rPr>
          <w:rFonts w:hint="eastAsia" w:asciiTheme="minorEastAsia" w:hAnsiTheme="minorEastAsia" w:eastAsiaTheme="minorEastAsia"/>
          <w:vertAlign w:val="superscript"/>
          <w:lang w:eastAsia="zh-CN"/>
        </w:rPr>
        <w:t>4</w:t>
      </w:r>
      <w:r>
        <w:rPr>
          <w:rFonts w:asciiTheme="minorEastAsia" w:hAnsiTheme="minorEastAsia" w:eastAsiaTheme="minorEastAsia"/>
          <w:lang w:eastAsia="zh-CN"/>
        </w:rPr>
        <w:t>×</w:t>
      </w:r>
      <w:r>
        <w:rPr>
          <w:rFonts w:hint="eastAsia" w:asciiTheme="minorEastAsia" w:hAnsiTheme="minorEastAsia" w:eastAsiaTheme="minorEastAsia"/>
          <w:lang w:eastAsia="zh-CN"/>
        </w:rPr>
        <w:t>365</w:t>
      </w:r>
      <w:r>
        <w:rPr>
          <w:rFonts w:asciiTheme="minorEastAsia" w:hAnsiTheme="minorEastAsia" w:eastAsiaTheme="minorEastAsia"/>
          <w:lang w:eastAsia="zh-CN"/>
        </w:rPr>
        <w:t>×</w:t>
      </w:r>
      <w:r>
        <w:rPr>
          <w:rFonts w:hint="eastAsia" w:asciiTheme="minorEastAsia" w:hAnsiTheme="minorEastAsia" w:eastAsiaTheme="minorEastAsia"/>
          <w:lang w:eastAsia="zh-CN"/>
        </w:rPr>
        <w:t>0.0205</w:t>
      </w:r>
      <w:r>
        <w:rPr>
          <w:rFonts w:asciiTheme="minorEastAsia" w:hAnsiTheme="minorEastAsia" w:eastAsiaTheme="minorEastAsia"/>
          <w:lang w:eastAsia="zh-CN"/>
        </w:rPr>
        <w:t>×</w:t>
      </w:r>
      <w:r>
        <w:rPr>
          <w:rFonts w:hint="eastAsia" w:asciiTheme="minorEastAsia" w:hAnsiTheme="minorEastAsia" w:eastAsiaTheme="minorEastAsia"/>
          <w:lang w:eastAsia="zh-CN"/>
        </w:rPr>
        <w:t>9.82</w:t>
      </w:r>
      <w:r>
        <w:rPr>
          <w:rFonts w:asciiTheme="minorEastAsia" w:hAnsiTheme="minorEastAsia" w:eastAsiaTheme="minorEastAsia"/>
          <w:lang w:eastAsia="zh-CN"/>
        </w:rPr>
        <w:t>÷</w:t>
      </w:r>
      <w:r>
        <w:rPr>
          <w:rFonts w:hint="eastAsia" w:asciiTheme="minorEastAsia" w:hAnsiTheme="minorEastAsia" w:eastAsiaTheme="minorEastAsia"/>
          <w:lang w:eastAsia="zh-CN"/>
        </w:rPr>
        <w:t>1.0</w:t>
      </w:r>
      <w:r>
        <w:rPr>
          <w:rFonts w:asciiTheme="minorEastAsia" w:hAnsiTheme="minorEastAsia" w:eastAsiaTheme="minorEastAsia"/>
          <w:lang w:eastAsia="zh-CN"/>
        </w:rPr>
        <w:t>×</w:t>
      </w:r>
      <w:r>
        <w:rPr>
          <w:rFonts w:hint="eastAsia" w:asciiTheme="minorEastAsia" w:hAnsiTheme="minorEastAsia" w:eastAsiaTheme="minorEastAsia"/>
          <w:lang w:eastAsia="zh-CN"/>
        </w:rPr>
        <w:t>10</w:t>
      </w:r>
      <w:r>
        <w:rPr>
          <w:rFonts w:hint="eastAsia" w:asciiTheme="minorEastAsia" w:hAnsiTheme="minorEastAsia" w:eastAsiaTheme="minorEastAsia"/>
          <w:vertAlign w:val="superscript"/>
          <w:lang w:eastAsia="zh-CN"/>
        </w:rPr>
        <w:t>6</w:t>
      </w:r>
      <w:r>
        <w:rPr>
          <w:rFonts w:asciiTheme="minorEastAsia" w:hAnsiTheme="minorEastAsia" w:eastAsiaTheme="minorEastAsia"/>
          <w:lang w:eastAsia="zh-CN"/>
        </w:rPr>
        <w:t>=</w:t>
      </w:r>
      <w:r>
        <w:rPr>
          <w:rFonts w:hint="eastAsia" w:asciiTheme="minorEastAsia" w:hAnsiTheme="minorEastAsia" w:eastAsiaTheme="minorEastAsia"/>
          <w:lang w:eastAsia="zh-CN"/>
        </w:rPr>
        <w:t>1.484</w:t>
      </w:r>
      <w:r>
        <w:rPr>
          <w:rFonts w:asciiTheme="minorEastAsia" w:hAnsiTheme="minorEastAsia" w:eastAsiaTheme="minorEastAsia"/>
          <w:lang w:eastAsia="zh-CN"/>
        </w:rPr>
        <w:t>t/a</w:t>
      </w:r>
    </w:p>
    <w:p w14:paraId="5FC69B67">
      <w:pPr>
        <w:ind w:firstLine="480"/>
        <w:rPr>
          <w:rFonts w:asciiTheme="minorEastAsia" w:hAnsiTheme="minorEastAsia" w:eastAsiaTheme="minorEastAsia"/>
          <w:lang w:eastAsia="zh-CN"/>
        </w:rPr>
      </w:pPr>
      <w:r>
        <w:rPr>
          <w:rFonts w:asciiTheme="minorEastAsia" w:hAnsiTheme="minorEastAsia" w:eastAsiaTheme="minorEastAsia"/>
          <w:lang w:eastAsia="zh-CN"/>
        </w:rPr>
        <w:t>氮氧化物排放浓度=</w:t>
      </w:r>
      <w:r>
        <w:rPr>
          <w:rFonts w:hint="eastAsia" w:asciiTheme="minorEastAsia" w:hAnsiTheme="minorEastAsia" w:eastAsiaTheme="minorEastAsia"/>
          <w:lang w:eastAsia="zh-CN"/>
        </w:rPr>
        <w:t>1.484</w:t>
      </w:r>
      <w:r>
        <w:rPr>
          <w:rFonts w:asciiTheme="minorEastAsia" w:hAnsiTheme="minorEastAsia" w:eastAsiaTheme="minorEastAsia"/>
          <w:lang w:eastAsia="zh-CN"/>
        </w:rPr>
        <w:t>t/a÷</w:t>
      </w:r>
      <w:r>
        <w:rPr>
          <w:rFonts w:hint="eastAsia" w:asciiTheme="minorEastAsia" w:hAnsiTheme="minorEastAsia" w:eastAsiaTheme="minorEastAsia"/>
          <w:lang w:eastAsia="zh-CN"/>
        </w:rPr>
        <w:t>18100.72</w:t>
      </w:r>
      <w:r>
        <w:rPr>
          <w:rFonts w:asciiTheme="minorEastAsia" w:hAnsiTheme="minorEastAsia" w:eastAsiaTheme="minorEastAsia"/>
          <w:lang w:eastAsia="zh-CN"/>
        </w:rPr>
        <w:t>×10</w:t>
      </w:r>
      <w:r>
        <w:rPr>
          <w:rFonts w:asciiTheme="minorEastAsia" w:hAnsiTheme="minorEastAsia" w:eastAsiaTheme="minorEastAsia"/>
          <w:vertAlign w:val="superscript"/>
          <w:lang w:eastAsia="zh-CN"/>
        </w:rPr>
        <w:t>4</w:t>
      </w:r>
      <w:r>
        <w:rPr>
          <w:rFonts w:asciiTheme="minorEastAsia" w:hAnsiTheme="minorEastAsia" w:eastAsiaTheme="minorEastAsia"/>
          <w:lang w:eastAsia="zh-CN"/>
        </w:rPr>
        <w:t>Nm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 xml:space="preserve">/a </w:t>
      </w:r>
      <w:r>
        <w:rPr>
          <w:rFonts w:hint="eastAsia" w:asciiTheme="minorEastAsia" w:hAnsiTheme="minorEastAsia" w:eastAsiaTheme="minorEastAsia"/>
          <w:lang w:eastAsia="zh-CN"/>
        </w:rPr>
        <w:t>=8.20</w:t>
      </w:r>
      <w:r>
        <w:rPr>
          <w:rFonts w:asciiTheme="minorEastAsia" w:hAnsiTheme="minorEastAsia" w:eastAsiaTheme="minorEastAsia"/>
          <w:lang w:eastAsia="zh-CN"/>
        </w:rPr>
        <w:t>mg/Nm</w:t>
      </w:r>
      <w:r>
        <w:rPr>
          <w:rFonts w:asciiTheme="minorEastAsia" w:hAnsiTheme="minorEastAsia" w:eastAsiaTheme="minorEastAsia"/>
          <w:vertAlign w:val="superscript"/>
          <w:lang w:eastAsia="zh-CN"/>
        </w:rPr>
        <w:t>3</w:t>
      </w:r>
    </w:p>
    <w:p w14:paraId="74593B1E">
      <w:pPr>
        <w:ind w:firstLine="480"/>
        <w:outlineLvl w:val="0"/>
        <w:rPr>
          <w:rFonts w:asciiTheme="minorEastAsia" w:hAnsiTheme="minorEastAsia" w:eastAsiaTheme="minorEastAsia"/>
          <w:lang w:eastAsia="zh-CN"/>
        </w:rPr>
      </w:pPr>
      <w:r>
        <w:rPr>
          <w:rFonts w:hint="eastAsia" w:asciiTheme="minorEastAsia" w:hAnsiTheme="minorEastAsia" w:eastAsiaTheme="minorEastAsia"/>
          <w:lang w:eastAsia="zh-CN"/>
        </w:rPr>
        <w:t>（2）加热炉</w:t>
      </w:r>
    </w:p>
    <w:p w14:paraId="6D04C6AC">
      <w:pPr>
        <w:ind w:firstLine="480"/>
        <w:rPr>
          <w:rFonts w:asciiTheme="minorEastAsia" w:hAnsiTheme="minorEastAsia" w:eastAsiaTheme="minorEastAsia"/>
          <w:lang w:eastAsia="zh-CN"/>
        </w:rPr>
      </w:pPr>
      <w:r>
        <w:rPr>
          <w:rFonts w:asciiTheme="minorEastAsia" w:hAnsiTheme="minorEastAsia" w:eastAsiaTheme="minorEastAsia"/>
          <w:lang w:eastAsia="zh-CN"/>
        </w:rPr>
        <w:t>废气量=</w:t>
      </w:r>
      <w:r>
        <w:rPr>
          <w:rFonts w:hint="eastAsia" w:asciiTheme="minorEastAsia" w:hAnsiTheme="minorEastAsia" w:eastAsiaTheme="minorEastAsia"/>
          <w:lang w:eastAsia="zh-CN"/>
        </w:rPr>
        <w:t>0.98</w:t>
      </w:r>
      <w:r>
        <w:rPr>
          <w:rFonts w:asciiTheme="minorEastAsia" w:hAnsiTheme="minorEastAsia" w:eastAsiaTheme="minorEastAsia"/>
          <w:lang w:eastAsia="zh-CN"/>
        </w:rPr>
        <w:t>×</w:t>
      </w:r>
      <w:r>
        <w:rPr>
          <w:rFonts w:hint="eastAsia" w:asciiTheme="minorEastAsia" w:hAnsiTheme="minorEastAsia" w:eastAsiaTheme="minorEastAsia"/>
          <w:lang w:eastAsia="zh-CN"/>
        </w:rPr>
        <w:t>365</w:t>
      </w:r>
      <w:r>
        <w:rPr>
          <w:rFonts w:asciiTheme="minorEastAsia" w:hAnsiTheme="minorEastAsia" w:eastAsiaTheme="minorEastAsia"/>
          <w:lang w:eastAsia="zh-CN"/>
        </w:rPr>
        <w:t>×</w:t>
      </w:r>
      <w:r>
        <w:rPr>
          <w:rFonts w:hint="eastAsia" w:asciiTheme="minorEastAsia" w:hAnsiTheme="minorEastAsia" w:eastAsiaTheme="minorEastAsia"/>
          <w:lang w:eastAsia="zh-CN"/>
        </w:rPr>
        <w:t>136259.17</w:t>
      </w:r>
      <w:r>
        <w:rPr>
          <w:rFonts w:asciiTheme="minorEastAsia" w:hAnsiTheme="minorEastAsia" w:eastAsiaTheme="minorEastAsia"/>
          <w:lang w:eastAsia="zh-CN"/>
        </w:rPr>
        <w:t>=</w:t>
      </w:r>
      <w:r>
        <w:rPr>
          <w:rFonts w:hint="eastAsia" w:asciiTheme="minorEastAsia" w:hAnsiTheme="minorEastAsia" w:eastAsiaTheme="minorEastAsia"/>
          <w:lang w:eastAsia="zh-CN"/>
        </w:rPr>
        <w:t>4873.99</w:t>
      </w:r>
      <w:r>
        <w:rPr>
          <w:rFonts w:asciiTheme="minorEastAsia" w:hAnsiTheme="minorEastAsia" w:eastAsiaTheme="minorEastAsia"/>
          <w:lang w:eastAsia="zh-CN"/>
        </w:rPr>
        <w:t>×104Nm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/a</w:t>
      </w:r>
    </w:p>
    <w:p w14:paraId="1FCF5694">
      <w:pPr>
        <w:ind w:firstLine="480"/>
        <w:rPr>
          <w:rFonts w:asciiTheme="minorEastAsia" w:hAnsiTheme="minorEastAsia" w:eastAsiaTheme="minorEastAsia"/>
          <w:lang w:eastAsia="zh-CN"/>
        </w:rPr>
      </w:pPr>
      <w:r>
        <w:rPr>
          <w:rFonts w:asciiTheme="minorEastAsia" w:hAnsiTheme="minorEastAsia" w:eastAsiaTheme="minorEastAsia"/>
          <w:lang w:eastAsia="zh-CN"/>
        </w:rPr>
        <w:t>氮氧化物排放量=</w:t>
      </w:r>
      <w:r>
        <w:rPr>
          <w:rFonts w:hint="eastAsia" w:asciiTheme="minorEastAsia" w:hAnsiTheme="minorEastAsia" w:eastAsiaTheme="minorEastAsia"/>
          <w:lang w:eastAsia="zh-CN"/>
        </w:rPr>
        <w:t>0.98</w:t>
      </w:r>
      <w:r>
        <w:rPr>
          <w:rFonts w:asciiTheme="minorEastAsia" w:hAnsiTheme="minorEastAsia" w:eastAsiaTheme="minorEastAsia"/>
          <w:lang w:eastAsia="zh-CN"/>
        </w:rPr>
        <w:t>×</w:t>
      </w:r>
      <w:r>
        <w:rPr>
          <w:rFonts w:hint="eastAsia" w:asciiTheme="minorEastAsia" w:hAnsiTheme="minorEastAsia" w:eastAsiaTheme="minorEastAsia"/>
          <w:lang w:eastAsia="zh-CN"/>
        </w:rPr>
        <w:t>365</w:t>
      </w:r>
      <w:r>
        <w:rPr>
          <w:rFonts w:asciiTheme="minorEastAsia" w:hAnsiTheme="minorEastAsia" w:eastAsiaTheme="minorEastAsia"/>
          <w:lang w:eastAsia="zh-CN"/>
        </w:rPr>
        <w:t>×</w:t>
      </w:r>
      <w:r>
        <w:rPr>
          <w:rFonts w:hint="eastAsia" w:asciiTheme="minorEastAsia" w:hAnsiTheme="minorEastAsia" w:eastAsiaTheme="minorEastAsia"/>
          <w:lang w:eastAsia="zh-CN"/>
        </w:rPr>
        <w:t>0.0205</w:t>
      </w:r>
      <w:r>
        <w:rPr>
          <w:rFonts w:asciiTheme="minorEastAsia" w:hAnsiTheme="minorEastAsia" w:eastAsiaTheme="minorEastAsia"/>
          <w:lang w:eastAsia="zh-CN"/>
        </w:rPr>
        <w:t>×</w:t>
      </w:r>
      <w:r>
        <w:rPr>
          <w:rFonts w:hint="eastAsia" w:asciiTheme="minorEastAsia" w:hAnsiTheme="minorEastAsia" w:eastAsiaTheme="minorEastAsia"/>
          <w:lang w:eastAsia="zh-CN"/>
        </w:rPr>
        <w:t>18.71</w:t>
      </w:r>
      <w:r>
        <w:rPr>
          <w:rFonts w:asciiTheme="minorEastAsia" w:hAnsiTheme="minorEastAsia" w:eastAsiaTheme="minorEastAsia"/>
          <w:lang w:eastAsia="zh-CN"/>
        </w:rPr>
        <w:t>÷1000=</w:t>
      </w:r>
      <w:r>
        <w:rPr>
          <w:rFonts w:hint="eastAsia" w:asciiTheme="minorEastAsia" w:hAnsiTheme="minorEastAsia" w:eastAsiaTheme="minorEastAsia"/>
          <w:lang w:eastAsia="zh-CN"/>
        </w:rPr>
        <w:t>0.137</w:t>
      </w:r>
      <w:r>
        <w:rPr>
          <w:rFonts w:asciiTheme="minorEastAsia" w:hAnsiTheme="minorEastAsia" w:eastAsiaTheme="minorEastAsia"/>
          <w:lang w:eastAsia="zh-CN"/>
        </w:rPr>
        <w:t>t/a</w:t>
      </w:r>
    </w:p>
    <w:p w14:paraId="3037E7CC">
      <w:pPr>
        <w:ind w:firstLine="480"/>
        <w:rPr>
          <w:rFonts w:asciiTheme="minorEastAsia" w:hAnsiTheme="minorEastAsia" w:eastAsiaTheme="minorEastAsia"/>
          <w:lang w:eastAsia="zh-CN"/>
        </w:rPr>
      </w:pPr>
      <w:r>
        <w:rPr>
          <w:rFonts w:asciiTheme="minorEastAsia" w:hAnsiTheme="minorEastAsia" w:eastAsiaTheme="minorEastAsia"/>
          <w:lang w:eastAsia="zh-CN"/>
        </w:rPr>
        <w:t>氮氧化物排放浓度=</w:t>
      </w:r>
      <w:r>
        <w:rPr>
          <w:rFonts w:hint="eastAsia" w:asciiTheme="minorEastAsia" w:hAnsiTheme="minorEastAsia" w:eastAsiaTheme="minorEastAsia"/>
          <w:lang w:eastAsia="zh-CN"/>
        </w:rPr>
        <w:t>0.137</w:t>
      </w:r>
      <w:r>
        <w:rPr>
          <w:rFonts w:asciiTheme="minorEastAsia" w:hAnsiTheme="minorEastAsia" w:eastAsiaTheme="minorEastAsia"/>
          <w:lang w:eastAsia="zh-CN"/>
        </w:rPr>
        <w:t>t/a÷</w:t>
      </w:r>
      <w:r>
        <w:rPr>
          <w:rFonts w:hint="eastAsia" w:asciiTheme="minorEastAsia" w:hAnsiTheme="minorEastAsia" w:eastAsiaTheme="minorEastAsia"/>
          <w:lang w:eastAsia="zh-CN"/>
        </w:rPr>
        <w:t>4873.99</w:t>
      </w:r>
      <w:r>
        <w:rPr>
          <w:rFonts w:asciiTheme="minorEastAsia" w:hAnsiTheme="minorEastAsia" w:eastAsiaTheme="minorEastAsia"/>
          <w:lang w:eastAsia="zh-CN"/>
        </w:rPr>
        <w:t>×10</w:t>
      </w:r>
      <w:r>
        <w:rPr>
          <w:rFonts w:asciiTheme="minorEastAsia" w:hAnsiTheme="minorEastAsia" w:eastAsiaTheme="minorEastAsia"/>
          <w:vertAlign w:val="superscript"/>
          <w:lang w:eastAsia="zh-CN"/>
        </w:rPr>
        <w:t>4</w:t>
      </w:r>
      <w:r>
        <w:rPr>
          <w:rFonts w:asciiTheme="minorEastAsia" w:hAnsiTheme="minorEastAsia" w:eastAsiaTheme="minorEastAsia"/>
          <w:lang w:eastAsia="zh-CN"/>
        </w:rPr>
        <w:t>Nm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 xml:space="preserve">/a </w:t>
      </w:r>
      <w:r>
        <w:rPr>
          <w:rFonts w:hint="eastAsia" w:asciiTheme="minorEastAsia" w:hAnsiTheme="minorEastAsia" w:eastAsiaTheme="minorEastAsia"/>
          <w:lang w:eastAsia="zh-CN"/>
        </w:rPr>
        <w:t>=2.81</w:t>
      </w:r>
      <w:r>
        <w:rPr>
          <w:rFonts w:asciiTheme="minorEastAsia" w:hAnsiTheme="minorEastAsia" w:eastAsiaTheme="minorEastAsia"/>
          <w:lang w:eastAsia="zh-CN"/>
        </w:rPr>
        <w:t>mg/Nm</w:t>
      </w:r>
      <w:r>
        <w:rPr>
          <w:rFonts w:asciiTheme="minorEastAsia" w:hAnsiTheme="minorEastAsia" w:eastAsiaTheme="minorEastAsia"/>
          <w:vertAlign w:val="superscript"/>
          <w:lang w:eastAsia="zh-CN"/>
        </w:rPr>
        <w:t>3</w:t>
      </w:r>
    </w:p>
    <w:p w14:paraId="59573196">
      <w:pPr>
        <w:ind w:firstLine="480"/>
        <w:outlineLvl w:val="0"/>
        <w:rPr>
          <w:rFonts w:asciiTheme="minorEastAsia" w:hAnsiTheme="minorEastAsia" w:eastAsiaTheme="minorEastAsia"/>
          <w:lang w:eastAsia="zh-CN"/>
        </w:rPr>
      </w:pPr>
      <w:r>
        <w:rPr>
          <w:rFonts w:hint="eastAsia" w:asciiTheme="minorEastAsia" w:hAnsiTheme="minorEastAsia" w:eastAsiaTheme="minorEastAsia"/>
          <w:lang w:eastAsia="zh-CN"/>
        </w:rPr>
        <w:t>（3）</w:t>
      </w:r>
      <w:r>
        <w:rPr>
          <w:rFonts w:asciiTheme="minorEastAsia" w:hAnsiTheme="minorEastAsia" w:eastAsiaTheme="minorEastAsia"/>
          <w:lang w:eastAsia="zh-CN"/>
        </w:rPr>
        <w:t>总排放</w:t>
      </w:r>
    </w:p>
    <w:p w14:paraId="48B66B68">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废</w:t>
      </w:r>
      <w:r>
        <w:rPr>
          <w:rFonts w:asciiTheme="minorEastAsia" w:hAnsiTheme="minorEastAsia" w:eastAsiaTheme="minorEastAsia"/>
          <w:lang w:eastAsia="zh-CN"/>
        </w:rPr>
        <w:t>气</w:t>
      </w:r>
      <w:r>
        <w:rPr>
          <w:rFonts w:hint="eastAsia" w:asciiTheme="minorEastAsia" w:hAnsiTheme="minorEastAsia" w:eastAsiaTheme="minorEastAsia"/>
          <w:lang w:eastAsia="zh-CN"/>
        </w:rPr>
        <w:t>排放</w:t>
      </w:r>
      <w:r>
        <w:rPr>
          <w:rFonts w:asciiTheme="minorEastAsia" w:hAnsiTheme="minorEastAsia" w:eastAsiaTheme="minorEastAsia"/>
          <w:lang w:eastAsia="zh-CN"/>
        </w:rPr>
        <w:t>量</w:t>
      </w:r>
      <w:r>
        <w:rPr>
          <w:rFonts w:hint="eastAsia" w:asciiTheme="minorEastAsia" w:hAnsiTheme="minorEastAsia" w:eastAsiaTheme="minorEastAsia"/>
          <w:lang w:eastAsia="zh-CN"/>
        </w:rPr>
        <w:t>=18100.72</w:t>
      </w:r>
      <w:r>
        <w:rPr>
          <w:rFonts w:asciiTheme="minorEastAsia" w:hAnsiTheme="minorEastAsia" w:eastAsiaTheme="minorEastAsia"/>
          <w:lang w:eastAsia="zh-CN"/>
        </w:rPr>
        <w:t>×10</w:t>
      </w:r>
      <w:r>
        <w:rPr>
          <w:rFonts w:asciiTheme="minorEastAsia" w:hAnsiTheme="minorEastAsia" w:eastAsiaTheme="minorEastAsia"/>
          <w:vertAlign w:val="superscript"/>
          <w:lang w:eastAsia="zh-CN"/>
        </w:rPr>
        <w:t>4</w:t>
      </w:r>
      <w:r>
        <w:rPr>
          <w:rFonts w:asciiTheme="minorEastAsia" w:hAnsiTheme="minorEastAsia" w:eastAsiaTheme="minorEastAsia"/>
          <w:lang w:eastAsia="zh-CN"/>
        </w:rPr>
        <w:t>Nm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/a</w:t>
      </w:r>
      <w:r>
        <w:rPr>
          <w:rFonts w:hint="eastAsia" w:asciiTheme="minorEastAsia" w:hAnsiTheme="minorEastAsia" w:eastAsiaTheme="minorEastAsia"/>
          <w:lang w:eastAsia="zh-CN"/>
        </w:rPr>
        <w:t xml:space="preserve"> +4873.99</w:t>
      </w:r>
      <w:r>
        <w:rPr>
          <w:rFonts w:asciiTheme="minorEastAsia" w:hAnsiTheme="minorEastAsia" w:eastAsiaTheme="minorEastAsia"/>
          <w:lang w:eastAsia="zh-CN"/>
        </w:rPr>
        <w:t>×10</w:t>
      </w:r>
      <w:r>
        <w:rPr>
          <w:rFonts w:asciiTheme="minorEastAsia" w:hAnsiTheme="minorEastAsia" w:eastAsiaTheme="minorEastAsia"/>
          <w:vertAlign w:val="superscript"/>
          <w:lang w:eastAsia="zh-CN"/>
        </w:rPr>
        <w:t>4</w:t>
      </w:r>
      <w:r>
        <w:rPr>
          <w:rFonts w:asciiTheme="minorEastAsia" w:hAnsiTheme="minorEastAsia" w:eastAsiaTheme="minorEastAsia"/>
          <w:lang w:eastAsia="zh-CN"/>
        </w:rPr>
        <w:t>Nm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 xml:space="preserve">/a </w:t>
      </w:r>
      <w:r>
        <w:rPr>
          <w:rFonts w:hint="eastAsia" w:asciiTheme="minorEastAsia" w:hAnsiTheme="minorEastAsia" w:eastAsiaTheme="minorEastAsia"/>
          <w:lang w:eastAsia="zh-CN"/>
        </w:rPr>
        <w:t>=22974.71</w:t>
      </w:r>
      <w:r>
        <w:rPr>
          <w:rFonts w:asciiTheme="minorEastAsia" w:hAnsiTheme="minorEastAsia" w:eastAsiaTheme="minorEastAsia"/>
          <w:lang w:eastAsia="zh-CN"/>
        </w:rPr>
        <w:t>×10</w:t>
      </w:r>
      <w:r>
        <w:rPr>
          <w:rFonts w:asciiTheme="minorEastAsia" w:hAnsiTheme="minorEastAsia" w:eastAsiaTheme="minorEastAsia"/>
          <w:vertAlign w:val="superscript"/>
          <w:lang w:eastAsia="zh-CN"/>
        </w:rPr>
        <w:t>4</w:t>
      </w:r>
      <w:r>
        <w:rPr>
          <w:rFonts w:asciiTheme="minorEastAsia" w:hAnsiTheme="minorEastAsia" w:eastAsiaTheme="minorEastAsia"/>
          <w:lang w:eastAsia="zh-CN"/>
        </w:rPr>
        <w:t>Nm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/a</w:t>
      </w:r>
    </w:p>
    <w:p w14:paraId="44047455">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二氧化硫</w:t>
      </w:r>
      <w:r>
        <w:rPr>
          <w:rFonts w:asciiTheme="minorEastAsia" w:hAnsiTheme="minorEastAsia" w:eastAsiaTheme="minorEastAsia"/>
          <w:lang w:eastAsia="zh-CN"/>
        </w:rPr>
        <w:t>排放</w:t>
      </w:r>
      <w:r>
        <w:rPr>
          <w:rFonts w:hint="eastAsia" w:asciiTheme="minorEastAsia" w:hAnsiTheme="minorEastAsia" w:eastAsiaTheme="minorEastAsia"/>
          <w:lang w:eastAsia="zh-CN"/>
        </w:rPr>
        <w:t>总</w:t>
      </w:r>
      <w:r>
        <w:rPr>
          <w:rFonts w:asciiTheme="minorEastAsia" w:hAnsiTheme="minorEastAsia" w:eastAsiaTheme="minorEastAsia"/>
          <w:lang w:eastAsia="zh-CN"/>
        </w:rPr>
        <w:t>量=</w:t>
      </w:r>
      <w:r>
        <w:rPr>
          <w:rFonts w:hint="eastAsia" w:asciiTheme="minorEastAsia" w:hAnsiTheme="minorEastAsia" w:eastAsiaTheme="minorEastAsia"/>
          <w:lang w:eastAsia="zh-CN"/>
        </w:rPr>
        <w:t>0.52</w:t>
      </w:r>
      <w:r>
        <w:rPr>
          <w:rFonts w:asciiTheme="minorEastAsia" w:hAnsiTheme="minorEastAsia" w:eastAsiaTheme="minorEastAsia"/>
          <w:lang w:eastAsia="zh-CN"/>
        </w:rPr>
        <w:t>t/a</w:t>
      </w:r>
    </w:p>
    <w:p w14:paraId="07EA62A6">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烟尘排放总量=0.77</w:t>
      </w:r>
      <w:r>
        <w:rPr>
          <w:rFonts w:asciiTheme="minorEastAsia" w:hAnsiTheme="minorEastAsia" w:eastAsiaTheme="minorEastAsia"/>
          <w:lang w:eastAsia="zh-CN"/>
        </w:rPr>
        <w:t>t /a</w:t>
      </w:r>
    </w:p>
    <w:p w14:paraId="1EAD4402">
      <w:pPr>
        <w:ind w:firstLine="480"/>
        <w:rPr>
          <w:rFonts w:asciiTheme="minorEastAsia" w:hAnsiTheme="minorEastAsia" w:eastAsiaTheme="minorEastAsia"/>
          <w:lang w:eastAsia="zh-CN"/>
        </w:rPr>
      </w:pPr>
      <w:r>
        <w:rPr>
          <w:rFonts w:asciiTheme="minorEastAsia" w:hAnsiTheme="minorEastAsia" w:eastAsiaTheme="minorEastAsia"/>
          <w:lang w:eastAsia="zh-CN"/>
        </w:rPr>
        <w:t>氮氧化物排放</w:t>
      </w:r>
      <w:r>
        <w:rPr>
          <w:rFonts w:hint="eastAsia" w:asciiTheme="minorEastAsia" w:hAnsiTheme="minorEastAsia" w:eastAsiaTheme="minorEastAsia"/>
          <w:lang w:eastAsia="zh-CN"/>
        </w:rPr>
        <w:t>总</w:t>
      </w:r>
      <w:r>
        <w:rPr>
          <w:rFonts w:asciiTheme="minorEastAsia" w:hAnsiTheme="minorEastAsia" w:eastAsiaTheme="minorEastAsia"/>
          <w:lang w:eastAsia="zh-CN"/>
        </w:rPr>
        <w:t>量=</w:t>
      </w:r>
      <w:r>
        <w:rPr>
          <w:rFonts w:hint="eastAsia" w:asciiTheme="minorEastAsia" w:hAnsiTheme="minorEastAsia" w:eastAsiaTheme="minorEastAsia"/>
          <w:lang w:eastAsia="zh-CN"/>
        </w:rPr>
        <w:t>1.484</w:t>
      </w:r>
      <w:r>
        <w:rPr>
          <w:rFonts w:asciiTheme="minorEastAsia" w:hAnsiTheme="minorEastAsia" w:eastAsiaTheme="minorEastAsia"/>
          <w:lang w:eastAsia="zh-CN"/>
        </w:rPr>
        <w:t>t/a +</w:t>
      </w:r>
      <w:r>
        <w:rPr>
          <w:rFonts w:hint="eastAsia" w:asciiTheme="minorEastAsia" w:hAnsiTheme="minorEastAsia" w:eastAsiaTheme="minorEastAsia"/>
          <w:lang w:eastAsia="zh-CN"/>
        </w:rPr>
        <w:t>0.137</w:t>
      </w:r>
      <w:r>
        <w:rPr>
          <w:rFonts w:asciiTheme="minorEastAsia" w:hAnsiTheme="minorEastAsia" w:eastAsiaTheme="minorEastAsia"/>
          <w:lang w:eastAsia="zh-CN"/>
        </w:rPr>
        <w:t>t/a=</w:t>
      </w:r>
      <w:r>
        <w:rPr>
          <w:rFonts w:hint="eastAsia" w:asciiTheme="minorEastAsia" w:hAnsiTheme="minorEastAsia" w:eastAsiaTheme="minorEastAsia"/>
          <w:lang w:eastAsia="zh-CN"/>
        </w:rPr>
        <w:t>1.621</w:t>
      </w:r>
      <w:r>
        <w:rPr>
          <w:rFonts w:asciiTheme="minorEastAsia" w:hAnsiTheme="minorEastAsia" w:eastAsiaTheme="minorEastAsia"/>
          <w:lang w:eastAsia="zh-CN"/>
        </w:rPr>
        <w:t xml:space="preserve"> t /a</w:t>
      </w:r>
    </w:p>
    <w:p w14:paraId="10162F17">
      <w:pPr>
        <w:ind w:firstLine="480"/>
        <w:rPr>
          <w:rFonts w:asciiTheme="minorEastAsia" w:hAnsiTheme="minorEastAsia" w:eastAsiaTheme="minorEastAsia"/>
          <w:lang w:eastAsia="zh-CN"/>
        </w:rPr>
      </w:pPr>
      <w:r>
        <w:rPr>
          <w:rFonts w:asciiTheme="minorEastAsia" w:hAnsiTheme="minorEastAsia" w:eastAsiaTheme="minorEastAsia"/>
          <w:lang w:eastAsia="zh-CN"/>
        </w:rPr>
        <w:t>综上所述，</w:t>
      </w:r>
      <w:r>
        <w:rPr>
          <w:rFonts w:hint="eastAsia" w:asciiTheme="minorEastAsia" w:hAnsiTheme="minorEastAsia" w:eastAsiaTheme="minorEastAsia"/>
          <w:lang w:eastAsia="zh-CN"/>
        </w:rPr>
        <w:t>雅斯联合站加热炉和燃气发电机组</w:t>
      </w:r>
      <w:r>
        <w:rPr>
          <w:rFonts w:asciiTheme="minorEastAsia" w:hAnsiTheme="minorEastAsia" w:eastAsiaTheme="minorEastAsia"/>
          <w:lang w:eastAsia="zh-CN"/>
        </w:rPr>
        <w:t>每年</w:t>
      </w:r>
      <w:r>
        <w:rPr>
          <w:rFonts w:hint="eastAsia" w:asciiTheme="minorEastAsia" w:hAnsiTheme="minorEastAsia" w:eastAsiaTheme="minorEastAsia"/>
          <w:lang w:eastAsia="zh-CN"/>
        </w:rPr>
        <w:t>耗燃气量1095</w:t>
      </w:r>
      <w:r>
        <w:rPr>
          <w:rFonts w:asciiTheme="minorEastAsia" w:hAnsiTheme="minorEastAsia" w:eastAsiaTheme="minorEastAsia"/>
          <w:lang w:eastAsia="zh-CN"/>
        </w:rPr>
        <w:t>×</w:t>
      </w:r>
      <w:r>
        <w:rPr>
          <w:rFonts w:hint="eastAsia" w:asciiTheme="minorEastAsia" w:hAnsiTheme="minorEastAsia" w:eastAsiaTheme="minorEastAsia"/>
          <w:lang w:eastAsia="zh-CN"/>
        </w:rPr>
        <w:t>10</w:t>
      </w:r>
      <w:r>
        <w:rPr>
          <w:rFonts w:hint="eastAsia" w:asciiTheme="minorEastAsia" w:hAnsiTheme="minorEastAsia" w:eastAsiaTheme="minorEastAsia"/>
          <w:vertAlign w:val="superscript"/>
          <w:lang w:eastAsia="zh-CN"/>
        </w:rPr>
        <w:t>4</w:t>
      </w:r>
      <w:r>
        <w:rPr>
          <w:rFonts w:hint="eastAsia" w:asciiTheme="minorEastAsia" w:hAnsiTheme="minorEastAsia" w:eastAsiaTheme="minorEastAsia"/>
          <w:lang w:eastAsia="zh-CN"/>
        </w:rPr>
        <w:t>m</w:t>
      </w:r>
      <w:r>
        <w:rPr>
          <w:rFonts w:hint="eastAsia" w:asciiTheme="minorEastAsia" w:hAnsiTheme="minorEastAsia" w:eastAsiaTheme="minorEastAsia"/>
          <w:vertAlign w:val="superscript"/>
          <w:lang w:eastAsia="zh-CN"/>
        </w:rPr>
        <w:t>3</w:t>
      </w:r>
      <w:r>
        <w:rPr>
          <w:rFonts w:hint="eastAsia" w:asciiTheme="minorEastAsia" w:hAnsiTheme="minorEastAsia" w:eastAsiaTheme="minorEastAsia"/>
          <w:lang w:eastAsia="zh-CN"/>
        </w:rPr>
        <w:t>/a（3</w:t>
      </w:r>
      <w:r>
        <w:rPr>
          <w:rFonts w:asciiTheme="minorEastAsia" w:hAnsiTheme="minorEastAsia" w:eastAsiaTheme="minorEastAsia"/>
          <w:lang w:eastAsia="zh-CN"/>
        </w:rPr>
        <w:t>×</w:t>
      </w:r>
      <w:r>
        <w:rPr>
          <w:rFonts w:hint="eastAsia" w:asciiTheme="minorEastAsia" w:hAnsiTheme="minorEastAsia" w:eastAsiaTheme="minorEastAsia"/>
          <w:lang w:eastAsia="zh-CN"/>
        </w:rPr>
        <w:t>10</w:t>
      </w:r>
      <w:r>
        <w:rPr>
          <w:rFonts w:hint="eastAsia" w:asciiTheme="minorEastAsia" w:hAnsiTheme="minorEastAsia" w:eastAsiaTheme="minorEastAsia"/>
          <w:vertAlign w:val="superscript"/>
          <w:lang w:eastAsia="zh-CN"/>
        </w:rPr>
        <w:t>4</w:t>
      </w:r>
      <w:r>
        <w:rPr>
          <w:rFonts w:hint="eastAsia" w:asciiTheme="minorEastAsia" w:hAnsiTheme="minorEastAsia" w:eastAsiaTheme="minorEastAsia"/>
          <w:lang w:eastAsia="zh-CN"/>
        </w:rPr>
        <w:t>m</w:t>
      </w:r>
      <w:r>
        <w:rPr>
          <w:rFonts w:hint="eastAsia" w:asciiTheme="minorEastAsia" w:hAnsiTheme="minorEastAsia" w:eastAsiaTheme="minorEastAsia"/>
          <w:vertAlign w:val="superscript"/>
          <w:lang w:eastAsia="zh-CN"/>
        </w:rPr>
        <w:t>3</w:t>
      </w:r>
      <w:r>
        <w:rPr>
          <w:rFonts w:hint="eastAsia" w:asciiTheme="minorEastAsia" w:hAnsiTheme="minorEastAsia" w:eastAsiaTheme="minorEastAsia"/>
          <w:lang w:eastAsia="zh-CN"/>
        </w:rPr>
        <w:t>/d），二氧化硫</w:t>
      </w:r>
      <w:r>
        <w:rPr>
          <w:rFonts w:asciiTheme="minorEastAsia" w:hAnsiTheme="minorEastAsia" w:eastAsiaTheme="minorEastAsia"/>
          <w:lang w:eastAsia="zh-CN"/>
        </w:rPr>
        <w:t>排放</w:t>
      </w:r>
      <w:r>
        <w:rPr>
          <w:rFonts w:hint="eastAsia" w:asciiTheme="minorEastAsia" w:hAnsiTheme="minorEastAsia" w:eastAsiaTheme="minorEastAsia"/>
          <w:lang w:eastAsia="zh-CN"/>
        </w:rPr>
        <w:t>总</w:t>
      </w:r>
      <w:r>
        <w:rPr>
          <w:rFonts w:asciiTheme="minorEastAsia" w:hAnsiTheme="minorEastAsia" w:eastAsiaTheme="minorEastAsia"/>
          <w:lang w:eastAsia="zh-CN"/>
        </w:rPr>
        <w:t>量为</w:t>
      </w:r>
      <w:r>
        <w:rPr>
          <w:rFonts w:hint="eastAsia" w:asciiTheme="minorEastAsia" w:hAnsiTheme="minorEastAsia" w:eastAsiaTheme="minorEastAsia"/>
          <w:lang w:eastAsia="zh-CN"/>
        </w:rPr>
        <w:t>0.52</w:t>
      </w:r>
      <w:r>
        <w:rPr>
          <w:rFonts w:asciiTheme="minorEastAsia" w:hAnsiTheme="minorEastAsia" w:eastAsiaTheme="minorEastAsia"/>
          <w:lang w:eastAsia="zh-CN"/>
        </w:rPr>
        <w:t>t/a，</w:t>
      </w:r>
      <w:r>
        <w:rPr>
          <w:rFonts w:hint="eastAsia" w:asciiTheme="minorEastAsia" w:hAnsiTheme="minorEastAsia" w:eastAsiaTheme="minorEastAsia"/>
          <w:lang w:eastAsia="zh-CN"/>
        </w:rPr>
        <w:t>烟尘排放总量为0.77</w:t>
      </w:r>
      <w:r>
        <w:rPr>
          <w:rFonts w:asciiTheme="minorEastAsia" w:hAnsiTheme="minorEastAsia" w:eastAsiaTheme="minorEastAsia"/>
          <w:lang w:eastAsia="zh-CN"/>
        </w:rPr>
        <w:t>t/a</w:t>
      </w:r>
      <w:r>
        <w:rPr>
          <w:rFonts w:hint="eastAsia" w:asciiTheme="minorEastAsia" w:hAnsiTheme="minorEastAsia" w:eastAsiaTheme="minorEastAsia"/>
          <w:lang w:eastAsia="zh-CN"/>
        </w:rPr>
        <w:t>，</w:t>
      </w:r>
      <w:r>
        <w:rPr>
          <w:rFonts w:asciiTheme="minorEastAsia" w:hAnsiTheme="minorEastAsia" w:eastAsiaTheme="minorEastAsia"/>
          <w:lang w:eastAsia="zh-CN"/>
        </w:rPr>
        <w:t>氮氧化物的排放量</w:t>
      </w:r>
      <w:r>
        <w:rPr>
          <w:rFonts w:hint="eastAsia" w:asciiTheme="minorEastAsia" w:hAnsiTheme="minorEastAsia" w:eastAsiaTheme="minorEastAsia"/>
          <w:lang w:eastAsia="zh-CN"/>
        </w:rPr>
        <w:t>1.621</w:t>
      </w:r>
      <w:r>
        <w:rPr>
          <w:rFonts w:asciiTheme="minorEastAsia" w:hAnsiTheme="minorEastAsia" w:eastAsiaTheme="minorEastAsia"/>
          <w:lang w:eastAsia="zh-CN"/>
        </w:rPr>
        <w:t xml:space="preserve"> t/a</w:t>
      </w:r>
      <w:r>
        <w:rPr>
          <w:rFonts w:hint="eastAsia" w:asciiTheme="minorEastAsia" w:hAnsiTheme="minorEastAsia" w:eastAsiaTheme="minorEastAsia"/>
          <w:lang w:eastAsia="zh-CN"/>
        </w:rPr>
        <w:t>。燃气加热锅炉污染物氮氧化物的</w:t>
      </w:r>
      <w:r>
        <w:rPr>
          <w:rFonts w:asciiTheme="minorEastAsia" w:hAnsiTheme="minorEastAsia" w:eastAsiaTheme="minorEastAsia"/>
          <w:lang w:eastAsia="zh-CN"/>
        </w:rPr>
        <w:t>排放浓度符合《锅炉大气污染物排放标准》(GB13271-2014)中</w:t>
      </w:r>
      <w:r>
        <w:rPr>
          <w:rFonts w:hint="eastAsia" w:asciiTheme="minorEastAsia" w:hAnsiTheme="minorEastAsia" w:eastAsiaTheme="minorEastAsia"/>
          <w:lang w:eastAsia="zh-CN"/>
        </w:rPr>
        <w:t>新建锅炉排放限值</w:t>
      </w:r>
      <w:r>
        <w:rPr>
          <w:rFonts w:asciiTheme="minorEastAsia" w:hAnsiTheme="minorEastAsia" w:eastAsiaTheme="minorEastAsia"/>
          <w:lang w:eastAsia="zh-CN"/>
        </w:rPr>
        <w:t>。</w:t>
      </w:r>
      <w:r>
        <w:rPr>
          <w:rFonts w:hint="eastAsia" w:asciiTheme="minorEastAsia" w:hAnsiTheme="minorEastAsia" w:eastAsiaTheme="minorEastAsia"/>
          <w:lang w:eastAsia="zh-CN"/>
        </w:rPr>
        <w:t>燃气发电机组污染物二氧化硫、烟尘、氮氧化物排放浓度均符合《火电厂大气污染物排放标准》（</w:t>
      </w:r>
      <w:r>
        <w:rPr>
          <w:rFonts w:asciiTheme="minorEastAsia" w:hAnsiTheme="minorEastAsia" w:eastAsiaTheme="minorEastAsia"/>
          <w:lang w:eastAsia="zh-CN"/>
        </w:rPr>
        <w:t>GB</w:t>
      </w:r>
      <w:r>
        <w:rPr>
          <w:rFonts w:hint="eastAsia" w:asciiTheme="minorEastAsia" w:hAnsiTheme="minorEastAsia" w:eastAsiaTheme="minorEastAsia"/>
          <w:lang w:eastAsia="zh-CN"/>
        </w:rPr>
        <w:t>13223</w:t>
      </w:r>
      <w:r>
        <w:rPr>
          <w:rFonts w:asciiTheme="minorEastAsia" w:hAnsiTheme="minorEastAsia" w:eastAsiaTheme="minorEastAsia"/>
          <w:lang w:eastAsia="zh-CN"/>
        </w:rPr>
        <w:t>-20</w:t>
      </w:r>
      <w:r>
        <w:rPr>
          <w:rFonts w:hint="eastAsia" w:asciiTheme="minorEastAsia" w:hAnsiTheme="minorEastAsia" w:eastAsiaTheme="minorEastAsia"/>
          <w:lang w:eastAsia="zh-CN"/>
        </w:rPr>
        <w:t>11）排放限值。</w:t>
      </w:r>
    </w:p>
    <w:p w14:paraId="1F8A6029">
      <w:pPr>
        <w:ind w:firstLine="480"/>
        <w:rPr>
          <w:rFonts w:asciiTheme="minorEastAsia" w:hAnsiTheme="minorEastAsia" w:eastAsiaTheme="minorEastAsia"/>
          <w:lang w:eastAsia="zh-CN"/>
        </w:rPr>
      </w:pPr>
    </w:p>
    <w:p w14:paraId="54A0E1E8">
      <w:pPr>
        <w:ind w:firstLine="480"/>
        <w:rPr>
          <w:rFonts w:asciiTheme="minorEastAsia" w:hAnsiTheme="minorEastAsia" w:eastAsiaTheme="minorEastAsia"/>
          <w:lang w:eastAsia="zh-CN"/>
        </w:rPr>
      </w:pPr>
    </w:p>
    <w:p w14:paraId="0355DF8C">
      <w:pPr>
        <w:ind w:firstLine="480"/>
        <w:rPr>
          <w:rFonts w:asciiTheme="minorEastAsia" w:hAnsiTheme="minorEastAsia" w:eastAsiaTheme="minorEastAsia"/>
          <w:lang w:eastAsia="zh-CN"/>
        </w:rPr>
      </w:pPr>
    </w:p>
    <w:p w14:paraId="2A0F3234">
      <w:pPr>
        <w:spacing w:line="240" w:lineRule="auto"/>
        <w:ind w:firstLine="472" w:firstLineChars="196"/>
        <w:rPr>
          <w:b/>
          <w:bCs/>
          <w:szCs w:val="24"/>
          <w:lang w:eastAsia="zh-CN" w:bidi="mn-Mong-CN"/>
        </w:rPr>
      </w:pPr>
      <w:r>
        <w:rPr>
          <w:b/>
          <w:lang w:eastAsia="zh-CN"/>
        </w:rPr>
        <w:t>表3.</w:t>
      </w:r>
      <w:r>
        <w:rPr>
          <w:rFonts w:hint="eastAsia"/>
          <w:b/>
          <w:lang w:eastAsia="zh-CN"/>
        </w:rPr>
        <w:t>6</w:t>
      </w:r>
      <w:r>
        <w:rPr>
          <w:b/>
          <w:lang w:eastAsia="zh-CN"/>
        </w:rPr>
        <w:t>-</w:t>
      </w:r>
      <w:r>
        <w:rPr>
          <w:rFonts w:hint="eastAsia"/>
          <w:b/>
          <w:lang w:eastAsia="zh-CN"/>
        </w:rPr>
        <w:t>2</w:t>
      </w:r>
      <w:r>
        <w:rPr>
          <w:b/>
          <w:lang w:eastAsia="zh-CN"/>
        </w:rPr>
        <w:t xml:space="preserve">  </w:t>
      </w:r>
      <w:r>
        <w:rPr>
          <w:rFonts w:hint="eastAsia"/>
          <w:b/>
          <w:lang w:eastAsia="zh-CN"/>
        </w:rPr>
        <w:t xml:space="preserve">  </w:t>
      </w:r>
      <w:r>
        <w:rPr>
          <w:b/>
          <w:bCs/>
          <w:szCs w:val="24"/>
          <w:lang w:eastAsia="zh-CN" w:bidi="mn-Mong-CN"/>
        </w:rPr>
        <w:t>44</w:t>
      </w:r>
      <w:r>
        <w:rPr>
          <w:rFonts w:hint="eastAsia"/>
          <w:b/>
          <w:bCs/>
          <w:szCs w:val="24"/>
          <w:lang w:eastAsia="zh-CN" w:bidi="mn-Mong-CN"/>
        </w:rPr>
        <w:t>11火力发电行业</w:t>
      </w:r>
      <w:r>
        <w:rPr>
          <w:b/>
          <w:bCs/>
          <w:szCs w:val="24"/>
          <w:lang w:eastAsia="zh-CN" w:bidi="mn-Mong-CN"/>
        </w:rPr>
        <w:t>产排污系数表</w:t>
      </w:r>
    </w:p>
    <w:tbl>
      <w:tblPr>
        <w:tblStyle w:val="76"/>
        <w:tblW w:w="8897"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959"/>
        <w:gridCol w:w="709"/>
        <w:gridCol w:w="708"/>
        <w:gridCol w:w="709"/>
        <w:gridCol w:w="1134"/>
        <w:gridCol w:w="1276"/>
        <w:gridCol w:w="1134"/>
        <w:gridCol w:w="1134"/>
        <w:gridCol w:w="1134"/>
      </w:tblGrid>
      <w:tr w14:paraId="5A65E1A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959" w:type="dxa"/>
            <w:vAlign w:val="center"/>
          </w:tcPr>
          <w:p w14:paraId="09537E6A">
            <w:pPr>
              <w:spacing w:line="240" w:lineRule="auto"/>
              <w:ind w:firstLine="0" w:firstLineChars="0"/>
              <w:jc w:val="center"/>
              <w:rPr>
                <w:sz w:val="21"/>
                <w:szCs w:val="21"/>
                <w:lang w:eastAsia="zh-CN"/>
              </w:rPr>
            </w:pPr>
            <w:r>
              <w:rPr>
                <w:sz w:val="21"/>
                <w:szCs w:val="21"/>
              </w:rPr>
              <w:t>产品</w:t>
            </w:r>
          </w:p>
          <w:p w14:paraId="75E9AEC8">
            <w:pPr>
              <w:spacing w:line="240" w:lineRule="auto"/>
              <w:ind w:firstLine="0" w:firstLineChars="0"/>
              <w:jc w:val="center"/>
              <w:rPr>
                <w:b/>
                <w:bCs/>
                <w:sz w:val="21"/>
                <w:szCs w:val="21"/>
                <w:lang w:eastAsia="zh-CN" w:bidi="mn-Mong-CN"/>
              </w:rPr>
            </w:pPr>
            <w:r>
              <w:rPr>
                <w:sz w:val="21"/>
                <w:szCs w:val="21"/>
              </w:rPr>
              <w:t>名称</w:t>
            </w:r>
          </w:p>
        </w:tc>
        <w:tc>
          <w:tcPr>
            <w:tcW w:w="709" w:type="dxa"/>
            <w:vAlign w:val="center"/>
          </w:tcPr>
          <w:p w14:paraId="7721F5F2">
            <w:pPr>
              <w:spacing w:line="240" w:lineRule="auto"/>
              <w:ind w:firstLine="0" w:firstLineChars="0"/>
              <w:jc w:val="center"/>
              <w:rPr>
                <w:sz w:val="21"/>
                <w:szCs w:val="21"/>
                <w:lang w:eastAsia="zh-CN"/>
              </w:rPr>
            </w:pPr>
            <w:r>
              <w:rPr>
                <w:sz w:val="21"/>
                <w:szCs w:val="21"/>
              </w:rPr>
              <w:t>原料</w:t>
            </w:r>
          </w:p>
          <w:p w14:paraId="30531EE0">
            <w:pPr>
              <w:spacing w:line="240" w:lineRule="auto"/>
              <w:ind w:firstLine="0" w:firstLineChars="0"/>
              <w:jc w:val="center"/>
              <w:rPr>
                <w:b/>
                <w:bCs/>
                <w:sz w:val="21"/>
                <w:szCs w:val="21"/>
                <w:lang w:eastAsia="zh-CN" w:bidi="mn-Mong-CN"/>
              </w:rPr>
            </w:pPr>
            <w:r>
              <w:rPr>
                <w:sz w:val="21"/>
                <w:szCs w:val="21"/>
              </w:rPr>
              <w:t>名称</w:t>
            </w:r>
          </w:p>
        </w:tc>
        <w:tc>
          <w:tcPr>
            <w:tcW w:w="708" w:type="dxa"/>
            <w:vAlign w:val="center"/>
          </w:tcPr>
          <w:p w14:paraId="1E739E88">
            <w:pPr>
              <w:spacing w:line="240" w:lineRule="auto"/>
              <w:ind w:firstLine="0" w:firstLineChars="0"/>
              <w:jc w:val="center"/>
              <w:rPr>
                <w:sz w:val="21"/>
                <w:szCs w:val="21"/>
                <w:lang w:eastAsia="zh-CN"/>
              </w:rPr>
            </w:pPr>
            <w:r>
              <w:rPr>
                <w:sz w:val="21"/>
                <w:szCs w:val="21"/>
              </w:rPr>
              <w:t>工艺</w:t>
            </w:r>
          </w:p>
          <w:p w14:paraId="54A0AB1E">
            <w:pPr>
              <w:spacing w:line="240" w:lineRule="auto"/>
              <w:ind w:firstLine="0" w:firstLineChars="0"/>
              <w:jc w:val="center"/>
              <w:rPr>
                <w:b/>
                <w:bCs/>
                <w:sz w:val="21"/>
                <w:szCs w:val="21"/>
                <w:lang w:eastAsia="zh-CN" w:bidi="mn-Mong-CN"/>
              </w:rPr>
            </w:pPr>
            <w:r>
              <w:rPr>
                <w:sz w:val="21"/>
                <w:szCs w:val="21"/>
              </w:rPr>
              <w:t>名称</w:t>
            </w:r>
          </w:p>
        </w:tc>
        <w:tc>
          <w:tcPr>
            <w:tcW w:w="709" w:type="dxa"/>
            <w:vAlign w:val="center"/>
          </w:tcPr>
          <w:p w14:paraId="20D39B3D">
            <w:pPr>
              <w:spacing w:line="240" w:lineRule="auto"/>
              <w:ind w:firstLine="0" w:firstLineChars="0"/>
              <w:jc w:val="center"/>
              <w:rPr>
                <w:sz w:val="21"/>
                <w:szCs w:val="21"/>
                <w:lang w:eastAsia="zh-CN"/>
              </w:rPr>
            </w:pPr>
            <w:r>
              <w:rPr>
                <w:sz w:val="21"/>
                <w:szCs w:val="21"/>
              </w:rPr>
              <w:t>规模</w:t>
            </w:r>
          </w:p>
          <w:p w14:paraId="156817C2">
            <w:pPr>
              <w:spacing w:line="240" w:lineRule="auto"/>
              <w:ind w:firstLine="0" w:firstLineChars="0"/>
              <w:jc w:val="center"/>
              <w:rPr>
                <w:b/>
                <w:bCs/>
                <w:sz w:val="21"/>
                <w:szCs w:val="21"/>
                <w:lang w:eastAsia="zh-CN" w:bidi="mn-Mong-CN"/>
              </w:rPr>
            </w:pPr>
            <w:r>
              <w:rPr>
                <w:sz w:val="21"/>
                <w:szCs w:val="21"/>
              </w:rPr>
              <w:t>等级</w:t>
            </w:r>
          </w:p>
        </w:tc>
        <w:tc>
          <w:tcPr>
            <w:tcW w:w="1134" w:type="dxa"/>
            <w:vAlign w:val="center"/>
          </w:tcPr>
          <w:p w14:paraId="533EA8D3">
            <w:pPr>
              <w:spacing w:line="240" w:lineRule="auto"/>
              <w:ind w:firstLine="0" w:firstLineChars="0"/>
              <w:jc w:val="center"/>
              <w:rPr>
                <w:sz w:val="21"/>
                <w:szCs w:val="21"/>
                <w:lang w:eastAsia="zh-CN"/>
              </w:rPr>
            </w:pPr>
            <w:r>
              <w:rPr>
                <w:sz w:val="21"/>
                <w:szCs w:val="21"/>
              </w:rPr>
              <w:t>污染物</w:t>
            </w:r>
          </w:p>
          <w:p w14:paraId="4CFF720D">
            <w:pPr>
              <w:spacing w:line="240" w:lineRule="auto"/>
              <w:ind w:firstLine="0" w:firstLineChars="0"/>
              <w:jc w:val="center"/>
              <w:rPr>
                <w:b/>
                <w:bCs/>
                <w:sz w:val="21"/>
                <w:szCs w:val="21"/>
                <w:lang w:eastAsia="zh-CN" w:bidi="mn-Mong-CN"/>
              </w:rPr>
            </w:pPr>
            <w:r>
              <w:rPr>
                <w:sz w:val="21"/>
                <w:szCs w:val="21"/>
              </w:rPr>
              <w:t>指标</w:t>
            </w:r>
          </w:p>
        </w:tc>
        <w:tc>
          <w:tcPr>
            <w:tcW w:w="1276" w:type="dxa"/>
            <w:vAlign w:val="center"/>
          </w:tcPr>
          <w:p w14:paraId="47595B9F">
            <w:pPr>
              <w:spacing w:line="240" w:lineRule="auto"/>
              <w:ind w:firstLine="0" w:firstLineChars="0"/>
              <w:jc w:val="center"/>
              <w:rPr>
                <w:b/>
                <w:bCs/>
                <w:sz w:val="21"/>
                <w:szCs w:val="21"/>
                <w:lang w:eastAsia="zh-CN" w:bidi="mn-Mong-CN"/>
              </w:rPr>
            </w:pPr>
            <w:r>
              <w:rPr>
                <w:sz w:val="21"/>
                <w:szCs w:val="21"/>
              </w:rPr>
              <w:t>单位</w:t>
            </w:r>
          </w:p>
        </w:tc>
        <w:tc>
          <w:tcPr>
            <w:tcW w:w="1134" w:type="dxa"/>
            <w:vAlign w:val="center"/>
          </w:tcPr>
          <w:p w14:paraId="200BA393">
            <w:pPr>
              <w:spacing w:line="240" w:lineRule="auto"/>
              <w:ind w:firstLine="0" w:firstLineChars="0"/>
              <w:jc w:val="center"/>
              <w:rPr>
                <w:sz w:val="21"/>
                <w:szCs w:val="21"/>
                <w:lang w:eastAsia="zh-CN"/>
              </w:rPr>
            </w:pPr>
            <w:r>
              <w:rPr>
                <w:sz w:val="21"/>
                <w:szCs w:val="21"/>
              </w:rPr>
              <w:t>产污</w:t>
            </w:r>
          </w:p>
          <w:p w14:paraId="7E7B822F">
            <w:pPr>
              <w:spacing w:line="240" w:lineRule="auto"/>
              <w:ind w:firstLine="0" w:firstLineChars="0"/>
              <w:jc w:val="center"/>
              <w:rPr>
                <w:b/>
                <w:bCs/>
                <w:sz w:val="21"/>
                <w:szCs w:val="21"/>
                <w:lang w:eastAsia="zh-CN" w:bidi="mn-Mong-CN"/>
              </w:rPr>
            </w:pPr>
            <w:r>
              <w:rPr>
                <w:sz w:val="21"/>
                <w:szCs w:val="21"/>
              </w:rPr>
              <w:t>系数</w:t>
            </w:r>
          </w:p>
        </w:tc>
        <w:tc>
          <w:tcPr>
            <w:tcW w:w="1134" w:type="dxa"/>
            <w:tcBorders>
              <w:right w:val="single" w:color="auto" w:sz="4" w:space="0"/>
            </w:tcBorders>
            <w:vAlign w:val="center"/>
          </w:tcPr>
          <w:p w14:paraId="6527BAB7">
            <w:pPr>
              <w:spacing w:line="240" w:lineRule="auto"/>
              <w:ind w:firstLine="0" w:firstLineChars="0"/>
              <w:jc w:val="center"/>
              <w:rPr>
                <w:sz w:val="21"/>
                <w:szCs w:val="21"/>
                <w:lang w:eastAsia="zh-CN"/>
              </w:rPr>
            </w:pPr>
            <w:r>
              <w:rPr>
                <w:rFonts w:hint="eastAsia"/>
                <w:sz w:val="21"/>
                <w:szCs w:val="21"/>
                <w:lang w:eastAsia="zh-CN"/>
              </w:rPr>
              <w:t>末端治理</w:t>
            </w:r>
          </w:p>
          <w:p w14:paraId="52B89F1E">
            <w:pPr>
              <w:spacing w:line="240" w:lineRule="auto"/>
              <w:ind w:firstLine="0" w:firstLineChars="0"/>
              <w:jc w:val="center"/>
              <w:rPr>
                <w:sz w:val="21"/>
                <w:szCs w:val="21"/>
              </w:rPr>
            </w:pPr>
            <w:r>
              <w:rPr>
                <w:rFonts w:hint="eastAsia"/>
                <w:sz w:val="21"/>
                <w:szCs w:val="21"/>
                <w:lang w:eastAsia="zh-CN"/>
              </w:rPr>
              <w:t>技术名称</w:t>
            </w:r>
          </w:p>
        </w:tc>
        <w:tc>
          <w:tcPr>
            <w:tcW w:w="1134" w:type="dxa"/>
            <w:tcBorders>
              <w:left w:val="single" w:color="auto" w:sz="4" w:space="0"/>
            </w:tcBorders>
            <w:vAlign w:val="center"/>
          </w:tcPr>
          <w:p w14:paraId="018D7D97">
            <w:pPr>
              <w:spacing w:line="240" w:lineRule="auto"/>
              <w:ind w:firstLine="0" w:firstLineChars="0"/>
              <w:jc w:val="center"/>
              <w:rPr>
                <w:sz w:val="21"/>
                <w:szCs w:val="21"/>
                <w:lang w:eastAsia="zh-CN"/>
              </w:rPr>
            </w:pPr>
            <w:r>
              <w:rPr>
                <w:rFonts w:hint="eastAsia"/>
                <w:sz w:val="21"/>
                <w:szCs w:val="21"/>
                <w:lang w:eastAsia="zh-CN"/>
              </w:rPr>
              <w:t>排污</w:t>
            </w:r>
          </w:p>
          <w:p w14:paraId="6CEC6B29">
            <w:pPr>
              <w:spacing w:line="240" w:lineRule="auto"/>
              <w:ind w:firstLine="0" w:firstLineChars="0"/>
              <w:jc w:val="center"/>
              <w:rPr>
                <w:sz w:val="21"/>
                <w:szCs w:val="21"/>
              </w:rPr>
            </w:pPr>
            <w:r>
              <w:rPr>
                <w:rFonts w:hint="eastAsia"/>
                <w:sz w:val="21"/>
                <w:szCs w:val="21"/>
                <w:lang w:eastAsia="zh-CN"/>
              </w:rPr>
              <w:t>系数</w:t>
            </w:r>
          </w:p>
        </w:tc>
      </w:tr>
      <w:tr w14:paraId="37626C8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51" w:hRule="atLeast"/>
        </w:trPr>
        <w:tc>
          <w:tcPr>
            <w:tcW w:w="959" w:type="dxa"/>
            <w:vMerge w:val="restart"/>
            <w:vAlign w:val="center"/>
          </w:tcPr>
          <w:p w14:paraId="68F16765">
            <w:pPr>
              <w:spacing w:line="240" w:lineRule="auto"/>
              <w:ind w:firstLine="0" w:firstLineChars="0"/>
              <w:jc w:val="center"/>
              <w:rPr>
                <w:b/>
                <w:bCs/>
                <w:sz w:val="21"/>
                <w:szCs w:val="21"/>
                <w:lang w:eastAsia="zh-CN" w:bidi="mn-Mong-CN"/>
              </w:rPr>
            </w:pPr>
            <w:r>
              <w:rPr>
                <w:rFonts w:hint="eastAsia"/>
                <w:sz w:val="21"/>
                <w:szCs w:val="21"/>
                <w:lang w:eastAsia="zh-CN"/>
              </w:rPr>
              <w:t>电能</w:t>
            </w:r>
            <w:r>
              <w:rPr>
                <w:sz w:val="21"/>
                <w:szCs w:val="21"/>
              </w:rPr>
              <w:t>/</w:t>
            </w:r>
            <w:r>
              <w:rPr>
                <w:rFonts w:hint="eastAsia"/>
                <w:sz w:val="21"/>
                <w:szCs w:val="21"/>
                <w:lang w:eastAsia="zh-CN"/>
              </w:rPr>
              <w:t>电能+热能</w:t>
            </w:r>
          </w:p>
        </w:tc>
        <w:tc>
          <w:tcPr>
            <w:tcW w:w="709" w:type="dxa"/>
            <w:vMerge w:val="restart"/>
            <w:vAlign w:val="center"/>
          </w:tcPr>
          <w:p w14:paraId="2CDCCCC6">
            <w:pPr>
              <w:spacing w:line="240" w:lineRule="auto"/>
              <w:ind w:firstLine="0" w:firstLineChars="0"/>
              <w:jc w:val="center"/>
              <w:rPr>
                <w:b/>
                <w:bCs/>
                <w:sz w:val="21"/>
                <w:szCs w:val="21"/>
                <w:lang w:eastAsia="zh-CN" w:bidi="mn-Mong-CN"/>
              </w:rPr>
            </w:pPr>
            <w:r>
              <w:rPr>
                <w:rFonts w:hint="eastAsia"/>
                <w:sz w:val="21"/>
                <w:szCs w:val="21"/>
                <w:lang w:eastAsia="zh-CN"/>
              </w:rPr>
              <w:t>天然气</w:t>
            </w:r>
          </w:p>
        </w:tc>
        <w:tc>
          <w:tcPr>
            <w:tcW w:w="708" w:type="dxa"/>
            <w:vMerge w:val="restart"/>
            <w:vAlign w:val="center"/>
          </w:tcPr>
          <w:p w14:paraId="715A9CD1">
            <w:pPr>
              <w:spacing w:line="240" w:lineRule="auto"/>
              <w:ind w:firstLine="0" w:firstLineChars="0"/>
              <w:jc w:val="center"/>
              <w:rPr>
                <w:sz w:val="21"/>
                <w:szCs w:val="21"/>
                <w:lang w:eastAsia="zh-CN"/>
              </w:rPr>
            </w:pPr>
            <w:r>
              <w:rPr>
                <w:rFonts w:hint="eastAsia"/>
                <w:sz w:val="21"/>
                <w:szCs w:val="21"/>
                <w:lang w:eastAsia="zh-CN"/>
              </w:rPr>
              <w:t>燃机</w:t>
            </w:r>
          </w:p>
        </w:tc>
        <w:tc>
          <w:tcPr>
            <w:tcW w:w="709" w:type="dxa"/>
            <w:vMerge w:val="restart"/>
            <w:vAlign w:val="center"/>
          </w:tcPr>
          <w:p w14:paraId="5FF2D78B">
            <w:pPr>
              <w:spacing w:line="240" w:lineRule="auto"/>
              <w:ind w:firstLine="0" w:firstLineChars="0"/>
              <w:jc w:val="center"/>
              <w:rPr>
                <w:sz w:val="21"/>
                <w:szCs w:val="21"/>
                <w:lang w:eastAsia="zh-CN"/>
              </w:rPr>
            </w:pPr>
            <w:r>
              <w:rPr>
                <w:sz w:val="21"/>
                <w:szCs w:val="21"/>
              </w:rPr>
              <w:t>所有</w:t>
            </w:r>
          </w:p>
          <w:p w14:paraId="20D86B7C">
            <w:pPr>
              <w:spacing w:line="240" w:lineRule="auto"/>
              <w:ind w:firstLine="0" w:firstLineChars="0"/>
              <w:jc w:val="center"/>
              <w:rPr>
                <w:b/>
                <w:bCs/>
                <w:sz w:val="21"/>
                <w:szCs w:val="21"/>
                <w:lang w:eastAsia="zh-CN" w:bidi="mn-Mong-CN"/>
              </w:rPr>
            </w:pPr>
            <w:r>
              <w:rPr>
                <w:sz w:val="21"/>
                <w:szCs w:val="21"/>
              </w:rPr>
              <w:t>规模</w:t>
            </w:r>
          </w:p>
        </w:tc>
        <w:tc>
          <w:tcPr>
            <w:tcW w:w="1134" w:type="dxa"/>
            <w:vAlign w:val="center"/>
          </w:tcPr>
          <w:p w14:paraId="11DE4CE7">
            <w:pPr>
              <w:pStyle w:val="337"/>
              <w:rPr>
                <w:color w:val="auto"/>
                <w:szCs w:val="21"/>
                <w:lang w:val="en-US" w:eastAsia="zh-CN" w:bidi="en-US"/>
              </w:rPr>
            </w:pPr>
            <w:r>
              <w:rPr>
                <w:color w:val="auto"/>
                <w:szCs w:val="21"/>
                <w:lang w:val="en-US" w:eastAsia="en-US" w:bidi="en-US"/>
              </w:rPr>
              <w:t>工业</w:t>
            </w:r>
          </w:p>
          <w:p w14:paraId="49CEECE1">
            <w:pPr>
              <w:pStyle w:val="337"/>
              <w:rPr>
                <w:color w:val="auto"/>
                <w:szCs w:val="21"/>
                <w:lang w:val="en-US" w:eastAsia="en-US" w:bidi="en-US"/>
              </w:rPr>
            </w:pPr>
            <w:r>
              <w:rPr>
                <w:color w:val="auto"/>
                <w:szCs w:val="21"/>
                <w:lang w:val="en-US" w:eastAsia="en-US" w:bidi="en-US"/>
              </w:rPr>
              <w:t>废气量</w:t>
            </w:r>
          </w:p>
        </w:tc>
        <w:tc>
          <w:tcPr>
            <w:tcW w:w="1276" w:type="dxa"/>
            <w:vAlign w:val="center"/>
          </w:tcPr>
          <w:p w14:paraId="1E4B7E0B">
            <w:pPr>
              <w:pStyle w:val="337"/>
              <w:rPr>
                <w:color w:val="auto"/>
                <w:szCs w:val="21"/>
                <w:lang w:val="en-US" w:eastAsia="zh-CN" w:bidi="en-US"/>
              </w:rPr>
            </w:pPr>
            <w:r>
              <w:rPr>
                <w:color w:val="auto"/>
                <w:szCs w:val="21"/>
                <w:lang w:val="en-US" w:eastAsia="zh-CN" w:bidi="en-US"/>
              </w:rPr>
              <w:t>标立方米/</w:t>
            </w:r>
            <w:r>
              <w:rPr>
                <w:rFonts w:hint="eastAsia"/>
                <w:color w:val="auto"/>
                <w:szCs w:val="21"/>
                <w:lang w:val="en-US" w:eastAsia="zh-CN" w:bidi="en-US"/>
              </w:rPr>
              <w:t>立方米</w:t>
            </w:r>
            <w:r>
              <w:rPr>
                <w:color w:val="auto"/>
                <w:szCs w:val="21"/>
                <w:lang w:val="en-US" w:eastAsia="zh-CN" w:bidi="en-US"/>
              </w:rPr>
              <w:t>-原料</w:t>
            </w:r>
          </w:p>
        </w:tc>
        <w:tc>
          <w:tcPr>
            <w:tcW w:w="1134" w:type="dxa"/>
            <w:vAlign w:val="center"/>
          </w:tcPr>
          <w:p w14:paraId="68D2E216">
            <w:pPr>
              <w:pStyle w:val="337"/>
              <w:rPr>
                <w:color w:val="auto"/>
                <w:szCs w:val="21"/>
                <w:lang w:val="en-US" w:eastAsia="zh-CN" w:bidi="en-US"/>
              </w:rPr>
            </w:pPr>
            <w:r>
              <w:rPr>
                <w:rFonts w:hint="eastAsia"/>
                <w:color w:val="auto"/>
                <w:szCs w:val="21"/>
                <w:lang w:val="en-US" w:eastAsia="zh-CN" w:bidi="en-US"/>
              </w:rPr>
              <w:t>24.55</w:t>
            </w:r>
          </w:p>
        </w:tc>
        <w:tc>
          <w:tcPr>
            <w:tcW w:w="1134" w:type="dxa"/>
            <w:tcBorders>
              <w:right w:val="single" w:color="auto" w:sz="4" w:space="0"/>
            </w:tcBorders>
            <w:vAlign w:val="center"/>
          </w:tcPr>
          <w:p w14:paraId="3434BE66">
            <w:pPr>
              <w:pStyle w:val="337"/>
              <w:rPr>
                <w:color w:val="auto"/>
                <w:szCs w:val="21"/>
                <w:lang w:val="en-US" w:eastAsia="zh-CN" w:bidi="en-US"/>
              </w:rPr>
            </w:pPr>
            <w:r>
              <w:rPr>
                <w:rFonts w:hint="eastAsia"/>
                <w:color w:val="auto"/>
                <w:szCs w:val="21"/>
                <w:lang w:val="en-US" w:eastAsia="zh-CN" w:bidi="en-US"/>
              </w:rPr>
              <w:t>直排</w:t>
            </w:r>
          </w:p>
        </w:tc>
        <w:tc>
          <w:tcPr>
            <w:tcW w:w="1134" w:type="dxa"/>
            <w:tcBorders>
              <w:left w:val="single" w:color="auto" w:sz="4" w:space="0"/>
            </w:tcBorders>
            <w:vAlign w:val="center"/>
          </w:tcPr>
          <w:p w14:paraId="1F3A250E">
            <w:pPr>
              <w:pStyle w:val="337"/>
              <w:rPr>
                <w:color w:val="auto"/>
                <w:szCs w:val="21"/>
                <w:lang w:val="en-US" w:eastAsia="zh-CN" w:bidi="en-US"/>
              </w:rPr>
            </w:pPr>
            <w:r>
              <w:rPr>
                <w:rFonts w:hint="eastAsia"/>
                <w:color w:val="auto"/>
                <w:szCs w:val="21"/>
                <w:lang w:val="en-US" w:eastAsia="zh-CN" w:bidi="en-US"/>
              </w:rPr>
              <w:t>24.55</w:t>
            </w:r>
          </w:p>
        </w:tc>
      </w:tr>
      <w:tr w14:paraId="48014A9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51" w:hRule="atLeast"/>
        </w:trPr>
        <w:tc>
          <w:tcPr>
            <w:tcW w:w="959" w:type="dxa"/>
            <w:vMerge w:val="continue"/>
            <w:vAlign w:val="center"/>
          </w:tcPr>
          <w:p w14:paraId="53C1ECF7">
            <w:pPr>
              <w:spacing w:line="240" w:lineRule="auto"/>
              <w:ind w:firstLine="0" w:firstLineChars="0"/>
              <w:jc w:val="center"/>
              <w:rPr>
                <w:sz w:val="21"/>
                <w:szCs w:val="21"/>
                <w:lang w:eastAsia="zh-CN"/>
              </w:rPr>
            </w:pPr>
          </w:p>
        </w:tc>
        <w:tc>
          <w:tcPr>
            <w:tcW w:w="709" w:type="dxa"/>
            <w:vMerge w:val="continue"/>
            <w:vAlign w:val="center"/>
          </w:tcPr>
          <w:p w14:paraId="33224B71">
            <w:pPr>
              <w:spacing w:line="240" w:lineRule="auto"/>
              <w:ind w:firstLine="0" w:firstLineChars="0"/>
              <w:jc w:val="center"/>
              <w:rPr>
                <w:sz w:val="21"/>
                <w:szCs w:val="21"/>
                <w:lang w:eastAsia="zh-CN"/>
              </w:rPr>
            </w:pPr>
          </w:p>
        </w:tc>
        <w:tc>
          <w:tcPr>
            <w:tcW w:w="708" w:type="dxa"/>
            <w:vMerge w:val="continue"/>
            <w:vAlign w:val="center"/>
          </w:tcPr>
          <w:p w14:paraId="59613657">
            <w:pPr>
              <w:spacing w:line="240" w:lineRule="auto"/>
              <w:ind w:firstLine="0" w:firstLineChars="0"/>
              <w:jc w:val="center"/>
              <w:rPr>
                <w:sz w:val="21"/>
                <w:szCs w:val="21"/>
                <w:lang w:eastAsia="zh-CN"/>
              </w:rPr>
            </w:pPr>
          </w:p>
        </w:tc>
        <w:tc>
          <w:tcPr>
            <w:tcW w:w="709" w:type="dxa"/>
            <w:vMerge w:val="continue"/>
            <w:vAlign w:val="center"/>
          </w:tcPr>
          <w:p w14:paraId="25BE6629">
            <w:pPr>
              <w:spacing w:line="240" w:lineRule="auto"/>
              <w:ind w:firstLine="0" w:firstLineChars="0"/>
              <w:jc w:val="center"/>
              <w:rPr>
                <w:sz w:val="21"/>
                <w:szCs w:val="21"/>
              </w:rPr>
            </w:pPr>
          </w:p>
        </w:tc>
        <w:tc>
          <w:tcPr>
            <w:tcW w:w="1134" w:type="dxa"/>
            <w:vAlign w:val="center"/>
          </w:tcPr>
          <w:p w14:paraId="0BB4C587">
            <w:pPr>
              <w:pStyle w:val="337"/>
              <w:rPr>
                <w:color w:val="auto"/>
                <w:szCs w:val="21"/>
                <w:lang w:val="en-US" w:eastAsia="en-US" w:bidi="en-US"/>
              </w:rPr>
            </w:pPr>
            <w:r>
              <w:rPr>
                <w:rFonts w:hint="eastAsia"/>
                <w:color w:val="auto"/>
                <w:szCs w:val="21"/>
                <w:lang w:val="en-US" w:eastAsia="zh-CN" w:bidi="en-US"/>
              </w:rPr>
              <w:t>烟尘</w:t>
            </w:r>
          </w:p>
        </w:tc>
        <w:tc>
          <w:tcPr>
            <w:tcW w:w="1276" w:type="dxa"/>
            <w:vAlign w:val="center"/>
          </w:tcPr>
          <w:p w14:paraId="65FE4062">
            <w:pPr>
              <w:pStyle w:val="337"/>
              <w:rPr>
                <w:color w:val="auto"/>
                <w:szCs w:val="21"/>
                <w:lang w:val="en-US" w:eastAsia="zh-CN" w:bidi="en-US"/>
              </w:rPr>
            </w:pPr>
            <w:r>
              <w:rPr>
                <w:rFonts w:hint="eastAsia"/>
                <w:color w:val="auto"/>
                <w:szCs w:val="21"/>
                <w:lang w:val="en-US" w:eastAsia="zh-CN" w:bidi="en-US"/>
              </w:rPr>
              <w:t>毫克/立方米-原料</w:t>
            </w:r>
          </w:p>
        </w:tc>
        <w:tc>
          <w:tcPr>
            <w:tcW w:w="1134" w:type="dxa"/>
            <w:vAlign w:val="center"/>
          </w:tcPr>
          <w:p w14:paraId="04D03ECD">
            <w:pPr>
              <w:pStyle w:val="337"/>
              <w:rPr>
                <w:color w:val="auto"/>
                <w:szCs w:val="21"/>
                <w:lang w:val="en-US" w:eastAsia="zh-CN" w:bidi="en-US"/>
              </w:rPr>
            </w:pPr>
            <w:r>
              <w:rPr>
                <w:rFonts w:hint="eastAsia"/>
                <w:color w:val="auto"/>
                <w:szCs w:val="21"/>
                <w:lang w:val="en-US" w:eastAsia="zh-CN" w:bidi="en-US"/>
              </w:rPr>
              <w:t>103.9</w:t>
            </w:r>
          </w:p>
        </w:tc>
        <w:tc>
          <w:tcPr>
            <w:tcW w:w="1134" w:type="dxa"/>
            <w:tcBorders>
              <w:right w:val="single" w:color="auto" w:sz="4" w:space="0"/>
            </w:tcBorders>
            <w:vAlign w:val="center"/>
          </w:tcPr>
          <w:p w14:paraId="4876AA25">
            <w:pPr>
              <w:pStyle w:val="337"/>
              <w:rPr>
                <w:color w:val="auto"/>
                <w:szCs w:val="21"/>
                <w:lang w:val="en-US" w:eastAsia="zh-CN" w:bidi="en-US"/>
              </w:rPr>
            </w:pPr>
            <w:r>
              <w:rPr>
                <w:rFonts w:hint="eastAsia"/>
                <w:color w:val="auto"/>
                <w:szCs w:val="21"/>
                <w:lang w:val="en-US" w:eastAsia="zh-CN" w:bidi="en-US"/>
              </w:rPr>
              <w:t>直排</w:t>
            </w:r>
          </w:p>
        </w:tc>
        <w:tc>
          <w:tcPr>
            <w:tcW w:w="1134" w:type="dxa"/>
            <w:tcBorders>
              <w:left w:val="single" w:color="auto" w:sz="4" w:space="0"/>
            </w:tcBorders>
            <w:vAlign w:val="center"/>
          </w:tcPr>
          <w:p w14:paraId="0670E00B">
            <w:pPr>
              <w:pStyle w:val="337"/>
              <w:rPr>
                <w:color w:val="auto"/>
                <w:szCs w:val="21"/>
                <w:lang w:val="en-US" w:eastAsia="zh-CN" w:bidi="en-US"/>
              </w:rPr>
            </w:pPr>
            <w:r>
              <w:rPr>
                <w:rFonts w:hint="eastAsia"/>
                <w:color w:val="auto"/>
                <w:szCs w:val="21"/>
                <w:lang w:val="en-US" w:eastAsia="zh-CN" w:bidi="en-US"/>
              </w:rPr>
              <w:t>103.9</w:t>
            </w:r>
          </w:p>
        </w:tc>
      </w:tr>
      <w:tr w14:paraId="353A5D9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959" w:type="dxa"/>
            <w:vMerge w:val="continue"/>
            <w:vAlign w:val="center"/>
          </w:tcPr>
          <w:p w14:paraId="0E622861">
            <w:pPr>
              <w:spacing w:line="240" w:lineRule="auto"/>
              <w:ind w:firstLine="0" w:firstLineChars="0"/>
              <w:jc w:val="center"/>
              <w:rPr>
                <w:b/>
                <w:bCs/>
                <w:sz w:val="21"/>
                <w:szCs w:val="21"/>
                <w:lang w:eastAsia="zh-CN" w:bidi="mn-Mong-CN"/>
              </w:rPr>
            </w:pPr>
          </w:p>
        </w:tc>
        <w:tc>
          <w:tcPr>
            <w:tcW w:w="709" w:type="dxa"/>
            <w:vMerge w:val="continue"/>
            <w:vAlign w:val="center"/>
          </w:tcPr>
          <w:p w14:paraId="5966ED09">
            <w:pPr>
              <w:spacing w:line="240" w:lineRule="auto"/>
              <w:ind w:firstLine="0" w:firstLineChars="0"/>
              <w:jc w:val="center"/>
              <w:rPr>
                <w:b/>
                <w:bCs/>
                <w:sz w:val="21"/>
                <w:szCs w:val="21"/>
                <w:lang w:eastAsia="zh-CN" w:bidi="mn-Mong-CN"/>
              </w:rPr>
            </w:pPr>
          </w:p>
        </w:tc>
        <w:tc>
          <w:tcPr>
            <w:tcW w:w="708" w:type="dxa"/>
            <w:vMerge w:val="continue"/>
            <w:vAlign w:val="center"/>
          </w:tcPr>
          <w:p w14:paraId="102DA909">
            <w:pPr>
              <w:spacing w:line="240" w:lineRule="auto"/>
              <w:ind w:firstLine="0" w:firstLineChars="0"/>
              <w:jc w:val="center"/>
              <w:rPr>
                <w:b/>
                <w:bCs/>
                <w:sz w:val="21"/>
                <w:szCs w:val="21"/>
                <w:lang w:eastAsia="zh-CN" w:bidi="mn-Mong-CN"/>
              </w:rPr>
            </w:pPr>
          </w:p>
        </w:tc>
        <w:tc>
          <w:tcPr>
            <w:tcW w:w="709" w:type="dxa"/>
            <w:vMerge w:val="continue"/>
            <w:vAlign w:val="center"/>
          </w:tcPr>
          <w:p w14:paraId="4E72CB10">
            <w:pPr>
              <w:spacing w:line="240" w:lineRule="auto"/>
              <w:ind w:firstLine="0" w:firstLineChars="0"/>
              <w:jc w:val="center"/>
              <w:rPr>
                <w:b/>
                <w:bCs/>
                <w:sz w:val="21"/>
                <w:szCs w:val="21"/>
                <w:lang w:eastAsia="zh-CN" w:bidi="mn-Mong-CN"/>
              </w:rPr>
            </w:pPr>
          </w:p>
        </w:tc>
        <w:tc>
          <w:tcPr>
            <w:tcW w:w="1134" w:type="dxa"/>
            <w:vAlign w:val="center"/>
          </w:tcPr>
          <w:p w14:paraId="7FFA7E09">
            <w:pPr>
              <w:pStyle w:val="337"/>
              <w:rPr>
                <w:color w:val="auto"/>
                <w:szCs w:val="21"/>
                <w:lang w:val="en-US" w:eastAsia="en-US" w:bidi="en-US"/>
              </w:rPr>
            </w:pPr>
            <w:r>
              <w:rPr>
                <w:color w:val="auto"/>
                <w:szCs w:val="21"/>
                <w:lang w:val="en-US" w:eastAsia="en-US" w:bidi="en-US"/>
              </w:rPr>
              <w:t>二氧化硫</w:t>
            </w:r>
          </w:p>
        </w:tc>
        <w:tc>
          <w:tcPr>
            <w:tcW w:w="1276" w:type="dxa"/>
            <w:vAlign w:val="center"/>
          </w:tcPr>
          <w:p w14:paraId="77FE0D37">
            <w:pPr>
              <w:pStyle w:val="337"/>
              <w:rPr>
                <w:color w:val="auto"/>
                <w:szCs w:val="21"/>
                <w:lang w:val="en-US" w:eastAsia="en-US" w:bidi="en-US"/>
              </w:rPr>
            </w:pPr>
            <w:r>
              <w:rPr>
                <w:rFonts w:hint="eastAsia"/>
                <w:color w:val="auto"/>
                <w:szCs w:val="21"/>
                <w:lang w:val="en-US" w:eastAsia="zh-CN" w:bidi="en-US"/>
              </w:rPr>
              <w:t>毫克/立方米-原料</w:t>
            </w:r>
          </w:p>
        </w:tc>
        <w:tc>
          <w:tcPr>
            <w:tcW w:w="1134" w:type="dxa"/>
            <w:vAlign w:val="center"/>
          </w:tcPr>
          <w:p w14:paraId="19E06B99">
            <w:pPr>
              <w:pStyle w:val="337"/>
              <w:rPr>
                <w:color w:val="auto"/>
                <w:szCs w:val="21"/>
                <w:lang w:val="en-US" w:eastAsia="en-US" w:bidi="en-US"/>
              </w:rPr>
            </w:pPr>
            <w:r>
              <w:rPr>
                <w:rFonts w:hint="eastAsia"/>
                <w:color w:val="auto"/>
                <w:szCs w:val="21"/>
                <w:lang w:val="en-US" w:eastAsia="zh-CN" w:bidi="en-US"/>
              </w:rPr>
              <w:t>70.7</w:t>
            </w:r>
          </w:p>
        </w:tc>
        <w:tc>
          <w:tcPr>
            <w:tcW w:w="1134" w:type="dxa"/>
            <w:tcBorders>
              <w:right w:val="single" w:color="auto" w:sz="4" w:space="0"/>
            </w:tcBorders>
            <w:vAlign w:val="center"/>
          </w:tcPr>
          <w:p w14:paraId="7C71E5AB">
            <w:pPr>
              <w:pStyle w:val="337"/>
              <w:rPr>
                <w:color w:val="auto"/>
                <w:szCs w:val="21"/>
                <w:lang w:val="en-US" w:eastAsia="en-US" w:bidi="en-US"/>
              </w:rPr>
            </w:pPr>
            <w:r>
              <w:rPr>
                <w:rFonts w:hint="eastAsia"/>
                <w:color w:val="auto"/>
                <w:szCs w:val="21"/>
                <w:lang w:val="en-US" w:eastAsia="zh-CN" w:bidi="en-US"/>
              </w:rPr>
              <w:t>直排</w:t>
            </w:r>
          </w:p>
        </w:tc>
        <w:tc>
          <w:tcPr>
            <w:tcW w:w="1134" w:type="dxa"/>
            <w:tcBorders>
              <w:left w:val="single" w:color="auto" w:sz="4" w:space="0"/>
            </w:tcBorders>
            <w:vAlign w:val="center"/>
          </w:tcPr>
          <w:p w14:paraId="69042F54">
            <w:pPr>
              <w:pStyle w:val="337"/>
              <w:rPr>
                <w:color w:val="auto"/>
                <w:szCs w:val="21"/>
                <w:lang w:val="en-US" w:eastAsia="en-US" w:bidi="en-US"/>
              </w:rPr>
            </w:pPr>
            <w:r>
              <w:rPr>
                <w:rFonts w:hint="eastAsia"/>
                <w:color w:val="auto"/>
                <w:szCs w:val="21"/>
                <w:lang w:val="en-US" w:eastAsia="zh-CN" w:bidi="en-US"/>
              </w:rPr>
              <w:t>70.7</w:t>
            </w:r>
          </w:p>
        </w:tc>
      </w:tr>
      <w:tr w14:paraId="2E0419E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959" w:type="dxa"/>
            <w:vMerge w:val="continue"/>
            <w:vAlign w:val="center"/>
          </w:tcPr>
          <w:p w14:paraId="346C918B">
            <w:pPr>
              <w:spacing w:line="240" w:lineRule="auto"/>
              <w:ind w:firstLine="0" w:firstLineChars="0"/>
              <w:jc w:val="center"/>
              <w:rPr>
                <w:b/>
                <w:bCs/>
                <w:sz w:val="21"/>
                <w:szCs w:val="21"/>
                <w:lang w:eastAsia="zh-CN" w:bidi="mn-Mong-CN"/>
              </w:rPr>
            </w:pPr>
          </w:p>
        </w:tc>
        <w:tc>
          <w:tcPr>
            <w:tcW w:w="709" w:type="dxa"/>
            <w:vMerge w:val="continue"/>
            <w:vAlign w:val="center"/>
          </w:tcPr>
          <w:p w14:paraId="34492FE9">
            <w:pPr>
              <w:spacing w:line="240" w:lineRule="auto"/>
              <w:ind w:firstLine="0" w:firstLineChars="0"/>
              <w:jc w:val="center"/>
              <w:rPr>
                <w:b/>
                <w:bCs/>
                <w:sz w:val="21"/>
                <w:szCs w:val="21"/>
                <w:lang w:eastAsia="zh-CN" w:bidi="mn-Mong-CN"/>
              </w:rPr>
            </w:pPr>
          </w:p>
        </w:tc>
        <w:tc>
          <w:tcPr>
            <w:tcW w:w="708" w:type="dxa"/>
            <w:vMerge w:val="continue"/>
            <w:vAlign w:val="center"/>
          </w:tcPr>
          <w:p w14:paraId="2D58CA11">
            <w:pPr>
              <w:spacing w:line="240" w:lineRule="auto"/>
              <w:ind w:firstLine="0" w:firstLineChars="0"/>
              <w:jc w:val="center"/>
              <w:rPr>
                <w:b/>
                <w:bCs/>
                <w:sz w:val="21"/>
                <w:szCs w:val="21"/>
                <w:lang w:eastAsia="zh-CN" w:bidi="mn-Mong-CN"/>
              </w:rPr>
            </w:pPr>
          </w:p>
        </w:tc>
        <w:tc>
          <w:tcPr>
            <w:tcW w:w="709" w:type="dxa"/>
            <w:vMerge w:val="continue"/>
            <w:vAlign w:val="center"/>
          </w:tcPr>
          <w:p w14:paraId="3683C1C0">
            <w:pPr>
              <w:spacing w:line="240" w:lineRule="auto"/>
              <w:ind w:firstLine="0" w:firstLineChars="0"/>
              <w:jc w:val="center"/>
              <w:rPr>
                <w:b/>
                <w:bCs/>
                <w:sz w:val="21"/>
                <w:szCs w:val="21"/>
                <w:lang w:eastAsia="zh-CN" w:bidi="mn-Mong-CN"/>
              </w:rPr>
            </w:pPr>
          </w:p>
        </w:tc>
        <w:tc>
          <w:tcPr>
            <w:tcW w:w="1134" w:type="dxa"/>
            <w:vAlign w:val="center"/>
          </w:tcPr>
          <w:p w14:paraId="2E1DF40B">
            <w:pPr>
              <w:pStyle w:val="337"/>
              <w:rPr>
                <w:color w:val="auto"/>
                <w:szCs w:val="21"/>
                <w:lang w:val="en-US" w:eastAsia="en-US" w:bidi="en-US"/>
              </w:rPr>
            </w:pPr>
            <w:r>
              <w:rPr>
                <w:color w:val="auto"/>
                <w:szCs w:val="21"/>
                <w:lang w:val="en-US" w:eastAsia="en-US" w:bidi="en-US"/>
              </w:rPr>
              <w:t>氮氧化物</w:t>
            </w:r>
          </w:p>
        </w:tc>
        <w:tc>
          <w:tcPr>
            <w:tcW w:w="1276" w:type="dxa"/>
            <w:vAlign w:val="center"/>
          </w:tcPr>
          <w:p w14:paraId="76321134">
            <w:pPr>
              <w:pStyle w:val="337"/>
              <w:rPr>
                <w:color w:val="auto"/>
                <w:szCs w:val="21"/>
                <w:lang w:val="en-US" w:eastAsia="en-US" w:bidi="en-US"/>
              </w:rPr>
            </w:pPr>
            <w:r>
              <w:rPr>
                <w:rFonts w:hint="eastAsia"/>
                <w:color w:val="auto"/>
                <w:szCs w:val="21"/>
                <w:lang w:val="en-US" w:eastAsia="zh-CN" w:bidi="en-US"/>
              </w:rPr>
              <w:t>毫克/立方米-原料</w:t>
            </w:r>
          </w:p>
        </w:tc>
        <w:tc>
          <w:tcPr>
            <w:tcW w:w="1134" w:type="dxa"/>
            <w:vAlign w:val="center"/>
          </w:tcPr>
          <w:p w14:paraId="7F3C91BF">
            <w:pPr>
              <w:pStyle w:val="337"/>
              <w:rPr>
                <w:color w:val="auto"/>
                <w:szCs w:val="21"/>
                <w:lang w:val="en-US" w:eastAsia="zh-CN" w:bidi="en-US"/>
              </w:rPr>
            </w:pPr>
            <w:r>
              <w:rPr>
                <w:rFonts w:hint="eastAsia"/>
                <w:color w:val="auto"/>
                <w:szCs w:val="21"/>
                <w:lang w:val="en-US" w:eastAsia="zh-CN" w:bidi="en-US"/>
              </w:rPr>
              <w:t>9.82</w:t>
            </w:r>
          </w:p>
        </w:tc>
        <w:tc>
          <w:tcPr>
            <w:tcW w:w="1134" w:type="dxa"/>
            <w:tcBorders>
              <w:right w:val="single" w:color="auto" w:sz="4" w:space="0"/>
            </w:tcBorders>
            <w:vAlign w:val="center"/>
          </w:tcPr>
          <w:p w14:paraId="56D8F952">
            <w:pPr>
              <w:pStyle w:val="337"/>
              <w:rPr>
                <w:color w:val="auto"/>
                <w:szCs w:val="21"/>
                <w:lang w:val="en-US" w:eastAsia="zh-CN" w:bidi="en-US"/>
              </w:rPr>
            </w:pPr>
            <w:r>
              <w:rPr>
                <w:rFonts w:hint="eastAsia"/>
                <w:color w:val="auto"/>
                <w:szCs w:val="21"/>
                <w:lang w:val="en-US" w:eastAsia="zh-CN" w:bidi="en-US"/>
              </w:rPr>
              <w:t>直排</w:t>
            </w:r>
          </w:p>
        </w:tc>
        <w:tc>
          <w:tcPr>
            <w:tcW w:w="1134" w:type="dxa"/>
            <w:tcBorders>
              <w:left w:val="single" w:color="auto" w:sz="4" w:space="0"/>
            </w:tcBorders>
            <w:vAlign w:val="center"/>
          </w:tcPr>
          <w:p w14:paraId="5F536064">
            <w:pPr>
              <w:pStyle w:val="337"/>
              <w:rPr>
                <w:color w:val="auto"/>
                <w:szCs w:val="21"/>
                <w:lang w:val="en-US" w:eastAsia="zh-CN" w:bidi="en-US"/>
              </w:rPr>
            </w:pPr>
            <w:r>
              <w:rPr>
                <w:rFonts w:hint="eastAsia"/>
                <w:color w:val="auto"/>
                <w:szCs w:val="21"/>
                <w:lang w:val="en-US" w:eastAsia="zh-CN" w:bidi="en-US"/>
              </w:rPr>
              <w:t>9.82</w:t>
            </w:r>
          </w:p>
        </w:tc>
      </w:tr>
    </w:tbl>
    <w:p w14:paraId="0C407E3A">
      <w:pPr>
        <w:spacing w:line="240" w:lineRule="auto"/>
        <w:ind w:firstLine="0" w:firstLineChars="0"/>
        <w:rPr>
          <w:b/>
          <w:bCs/>
          <w:szCs w:val="24"/>
          <w:lang w:eastAsia="zh-CN" w:bidi="mn-Mong-CN"/>
        </w:rPr>
      </w:pPr>
      <w:r>
        <w:rPr>
          <w:b/>
          <w:lang w:eastAsia="zh-CN"/>
        </w:rPr>
        <w:t>表3.</w:t>
      </w:r>
      <w:r>
        <w:rPr>
          <w:rFonts w:hint="eastAsia"/>
          <w:b/>
          <w:lang w:eastAsia="zh-CN"/>
        </w:rPr>
        <w:t>6</w:t>
      </w:r>
      <w:r>
        <w:rPr>
          <w:b/>
          <w:lang w:eastAsia="zh-CN"/>
        </w:rPr>
        <w:t>-</w:t>
      </w:r>
      <w:r>
        <w:rPr>
          <w:rFonts w:hint="eastAsia"/>
          <w:b/>
          <w:lang w:eastAsia="zh-CN"/>
        </w:rPr>
        <w:t>3</w:t>
      </w:r>
      <w:r>
        <w:rPr>
          <w:b/>
          <w:lang w:eastAsia="zh-CN"/>
        </w:rPr>
        <w:t xml:space="preserve">  </w:t>
      </w:r>
      <w:r>
        <w:rPr>
          <w:b/>
          <w:bCs/>
          <w:szCs w:val="24"/>
          <w:lang w:eastAsia="zh-CN" w:bidi="mn-Mong-CN"/>
        </w:rPr>
        <w:t>4430工业锅炉（热力生产和供应行业）产排污系数表-燃</w:t>
      </w:r>
      <w:r>
        <w:rPr>
          <w:rFonts w:hint="eastAsia"/>
          <w:b/>
          <w:bCs/>
          <w:szCs w:val="24"/>
          <w:lang w:eastAsia="zh-CN" w:bidi="mn-Mong-CN"/>
        </w:rPr>
        <w:t>气</w:t>
      </w:r>
      <w:r>
        <w:rPr>
          <w:b/>
          <w:bCs/>
          <w:szCs w:val="24"/>
          <w:lang w:eastAsia="zh-CN" w:bidi="mn-Mong-CN"/>
        </w:rPr>
        <w:t>工业锅炉</w:t>
      </w:r>
    </w:p>
    <w:tbl>
      <w:tblPr>
        <w:tblStyle w:val="76"/>
        <w:tblW w:w="8897"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959"/>
        <w:gridCol w:w="709"/>
        <w:gridCol w:w="708"/>
        <w:gridCol w:w="709"/>
        <w:gridCol w:w="1134"/>
        <w:gridCol w:w="1276"/>
        <w:gridCol w:w="1134"/>
        <w:gridCol w:w="1134"/>
        <w:gridCol w:w="1134"/>
      </w:tblGrid>
      <w:tr w14:paraId="0EFFAD0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959" w:type="dxa"/>
            <w:vAlign w:val="center"/>
          </w:tcPr>
          <w:p w14:paraId="5B8691DF">
            <w:pPr>
              <w:spacing w:line="240" w:lineRule="auto"/>
              <w:ind w:firstLine="0" w:firstLineChars="0"/>
              <w:jc w:val="center"/>
              <w:rPr>
                <w:sz w:val="21"/>
                <w:szCs w:val="21"/>
                <w:lang w:eastAsia="zh-CN"/>
              </w:rPr>
            </w:pPr>
            <w:r>
              <w:rPr>
                <w:sz w:val="21"/>
                <w:szCs w:val="21"/>
              </w:rPr>
              <w:t>产品</w:t>
            </w:r>
          </w:p>
          <w:p w14:paraId="47392673">
            <w:pPr>
              <w:spacing w:line="240" w:lineRule="auto"/>
              <w:ind w:firstLine="0" w:firstLineChars="0"/>
              <w:jc w:val="center"/>
              <w:rPr>
                <w:b/>
                <w:bCs/>
                <w:sz w:val="21"/>
                <w:szCs w:val="21"/>
                <w:lang w:eastAsia="zh-CN" w:bidi="mn-Mong-CN"/>
              </w:rPr>
            </w:pPr>
            <w:r>
              <w:rPr>
                <w:sz w:val="21"/>
                <w:szCs w:val="21"/>
              </w:rPr>
              <w:t>名称</w:t>
            </w:r>
          </w:p>
        </w:tc>
        <w:tc>
          <w:tcPr>
            <w:tcW w:w="709" w:type="dxa"/>
            <w:vAlign w:val="center"/>
          </w:tcPr>
          <w:p w14:paraId="4610B889">
            <w:pPr>
              <w:spacing w:line="240" w:lineRule="auto"/>
              <w:ind w:firstLine="0" w:firstLineChars="0"/>
              <w:jc w:val="center"/>
              <w:rPr>
                <w:sz w:val="21"/>
                <w:szCs w:val="21"/>
                <w:lang w:eastAsia="zh-CN"/>
              </w:rPr>
            </w:pPr>
            <w:r>
              <w:rPr>
                <w:sz w:val="21"/>
                <w:szCs w:val="21"/>
              </w:rPr>
              <w:t>原料</w:t>
            </w:r>
          </w:p>
          <w:p w14:paraId="7D527C06">
            <w:pPr>
              <w:spacing w:line="240" w:lineRule="auto"/>
              <w:ind w:firstLine="0" w:firstLineChars="0"/>
              <w:jc w:val="center"/>
              <w:rPr>
                <w:b/>
                <w:bCs/>
                <w:sz w:val="21"/>
                <w:szCs w:val="21"/>
                <w:lang w:eastAsia="zh-CN" w:bidi="mn-Mong-CN"/>
              </w:rPr>
            </w:pPr>
            <w:r>
              <w:rPr>
                <w:sz w:val="21"/>
                <w:szCs w:val="21"/>
              </w:rPr>
              <w:t>名称</w:t>
            </w:r>
          </w:p>
        </w:tc>
        <w:tc>
          <w:tcPr>
            <w:tcW w:w="708" w:type="dxa"/>
            <w:vAlign w:val="center"/>
          </w:tcPr>
          <w:p w14:paraId="16963A44">
            <w:pPr>
              <w:spacing w:line="240" w:lineRule="auto"/>
              <w:ind w:firstLine="0" w:firstLineChars="0"/>
              <w:jc w:val="center"/>
              <w:rPr>
                <w:sz w:val="21"/>
                <w:szCs w:val="21"/>
                <w:lang w:eastAsia="zh-CN"/>
              </w:rPr>
            </w:pPr>
            <w:r>
              <w:rPr>
                <w:sz w:val="21"/>
                <w:szCs w:val="21"/>
              </w:rPr>
              <w:t>工艺</w:t>
            </w:r>
          </w:p>
          <w:p w14:paraId="0F6E3469">
            <w:pPr>
              <w:spacing w:line="240" w:lineRule="auto"/>
              <w:ind w:firstLine="0" w:firstLineChars="0"/>
              <w:jc w:val="center"/>
              <w:rPr>
                <w:b/>
                <w:bCs/>
                <w:sz w:val="21"/>
                <w:szCs w:val="21"/>
                <w:lang w:eastAsia="zh-CN" w:bidi="mn-Mong-CN"/>
              </w:rPr>
            </w:pPr>
            <w:r>
              <w:rPr>
                <w:sz w:val="21"/>
                <w:szCs w:val="21"/>
              </w:rPr>
              <w:t>名称</w:t>
            </w:r>
          </w:p>
        </w:tc>
        <w:tc>
          <w:tcPr>
            <w:tcW w:w="709" w:type="dxa"/>
            <w:vAlign w:val="center"/>
          </w:tcPr>
          <w:p w14:paraId="7A501659">
            <w:pPr>
              <w:spacing w:line="240" w:lineRule="auto"/>
              <w:ind w:firstLine="0" w:firstLineChars="0"/>
              <w:jc w:val="center"/>
              <w:rPr>
                <w:sz w:val="21"/>
                <w:szCs w:val="21"/>
                <w:lang w:eastAsia="zh-CN"/>
              </w:rPr>
            </w:pPr>
            <w:r>
              <w:rPr>
                <w:sz w:val="21"/>
                <w:szCs w:val="21"/>
              </w:rPr>
              <w:t>规模</w:t>
            </w:r>
          </w:p>
          <w:p w14:paraId="0D3500D5">
            <w:pPr>
              <w:spacing w:line="240" w:lineRule="auto"/>
              <w:ind w:firstLine="0" w:firstLineChars="0"/>
              <w:jc w:val="center"/>
              <w:rPr>
                <w:b/>
                <w:bCs/>
                <w:sz w:val="21"/>
                <w:szCs w:val="21"/>
                <w:lang w:eastAsia="zh-CN" w:bidi="mn-Mong-CN"/>
              </w:rPr>
            </w:pPr>
            <w:r>
              <w:rPr>
                <w:sz w:val="21"/>
                <w:szCs w:val="21"/>
              </w:rPr>
              <w:t>等级</w:t>
            </w:r>
          </w:p>
        </w:tc>
        <w:tc>
          <w:tcPr>
            <w:tcW w:w="1134" w:type="dxa"/>
            <w:vAlign w:val="center"/>
          </w:tcPr>
          <w:p w14:paraId="541D2B76">
            <w:pPr>
              <w:spacing w:line="240" w:lineRule="auto"/>
              <w:ind w:firstLine="0" w:firstLineChars="0"/>
              <w:jc w:val="center"/>
              <w:rPr>
                <w:sz w:val="21"/>
                <w:szCs w:val="21"/>
                <w:lang w:eastAsia="zh-CN"/>
              </w:rPr>
            </w:pPr>
            <w:r>
              <w:rPr>
                <w:sz w:val="21"/>
                <w:szCs w:val="21"/>
              </w:rPr>
              <w:t>污染物</w:t>
            </w:r>
          </w:p>
          <w:p w14:paraId="6B68CA7F">
            <w:pPr>
              <w:spacing w:line="240" w:lineRule="auto"/>
              <w:ind w:firstLine="0" w:firstLineChars="0"/>
              <w:jc w:val="center"/>
              <w:rPr>
                <w:b/>
                <w:bCs/>
                <w:sz w:val="21"/>
                <w:szCs w:val="21"/>
                <w:lang w:eastAsia="zh-CN" w:bidi="mn-Mong-CN"/>
              </w:rPr>
            </w:pPr>
            <w:r>
              <w:rPr>
                <w:sz w:val="21"/>
                <w:szCs w:val="21"/>
              </w:rPr>
              <w:t>指标</w:t>
            </w:r>
          </w:p>
        </w:tc>
        <w:tc>
          <w:tcPr>
            <w:tcW w:w="1276" w:type="dxa"/>
            <w:vAlign w:val="center"/>
          </w:tcPr>
          <w:p w14:paraId="788B611B">
            <w:pPr>
              <w:spacing w:line="240" w:lineRule="auto"/>
              <w:ind w:firstLine="0" w:firstLineChars="0"/>
              <w:jc w:val="center"/>
              <w:rPr>
                <w:b/>
                <w:bCs/>
                <w:sz w:val="21"/>
                <w:szCs w:val="21"/>
                <w:lang w:eastAsia="zh-CN" w:bidi="mn-Mong-CN"/>
              </w:rPr>
            </w:pPr>
            <w:r>
              <w:rPr>
                <w:sz w:val="21"/>
                <w:szCs w:val="21"/>
              </w:rPr>
              <w:t>单位</w:t>
            </w:r>
          </w:p>
        </w:tc>
        <w:tc>
          <w:tcPr>
            <w:tcW w:w="1134" w:type="dxa"/>
            <w:vAlign w:val="center"/>
          </w:tcPr>
          <w:p w14:paraId="3832B564">
            <w:pPr>
              <w:spacing w:line="240" w:lineRule="auto"/>
              <w:ind w:firstLine="0" w:firstLineChars="0"/>
              <w:jc w:val="center"/>
              <w:rPr>
                <w:sz w:val="21"/>
                <w:szCs w:val="21"/>
                <w:lang w:eastAsia="zh-CN"/>
              </w:rPr>
            </w:pPr>
            <w:r>
              <w:rPr>
                <w:sz w:val="21"/>
                <w:szCs w:val="21"/>
              </w:rPr>
              <w:t>产污</w:t>
            </w:r>
          </w:p>
          <w:p w14:paraId="1DD81708">
            <w:pPr>
              <w:spacing w:line="240" w:lineRule="auto"/>
              <w:ind w:firstLine="0" w:firstLineChars="0"/>
              <w:jc w:val="center"/>
              <w:rPr>
                <w:b/>
                <w:bCs/>
                <w:sz w:val="21"/>
                <w:szCs w:val="21"/>
                <w:lang w:eastAsia="zh-CN" w:bidi="mn-Mong-CN"/>
              </w:rPr>
            </w:pPr>
            <w:r>
              <w:rPr>
                <w:sz w:val="21"/>
                <w:szCs w:val="21"/>
              </w:rPr>
              <w:t>系数</w:t>
            </w:r>
          </w:p>
        </w:tc>
        <w:tc>
          <w:tcPr>
            <w:tcW w:w="1134" w:type="dxa"/>
            <w:tcBorders>
              <w:right w:val="single" w:color="auto" w:sz="4" w:space="0"/>
            </w:tcBorders>
            <w:vAlign w:val="center"/>
          </w:tcPr>
          <w:p w14:paraId="0D2E6354">
            <w:pPr>
              <w:spacing w:line="240" w:lineRule="auto"/>
              <w:ind w:firstLine="0" w:firstLineChars="0"/>
              <w:jc w:val="center"/>
              <w:rPr>
                <w:sz w:val="21"/>
                <w:szCs w:val="21"/>
                <w:lang w:eastAsia="zh-CN"/>
              </w:rPr>
            </w:pPr>
            <w:r>
              <w:rPr>
                <w:rFonts w:hint="eastAsia"/>
                <w:sz w:val="21"/>
                <w:szCs w:val="21"/>
                <w:lang w:eastAsia="zh-CN"/>
              </w:rPr>
              <w:t>末端治理</w:t>
            </w:r>
          </w:p>
          <w:p w14:paraId="1CBE3D97">
            <w:pPr>
              <w:spacing w:line="240" w:lineRule="auto"/>
              <w:ind w:firstLine="0" w:firstLineChars="0"/>
              <w:jc w:val="center"/>
              <w:rPr>
                <w:sz w:val="21"/>
                <w:szCs w:val="21"/>
              </w:rPr>
            </w:pPr>
            <w:r>
              <w:rPr>
                <w:rFonts w:hint="eastAsia"/>
                <w:sz w:val="21"/>
                <w:szCs w:val="21"/>
                <w:lang w:eastAsia="zh-CN"/>
              </w:rPr>
              <w:t>技术名称</w:t>
            </w:r>
          </w:p>
        </w:tc>
        <w:tc>
          <w:tcPr>
            <w:tcW w:w="1134" w:type="dxa"/>
            <w:tcBorders>
              <w:left w:val="single" w:color="auto" w:sz="4" w:space="0"/>
            </w:tcBorders>
            <w:vAlign w:val="center"/>
          </w:tcPr>
          <w:p w14:paraId="42C483AD">
            <w:pPr>
              <w:spacing w:line="240" w:lineRule="auto"/>
              <w:ind w:firstLine="0" w:firstLineChars="0"/>
              <w:jc w:val="center"/>
              <w:rPr>
                <w:sz w:val="21"/>
                <w:szCs w:val="21"/>
                <w:lang w:eastAsia="zh-CN"/>
              </w:rPr>
            </w:pPr>
            <w:r>
              <w:rPr>
                <w:rFonts w:hint="eastAsia"/>
                <w:sz w:val="21"/>
                <w:szCs w:val="21"/>
                <w:lang w:eastAsia="zh-CN"/>
              </w:rPr>
              <w:t>排污</w:t>
            </w:r>
          </w:p>
          <w:p w14:paraId="1D767BCD">
            <w:pPr>
              <w:spacing w:line="240" w:lineRule="auto"/>
              <w:ind w:firstLine="0" w:firstLineChars="0"/>
              <w:jc w:val="center"/>
              <w:rPr>
                <w:sz w:val="21"/>
                <w:szCs w:val="21"/>
              </w:rPr>
            </w:pPr>
            <w:r>
              <w:rPr>
                <w:rFonts w:hint="eastAsia"/>
                <w:sz w:val="21"/>
                <w:szCs w:val="21"/>
                <w:lang w:eastAsia="zh-CN"/>
              </w:rPr>
              <w:t>系数</w:t>
            </w:r>
          </w:p>
        </w:tc>
      </w:tr>
      <w:tr w14:paraId="70CF85B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551" w:hRule="atLeast"/>
        </w:trPr>
        <w:tc>
          <w:tcPr>
            <w:tcW w:w="959" w:type="dxa"/>
            <w:vMerge w:val="restart"/>
            <w:vAlign w:val="center"/>
          </w:tcPr>
          <w:p w14:paraId="2E753E84">
            <w:pPr>
              <w:spacing w:line="240" w:lineRule="auto"/>
              <w:ind w:firstLine="0" w:firstLineChars="0"/>
              <w:jc w:val="center"/>
              <w:rPr>
                <w:b/>
                <w:bCs/>
                <w:sz w:val="21"/>
                <w:szCs w:val="21"/>
                <w:lang w:eastAsia="zh-CN" w:bidi="mn-Mong-CN"/>
              </w:rPr>
            </w:pPr>
            <w:r>
              <w:rPr>
                <w:sz w:val="21"/>
                <w:szCs w:val="21"/>
              </w:rPr>
              <w:t>蒸汽/热水/其它</w:t>
            </w:r>
          </w:p>
        </w:tc>
        <w:tc>
          <w:tcPr>
            <w:tcW w:w="709" w:type="dxa"/>
            <w:vMerge w:val="restart"/>
            <w:vAlign w:val="center"/>
          </w:tcPr>
          <w:p w14:paraId="17D31F87">
            <w:pPr>
              <w:spacing w:line="240" w:lineRule="auto"/>
              <w:ind w:firstLine="0" w:firstLineChars="0"/>
              <w:jc w:val="center"/>
              <w:rPr>
                <w:b/>
                <w:bCs/>
                <w:sz w:val="21"/>
                <w:szCs w:val="21"/>
                <w:lang w:eastAsia="zh-CN" w:bidi="mn-Mong-CN"/>
              </w:rPr>
            </w:pPr>
            <w:r>
              <w:rPr>
                <w:rFonts w:hint="eastAsia"/>
                <w:sz w:val="21"/>
                <w:szCs w:val="21"/>
                <w:lang w:eastAsia="zh-CN"/>
              </w:rPr>
              <w:t>天然气</w:t>
            </w:r>
          </w:p>
        </w:tc>
        <w:tc>
          <w:tcPr>
            <w:tcW w:w="708" w:type="dxa"/>
            <w:vMerge w:val="restart"/>
            <w:vAlign w:val="center"/>
          </w:tcPr>
          <w:p w14:paraId="332E501E">
            <w:pPr>
              <w:spacing w:line="240" w:lineRule="auto"/>
              <w:ind w:firstLine="0" w:firstLineChars="0"/>
              <w:jc w:val="center"/>
              <w:rPr>
                <w:sz w:val="21"/>
                <w:szCs w:val="21"/>
                <w:lang w:eastAsia="zh-CN"/>
              </w:rPr>
            </w:pPr>
            <w:r>
              <w:rPr>
                <w:sz w:val="21"/>
                <w:szCs w:val="21"/>
              </w:rPr>
              <w:t>室燃</w:t>
            </w:r>
          </w:p>
          <w:p w14:paraId="52D2CF07">
            <w:pPr>
              <w:spacing w:line="240" w:lineRule="auto"/>
              <w:ind w:firstLine="0" w:firstLineChars="0"/>
              <w:jc w:val="center"/>
              <w:rPr>
                <w:sz w:val="21"/>
                <w:szCs w:val="21"/>
                <w:lang w:eastAsia="zh-CN"/>
              </w:rPr>
            </w:pPr>
            <w:r>
              <w:rPr>
                <w:sz w:val="21"/>
                <w:szCs w:val="21"/>
              </w:rPr>
              <w:t>炉</w:t>
            </w:r>
          </w:p>
        </w:tc>
        <w:tc>
          <w:tcPr>
            <w:tcW w:w="709" w:type="dxa"/>
            <w:vMerge w:val="restart"/>
            <w:vAlign w:val="center"/>
          </w:tcPr>
          <w:p w14:paraId="6C362922">
            <w:pPr>
              <w:spacing w:line="240" w:lineRule="auto"/>
              <w:ind w:firstLine="0" w:firstLineChars="0"/>
              <w:jc w:val="center"/>
              <w:rPr>
                <w:sz w:val="21"/>
                <w:szCs w:val="21"/>
                <w:lang w:eastAsia="zh-CN"/>
              </w:rPr>
            </w:pPr>
            <w:r>
              <w:rPr>
                <w:sz w:val="21"/>
                <w:szCs w:val="21"/>
              </w:rPr>
              <w:t>所有</w:t>
            </w:r>
          </w:p>
          <w:p w14:paraId="7A8CD960">
            <w:pPr>
              <w:spacing w:line="240" w:lineRule="auto"/>
              <w:ind w:firstLine="0" w:firstLineChars="0"/>
              <w:jc w:val="center"/>
              <w:rPr>
                <w:b/>
                <w:bCs/>
                <w:sz w:val="21"/>
                <w:szCs w:val="21"/>
                <w:lang w:eastAsia="zh-CN" w:bidi="mn-Mong-CN"/>
              </w:rPr>
            </w:pPr>
            <w:r>
              <w:rPr>
                <w:sz w:val="21"/>
                <w:szCs w:val="21"/>
              </w:rPr>
              <w:t>规模</w:t>
            </w:r>
          </w:p>
        </w:tc>
        <w:tc>
          <w:tcPr>
            <w:tcW w:w="1134" w:type="dxa"/>
            <w:vAlign w:val="center"/>
          </w:tcPr>
          <w:p w14:paraId="45DE535B">
            <w:pPr>
              <w:pStyle w:val="337"/>
              <w:rPr>
                <w:color w:val="auto"/>
                <w:szCs w:val="21"/>
                <w:lang w:val="en-US" w:eastAsia="zh-CN" w:bidi="en-US"/>
              </w:rPr>
            </w:pPr>
            <w:r>
              <w:rPr>
                <w:color w:val="auto"/>
                <w:szCs w:val="21"/>
                <w:lang w:val="en-US" w:eastAsia="en-US" w:bidi="en-US"/>
              </w:rPr>
              <w:t>工业</w:t>
            </w:r>
          </w:p>
          <w:p w14:paraId="3621CFEF">
            <w:pPr>
              <w:pStyle w:val="337"/>
              <w:rPr>
                <w:color w:val="auto"/>
                <w:szCs w:val="21"/>
                <w:lang w:val="en-US" w:eastAsia="en-US" w:bidi="en-US"/>
              </w:rPr>
            </w:pPr>
            <w:r>
              <w:rPr>
                <w:color w:val="auto"/>
                <w:szCs w:val="21"/>
                <w:lang w:val="en-US" w:eastAsia="en-US" w:bidi="en-US"/>
              </w:rPr>
              <w:t>废气量</w:t>
            </w:r>
          </w:p>
        </w:tc>
        <w:tc>
          <w:tcPr>
            <w:tcW w:w="1276" w:type="dxa"/>
            <w:vAlign w:val="center"/>
          </w:tcPr>
          <w:p w14:paraId="7D70EECF">
            <w:pPr>
              <w:pStyle w:val="337"/>
              <w:rPr>
                <w:color w:val="auto"/>
                <w:szCs w:val="21"/>
                <w:lang w:val="en-US" w:eastAsia="zh-CN" w:bidi="en-US"/>
              </w:rPr>
            </w:pPr>
            <w:r>
              <w:rPr>
                <w:color w:val="auto"/>
                <w:szCs w:val="21"/>
                <w:lang w:val="en-US" w:eastAsia="zh-CN" w:bidi="en-US"/>
              </w:rPr>
              <w:t>标立方米/</w:t>
            </w:r>
            <w:r>
              <w:rPr>
                <w:rFonts w:hint="eastAsia"/>
                <w:color w:val="auto"/>
                <w:szCs w:val="21"/>
                <w:lang w:val="en-US" w:eastAsia="zh-CN" w:bidi="en-US"/>
              </w:rPr>
              <w:t>万立方米</w:t>
            </w:r>
            <w:r>
              <w:rPr>
                <w:color w:val="auto"/>
                <w:szCs w:val="21"/>
                <w:lang w:val="en-US" w:eastAsia="zh-CN" w:bidi="en-US"/>
              </w:rPr>
              <w:t>-原料</w:t>
            </w:r>
          </w:p>
        </w:tc>
        <w:tc>
          <w:tcPr>
            <w:tcW w:w="1134" w:type="dxa"/>
            <w:vAlign w:val="center"/>
          </w:tcPr>
          <w:p w14:paraId="126748F3">
            <w:pPr>
              <w:pStyle w:val="337"/>
              <w:rPr>
                <w:color w:val="auto"/>
                <w:szCs w:val="21"/>
                <w:lang w:val="en-US" w:eastAsia="zh-CN" w:bidi="en-US"/>
              </w:rPr>
            </w:pPr>
            <w:r>
              <w:rPr>
                <w:rFonts w:hint="eastAsia"/>
                <w:color w:val="auto"/>
                <w:szCs w:val="21"/>
                <w:lang w:val="en-US" w:eastAsia="zh-CN" w:bidi="en-US"/>
              </w:rPr>
              <w:t>136259.17</w:t>
            </w:r>
          </w:p>
        </w:tc>
        <w:tc>
          <w:tcPr>
            <w:tcW w:w="1134" w:type="dxa"/>
            <w:tcBorders>
              <w:right w:val="single" w:color="auto" w:sz="4" w:space="0"/>
            </w:tcBorders>
            <w:vAlign w:val="center"/>
          </w:tcPr>
          <w:p w14:paraId="065C1B39">
            <w:pPr>
              <w:pStyle w:val="337"/>
              <w:rPr>
                <w:color w:val="auto"/>
                <w:szCs w:val="21"/>
                <w:lang w:val="en-US" w:eastAsia="zh-CN" w:bidi="en-US"/>
              </w:rPr>
            </w:pPr>
            <w:r>
              <w:rPr>
                <w:rFonts w:hint="eastAsia"/>
                <w:color w:val="auto"/>
                <w:szCs w:val="21"/>
                <w:lang w:val="en-US" w:eastAsia="zh-CN" w:bidi="en-US"/>
              </w:rPr>
              <w:t>直排</w:t>
            </w:r>
          </w:p>
        </w:tc>
        <w:tc>
          <w:tcPr>
            <w:tcW w:w="1134" w:type="dxa"/>
            <w:tcBorders>
              <w:left w:val="single" w:color="auto" w:sz="4" w:space="0"/>
            </w:tcBorders>
            <w:vAlign w:val="center"/>
          </w:tcPr>
          <w:p w14:paraId="5C41A5AA">
            <w:pPr>
              <w:pStyle w:val="337"/>
              <w:rPr>
                <w:color w:val="auto"/>
                <w:szCs w:val="21"/>
                <w:lang w:val="en-US" w:eastAsia="zh-CN" w:bidi="en-US"/>
              </w:rPr>
            </w:pPr>
            <w:r>
              <w:rPr>
                <w:rFonts w:hint="eastAsia"/>
                <w:color w:val="auto"/>
                <w:szCs w:val="21"/>
                <w:lang w:val="en-US" w:eastAsia="zh-CN" w:bidi="en-US"/>
              </w:rPr>
              <w:t>136259.17</w:t>
            </w:r>
          </w:p>
        </w:tc>
      </w:tr>
      <w:tr w14:paraId="7D1822F1">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959" w:type="dxa"/>
            <w:vMerge w:val="continue"/>
            <w:vAlign w:val="center"/>
          </w:tcPr>
          <w:p w14:paraId="34CE1101">
            <w:pPr>
              <w:spacing w:line="240" w:lineRule="auto"/>
              <w:ind w:firstLine="0" w:firstLineChars="0"/>
              <w:jc w:val="center"/>
              <w:rPr>
                <w:b/>
                <w:bCs/>
                <w:sz w:val="21"/>
                <w:szCs w:val="21"/>
                <w:lang w:eastAsia="zh-CN" w:bidi="mn-Mong-CN"/>
              </w:rPr>
            </w:pPr>
          </w:p>
        </w:tc>
        <w:tc>
          <w:tcPr>
            <w:tcW w:w="709" w:type="dxa"/>
            <w:vMerge w:val="continue"/>
            <w:vAlign w:val="center"/>
          </w:tcPr>
          <w:p w14:paraId="12BEDB37">
            <w:pPr>
              <w:spacing w:line="240" w:lineRule="auto"/>
              <w:ind w:firstLine="0" w:firstLineChars="0"/>
              <w:jc w:val="center"/>
              <w:rPr>
                <w:b/>
                <w:bCs/>
                <w:sz w:val="21"/>
                <w:szCs w:val="21"/>
                <w:lang w:eastAsia="zh-CN" w:bidi="mn-Mong-CN"/>
              </w:rPr>
            </w:pPr>
          </w:p>
        </w:tc>
        <w:tc>
          <w:tcPr>
            <w:tcW w:w="708" w:type="dxa"/>
            <w:vMerge w:val="continue"/>
            <w:vAlign w:val="center"/>
          </w:tcPr>
          <w:p w14:paraId="0E03D641">
            <w:pPr>
              <w:spacing w:line="240" w:lineRule="auto"/>
              <w:ind w:firstLine="0" w:firstLineChars="0"/>
              <w:jc w:val="center"/>
              <w:rPr>
                <w:b/>
                <w:bCs/>
                <w:sz w:val="21"/>
                <w:szCs w:val="21"/>
                <w:lang w:eastAsia="zh-CN" w:bidi="mn-Mong-CN"/>
              </w:rPr>
            </w:pPr>
          </w:p>
        </w:tc>
        <w:tc>
          <w:tcPr>
            <w:tcW w:w="709" w:type="dxa"/>
            <w:vMerge w:val="continue"/>
            <w:vAlign w:val="center"/>
          </w:tcPr>
          <w:p w14:paraId="7005797B">
            <w:pPr>
              <w:spacing w:line="240" w:lineRule="auto"/>
              <w:ind w:firstLine="0" w:firstLineChars="0"/>
              <w:jc w:val="center"/>
              <w:rPr>
                <w:b/>
                <w:bCs/>
                <w:sz w:val="21"/>
                <w:szCs w:val="21"/>
                <w:lang w:eastAsia="zh-CN" w:bidi="mn-Mong-CN"/>
              </w:rPr>
            </w:pPr>
          </w:p>
        </w:tc>
        <w:tc>
          <w:tcPr>
            <w:tcW w:w="1134" w:type="dxa"/>
            <w:vAlign w:val="center"/>
          </w:tcPr>
          <w:p w14:paraId="0248753F">
            <w:pPr>
              <w:pStyle w:val="337"/>
              <w:rPr>
                <w:color w:val="auto"/>
                <w:szCs w:val="21"/>
                <w:lang w:val="en-US" w:eastAsia="en-US" w:bidi="en-US"/>
              </w:rPr>
            </w:pPr>
            <w:r>
              <w:rPr>
                <w:color w:val="auto"/>
                <w:szCs w:val="21"/>
                <w:lang w:val="en-US" w:eastAsia="en-US" w:bidi="en-US"/>
              </w:rPr>
              <w:t>二氧化硫</w:t>
            </w:r>
          </w:p>
        </w:tc>
        <w:tc>
          <w:tcPr>
            <w:tcW w:w="1276" w:type="dxa"/>
            <w:vAlign w:val="center"/>
          </w:tcPr>
          <w:p w14:paraId="4CCD9A59">
            <w:pPr>
              <w:pStyle w:val="337"/>
              <w:rPr>
                <w:color w:val="auto"/>
                <w:szCs w:val="21"/>
                <w:lang w:val="en-US" w:eastAsia="en-US" w:bidi="en-US"/>
              </w:rPr>
            </w:pPr>
            <w:r>
              <w:rPr>
                <w:color w:val="auto"/>
                <w:szCs w:val="21"/>
                <w:lang w:val="en-US" w:eastAsia="en-US" w:bidi="en-US"/>
              </w:rPr>
              <w:t>千克/</w:t>
            </w:r>
            <w:r>
              <w:rPr>
                <w:rFonts w:hint="eastAsia"/>
                <w:color w:val="auto"/>
                <w:szCs w:val="21"/>
                <w:lang w:val="en-US" w:eastAsia="zh-CN" w:bidi="en-US"/>
              </w:rPr>
              <w:t>万立方米</w:t>
            </w:r>
            <w:r>
              <w:rPr>
                <w:color w:val="auto"/>
                <w:szCs w:val="21"/>
                <w:lang w:val="en-US" w:eastAsia="en-US" w:bidi="en-US"/>
              </w:rPr>
              <w:t>-原料</w:t>
            </w:r>
          </w:p>
        </w:tc>
        <w:tc>
          <w:tcPr>
            <w:tcW w:w="1134" w:type="dxa"/>
            <w:vAlign w:val="center"/>
          </w:tcPr>
          <w:p w14:paraId="361DAC09">
            <w:pPr>
              <w:pStyle w:val="337"/>
              <w:rPr>
                <w:color w:val="auto"/>
                <w:szCs w:val="21"/>
                <w:lang w:val="en-US" w:eastAsia="en-US" w:bidi="en-US"/>
              </w:rPr>
            </w:pPr>
            <w:r>
              <w:rPr>
                <w:rFonts w:hint="eastAsia"/>
                <w:color w:val="auto"/>
                <w:szCs w:val="21"/>
                <w:lang w:val="en-US" w:eastAsia="zh-CN" w:bidi="en-US"/>
              </w:rPr>
              <w:t>0.02</w:t>
            </w:r>
            <w:r>
              <w:rPr>
                <w:color w:val="auto"/>
                <w:szCs w:val="21"/>
                <w:lang w:val="en-US" w:eastAsia="en-US" w:bidi="en-US"/>
              </w:rPr>
              <w:t>S</w:t>
            </w:r>
          </w:p>
        </w:tc>
        <w:tc>
          <w:tcPr>
            <w:tcW w:w="1134" w:type="dxa"/>
            <w:tcBorders>
              <w:right w:val="single" w:color="auto" w:sz="4" w:space="0"/>
            </w:tcBorders>
            <w:vAlign w:val="center"/>
          </w:tcPr>
          <w:p w14:paraId="034BF07C">
            <w:pPr>
              <w:pStyle w:val="337"/>
              <w:rPr>
                <w:color w:val="auto"/>
                <w:szCs w:val="21"/>
                <w:lang w:val="en-US" w:eastAsia="en-US" w:bidi="en-US"/>
              </w:rPr>
            </w:pPr>
            <w:r>
              <w:rPr>
                <w:rFonts w:hint="eastAsia"/>
                <w:color w:val="auto"/>
                <w:szCs w:val="21"/>
                <w:lang w:val="en-US" w:eastAsia="zh-CN" w:bidi="en-US"/>
              </w:rPr>
              <w:t>直排</w:t>
            </w:r>
          </w:p>
        </w:tc>
        <w:tc>
          <w:tcPr>
            <w:tcW w:w="1134" w:type="dxa"/>
            <w:tcBorders>
              <w:left w:val="single" w:color="auto" w:sz="4" w:space="0"/>
            </w:tcBorders>
            <w:vAlign w:val="center"/>
          </w:tcPr>
          <w:p w14:paraId="0498492A">
            <w:pPr>
              <w:pStyle w:val="337"/>
              <w:rPr>
                <w:color w:val="auto"/>
                <w:szCs w:val="21"/>
                <w:lang w:val="en-US" w:eastAsia="en-US" w:bidi="en-US"/>
              </w:rPr>
            </w:pPr>
            <w:r>
              <w:rPr>
                <w:rFonts w:hint="eastAsia"/>
                <w:color w:val="auto"/>
                <w:szCs w:val="21"/>
                <w:lang w:val="en-US" w:eastAsia="zh-CN" w:bidi="en-US"/>
              </w:rPr>
              <w:t>0.02</w:t>
            </w:r>
            <w:r>
              <w:rPr>
                <w:color w:val="auto"/>
                <w:szCs w:val="21"/>
                <w:lang w:val="en-US" w:eastAsia="en-US" w:bidi="en-US"/>
              </w:rPr>
              <w:t>S</w:t>
            </w:r>
          </w:p>
        </w:tc>
      </w:tr>
      <w:tr w14:paraId="22AE0BE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40" w:hRule="atLeast"/>
        </w:trPr>
        <w:tc>
          <w:tcPr>
            <w:tcW w:w="959" w:type="dxa"/>
            <w:vMerge w:val="continue"/>
            <w:vAlign w:val="center"/>
          </w:tcPr>
          <w:p w14:paraId="185DCE06">
            <w:pPr>
              <w:spacing w:line="240" w:lineRule="auto"/>
              <w:ind w:firstLine="0" w:firstLineChars="0"/>
              <w:jc w:val="center"/>
              <w:rPr>
                <w:b/>
                <w:bCs/>
                <w:sz w:val="21"/>
                <w:szCs w:val="21"/>
                <w:lang w:eastAsia="zh-CN" w:bidi="mn-Mong-CN"/>
              </w:rPr>
            </w:pPr>
          </w:p>
        </w:tc>
        <w:tc>
          <w:tcPr>
            <w:tcW w:w="709" w:type="dxa"/>
            <w:vMerge w:val="continue"/>
            <w:vAlign w:val="center"/>
          </w:tcPr>
          <w:p w14:paraId="7B47408D">
            <w:pPr>
              <w:spacing w:line="240" w:lineRule="auto"/>
              <w:ind w:firstLine="0" w:firstLineChars="0"/>
              <w:jc w:val="center"/>
              <w:rPr>
                <w:b/>
                <w:bCs/>
                <w:sz w:val="21"/>
                <w:szCs w:val="21"/>
                <w:lang w:eastAsia="zh-CN" w:bidi="mn-Mong-CN"/>
              </w:rPr>
            </w:pPr>
          </w:p>
        </w:tc>
        <w:tc>
          <w:tcPr>
            <w:tcW w:w="708" w:type="dxa"/>
            <w:vMerge w:val="continue"/>
            <w:vAlign w:val="center"/>
          </w:tcPr>
          <w:p w14:paraId="70F0079E">
            <w:pPr>
              <w:spacing w:line="240" w:lineRule="auto"/>
              <w:ind w:firstLine="0" w:firstLineChars="0"/>
              <w:jc w:val="center"/>
              <w:rPr>
                <w:b/>
                <w:bCs/>
                <w:sz w:val="21"/>
                <w:szCs w:val="21"/>
                <w:lang w:eastAsia="zh-CN" w:bidi="mn-Mong-CN"/>
              </w:rPr>
            </w:pPr>
          </w:p>
        </w:tc>
        <w:tc>
          <w:tcPr>
            <w:tcW w:w="709" w:type="dxa"/>
            <w:vMerge w:val="continue"/>
            <w:vAlign w:val="center"/>
          </w:tcPr>
          <w:p w14:paraId="1CA99904">
            <w:pPr>
              <w:spacing w:line="240" w:lineRule="auto"/>
              <w:ind w:firstLine="0" w:firstLineChars="0"/>
              <w:jc w:val="center"/>
              <w:rPr>
                <w:b/>
                <w:bCs/>
                <w:sz w:val="21"/>
                <w:szCs w:val="21"/>
                <w:lang w:eastAsia="zh-CN" w:bidi="mn-Mong-CN"/>
              </w:rPr>
            </w:pPr>
          </w:p>
        </w:tc>
        <w:tc>
          <w:tcPr>
            <w:tcW w:w="1134" w:type="dxa"/>
            <w:vAlign w:val="center"/>
          </w:tcPr>
          <w:p w14:paraId="7827F264">
            <w:pPr>
              <w:pStyle w:val="337"/>
              <w:rPr>
                <w:color w:val="auto"/>
                <w:szCs w:val="21"/>
                <w:lang w:val="en-US" w:eastAsia="en-US" w:bidi="en-US"/>
              </w:rPr>
            </w:pPr>
            <w:r>
              <w:rPr>
                <w:color w:val="auto"/>
                <w:szCs w:val="21"/>
                <w:lang w:val="en-US" w:eastAsia="en-US" w:bidi="en-US"/>
              </w:rPr>
              <w:t>氮氧化物</w:t>
            </w:r>
          </w:p>
        </w:tc>
        <w:tc>
          <w:tcPr>
            <w:tcW w:w="1276" w:type="dxa"/>
            <w:vAlign w:val="center"/>
          </w:tcPr>
          <w:p w14:paraId="6A555ECE">
            <w:pPr>
              <w:pStyle w:val="337"/>
              <w:rPr>
                <w:color w:val="auto"/>
                <w:szCs w:val="21"/>
                <w:lang w:val="en-US" w:eastAsia="en-US" w:bidi="en-US"/>
              </w:rPr>
            </w:pPr>
            <w:r>
              <w:rPr>
                <w:color w:val="auto"/>
                <w:szCs w:val="21"/>
                <w:lang w:val="en-US" w:eastAsia="en-US" w:bidi="en-US"/>
              </w:rPr>
              <w:t>千克/</w:t>
            </w:r>
            <w:r>
              <w:rPr>
                <w:rFonts w:hint="eastAsia"/>
                <w:color w:val="auto"/>
                <w:szCs w:val="21"/>
                <w:lang w:val="en-US" w:eastAsia="zh-CN" w:bidi="en-US"/>
              </w:rPr>
              <w:t>万立方米</w:t>
            </w:r>
            <w:r>
              <w:rPr>
                <w:color w:val="auto"/>
                <w:szCs w:val="21"/>
                <w:lang w:val="en-US" w:eastAsia="en-US" w:bidi="en-US"/>
              </w:rPr>
              <w:t>-原料</w:t>
            </w:r>
          </w:p>
        </w:tc>
        <w:tc>
          <w:tcPr>
            <w:tcW w:w="1134" w:type="dxa"/>
            <w:vAlign w:val="center"/>
          </w:tcPr>
          <w:p w14:paraId="31074009">
            <w:pPr>
              <w:pStyle w:val="337"/>
              <w:rPr>
                <w:color w:val="auto"/>
                <w:szCs w:val="21"/>
                <w:lang w:val="en-US" w:eastAsia="zh-CN" w:bidi="en-US"/>
              </w:rPr>
            </w:pPr>
            <w:r>
              <w:rPr>
                <w:rFonts w:hint="eastAsia"/>
                <w:color w:val="auto"/>
                <w:szCs w:val="21"/>
                <w:lang w:val="en-US" w:eastAsia="zh-CN" w:bidi="en-US"/>
              </w:rPr>
              <w:t>18.71</w:t>
            </w:r>
          </w:p>
        </w:tc>
        <w:tc>
          <w:tcPr>
            <w:tcW w:w="1134" w:type="dxa"/>
            <w:tcBorders>
              <w:right w:val="single" w:color="auto" w:sz="4" w:space="0"/>
            </w:tcBorders>
            <w:vAlign w:val="center"/>
          </w:tcPr>
          <w:p w14:paraId="76C8A119">
            <w:pPr>
              <w:pStyle w:val="337"/>
              <w:rPr>
                <w:color w:val="auto"/>
                <w:szCs w:val="21"/>
                <w:lang w:val="en-US" w:eastAsia="zh-CN" w:bidi="en-US"/>
              </w:rPr>
            </w:pPr>
            <w:r>
              <w:rPr>
                <w:rFonts w:hint="eastAsia"/>
                <w:color w:val="auto"/>
                <w:szCs w:val="21"/>
                <w:lang w:val="en-US" w:eastAsia="zh-CN" w:bidi="en-US"/>
              </w:rPr>
              <w:t>直排</w:t>
            </w:r>
          </w:p>
        </w:tc>
        <w:tc>
          <w:tcPr>
            <w:tcW w:w="1134" w:type="dxa"/>
            <w:tcBorders>
              <w:left w:val="single" w:color="auto" w:sz="4" w:space="0"/>
            </w:tcBorders>
            <w:vAlign w:val="center"/>
          </w:tcPr>
          <w:p w14:paraId="6F506B3B">
            <w:pPr>
              <w:pStyle w:val="337"/>
              <w:rPr>
                <w:color w:val="auto"/>
                <w:szCs w:val="21"/>
                <w:lang w:val="en-US" w:eastAsia="zh-CN" w:bidi="en-US"/>
              </w:rPr>
            </w:pPr>
            <w:r>
              <w:rPr>
                <w:rFonts w:hint="eastAsia"/>
                <w:color w:val="auto"/>
                <w:szCs w:val="21"/>
                <w:lang w:val="en-US" w:eastAsia="zh-CN" w:bidi="en-US"/>
              </w:rPr>
              <w:t>18.71</w:t>
            </w:r>
          </w:p>
        </w:tc>
      </w:tr>
    </w:tbl>
    <w:p w14:paraId="1A6022A5">
      <w:pPr>
        <w:ind w:firstLine="480"/>
        <w:rPr>
          <w:rFonts w:asciiTheme="minorEastAsia" w:hAnsiTheme="minorEastAsia" w:eastAsiaTheme="minorEastAsia"/>
          <w:lang w:eastAsia="zh-CN"/>
        </w:rPr>
      </w:pPr>
      <w:r>
        <w:rPr>
          <w:rFonts w:asciiTheme="minorEastAsia" w:hAnsiTheme="minorEastAsia" w:eastAsiaTheme="minorEastAsia"/>
          <w:lang w:eastAsia="zh-CN"/>
        </w:rPr>
        <w:t>3、原油集输过程中烃类损失</w:t>
      </w:r>
    </w:p>
    <w:p w14:paraId="2DBB236D">
      <w:pPr>
        <w:ind w:firstLine="480"/>
        <w:rPr>
          <w:rFonts w:asciiTheme="minorEastAsia" w:hAnsiTheme="minorEastAsia" w:eastAsiaTheme="minorEastAsia"/>
          <w:lang w:eastAsia="zh-CN"/>
        </w:rPr>
      </w:pPr>
      <w:r>
        <w:rPr>
          <w:rFonts w:asciiTheme="minorEastAsia" w:hAnsiTheme="minorEastAsia" w:eastAsiaTheme="minorEastAsia"/>
          <w:lang w:eastAsia="zh-CN"/>
        </w:rPr>
        <w:t>在采油过程中，由于井口密封不严等原因，烃类从井口排入大气。另外，仍有一定量的烃类通过储罐、管线等挥发而释放到大气中。全国对原油损耗的调查表明：密闭流损为0.05%。</w:t>
      </w:r>
    </w:p>
    <w:p w14:paraId="5342EF67">
      <w:pPr>
        <w:ind w:firstLine="480"/>
        <w:rPr>
          <w:rFonts w:asciiTheme="minorEastAsia" w:hAnsiTheme="minorEastAsia" w:eastAsiaTheme="minorEastAsia"/>
          <w:lang w:eastAsia="zh-CN"/>
        </w:rPr>
      </w:pPr>
      <w:r>
        <w:rPr>
          <w:rFonts w:asciiTheme="minorEastAsia" w:hAnsiTheme="minorEastAsia" w:eastAsiaTheme="minorEastAsia"/>
          <w:lang w:eastAsia="zh-CN"/>
        </w:rPr>
        <w:t>根据中国石油华北油田公司的统计资料，一般原油采油工艺中总烃类排放为3.522kg/t油，</w:t>
      </w:r>
      <w:r>
        <w:rPr>
          <w:rFonts w:hint="eastAsia" w:asciiTheme="minorEastAsia" w:hAnsiTheme="minorEastAsia" w:eastAsiaTheme="minorEastAsia"/>
          <w:lang w:eastAsia="zh-CN"/>
        </w:rPr>
        <w:t>属于无组织排放。本项目扩建后</w:t>
      </w:r>
      <w:r>
        <w:rPr>
          <w:rFonts w:asciiTheme="minorEastAsia" w:hAnsiTheme="minorEastAsia" w:eastAsiaTheme="minorEastAsia"/>
          <w:lang w:eastAsia="zh-CN"/>
        </w:rPr>
        <w:t>年产油量为</w:t>
      </w:r>
      <w:r>
        <w:rPr>
          <w:rFonts w:hint="eastAsia" w:asciiTheme="minorEastAsia" w:hAnsiTheme="minorEastAsia" w:eastAsiaTheme="minorEastAsia"/>
          <w:lang w:eastAsia="zh-CN"/>
        </w:rPr>
        <w:t>8</w:t>
      </w:r>
      <w:r>
        <w:rPr>
          <w:rFonts w:asciiTheme="minorEastAsia" w:hAnsiTheme="minorEastAsia" w:eastAsiaTheme="minorEastAsia"/>
          <w:lang w:eastAsia="zh-CN"/>
        </w:rPr>
        <w:t>万t/a，本项目全年烃类排放量为</w:t>
      </w:r>
      <w:r>
        <w:rPr>
          <w:rFonts w:hint="eastAsia" w:asciiTheme="minorEastAsia" w:hAnsiTheme="minorEastAsia" w:eastAsiaTheme="minorEastAsia"/>
          <w:lang w:eastAsia="zh-CN"/>
        </w:rPr>
        <w:t>281.76</w:t>
      </w:r>
      <w:r>
        <w:rPr>
          <w:rFonts w:asciiTheme="minorEastAsia" w:hAnsiTheme="minorEastAsia" w:eastAsiaTheme="minorEastAsia"/>
          <w:lang w:eastAsia="zh-CN"/>
        </w:rPr>
        <w:t>t</w:t>
      </w:r>
      <w:r>
        <w:rPr>
          <w:rFonts w:hint="eastAsia" w:asciiTheme="minorEastAsia" w:hAnsiTheme="minorEastAsia" w:eastAsiaTheme="minorEastAsia"/>
          <w:lang w:eastAsia="zh-CN"/>
        </w:rPr>
        <w:t>/a</w:t>
      </w:r>
      <w:r>
        <w:rPr>
          <w:rFonts w:asciiTheme="minorEastAsia" w:hAnsiTheme="minorEastAsia" w:eastAsiaTheme="minorEastAsia"/>
          <w:lang w:eastAsia="zh-CN"/>
        </w:rPr>
        <w:t>。</w:t>
      </w:r>
    </w:p>
    <w:p w14:paraId="5193FA07">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4、道路</w:t>
      </w:r>
    </w:p>
    <w:p w14:paraId="52424874">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乌里雅斯太</w:t>
      </w:r>
      <w:r>
        <w:rPr>
          <w:rFonts w:asciiTheme="minorEastAsia" w:hAnsiTheme="minorEastAsia" w:eastAsiaTheme="minorEastAsia"/>
          <w:lang w:eastAsia="zh-CN"/>
        </w:rPr>
        <w:t>油田</w:t>
      </w:r>
      <w:r>
        <w:rPr>
          <w:rFonts w:hint="eastAsia" w:asciiTheme="minorEastAsia" w:hAnsiTheme="minorEastAsia" w:eastAsiaTheme="minorEastAsia"/>
          <w:lang w:eastAsia="zh-CN"/>
        </w:rPr>
        <w:t>对外连接道路为柏油路，油田</w:t>
      </w:r>
      <w:r>
        <w:rPr>
          <w:rFonts w:asciiTheme="minorEastAsia" w:hAnsiTheme="minorEastAsia" w:eastAsiaTheme="minorEastAsia"/>
          <w:lang w:eastAsia="zh-CN"/>
        </w:rPr>
        <w:t>范围内的井场联络道路为土路，在车辆经过时，会产生一定量的扬尘，</w:t>
      </w:r>
      <w:r>
        <w:rPr>
          <w:rFonts w:hint="eastAsia" w:asciiTheme="minorEastAsia" w:hAnsiTheme="minorEastAsia" w:eastAsiaTheme="minorEastAsia"/>
          <w:lang w:eastAsia="zh-CN"/>
        </w:rPr>
        <w:t>应该</w:t>
      </w:r>
      <w:r>
        <w:rPr>
          <w:rFonts w:asciiTheme="minorEastAsia" w:hAnsiTheme="minorEastAsia" w:eastAsiaTheme="minorEastAsia"/>
          <w:lang w:eastAsia="zh-CN"/>
        </w:rPr>
        <w:t>及时洒水抑</w:t>
      </w:r>
      <w:r>
        <w:rPr>
          <w:rFonts w:hint="eastAsia" w:asciiTheme="minorEastAsia" w:hAnsiTheme="minorEastAsia" w:eastAsiaTheme="minorEastAsia"/>
          <w:lang w:eastAsia="zh-CN"/>
        </w:rPr>
        <w:t>尘</w:t>
      </w:r>
      <w:r>
        <w:rPr>
          <w:rFonts w:asciiTheme="minorEastAsia" w:hAnsiTheme="minorEastAsia" w:eastAsiaTheme="minorEastAsia"/>
          <w:lang w:eastAsia="zh-CN"/>
        </w:rPr>
        <w:t>。</w:t>
      </w:r>
    </w:p>
    <w:p w14:paraId="08211BFB">
      <w:pPr>
        <w:ind w:firstLine="480"/>
        <w:rPr>
          <w:rFonts w:asciiTheme="minorEastAsia" w:hAnsiTheme="minorEastAsia" w:eastAsiaTheme="minorEastAsia"/>
          <w:lang w:eastAsia="zh-CN"/>
        </w:rPr>
      </w:pPr>
      <w:r>
        <w:rPr>
          <w:rFonts w:asciiTheme="minorEastAsia" w:hAnsiTheme="minorEastAsia" w:eastAsiaTheme="minorEastAsia"/>
          <w:lang w:eastAsia="zh-CN"/>
        </w:rPr>
        <w:t>油田开发过程排放的废气污染物排放情况，结果见表3.</w:t>
      </w:r>
      <w:r>
        <w:rPr>
          <w:rFonts w:hint="eastAsia" w:asciiTheme="minorEastAsia" w:hAnsiTheme="minorEastAsia" w:eastAsiaTheme="minorEastAsia"/>
          <w:lang w:eastAsia="zh-CN"/>
        </w:rPr>
        <w:t>6</w:t>
      </w:r>
      <w:r>
        <w:rPr>
          <w:rFonts w:asciiTheme="minorEastAsia" w:hAnsiTheme="minorEastAsia" w:eastAsiaTheme="minorEastAsia"/>
          <w:lang w:eastAsia="zh-CN"/>
        </w:rPr>
        <w:t>-</w:t>
      </w:r>
      <w:r>
        <w:rPr>
          <w:rFonts w:hint="eastAsia" w:asciiTheme="minorEastAsia" w:hAnsiTheme="minorEastAsia" w:eastAsiaTheme="minorEastAsia"/>
          <w:lang w:eastAsia="zh-CN"/>
        </w:rPr>
        <w:t>4</w:t>
      </w:r>
      <w:r>
        <w:rPr>
          <w:rFonts w:asciiTheme="minorEastAsia" w:hAnsiTheme="minorEastAsia" w:eastAsiaTheme="minorEastAsia"/>
          <w:lang w:eastAsia="zh-CN"/>
        </w:rPr>
        <w:t>。</w:t>
      </w:r>
    </w:p>
    <w:p w14:paraId="52D2025D">
      <w:pPr>
        <w:ind w:firstLine="480"/>
        <w:rPr>
          <w:rFonts w:asciiTheme="minorEastAsia" w:hAnsiTheme="minorEastAsia" w:eastAsiaTheme="minorEastAsia"/>
          <w:lang w:eastAsia="zh-CN"/>
        </w:rPr>
      </w:pPr>
    </w:p>
    <w:p w14:paraId="0866F026">
      <w:pPr>
        <w:ind w:firstLine="480"/>
        <w:rPr>
          <w:rFonts w:asciiTheme="minorEastAsia" w:hAnsiTheme="minorEastAsia" w:eastAsiaTheme="minorEastAsia"/>
          <w:lang w:eastAsia="zh-CN"/>
        </w:rPr>
      </w:pPr>
    </w:p>
    <w:p w14:paraId="10CF1408">
      <w:pPr>
        <w:ind w:firstLine="480"/>
        <w:rPr>
          <w:rFonts w:asciiTheme="minorEastAsia" w:hAnsiTheme="minorEastAsia" w:eastAsiaTheme="minorEastAsia"/>
          <w:lang w:eastAsia="zh-CN"/>
        </w:rPr>
      </w:pPr>
    </w:p>
    <w:p w14:paraId="17B239E3">
      <w:pPr>
        <w:ind w:firstLine="480"/>
        <w:rPr>
          <w:rFonts w:asciiTheme="minorEastAsia" w:hAnsiTheme="minorEastAsia" w:eastAsiaTheme="minorEastAsia"/>
          <w:lang w:eastAsia="zh-CN"/>
        </w:rPr>
      </w:pPr>
    </w:p>
    <w:p w14:paraId="1522062B">
      <w:pPr>
        <w:ind w:firstLine="480"/>
        <w:rPr>
          <w:rFonts w:asciiTheme="minorEastAsia" w:hAnsiTheme="minorEastAsia" w:eastAsiaTheme="minorEastAsia"/>
          <w:lang w:eastAsia="zh-CN"/>
        </w:rPr>
      </w:pPr>
    </w:p>
    <w:p w14:paraId="7F847F62">
      <w:pPr>
        <w:spacing w:line="240" w:lineRule="auto"/>
        <w:ind w:firstLine="434" w:firstLineChars="180"/>
        <w:rPr>
          <w:b/>
          <w:lang w:eastAsia="zh-CN"/>
        </w:rPr>
      </w:pPr>
      <w:r>
        <w:rPr>
          <w:b/>
          <w:lang w:eastAsia="zh-CN"/>
        </w:rPr>
        <w:t>表3.</w:t>
      </w:r>
      <w:r>
        <w:rPr>
          <w:rFonts w:hint="eastAsia"/>
          <w:b/>
          <w:lang w:eastAsia="zh-CN"/>
        </w:rPr>
        <w:t>6</w:t>
      </w:r>
      <w:r>
        <w:rPr>
          <w:b/>
          <w:lang w:eastAsia="zh-CN"/>
        </w:rPr>
        <w:t>-</w:t>
      </w:r>
      <w:r>
        <w:rPr>
          <w:rFonts w:hint="eastAsia"/>
          <w:b/>
          <w:lang w:eastAsia="zh-CN"/>
        </w:rPr>
        <w:t>4</w:t>
      </w:r>
      <w:r>
        <w:rPr>
          <w:b/>
          <w:lang w:eastAsia="zh-CN"/>
        </w:rPr>
        <w:t xml:space="preserve">  </w:t>
      </w:r>
      <w:r>
        <w:rPr>
          <w:rFonts w:hint="eastAsia"/>
          <w:b/>
          <w:lang w:eastAsia="zh-CN"/>
        </w:rPr>
        <w:t xml:space="preserve">       </w:t>
      </w:r>
      <w:r>
        <w:rPr>
          <w:b/>
          <w:lang w:eastAsia="zh-CN"/>
        </w:rPr>
        <w:t>大气污染物</w:t>
      </w:r>
      <w:r>
        <w:rPr>
          <w:rFonts w:hint="eastAsia"/>
          <w:b/>
          <w:lang w:eastAsia="zh-CN"/>
        </w:rPr>
        <w:t>排放汇总表</w:t>
      </w:r>
      <w:r>
        <w:rPr>
          <w:b/>
          <w:lang w:eastAsia="zh-CN"/>
        </w:rPr>
        <w:t xml:space="preserve">表  </w:t>
      </w:r>
      <w:r>
        <w:rPr>
          <w:rFonts w:hint="eastAsia"/>
          <w:b/>
          <w:lang w:eastAsia="zh-CN"/>
        </w:rPr>
        <w:t>（</w:t>
      </w:r>
      <w:r>
        <w:rPr>
          <w:b/>
          <w:lang w:eastAsia="zh-CN"/>
        </w:rPr>
        <w:t xml:space="preserve">单位：t/a </w:t>
      </w:r>
      <w:r>
        <w:rPr>
          <w:rFonts w:hint="eastAsia"/>
          <w:b/>
          <w:lang w:eastAsia="zh-CN"/>
        </w:rPr>
        <w:t>）</w:t>
      </w:r>
      <w:r>
        <w:rPr>
          <w:b/>
          <w:lang w:eastAsia="zh-CN"/>
        </w:rPr>
        <w:t xml:space="preserve">  </w:t>
      </w:r>
    </w:p>
    <w:tbl>
      <w:tblPr>
        <w:tblStyle w:val="76"/>
        <w:tblW w:w="866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5"/>
        <w:gridCol w:w="851"/>
        <w:gridCol w:w="850"/>
        <w:gridCol w:w="709"/>
        <w:gridCol w:w="851"/>
        <w:gridCol w:w="852"/>
        <w:gridCol w:w="709"/>
        <w:gridCol w:w="875"/>
        <w:gridCol w:w="960"/>
        <w:gridCol w:w="1333"/>
      </w:tblGrid>
      <w:tr w14:paraId="0F17E7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26" w:type="dxa"/>
            <w:gridSpan w:val="2"/>
            <w:vMerge w:val="restart"/>
            <w:vAlign w:val="center"/>
          </w:tcPr>
          <w:p w14:paraId="48F2EDFF">
            <w:pPr>
              <w:pStyle w:val="337"/>
              <w:snapToGrid w:val="0"/>
              <w:rPr>
                <w:color w:val="auto"/>
                <w:szCs w:val="21"/>
                <w:lang w:val="en-US" w:eastAsia="en-US" w:bidi="en-US"/>
              </w:rPr>
            </w:pPr>
            <w:r>
              <w:rPr>
                <w:color w:val="auto"/>
                <w:szCs w:val="21"/>
                <w:lang w:val="en-US" w:eastAsia="en-US" w:bidi="en-US"/>
              </w:rPr>
              <w:t>污染源</w:t>
            </w:r>
          </w:p>
        </w:tc>
        <w:tc>
          <w:tcPr>
            <w:tcW w:w="4846" w:type="dxa"/>
            <w:gridSpan w:val="6"/>
            <w:vAlign w:val="center"/>
          </w:tcPr>
          <w:p w14:paraId="4740AC77">
            <w:pPr>
              <w:pStyle w:val="337"/>
              <w:snapToGrid w:val="0"/>
              <w:rPr>
                <w:color w:val="auto"/>
                <w:szCs w:val="21"/>
                <w:lang w:val="en-US" w:eastAsia="en-US" w:bidi="en-US"/>
              </w:rPr>
            </w:pPr>
            <w:r>
              <w:rPr>
                <w:color w:val="auto"/>
                <w:szCs w:val="21"/>
                <w:lang w:val="en-US" w:eastAsia="en-US" w:bidi="en-US"/>
              </w:rPr>
              <w:t>污染物排放总量</w:t>
            </w:r>
          </w:p>
        </w:tc>
        <w:tc>
          <w:tcPr>
            <w:tcW w:w="960" w:type="dxa"/>
            <w:vMerge w:val="restart"/>
            <w:vAlign w:val="center"/>
          </w:tcPr>
          <w:p w14:paraId="68472C06">
            <w:pPr>
              <w:pStyle w:val="337"/>
              <w:snapToGrid w:val="0"/>
              <w:rPr>
                <w:color w:val="auto"/>
                <w:szCs w:val="21"/>
                <w:lang w:val="en-US" w:eastAsia="zh-CN" w:bidi="en-US"/>
              </w:rPr>
            </w:pPr>
            <w:r>
              <w:rPr>
                <w:color w:val="auto"/>
                <w:szCs w:val="21"/>
                <w:lang w:val="en-US" w:eastAsia="zh-CN" w:bidi="en-US"/>
              </w:rPr>
              <w:t>去向</w:t>
            </w:r>
          </w:p>
        </w:tc>
        <w:tc>
          <w:tcPr>
            <w:tcW w:w="1333" w:type="dxa"/>
            <w:vMerge w:val="restart"/>
            <w:vAlign w:val="center"/>
          </w:tcPr>
          <w:p w14:paraId="34BFEC91">
            <w:pPr>
              <w:pStyle w:val="337"/>
              <w:snapToGrid w:val="0"/>
              <w:rPr>
                <w:color w:val="auto"/>
                <w:szCs w:val="21"/>
                <w:lang w:val="en-US" w:eastAsia="zh-CN" w:bidi="en-US"/>
              </w:rPr>
            </w:pPr>
            <w:r>
              <w:rPr>
                <w:color w:val="auto"/>
                <w:szCs w:val="21"/>
                <w:lang w:val="en-US" w:eastAsia="zh-CN" w:bidi="en-US"/>
              </w:rPr>
              <w:t>处理措施</w:t>
            </w:r>
          </w:p>
        </w:tc>
      </w:tr>
      <w:tr w14:paraId="2571AF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26" w:type="dxa"/>
            <w:gridSpan w:val="2"/>
            <w:vMerge w:val="continue"/>
            <w:vAlign w:val="center"/>
          </w:tcPr>
          <w:p w14:paraId="281F7024">
            <w:pPr>
              <w:pStyle w:val="337"/>
              <w:snapToGrid w:val="0"/>
              <w:rPr>
                <w:color w:val="auto"/>
                <w:szCs w:val="21"/>
                <w:lang w:val="en-US" w:eastAsia="en-US" w:bidi="en-US"/>
              </w:rPr>
            </w:pPr>
          </w:p>
        </w:tc>
        <w:tc>
          <w:tcPr>
            <w:tcW w:w="850" w:type="dxa"/>
            <w:vAlign w:val="center"/>
          </w:tcPr>
          <w:p w14:paraId="316FDBEE">
            <w:pPr>
              <w:pStyle w:val="337"/>
              <w:snapToGrid w:val="0"/>
              <w:rPr>
                <w:color w:val="auto"/>
                <w:szCs w:val="21"/>
                <w:lang w:val="en-US" w:eastAsia="en-US" w:bidi="en-US"/>
              </w:rPr>
            </w:pPr>
            <w:r>
              <w:rPr>
                <w:color w:val="auto"/>
                <w:szCs w:val="21"/>
                <w:lang w:val="en-US" w:eastAsia="en-US" w:bidi="en-US"/>
              </w:rPr>
              <w:t>烃类</w:t>
            </w:r>
          </w:p>
        </w:tc>
        <w:tc>
          <w:tcPr>
            <w:tcW w:w="709" w:type="dxa"/>
            <w:vAlign w:val="center"/>
          </w:tcPr>
          <w:p w14:paraId="77463E20">
            <w:pPr>
              <w:pStyle w:val="337"/>
              <w:snapToGrid w:val="0"/>
              <w:rPr>
                <w:color w:val="auto"/>
                <w:szCs w:val="21"/>
                <w:lang w:val="en-US" w:eastAsia="en-US" w:bidi="en-US"/>
              </w:rPr>
            </w:pPr>
            <w:r>
              <w:rPr>
                <w:color w:val="auto"/>
                <w:szCs w:val="21"/>
                <w:lang w:val="en-US" w:eastAsia="en-US" w:bidi="en-US"/>
              </w:rPr>
              <w:t>CO</w:t>
            </w:r>
          </w:p>
        </w:tc>
        <w:tc>
          <w:tcPr>
            <w:tcW w:w="851" w:type="dxa"/>
            <w:vAlign w:val="center"/>
          </w:tcPr>
          <w:p w14:paraId="586F993D">
            <w:pPr>
              <w:pStyle w:val="337"/>
              <w:snapToGrid w:val="0"/>
              <w:rPr>
                <w:color w:val="auto"/>
                <w:szCs w:val="21"/>
                <w:lang w:val="en-US" w:eastAsia="en-US" w:bidi="en-US"/>
              </w:rPr>
            </w:pPr>
            <w:r>
              <w:rPr>
                <w:color w:val="auto"/>
                <w:szCs w:val="21"/>
                <w:lang w:val="en-US" w:eastAsia="en-US" w:bidi="en-US"/>
              </w:rPr>
              <w:t>NOx</w:t>
            </w:r>
          </w:p>
        </w:tc>
        <w:tc>
          <w:tcPr>
            <w:tcW w:w="852" w:type="dxa"/>
            <w:vAlign w:val="center"/>
          </w:tcPr>
          <w:p w14:paraId="57BA7EDD">
            <w:pPr>
              <w:pStyle w:val="337"/>
              <w:snapToGrid w:val="0"/>
              <w:rPr>
                <w:color w:val="auto"/>
                <w:szCs w:val="21"/>
                <w:lang w:val="en-US" w:eastAsia="en-US" w:bidi="en-US"/>
              </w:rPr>
            </w:pPr>
            <w:r>
              <w:rPr>
                <w:color w:val="auto"/>
                <w:szCs w:val="21"/>
                <w:lang w:val="en-US" w:eastAsia="en-US" w:bidi="en-US"/>
              </w:rPr>
              <w:t>SO</w:t>
            </w:r>
            <w:r>
              <w:rPr>
                <w:color w:val="auto"/>
                <w:szCs w:val="21"/>
                <w:vertAlign w:val="subscript"/>
                <w:lang w:val="en-US" w:eastAsia="en-US" w:bidi="en-US"/>
              </w:rPr>
              <w:t>2</w:t>
            </w:r>
          </w:p>
        </w:tc>
        <w:tc>
          <w:tcPr>
            <w:tcW w:w="709" w:type="dxa"/>
            <w:vAlign w:val="center"/>
          </w:tcPr>
          <w:p w14:paraId="05520DBB">
            <w:pPr>
              <w:pStyle w:val="337"/>
              <w:snapToGrid w:val="0"/>
              <w:rPr>
                <w:color w:val="auto"/>
                <w:szCs w:val="21"/>
                <w:lang w:val="en-US" w:eastAsia="zh-CN" w:bidi="en-US"/>
              </w:rPr>
            </w:pPr>
            <w:r>
              <w:rPr>
                <w:color w:val="auto"/>
                <w:szCs w:val="21"/>
                <w:lang w:val="en-US" w:eastAsia="en-US" w:bidi="en-US"/>
              </w:rPr>
              <w:t>烟尘</w:t>
            </w:r>
          </w:p>
        </w:tc>
        <w:tc>
          <w:tcPr>
            <w:tcW w:w="875" w:type="dxa"/>
            <w:vAlign w:val="center"/>
          </w:tcPr>
          <w:p w14:paraId="65F97D63">
            <w:pPr>
              <w:pStyle w:val="337"/>
              <w:snapToGrid w:val="0"/>
              <w:rPr>
                <w:color w:val="auto"/>
                <w:szCs w:val="21"/>
                <w:lang w:val="en-US" w:eastAsia="zh-CN" w:bidi="en-US"/>
              </w:rPr>
            </w:pPr>
            <w:r>
              <w:rPr>
                <w:rFonts w:hint="eastAsia"/>
                <w:color w:val="auto"/>
                <w:szCs w:val="21"/>
                <w:lang w:val="en-US" w:eastAsia="zh-CN" w:bidi="en-US"/>
              </w:rPr>
              <w:t>粉尘</w:t>
            </w:r>
          </w:p>
        </w:tc>
        <w:tc>
          <w:tcPr>
            <w:tcW w:w="960" w:type="dxa"/>
            <w:vMerge w:val="continue"/>
            <w:vAlign w:val="center"/>
          </w:tcPr>
          <w:p w14:paraId="27BFE44E">
            <w:pPr>
              <w:pStyle w:val="337"/>
              <w:snapToGrid w:val="0"/>
              <w:rPr>
                <w:color w:val="auto"/>
                <w:szCs w:val="21"/>
                <w:lang w:val="en-US" w:eastAsia="en-US" w:bidi="en-US"/>
              </w:rPr>
            </w:pPr>
          </w:p>
        </w:tc>
        <w:tc>
          <w:tcPr>
            <w:tcW w:w="1333" w:type="dxa"/>
            <w:vMerge w:val="continue"/>
            <w:vAlign w:val="center"/>
          </w:tcPr>
          <w:p w14:paraId="515C3F47">
            <w:pPr>
              <w:pStyle w:val="337"/>
              <w:snapToGrid w:val="0"/>
              <w:rPr>
                <w:color w:val="auto"/>
                <w:szCs w:val="21"/>
                <w:lang w:val="en-US" w:eastAsia="en-US" w:bidi="en-US"/>
              </w:rPr>
            </w:pPr>
          </w:p>
        </w:tc>
      </w:tr>
      <w:tr w14:paraId="720AE6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75" w:type="dxa"/>
            <w:vAlign w:val="center"/>
          </w:tcPr>
          <w:p w14:paraId="3ACD62AC">
            <w:pPr>
              <w:pStyle w:val="337"/>
              <w:snapToGrid w:val="0"/>
              <w:rPr>
                <w:color w:val="auto"/>
                <w:szCs w:val="21"/>
                <w:lang w:val="en-US" w:eastAsia="en-US" w:bidi="en-US"/>
              </w:rPr>
            </w:pPr>
            <w:r>
              <w:rPr>
                <w:color w:val="auto"/>
                <w:szCs w:val="21"/>
                <w:lang w:val="en-US" w:eastAsia="en-US" w:bidi="en-US"/>
              </w:rPr>
              <w:t>钻井作业</w:t>
            </w:r>
          </w:p>
        </w:tc>
        <w:tc>
          <w:tcPr>
            <w:tcW w:w="851" w:type="dxa"/>
            <w:vAlign w:val="center"/>
          </w:tcPr>
          <w:p w14:paraId="513BED75">
            <w:pPr>
              <w:pStyle w:val="337"/>
              <w:snapToGrid w:val="0"/>
              <w:rPr>
                <w:color w:val="auto"/>
                <w:szCs w:val="21"/>
                <w:lang w:val="en-US" w:eastAsia="zh-CN" w:bidi="en-US"/>
              </w:rPr>
            </w:pPr>
            <w:r>
              <w:rPr>
                <w:color w:val="auto"/>
                <w:szCs w:val="21"/>
                <w:lang w:val="en-US" w:eastAsia="zh-CN" w:bidi="en-US"/>
              </w:rPr>
              <w:t>柴油机</w:t>
            </w:r>
          </w:p>
          <w:p w14:paraId="187439A0">
            <w:pPr>
              <w:pStyle w:val="337"/>
              <w:snapToGrid w:val="0"/>
              <w:rPr>
                <w:color w:val="auto"/>
                <w:szCs w:val="21"/>
                <w:lang w:val="en-US" w:eastAsia="zh-CN" w:bidi="en-US"/>
              </w:rPr>
            </w:pPr>
            <w:r>
              <w:rPr>
                <w:color w:val="auto"/>
                <w:szCs w:val="21"/>
                <w:lang w:val="en-US" w:eastAsia="zh-CN" w:bidi="en-US"/>
              </w:rPr>
              <w:t>（单井）</w:t>
            </w:r>
          </w:p>
        </w:tc>
        <w:tc>
          <w:tcPr>
            <w:tcW w:w="850" w:type="dxa"/>
            <w:vAlign w:val="center"/>
          </w:tcPr>
          <w:p w14:paraId="477C58F5">
            <w:pPr>
              <w:pStyle w:val="518"/>
              <w:rPr>
                <w:lang w:eastAsia="zh-CN"/>
              </w:rPr>
            </w:pPr>
            <w:r>
              <w:rPr>
                <w:rFonts w:hint="eastAsia"/>
                <w:lang w:eastAsia="zh-CN"/>
              </w:rPr>
              <w:t>10.29</w:t>
            </w:r>
          </w:p>
        </w:tc>
        <w:tc>
          <w:tcPr>
            <w:tcW w:w="709" w:type="dxa"/>
            <w:vAlign w:val="center"/>
          </w:tcPr>
          <w:p w14:paraId="553D6791">
            <w:pPr>
              <w:pStyle w:val="518"/>
              <w:rPr>
                <w:lang w:eastAsia="zh-CN"/>
              </w:rPr>
            </w:pPr>
            <w:r>
              <w:rPr>
                <w:rFonts w:hint="eastAsia"/>
                <w:lang w:eastAsia="zh-CN"/>
              </w:rPr>
              <w:t>6.05</w:t>
            </w:r>
          </w:p>
        </w:tc>
        <w:tc>
          <w:tcPr>
            <w:tcW w:w="851" w:type="dxa"/>
            <w:vAlign w:val="center"/>
          </w:tcPr>
          <w:p w14:paraId="723CD268">
            <w:pPr>
              <w:pStyle w:val="518"/>
              <w:rPr>
                <w:lang w:eastAsia="zh-CN"/>
              </w:rPr>
            </w:pPr>
            <w:r>
              <w:rPr>
                <w:rFonts w:hint="eastAsia"/>
                <w:lang w:eastAsia="zh-CN"/>
              </w:rPr>
              <w:t>27.73</w:t>
            </w:r>
          </w:p>
        </w:tc>
        <w:tc>
          <w:tcPr>
            <w:tcW w:w="852" w:type="dxa"/>
            <w:vAlign w:val="center"/>
          </w:tcPr>
          <w:p w14:paraId="16BF889D">
            <w:pPr>
              <w:pStyle w:val="518"/>
              <w:rPr>
                <w:lang w:eastAsia="zh-CN"/>
              </w:rPr>
            </w:pPr>
            <w:r>
              <w:rPr>
                <w:rFonts w:hint="eastAsia"/>
                <w:lang w:eastAsia="zh-CN"/>
              </w:rPr>
              <w:t>3.76</w:t>
            </w:r>
          </w:p>
        </w:tc>
        <w:tc>
          <w:tcPr>
            <w:tcW w:w="709" w:type="dxa"/>
            <w:vAlign w:val="center"/>
          </w:tcPr>
          <w:p w14:paraId="10BBFE2D">
            <w:pPr>
              <w:pStyle w:val="518"/>
              <w:rPr>
                <w:lang w:eastAsia="zh-CN"/>
              </w:rPr>
            </w:pPr>
            <w:r>
              <w:rPr>
                <w:rFonts w:hint="eastAsia"/>
                <w:lang w:eastAsia="zh-CN"/>
              </w:rPr>
              <w:t>2.56</w:t>
            </w:r>
          </w:p>
        </w:tc>
        <w:tc>
          <w:tcPr>
            <w:tcW w:w="875" w:type="dxa"/>
            <w:vAlign w:val="center"/>
          </w:tcPr>
          <w:p w14:paraId="1E78C548">
            <w:pPr>
              <w:snapToGrid w:val="0"/>
              <w:spacing w:line="240" w:lineRule="auto"/>
              <w:ind w:firstLine="0" w:firstLineChars="0"/>
              <w:jc w:val="center"/>
              <w:rPr>
                <w:sz w:val="21"/>
                <w:szCs w:val="21"/>
              </w:rPr>
            </w:pPr>
            <w:r>
              <w:rPr>
                <w:sz w:val="21"/>
                <w:szCs w:val="21"/>
                <w:lang w:eastAsia="zh-CN"/>
              </w:rPr>
              <w:t>—</w:t>
            </w:r>
          </w:p>
        </w:tc>
        <w:tc>
          <w:tcPr>
            <w:tcW w:w="960" w:type="dxa"/>
            <w:vAlign w:val="center"/>
          </w:tcPr>
          <w:p w14:paraId="5ECABFF3">
            <w:pPr>
              <w:pStyle w:val="337"/>
              <w:snapToGrid w:val="0"/>
              <w:rPr>
                <w:color w:val="auto"/>
                <w:szCs w:val="21"/>
                <w:lang w:val="en-US" w:eastAsia="zh-CN" w:bidi="en-US"/>
              </w:rPr>
            </w:pPr>
            <w:r>
              <w:rPr>
                <w:color w:val="auto"/>
                <w:szCs w:val="21"/>
                <w:lang w:val="en-US" w:eastAsia="zh-CN" w:bidi="en-US"/>
              </w:rPr>
              <w:t>直接</w:t>
            </w:r>
          </w:p>
          <w:p w14:paraId="0D6FA469">
            <w:pPr>
              <w:pStyle w:val="337"/>
              <w:snapToGrid w:val="0"/>
              <w:rPr>
                <w:color w:val="auto"/>
                <w:szCs w:val="21"/>
                <w:lang w:val="en-US" w:eastAsia="zh-CN" w:bidi="en-US"/>
              </w:rPr>
            </w:pPr>
            <w:r>
              <w:rPr>
                <w:color w:val="auto"/>
                <w:szCs w:val="21"/>
                <w:lang w:val="en-US" w:eastAsia="zh-CN" w:bidi="en-US"/>
              </w:rPr>
              <w:t>排放</w:t>
            </w:r>
          </w:p>
        </w:tc>
        <w:tc>
          <w:tcPr>
            <w:tcW w:w="1333" w:type="dxa"/>
            <w:vAlign w:val="center"/>
          </w:tcPr>
          <w:p w14:paraId="63EB0A4D">
            <w:pPr>
              <w:pStyle w:val="337"/>
              <w:snapToGrid w:val="0"/>
              <w:rPr>
                <w:color w:val="auto"/>
                <w:szCs w:val="21"/>
                <w:lang w:val="en-US" w:eastAsia="zh-CN" w:bidi="en-US"/>
              </w:rPr>
            </w:pPr>
            <w:r>
              <w:rPr>
                <w:color w:val="auto"/>
                <w:szCs w:val="21"/>
                <w:lang w:val="en-US" w:eastAsia="zh-CN" w:bidi="en-US"/>
              </w:rPr>
              <w:t>定期检修，采用先进</w:t>
            </w:r>
          </w:p>
          <w:p w14:paraId="5DC9E8E5">
            <w:pPr>
              <w:pStyle w:val="337"/>
              <w:snapToGrid w:val="0"/>
              <w:rPr>
                <w:color w:val="auto"/>
                <w:szCs w:val="21"/>
                <w:lang w:val="en-US" w:eastAsia="zh-CN" w:bidi="en-US"/>
              </w:rPr>
            </w:pPr>
            <w:r>
              <w:rPr>
                <w:color w:val="auto"/>
                <w:szCs w:val="21"/>
                <w:lang w:val="en-US" w:eastAsia="zh-CN" w:bidi="en-US"/>
              </w:rPr>
              <w:t>设备</w:t>
            </w:r>
          </w:p>
        </w:tc>
      </w:tr>
      <w:tr w14:paraId="749768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75" w:type="dxa"/>
            <w:vMerge w:val="restart"/>
            <w:vAlign w:val="center"/>
          </w:tcPr>
          <w:p w14:paraId="2E32560E">
            <w:pPr>
              <w:pStyle w:val="337"/>
              <w:snapToGrid w:val="0"/>
              <w:rPr>
                <w:color w:val="auto"/>
                <w:szCs w:val="21"/>
                <w:lang w:val="en-US" w:eastAsia="en-US" w:bidi="en-US"/>
              </w:rPr>
            </w:pPr>
            <w:r>
              <w:rPr>
                <w:color w:val="auto"/>
                <w:szCs w:val="21"/>
                <w:lang w:val="en-US" w:eastAsia="en-US" w:bidi="en-US"/>
              </w:rPr>
              <w:t>油气集输</w:t>
            </w:r>
          </w:p>
        </w:tc>
        <w:tc>
          <w:tcPr>
            <w:tcW w:w="851" w:type="dxa"/>
            <w:vAlign w:val="center"/>
          </w:tcPr>
          <w:p w14:paraId="2C2219AA">
            <w:pPr>
              <w:pStyle w:val="337"/>
              <w:snapToGrid w:val="0"/>
              <w:rPr>
                <w:color w:val="auto"/>
                <w:szCs w:val="21"/>
                <w:lang w:val="en-US" w:eastAsia="en-US" w:bidi="en-US"/>
              </w:rPr>
            </w:pPr>
            <w:r>
              <w:rPr>
                <w:rFonts w:hint="eastAsia"/>
                <w:color w:val="auto"/>
                <w:szCs w:val="21"/>
                <w:lang w:val="en-US" w:eastAsia="zh-CN" w:bidi="en-US"/>
              </w:rPr>
              <w:t>燃气机组</w:t>
            </w:r>
          </w:p>
        </w:tc>
        <w:tc>
          <w:tcPr>
            <w:tcW w:w="850" w:type="dxa"/>
            <w:vAlign w:val="center"/>
          </w:tcPr>
          <w:p w14:paraId="0B9318DA">
            <w:pPr>
              <w:pStyle w:val="337"/>
              <w:snapToGrid w:val="0"/>
              <w:rPr>
                <w:color w:val="auto"/>
                <w:szCs w:val="21"/>
                <w:lang w:val="en-US" w:eastAsia="zh-CN" w:bidi="en-US"/>
              </w:rPr>
            </w:pPr>
            <w:r>
              <w:rPr>
                <w:rFonts w:hint="eastAsia"/>
                <w:color w:val="auto"/>
                <w:szCs w:val="21"/>
                <w:lang w:val="en-US" w:eastAsia="zh-CN" w:bidi="en-US"/>
              </w:rPr>
              <w:t>—</w:t>
            </w:r>
          </w:p>
        </w:tc>
        <w:tc>
          <w:tcPr>
            <w:tcW w:w="709" w:type="dxa"/>
            <w:vAlign w:val="center"/>
          </w:tcPr>
          <w:p w14:paraId="0E994392">
            <w:pPr>
              <w:pStyle w:val="337"/>
              <w:snapToGrid w:val="0"/>
              <w:rPr>
                <w:color w:val="auto"/>
                <w:szCs w:val="21"/>
                <w:lang w:val="en-US" w:eastAsia="zh-CN" w:bidi="en-US"/>
              </w:rPr>
            </w:pPr>
            <w:r>
              <w:rPr>
                <w:rFonts w:hint="eastAsia"/>
                <w:color w:val="auto"/>
                <w:szCs w:val="21"/>
                <w:lang w:val="en-US" w:eastAsia="zh-CN" w:bidi="en-US"/>
              </w:rPr>
              <w:t>——</w:t>
            </w:r>
          </w:p>
        </w:tc>
        <w:tc>
          <w:tcPr>
            <w:tcW w:w="851" w:type="dxa"/>
            <w:vAlign w:val="center"/>
          </w:tcPr>
          <w:p w14:paraId="6A7D54F2">
            <w:pPr>
              <w:pStyle w:val="337"/>
              <w:snapToGrid w:val="0"/>
              <w:rPr>
                <w:color w:val="auto"/>
                <w:szCs w:val="21"/>
                <w:lang w:val="en-US" w:eastAsia="zh-CN" w:bidi="en-US"/>
              </w:rPr>
            </w:pPr>
            <w:r>
              <w:rPr>
                <w:rFonts w:hint="eastAsia"/>
                <w:color w:val="auto"/>
                <w:szCs w:val="21"/>
                <w:lang w:val="en-US" w:eastAsia="zh-CN" w:bidi="en-US"/>
              </w:rPr>
              <w:t>1.484</w:t>
            </w:r>
          </w:p>
        </w:tc>
        <w:tc>
          <w:tcPr>
            <w:tcW w:w="852" w:type="dxa"/>
            <w:vAlign w:val="center"/>
          </w:tcPr>
          <w:p w14:paraId="07932466">
            <w:pPr>
              <w:pStyle w:val="337"/>
              <w:snapToGrid w:val="0"/>
              <w:rPr>
                <w:color w:val="auto"/>
                <w:szCs w:val="21"/>
                <w:lang w:val="en-US" w:eastAsia="zh-CN" w:bidi="en-US"/>
              </w:rPr>
            </w:pPr>
            <w:r>
              <w:rPr>
                <w:rFonts w:hint="eastAsia"/>
                <w:color w:val="auto"/>
                <w:szCs w:val="21"/>
                <w:lang w:val="en-US" w:eastAsia="zh-CN" w:bidi="en-US"/>
              </w:rPr>
              <w:t>0.521</w:t>
            </w:r>
          </w:p>
        </w:tc>
        <w:tc>
          <w:tcPr>
            <w:tcW w:w="709" w:type="dxa"/>
            <w:vAlign w:val="center"/>
          </w:tcPr>
          <w:p w14:paraId="7E8C10EB">
            <w:pPr>
              <w:pStyle w:val="337"/>
              <w:snapToGrid w:val="0"/>
              <w:rPr>
                <w:color w:val="auto"/>
                <w:szCs w:val="21"/>
                <w:lang w:val="en-US" w:eastAsia="zh-CN" w:bidi="en-US"/>
              </w:rPr>
            </w:pPr>
            <w:r>
              <w:rPr>
                <w:rFonts w:hint="eastAsia"/>
                <w:color w:val="auto"/>
                <w:szCs w:val="21"/>
                <w:lang w:val="en-US" w:eastAsia="zh-CN" w:bidi="en-US"/>
              </w:rPr>
              <w:t>0.766</w:t>
            </w:r>
          </w:p>
        </w:tc>
        <w:tc>
          <w:tcPr>
            <w:tcW w:w="875" w:type="dxa"/>
            <w:vAlign w:val="center"/>
          </w:tcPr>
          <w:p w14:paraId="1CD391CA">
            <w:pPr>
              <w:snapToGrid w:val="0"/>
              <w:spacing w:line="240" w:lineRule="auto"/>
              <w:ind w:firstLine="0" w:firstLineChars="0"/>
              <w:jc w:val="center"/>
              <w:rPr>
                <w:sz w:val="21"/>
                <w:szCs w:val="21"/>
                <w:lang w:eastAsia="zh-CN"/>
              </w:rPr>
            </w:pPr>
            <w:r>
              <w:rPr>
                <w:rFonts w:hint="eastAsia"/>
                <w:sz w:val="21"/>
                <w:szCs w:val="21"/>
                <w:lang w:eastAsia="zh-CN"/>
              </w:rPr>
              <w:t>—</w:t>
            </w:r>
          </w:p>
        </w:tc>
        <w:tc>
          <w:tcPr>
            <w:tcW w:w="960" w:type="dxa"/>
            <w:vAlign w:val="center"/>
          </w:tcPr>
          <w:p w14:paraId="706F775D">
            <w:pPr>
              <w:pStyle w:val="337"/>
              <w:snapToGrid w:val="0"/>
              <w:rPr>
                <w:color w:val="auto"/>
                <w:szCs w:val="21"/>
                <w:lang w:val="en-US" w:eastAsia="zh-CN" w:bidi="en-US"/>
              </w:rPr>
            </w:pPr>
            <w:r>
              <w:rPr>
                <w:color w:val="auto"/>
                <w:szCs w:val="21"/>
                <w:lang w:val="en-US" w:eastAsia="zh-CN" w:bidi="en-US"/>
              </w:rPr>
              <w:t>直接</w:t>
            </w:r>
          </w:p>
          <w:p w14:paraId="04357C03">
            <w:pPr>
              <w:pStyle w:val="337"/>
              <w:snapToGrid w:val="0"/>
              <w:rPr>
                <w:color w:val="auto"/>
                <w:szCs w:val="21"/>
                <w:lang w:val="en-US" w:eastAsia="zh-CN" w:bidi="en-US"/>
              </w:rPr>
            </w:pPr>
            <w:r>
              <w:rPr>
                <w:color w:val="auto"/>
                <w:szCs w:val="21"/>
                <w:lang w:val="en-US" w:eastAsia="zh-CN" w:bidi="en-US"/>
              </w:rPr>
              <w:t>排放</w:t>
            </w:r>
          </w:p>
        </w:tc>
        <w:tc>
          <w:tcPr>
            <w:tcW w:w="1333" w:type="dxa"/>
            <w:vAlign w:val="center"/>
          </w:tcPr>
          <w:p w14:paraId="7E68D5BD">
            <w:pPr>
              <w:pStyle w:val="337"/>
              <w:snapToGrid w:val="0"/>
              <w:rPr>
                <w:color w:val="auto"/>
                <w:szCs w:val="21"/>
                <w:lang w:val="en-US" w:eastAsia="zh-CN" w:bidi="en-US"/>
              </w:rPr>
            </w:pPr>
            <w:r>
              <w:rPr>
                <w:rFonts w:hint="eastAsia"/>
                <w:color w:val="auto"/>
                <w:szCs w:val="21"/>
                <w:lang w:val="en-US" w:eastAsia="zh-CN" w:bidi="en-US"/>
              </w:rPr>
              <w:t>燃气</w:t>
            </w:r>
          </w:p>
        </w:tc>
      </w:tr>
      <w:tr w14:paraId="356680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75" w:type="dxa"/>
            <w:vMerge w:val="continue"/>
            <w:vAlign w:val="center"/>
          </w:tcPr>
          <w:p w14:paraId="57989DD6">
            <w:pPr>
              <w:pStyle w:val="337"/>
              <w:snapToGrid w:val="0"/>
              <w:rPr>
                <w:color w:val="auto"/>
                <w:szCs w:val="21"/>
                <w:lang w:val="en-US" w:eastAsia="en-US" w:bidi="en-US"/>
              </w:rPr>
            </w:pPr>
          </w:p>
        </w:tc>
        <w:tc>
          <w:tcPr>
            <w:tcW w:w="851" w:type="dxa"/>
            <w:vAlign w:val="center"/>
          </w:tcPr>
          <w:p w14:paraId="41BA3237">
            <w:pPr>
              <w:pStyle w:val="337"/>
              <w:snapToGrid w:val="0"/>
              <w:rPr>
                <w:color w:val="auto"/>
                <w:szCs w:val="21"/>
                <w:lang w:val="en-US" w:eastAsia="zh-CN" w:bidi="en-US"/>
              </w:rPr>
            </w:pPr>
            <w:r>
              <w:rPr>
                <w:rFonts w:hint="eastAsia"/>
                <w:color w:val="auto"/>
                <w:szCs w:val="21"/>
                <w:lang w:val="en-US" w:eastAsia="zh-CN" w:bidi="en-US"/>
              </w:rPr>
              <w:t>加热</w:t>
            </w:r>
          </w:p>
          <w:p w14:paraId="599D74B0">
            <w:pPr>
              <w:pStyle w:val="337"/>
              <w:snapToGrid w:val="0"/>
              <w:rPr>
                <w:color w:val="auto"/>
                <w:szCs w:val="21"/>
                <w:lang w:val="en-US" w:eastAsia="en-US" w:bidi="en-US"/>
              </w:rPr>
            </w:pPr>
            <w:r>
              <w:rPr>
                <w:color w:val="auto"/>
                <w:szCs w:val="21"/>
                <w:lang w:val="en-US" w:eastAsia="en-US" w:bidi="en-US"/>
              </w:rPr>
              <w:t>锅炉</w:t>
            </w:r>
          </w:p>
        </w:tc>
        <w:tc>
          <w:tcPr>
            <w:tcW w:w="850" w:type="dxa"/>
            <w:vAlign w:val="center"/>
          </w:tcPr>
          <w:p w14:paraId="56128CFA">
            <w:pPr>
              <w:pStyle w:val="337"/>
              <w:snapToGrid w:val="0"/>
              <w:rPr>
                <w:color w:val="auto"/>
                <w:szCs w:val="21"/>
                <w:lang w:val="en-US" w:eastAsia="zh-CN" w:bidi="en-US"/>
              </w:rPr>
            </w:pPr>
            <w:r>
              <w:rPr>
                <w:color w:val="auto"/>
                <w:szCs w:val="21"/>
                <w:lang w:val="en-US" w:eastAsia="zh-CN" w:bidi="en-US"/>
              </w:rPr>
              <w:t>—</w:t>
            </w:r>
          </w:p>
        </w:tc>
        <w:tc>
          <w:tcPr>
            <w:tcW w:w="709" w:type="dxa"/>
            <w:vAlign w:val="center"/>
          </w:tcPr>
          <w:p w14:paraId="0F0862F0">
            <w:pPr>
              <w:pStyle w:val="337"/>
              <w:snapToGrid w:val="0"/>
              <w:rPr>
                <w:color w:val="auto"/>
                <w:szCs w:val="21"/>
                <w:lang w:val="en-US" w:eastAsia="zh-CN" w:bidi="en-US"/>
              </w:rPr>
            </w:pPr>
            <w:r>
              <w:rPr>
                <w:color w:val="auto"/>
                <w:szCs w:val="21"/>
                <w:lang w:val="en-US" w:eastAsia="zh-CN" w:bidi="en-US"/>
              </w:rPr>
              <w:t>—</w:t>
            </w:r>
          </w:p>
        </w:tc>
        <w:tc>
          <w:tcPr>
            <w:tcW w:w="851" w:type="dxa"/>
            <w:vAlign w:val="center"/>
          </w:tcPr>
          <w:p w14:paraId="6097161B">
            <w:pPr>
              <w:pStyle w:val="337"/>
              <w:snapToGrid w:val="0"/>
              <w:rPr>
                <w:color w:val="auto"/>
                <w:szCs w:val="21"/>
                <w:vertAlign w:val="superscript"/>
                <w:lang w:val="en-US" w:eastAsia="zh-CN" w:bidi="en-US"/>
              </w:rPr>
            </w:pPr>
            <w:r>
              <w:rPr>
                <w:rFonts w:hint="eastAsia"/>
                <w:color w:val="auto"/>
                <w:szCs w:val="21"/>
                <w:lang w:val="en-US" w:eastAsia="zh-CN" w:bidi="en-US"/>
              </w:rPr>
              <w:t>0.137</w:t>
            </w:r>
          </w:p>
        </w:tc>
        <w:tc>
          <w:tcPr>
            <w:tcW w:w="852" w:type="dxa"/>
            <w:vAlign w:val="center"/>
          </w:tcPr>
          <w:p w14:paraId="6EB3EB2C">
            <w:pPr>
              <w:pStyle w:val="337"/>
              <w:snapToGrid w:val="0"/>
              <w:rPr>
                <w:color w:val="auto"/>
                <w:szCs w:val="21"/>
                <w:lang w:val="en-US" w:eastAsia="zh-CN" w:bidi="en-US"/>
              </w:rPr>
            </w:pPr>
            <w:r>
              <w:rPr>
                <w:rFonts w:hint="eastAsia"/>
                <w:color w:val="auto"/>
                <w:szCs w:val="21"/>
                <w:lang w:val="en-US" w:eastAsia="zh-CN" w:bidi="en-US"/>
              </w:rPr>
              <w:t>—</w:t>
            </w:r>
          </w:p>
        </w:tc>
        <w:tc>
          <w:tcPr>
            <w:tcW w:w="709" w:type="dxa"/>
            <w:vAlign w:val="center"/>
          </w:tcPr>
          <w:p w14:paraId="21BF42AB">
            <w:pPr>
              <w:pStyle w:val="337"/>
              <w:snapToGrid w:val="0"/>
              <w:rPr>
                <w:color w:val="auto"/>
                <w:szCs w:val="21"/>
                <w:lang w:val="en-US" w:eastAsia="zh-CN" w:bidi="en-US"/>
              </w:rPr>
            </w:pPr>
            <w:r>
              <w:rPr>
                <w:rFonts w:hint="eastAsia"/>
                <w:color w:val="auto"/>
                <w:szCs w:val="21"/>
                <w:lang w:val="en-US" w:eastAsia="zh-CN" w:bidi="en-US"/>
              </w:rPr>
              <w:t>—</w:t>
            </w:r>
          </w:p>
        </w:tc>
        <w:tc>
          <w:tcPr>
            <w:tcW w:w="875" w:type="dxa"/>
            <w:vAlign w:val="center"/>
          </w:tcPr>
          <w:p w14:paraId="304D46A5">
            <w:pPr>
              <w:snapToGrid w:val="0"/>
              <w:spacing w:line="240" w:lineRule="auto"/>
              <w:ind w:firstLine="0" w:firstLineChars="0"/>
              <w:jc w:val="center"/>
              <w:rPr>
                <w:sz w:val="21"/>
                <w:szCs w:val="21"/>
              </w:rPr>
            </w:pPr>
            <w:r>
              <w:rPr>
                <w:sz w:val="21"/>
                <w:szCs w:val="21"/>
                <w:lang w:eastAsia="zh-CN"/>
              </w:rPr>
              <w:t>—</w:t>
            </w:r>
          </w:p>
        </w:tc>
        <w:tc>
          <w:tcPr>
            <w:tcW w:w="960" w:type="dxa"/>
            <w:vAlign w:val="center"/>
          </w:tcPr>
          <w:p w14:paraId="50A66710">
            <w:pPr>
              <w:pStyle w:val="337"/>
              <w:snapToGrid w:val="0"/>
              <w:rPr>
                <w:color w:val="auto"/>
                <w:szCs w:val="21"/>
                <w:lang w:val="en-US" w:eastAsia="zh-CN" w:bidi="en-US"/>
              </w:rPr>
            </w:pPr>
            <w:r>
              <w:rPr>
                <w:color w:val="auto"/>
                <w:szCs w:val="21"/>
                <w:lang w:val="en-US" w:eastAsia="zh-CN" w:bidi="en-US"/>
              </w:rPr>
              <w:t>直接</w:t>
            </w:r>
          </w:p>
          <w:p w14:paraId="0589152B">
            <w:pPr>
              <w:pStyle w:val="337"/>
              <w:snapToGrid w:val="0"/>
              <w:rPr>
                <w:color w:val="auto"/>
                <w:szCs w:val="21"/>
                <w:lang w:val="en-US" w:eastAsia="zh-CN" w:bidi="en-US"/>
              </w:rPr>
            </w:pPr>
            <w:r>
              <w:rPr>
                <w:color w:val="auto"/>
                <w:szCs w:val="21"/>
                <w:lang w:val="en-US" w:eastAsia="zh-CN" w:bidi="en-US"/>
              </w:rPr>
              <w:t>排放</w:t>
            </w:r>
          </w:p>
        </w:tc>
        <w:tc>
          <w:tcPr>
            <w:tcW w:w="1333" w:type="dxa"/>
            <w:vAlign w:val="center"/>
          </w:tcPr>
          <w:p w14:paraId="1749BE4B">
            <w:pPr>
              <w:pStyle w:val="337"/>
              <w:snapToGrid w:val="0"/>
              <w:rPr>
                <w:color w:val="auto"/>
                <w:szCs w:val="21"/>
                <w:lang w:val="en-US" w:eastAsia="zh-CN" w:bidi="en-US"/>
              </w:rPr>
            </w:pPr>
            <w:r>
              <w:rPr>
                <w:rFonts w:hint="eastAsia"/>
                <w:color w:val="auto"/>
                <w:szCs w:val="21"/>
                <w:lang w:val="en-US" w:eastAsia="zh-CN" w:bidi="en-US"/>
              </w:rPr>
              <w:t>燃气</w:t>
            </w:r>
          </w:p>
        </w:tc>
      </w:tr>
      <w:tr w14:paraId="619152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75" w:type="dxa"/>
            <w:vMerge w:val="continue"/>
            <w:vAlign w:val="center"/>
          </w:tcPr>
          <w:p w14:paraId="4466E7B1">
            <w:pPr>
              <w:pStyle w:val="337"/>
              <w:snapToGrid w:val="0"/>
              <w:rPr>
                <w:color w:val="auto"/>
                <w:szCs w:val="21"/>
                <w:lang w:val="en-US" w:eastAsia="zh-CN" w:bidi="en-US"/>
              </w:rPr>
            </w:pPr>
          </w:p>
        </w:tc>
        <w:tc>
          <w:tcPr>
            <w:tcW w:w="851" w:type="dxa"/>
            <w:vAlign w:val="center"/>
          </w:tcPr>
          <w:p w14:paraId="220982DF">
            <w:pPr>
              <w:pStyle w:val="337"/>
              <w:snapToGrid w:val="0"/>
              <w:rPr>
                <w:color w:val="auto"/>
                <w:szCs w:val="21"/>
                <w:lang w:val="en-US" w:eastAsia="en-US" w:bidi="en-US"/>
              </w:rPr>
            </w:pPr>
            <w:r>
              <w:rPr>
                <w:color w:val="auto"/>
                <w:szCs w:val="21"/>
                <w:lang w:val="en-US" w:eastAsia="en-US" w:bidi="en-US"/>
              </w:rPr>
              <w:t>烃类无组织挥发</w:t>
            </w:r>
          </w:p>
        </w:tc>
        <w:tc>
          <w:tcPr>
            <w:tcW w:w="850" w:type="dxa"/>
            <w:vAlign w:val="center"/>
          </w:tcPr>
          <w:p w14:paraId="4D44E0AA">
            <w:pPr>
              <w:pStyle w:val="337"/>
              <w:snapToGrid w:val="0"/>
              <w:rPr>
                <w:color w:val="auto"/>
                <w:szCs w:val="21"/>
                <w:lang w:val="en-US" w:eastAsia="zh-CN" w:bidi="en-US"/>
              </w:rPr>
            </w:pPr>
            <w:r>
              <w:rPr>
                <w:rFonts w:hint="eastAsia"/>
                <w:color w:val="auto"/>
                <w:szCs w:val="21"/>
                <w:lang w:val="en-US" w:eastAsia="zh-CN" w:bidi="en-US"/>
              </w:rPr>
              <w:t>281.76</w:t>
            </w:r>
          </w:p>
        </w:tc>
        <w:tc>
          <w:tcPr>
            <w:tcW w:w="709" w:type="dxa"/>
            <w:vAlign w:val="center"/>
          </w:tcPr>
          <w:p w14:paraId="48552ECA">
            <w:pPr>
              <w:pStyle w:val="337"/>
              <w:snapToGrid w:val="0"/>
              <w:rPr>
                <w:color w:val="auto"/>
                <w:szCs w:val="21"/>
                <w:lang w:val="en-US" w:eastAsia="zh-CN" w:bidi="en-US"/>
              </w:rPr>
            </w:pPr>
            <w:r>
              <w:rPr>
                <w:color w:val="auto"/>
                <w:szCs w:val="21"/>
                <w:lang w:val="en-US" w:eastAsia="zh-CN" w:bidi="en-US"/>
              </w:rPr>
              <w:t>—</w:t>
            </w:r>
          </w:p>
        </w:tc>
        <w:tc>
          <w:tcPr>
            <w:tcW w:w="851" w:type="dxa"/>
            <w:vAlign w:val="center"/>
          </w:tcPr>
          <w:p w14:paraId="59E11B87">
            <w:pPr>
              <w:pStyle w:val="337"/>
              <w:snapToGrid w:val="0"/>
              <w:rPr>
                <w:color w:val="auto"/>
                <w:szCs w:val="21"/>
                <w:lang w:val="en-US" w:eastAsia="zh-CN" w:bidi="en-US"/>
              </w:rPr>
            </w:pPr>
            <w:r>
              <w:rPr>
                <w:color w:val="auto"/>
                <w:szCs w:val="21"/>
                <w:lang w:val="en-US" w:eastAsia="zh-CN" w:bidi="en-US"/>
              </w:rPr>
              <w:t>—</w:t>
            </w:r>
          </w:p>
        </w:tc>
        <w:tc>
          <w:tcPr>
            <w:tcW w:w="852" w:type="dxa"/>
            <w:vAlign w:val="center"/>
          </w:tcPr>
          <w:p w14:paraId="0EE14189">
            <w:pPr>
              <w:pStyle w:val="337"/>
              <w:snapToGrid w:val="0"/>
              <w:rPr>
                <w:color w:val="auto"/>
                <w:szCs w:val="21"/>
                <w:lang w:val="en-US" w:eastAsia="zh-CN" w:bidi="en-US"/>
              </w:rPr>
            </w:pPr>
            <w:r>
              <w:rPr>
                <w:color w:val="auto"/>
                <w:szCs w:val="21"/>
                <w:lang w:val="en-US" w:eastAsia="zh-CN" w:bidi="en-US"/>
              </w:rPr>
              <w:t>—</w:t>
            </w:r>
          </w:p>
        </w:tc>
        <w:tc>
          <w:tcPr>
            <w:tcW w:w="709" w:type="dxa"/>
            <w:vAlign w:val="center"/>
          </w:tcPr>
          <w:p w14:paraId="0311A4AE">
            <w:pPr>
              <w:pStyle w:val="337"/>
              <w:snapToGrid w:val="0"/>
              <w:rPr>
                <w:color w:val="auto"/>
                <w:szCs w:val="21"/>
                <w:lang w:val="en-US" w:eastAsia="zh-CN" w:bidi="en-US"/>
              </w:rPr>
            </w:pPr>
            <w:r>
              <w:rPr>
                <w:color w:val="auto"/>
                <w:szCs w:val="21"/>
                <w:lang w:val="en-US" w:eastAsia="zh-CN" w:bidi="en-US"/>
              </w:rPr>
              <w:t>—</w:t>
            </w:r>
          </w:p>
        </w:tc>
        <w:tc>
          <w:tcPr>
            <w:tcW w:w="875" w:type="dxa"/>
            <w:vAlign w:val="center"/>
          </w:tcPr>
          <w:p w14:paraId="5D1FF7F3">
            <w:pPr>
              <w:snapToGrid w:val="0"/>
              <w:spacing w:line="240" w:lineRule="auto"/>
              <w:ind w:firstLine="0" w:firstLineChars="0"/>
              <w:jc w:val="center"/>
              <w:rPr>
                <w:sz w:val="21"/>
                <w:szCs w:val="21"/>
              </w:rPr>
            </w:pPr>
            <w:r>
              <w:rPr>
                <w:sz w:val="21"/>
                <w:szCs w:val="21"/>
                <w:lang w:eastAsia="zh-CN"/>
              </w:rPr>
              <w:t>—</w:t>
            </w:r>
          </w:p>
        </w:tc>
        <w:tc>
          <w:tcPr>
            <w:tcW w:w="960" w:type="dxa"/>
            <w:vAlign w:val="center"/>
          </w:tcPr>
          <w:p w14:paraId="0EF0AA42">
            <w:pPr>
              <w:pStyle w:val="337"/>
              <w:snapToGrid w:val="0"/>
              <w:rPr>
                <w:color w:val="auto"/>
                <w:szCs w:val="21"/>
                <w:lang w:val="en-US" w:eastAsia="zh-CN" w:bidi="en-US"/>
              </w:rPr>
            </w:pPr>
            <w:r>
              <w:rPr>
                <w:color w:val="auto"/>
                <w:szCs w:val="21"/>
                <w:lang w:val="en-US" w:eastAsia="zh-CN" w:bidi="en-US"/>
              </w:rPr>
              <w:t>直接</w:t>
            </w:r>
          </w:p>
          <w:p w14:paraId="7DF4B4BD">
            <w:pPr>
              <w:pStyle w:val="337"/>
              <w:snapToGrid w:val="0"/>
              <w:rPr>
                <w:color w:val="auto"/>
                <w:szCs w:val="21"/>
                <w:lang w:val="en-US" w:eastAsia="zh-CN" w:bidi="en-US"/>
              </w:rPr>
            </w:pPr>
            <w:r>
              <w:rPr>
                <w:color w:val="auto"/>
                <w:szCs w:val="21"/>
                <w:lang w:val="en-US" w:eastAsia="zh-CN" w:bidi="en-US"/>
              </w:rPr>
              <w:t>排放</w:t>
            </w:r>
          </w:p>
        </w:tc>
        <w:tc>
          <w:tcPr>
            <w:tcW w:w="1333" w:type="dxa"/>
            <w:vAlign w:val="center"/>
          </w:tcPr>
          <w:p w14:paraId="3EDC0D86">
            <w:pPr>
              <w:pStyle w:val="337"/>
              <w:snapToGrid w:val="0"/>
              <w:rPr>
                <w:color w:val="auto"/>
                <w:szCs w:val="21"/>
                <w:lang w:val="en-US" w:eastAsia="zh-CN" w:bidi="en-US"/>
              </w:rPr>
            </w:pPr>
            <w:r>
              <w:rPr>
                <w:color w:val="auto"/>
                <w:szCs w:val="21"/>
                <w:lang w:val="en-US" w:eastAsia="zh-CN" w:bidi="en-US"/>
              </w:rPr>
              <w:t>定期检修，加强密闭</w:t>
            </w:r>
          </w:p>
        </w:tc>
      </w:tr>
      <w:tr w14:paraId="7C3E94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75" w:type="dxa"/>
            <w:tcBorders>
              <w:top w:val="single" w:color="auto" w:sz="4" w:space="0"/>
            </w:tcBorders>
            <w:vAlign w:val="center"/>
          </w:tcPr>
          <w:p w14:paraId="78F1B433">
            <w:pPr>
              <w:pStyle w:val="337"/>
              <w:snapToGrid w:val="0"/>
              <w:rPr>
                <w:color w:val="auto"/>
                <w:szCs w:val="21"/>
                <w:lang w:val="en-US" w:eastAsia="zh-CN" w:bidi="en-US"/>
              </w:rPr>
            </w:pPr>
            <w:r>
              <w:rPr>
                <w:color w:val="auto"/>
                <w:szCs w:val="21"/>
                <w:lang w:val="en-US" w:eastAsia="zh-CN" w:bidi="en-US"/>
              </w:rPr>
              <w:t>道路</w:t>
            </w:r>
          </w:p>
        </w:tc>
        <w:tc>
          <w:tcPr>
            <w:tcW w:w="851" w:type="dxa"/>
            <w:tcBorders>
              <w:top w:val="single" w:color="auto" w:sz="4" w:space="0"/>
            </w:tcBorders>
            <w:vAlign w:val="center"/>
          </w:tcPr>
          <w:p w14:paraId="266D8214">
            <w:pPr>
              <w:pStyle w:val="337"/>
              <w:snapToGrid w:val="0"/>
              <w:rPr>
                <w:color w:val="auto"/>
                <w:szCs w:val="21"/>
                <w:lang w:val="en-US" w:eastAsia="zh-CN" w:bidi="en-US"/>
              </w:rPr>
            </w:pPr>
            <w:r>
              <w:rPr>
                <w:color w:val="auto"/>
                <w:szCs w:val="21"/>
                <w:lang w:val="en-US" w:eastAsia="zh-CN" w:bidi="en-US"/>
              </w:rPr>
              <w:t>无组织</w:t>
            </w:r>
          </w:p>
        </w:tc>
        <w:tc>
          <w:tcPr>
            <w:tcW w:w="850" w:type="dxa"/>
            <w:tcBorders>
              <w:top w:val="single" w:color="auto" w:sz="4" w:space="0"/>
            </w:tcBorders>
            <w:vAlign w:val="center"/>
          </w:tcPr>
          <w:p w14:paraId="65E726E7">
            <w:pPr>
              <w:snapToGrid w:val="0"/>
              <w:spacing w:line="240" w:lineRule="auto"/>
              <w:ind w:firstLine="0" w:firstLineChars="0"/>
              <w:jc w:val="center"/>
              <w:rPr>
                <w:sz w:val="21"/>
                <w:szCs w:val="21"/>
              </w:rPr>
            </w:pPr>
            <w:r>
              <w:rPr>
                <w:sz w:val="21"/>
                <w:szCs w:val="21"/>
                <w:lang w:eastAsia="zh-CN"/>
              </w:rPr>
              <w:t>—</w:t>
            </w:r>
          </w:p>
        </w:tc>
        <w:tc>
          <w:tcPr>
            <w:tcW w:w="709" w:type="dxa"/>
            <w:vAlign w:val="center"/>
          </w:tcPr>
          <w:p w14:paraId="4297F229">
            <w:pPr>
              <w:snapToGrid w:val="0"/>
              <w:spacing w:line="240" w:lineRule="auto"/>
              <w:ind w:firstLine="0" w:firstLineChars="0"/>
              <w:jc w:val="center"/>
              <w:rPr>
                <w:sz w:val="21"/>
                <w:szCs w:val="21"/>
              </w:rPr>
            </w:pPr>
            <w:r>
              <w:rPr>
                <w:sz w:val="21"/>
                <w:szCs w:val="21"/>
                <w:lang w:eastAsia="zh-CN"/>
              </w:rPr>
              <w:t>—</w:t>
            </w:r>
          </w:p>
        </w:tc>
        <w:tc>
          <w:tcPr>
            <w:tcW w:w="851" w:type="dxa"/>
            <w:vAlign w:val="center"/>
          </w:tcPr>
          <w:p w14:paraId="296B4258">
            <w:pPr>
              <w:snapToGrid w:val="0"/>
              <w:spacing w:line="240" w:lineRule="auto"/>
              <w:ind w:firstLine="0" w:firstLineChars="0"/>
              <w:jc w:val="center"/>
              <w:rPr>
                <w:sz w:val="21"/>
                <w:szCs w:val="21"/>
              </w:rPr>
            </w:pPr>
            <w:r>
              <w:rPr>
                <w:sz w:val="21"/>
                <w:szCs w:val="21"/>
                <w:lang w:eastAsia="zh-CN"/>
              </w:rPr>
              <w:t>—</w:t>
            </w:r>
          </w:p>
        </w:tc>
        <w:tc>
          <w:tcPr>
            <w:tcW w:w="852" w:type="dxa"/>
            <w:vAlign w:val="center"/>
          </w:tcPr>
          <w:p w14:paraId="34F1BE77">
            <w:pPr>
              <w:snapToGrid w:val="0"/>
              <w:spacing w:line="240" w:lineRule="auto"/>
              <w:ind w:firstLine="0" w:firstLineChars="0"/>
              <w:jc w:val="center"/>
              <w:rPr>
                <w:sz w:val="21"/>
                <w:szCs w:val="21"/>
              </w:rPr>
            </w:pPr>
            <w:r>
              <w:rPr>
                <w:sz w:val="21"/>
                <w:szCs w:val="21"/>
                <w:lang w:eastAsia="zh-CN"/>
              </w:rPr>
              <w:t>—</w:t>
            </w:r>
          </w:p>
        </w:tc>
        <w:tc>
          <w:tcPr>
            <w:tcW w:w="709" w:type="dxa"/>
            <w:vAlign w:val="center"/>
          </w:tcPr>
          <w:p w14:paraId="4DFED90F">
            <w:pPr>
              <w:pStyle w:val="337"/>
              <w:snapToGrid w:val="0"/>
              <w:ind w:firstLine="105" w:firstLineChars="50"/>
              <w:jc w:val="both"/>
              <w:rPr>
                <w:color w:val="auto"/>
                <w:szCs w:val="21"/>
                <w:lang w:val="en-US" w:eastAsia="zh-CN" w:bidi="en-US"/>
              </w:rPr>
            </w:pPr>
            <w:r>
              <w:rPr>
                <w:color w:val="auto"/>
                <w:szCs w:val="21"/>
                <w:lang w:val="en-US" w:eastAsia="zh-CN" w:bidi="en-US"/>
              </w:rPr>
              <w:t>—</w:t>
            </w:r>
          </w:p>
        </w:tc>
        <w:tc>
          <w:tcPr>
            <w:tcW w:w="875" w:type="dxa"/>
            <w:vAlign w:val="center"/>
          </w:tcPr>
          <w:p w14:paraId="083AC8CC">
            <w:pPr>
              <w:pStyle w:val="337"/>
              <w:snapToGrid w:val="0"/>
              <w:rPr>
                <w:color w:val="auto"/>
                <w:szCs w:val="21"/>
                <w:lang w:val="en-US" w:eastAsia="zh-CN" w:bidi="en-US"/>
              </w:rPr>
            </w:pPr>
            <w:r>
              <w:rPr>
                <w:color w:val="auto"/>
                <w:szCs w:val="21"/>
                <w:lang w:val="en-US" w:eastAsia="zh-CN" w:bidi="en-US"/>
              </w:rPr>
              <w:t>难定量</w:t>
            </w:r>
          </w:p>
        </w:tc>
        <w:tc>
          <w:tcPr>
            <w:tcW w:w="960" w:type="dxa"/>
            <w:vAlign w:val="center"/>
          </w:tcPr>
          <w:p w14:paraId="6133784D">
            <w:pPr>
              <w:pStyle w:val="337"/>
              <w:snapToGrid w:val="0"/>
              <w:rPr>
                <w:color w:val="auto"/>
                <w:szCs w:val="21"/>
                <w:lang w:val="en-US" w:eastAsia="zh-CN" w:bidi="en-US"/>
              </w:rPr>
            </w:pPr>
            <w:r>
              <w:rPr>
                <w:color w:val="auto"/>
                <w:szCs w:val="21"/>
                <w:lang w:val="en-US" w:eastAsia="zh-CN" w:bidi="en-US"/>
              </w:rPr>
              <w:t>直接</w:t>
            </w:r>
          </w:p>
          <w:p w14:paraId="0BEAE8A3">
            <w:pPr>
              <w:pStyle w:val="337"/>
              <w:snapToGrid w:val="0"/>
              <w:rPr>
                <w:color w:val="auto"/>
                <w:szCs w:val="21"/>
                <w:lang w:val="en-US" w:eastAsia="zh-CN" w:bidi="en-US"/>
              </w:rPr>
            </w:pPr>
            <w:r>
              <w:rPr>
                <w:color w:val="auto"/>
                <w:szCs w:val="21"/>
                <w:lang w:val="en-US" w:eastAsia="zh-CN" w:bidi="en-US"/>
              </w:rPr>
              <w:t>排放</w:t>
            </w:r>
          </w:p>
        </w:tc>
        <w:tc>
          <w:tcPr>
            <w:tcW w:w="1333" w:type="dxa"/>
            <w:vAlign w:val="center"/>
          </w:tcPr>
          <w:p w14:paraId="09F86B30">
            <w:pPr>
              <w:pStyle w:val="337"/>
              <w:snapToGrid w:val="0"/>
              <w:rPr>
                <w:color w:val="auto"/>
                <w:szCs w:val="21"/>
                <w:lang w:val="en-US" w:eastAsia="zh-CN" w:bidi="en-US"/>
              </w:rPr>
            </w:pPr>
            <w:r>
              <w:rPr>
                <w:color w:val="auto"/>
                <w:szCs w:val="21"/>
                <w:lang w:val="en-US" w:eastAsia="zh-CN" w:bidi="en-US"/>
              </w:rPr>
              <w:t>道路</w:t>
            </w:r>
          </w:p>
          <w:p w14:paraId="68022602">
            <w:pPr>
              <w:pStyle w:val="337"/>
              <w:snapToGrid w:val="0"/>
              <w:rPr>
                <w:color w:val="auto"/>
                <w:szCs w:val="21"/>
                <w:lang w:val="en-US" w:eastAsia="zh-CN" w:bidi="en-US"/>
              </w:rPr>
            </w:pPr>
            <w:r>
              <w:rPr>
                <w:color w:val="auto"/>
                <w:szCs w:val="21"/>
                <w:lang w:val="en-US" w:eastAsia="zh-CN" w:bidi="en-US"/>
              </w:rPr>
              <w:t>洒水降尘</w:t>
            </w:r>
          </w:p>
        </w:tc>
      </w:tr>
    </w:tbl>
    <w:p w14:paraId="12412B1B">
      <w:pPr>
        <w:pStyle w:val="4"/>
        <w:rPr>
          <w:lang w:eastAsia="zh-CN"/>
        </w:rPr>
      </w:pPr>
      <w:bookmarkStart w:id="210" w:name="_Toc408413950"/>
      <w:r>
        <w:t>3.</w:t>
      </w:r>
      <w:r>
        <w:rPr>
          <w:rFonts w:hint="eastAsia"/>
          <w:lang w:eastAsia="zh-CN"/>
        </w:rPr>
        <w:t>6</w:t>
      </w:r>
      <w:r>
        <w:t>.3水污染源、污染物及防治措施</w:t>
      </w:r>
      <w:bookmarkEnd w:id="210"/>
    </w:p>
    <w:p w14:paraId="21F47C7A">
      <w:pPr>
        <w:ind w:firstLine="480"/>
        <w:rPr>
          <w:rFonts w:asciiTheme="minorEastAsia" w:hAnsiTheme="minorEastAsia" w:eastAsiaTheme="minorEastAsia"/>
          <w:lang w:eastAsia="zh-CN"/>
        </w:rPr>
      </w:pPr>
      <w:r>
        <w:rPr>
          <w:rFonts w:asciiTheme="minorEastAsia" w:hAnsiTheme="minorEastAsia" w:eastAsiaTheme="minorEastAsia"/>
          <w:lang w:eastAsia="zh-CN"/>
        </w:rPr>
        <w:t>油田开采过程中将产生的废水包括：含油污水、钻井废水、作业废水（包括洗井废水、修井废水）等。</w:t>
      </w:r>
    </w:p>
    <w:p w14:paraId="3193EF05">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1、钻井废水</w:t>
      </w:r>
    </w:p>
    <w:p w14:paraId="03926270">
      <w:pPr>
        <w:ind w:firstLine="480"/>
        <w:rPr>
          <w:rFonts w:asciiTheme="minorEastAsia" w:hAnsiTheme="minorEastAsia" w:eastAsiaTheme="minorEastAsia"/>
          <w:lang w:eastAsia="zh-CN"/>
        </w:rPr>
      </w:pPr>
      <w:r>
        <w:rPr>
          <w:rFonts w:asciiTheme="minorEastAsia" w:hAnsiTheme="minorEastAsia" w:eastAsiaTheme="minorEastAsia"/>
          <w:lang w:eastAsia="zh-CN"/>
        </w:rPr>
        <w:t>钻井废水是指钻井过程中各环节产生的废水的总和，包括柴油机冷却水，清洗地面设备的含油废水等。</w:t>
      </w:r>
    </w:p>
    <w:p w14:paraId="66F7585B">
      <w:pPr>
        <w:ind w:firstLine="480"/>
        <w:rPr>
          <w:rFonts w:asciiTheme="minorEastAsia" w:hAnsiTheme="minorEastAsia" w:eastAsiaTheme="minorEastAsia"/>
          <w:lang w:eastAsia="zh-CN"/>
        </w:rPr>
      </w:pPr>
      <w:r>
        <w:rPr>
          <w:rFonts w:asciiTheme="minorEastAsia" w:hAnsiTheme="minorEastAsia" w:eastAsiaTheme="minorEastAsia"/>
          <w:lang w:eastAsia="zh-CN"/>
        </w:rPr>
        <w:t>根据</w:t>
      </w:r>
      <w:r>
        <w:rPr>
          <w:rFonts w:hint="eastAsia" w:asciiTheme="minorEastAsia" w:hAnsiTheme="minorEastAsia" w:eastAsiaTheme="minorEastAsia"/>
          <w:lang w:eastAsia="zh-CN"/>
        </w:rPr>
        <w:t>乌里雅斯太</w:t>
      </w:r>
      <w:r>
        <w:rPr>
          <w:rFonts w:asciiTheme="minorEastAsia" w:hAnsiTheme="minorEastAsia" w:eastAsiaTheme="minorEastAsia"/>
          <w:lang w:eastAsia="zh-CN"/>
        </w:rPr>
        <w:t>油田已开采油田钻井废水类比统计：钻井时每钻进1m平均排放钻井废水0.15t，钻井平均深</w:t>
      </w:r>
      <w:r>
        <w:rPr>
          <w:rFonts w:hint="eastAsia" w:asciiTheme="minorEastAsia" w:hAnsiTheme="minorEastAsia" w:eastAsiaTheme="minorEastAsia"/>
          <w:lang w:eastAsia="zh-CN"/>
        </w:rPr>
        <w:t>1800</w:t>
      </w:r>
      <w:r>
        <w:rPr>
          <w:rFonts w:asciiTheme="minorEastAsia" w:hAnsiTheme="minorEastAsia" w:eastAsiaTheme="minorEastAsia"/>
          <w:lang w:eastAsia="zh-CN"/>
        </w:rPr>
        <w:t>m，则每新钻一口井钻井废水的产生量约为</w:t>
      </w:r>
      <w:r>
        <w:rPr>
          <w:rFonts w:hint="eastAsia" w:asciiTheme="minorEastAsia" w:hAnsiTheme="minorEastAsia" w:eastAsiaTheme="minorEastAsia"/>
          <w:lang w:eastAsia="zh-CN"/>
        </w:rPr>
        <w:t>270</w:t>
      </w:r>
      <w:r>
        <w:rPr>
          <w:rFonts w:asciiTheme="minorEastAsia" w:hAnsiTheme="minorEastAsia" w:eastAsiaTheme="minorEastAsia"/>
          <w:lang w:eastAsia="zh-CN"/>
        </w:rPr>
        <w:t>t。产生的这部分钻井废水与废弃泥浆一同排至井场附近的废弃泥浆池中，自然蒸发，然后与钻井泥浆统一加药进行无害化固化稳定及填埋处理。</w:t>
      </w:r>
    </w:p>
    <w:p w14:paraId="02C93DB2">
      <w:pPr>
        <w:ind w:firstLine="480"/>
        <w:outlineLvl w:val="0"/>
        <w:rPr>
          <w:rFonts w:asciiTheme="minorEastAsia" w:hAnsiTheme="minorEastAsia" w:eastAsiaTheme="minorEastAsia"/>
          <w:lang w:eastAsia="zh-CN"/>
        </w:rPr>
      </w:pPr>
      <w:r>
        <w:rPr>
          <w:rFonts w:hint="eastAsia" w:asciiTheme="minorEastAsia" w:hAnsiTheme="minorEastAsia" w:eastAsiaTheme="minorEastAsia"/>
          <w:lang w:eastAsia="zh-CN"/>
        </w:rPr>
        <w:t>2、</w:t>
      </w:r>
      <w:r>
        <w:rPr>
          <w:rFonts w:asciiTheme="minorEastAsia" w:hAnsiTheme="minorEastAsia" w:eastAsiaTheme="minorEastAsia"/>
          <w:lang w:eastAsia="zh-CN"/>
        </w:rPr>
        <w:t>含油污水</w:t>
      </w:r>
    </w:p>
    <w:p w14:paraId="7FF089C4">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太53断块</w:t>
      </w:r>
      <w:r>
        <w:rPr>
          <w:rFonts w:asciiTheme="minorEastAsia" w:hAnsiTheme="minorEastAsia" w:eastAsiaTheme="minorEastAsia"/>
          <w:lang w:eastAsia="zh-CN"/>
        </w:rPr>
        <w:t>产出液经集油管线输送至</w:t>
      </w:r>
      <w:r>
        <w:rPr>
          <w:rFonts w:hint="eastAsia" w:asciiTheme="minorEastAsia" w:hAnsiTheme="minorEastAsia" w:eastAsiaTheme="minorEastAsia"/>
          <w:lang w:eastAsia="zh-CN"/>
        </w:rPr>
        <w:t>雅斯</w:t>
      </w:r>
      <w:r>
        <w:rPr>
          <w:rFonts w:asciiTheme="minorEastAsia" w:hAnsiTheme="minorEastAsia" w:eastAsiaTheme="minorEastAsia"/>
          <w:lang w:eastAsia="zh-CN"/>
        </w:rPr>
        <w:t>联合站</w:t>
      </w:r>
      <w:r>
        <w:rPr>
          <w:rFonts w:hint="eastAsia" w:asciiTheme="minorEastAsia" w:hAnsiTheme="minorEastAsia" w:eastAsiaTheme="minorEastAsia"/>
          <w:lang w:eastAsia="zh-CN"/>
        </w:rPr>
        <w:t>，太27断块产出液经油罐车运至雅斯</w:t>
      </w:r>
      <w:r>
        <w:rPr>
          <w:rFonts w:asciiTheme="minorEastAsia" w:hAnsiTheme="minorEastAsia" w:eastAsiaTheme="minorEastAsia"/>
          <w:lang w:eastAsia="zh-CN"/>
        </w:rPr>
        <w:t>联合站</w:t>
      </w:r>
      <w:r>
        <w:rPr>
          <w:rFonts w:hint="eastAsia" w:asciiTheme="minorEastAsia" w:hAnsiTheme="minorEastAsia" w:eastAsiaTheme="minorEastAsia"/>
          <w:lang w:eastAsia="zh-CN"/>
        </w:rPr>
        <w:t>，在联合站内</w:t>
      </w:r>
      <w:r>
        <w:rPr>
          <w:rFonts w:asciiTheme="minorEastAsia" w:hAnsiTheme="minorEastAsia" w:eastAsiaTheme="minorEastAsia"/>
          <w:lang w:eastAsia="zh-CN"/>
        </w:rPr>
        <w:t>进行分离，含油污水进入污水处理系统进行处理，达到《碎屑岩油藏注水水质推荐指标及分析方法》(SY/T5329-2012液)的标准要求后，</w:t>
      </w:r>
      <w:r>
        <w:rPr>
          <w:rFonts w:hint="eastAsia" w:asciiTheme="minorEastAsia" w:hAnsiTheme="minorEastAsia" w:eastAsiaTheme="minorEastAsia"/>
          <w:lang w:eastAsia="zh-CN"/>
        </w:rPr>
        <w:t>全部</w:t>
      </w:r>
      <w:r>
        <w:rPr>
          <w:rFonts w:asciiTheme="minorEastAsia" w:hAnsiTheme="minorEastAsia" w:eastAsiaTheme="minorEastAsia"/>
          <w:lang w:eastAsia="zh-CN"/>
        </w:rPr>
        <w:t>回注地层。</w:t>
      </w:r>
      <w:r>
        <w:rPr>
          <w:rFonts w:hint="eastAsia" w:asciiTheme="minorEastAsia" w:hAnsiTheme="minorEastAsia" w:eastAsiaTheme="minorEastAsia"/>
          <w:lang w:eastAsia="zh-CN"/>
        </w:rPr>
        <w:t>根据预测含油废水最大产生量为209.32m</w:t>
      </w:r>
      <w:r>
        <w:rPr>
          <w:rFonts w:hint="eastAsia" w:asciiTheme="minorEastAsia" w:hAnsiTheme="minorEastAsia" w:eastAsiaTheme="minorEastAsia"/>
          <w:vertAlign w:val="superscript"/>
          <w:lang w:eastAsia="zh-CN"/>
        </w:rPr>
        <w:t>3</w:t>
      </w:r>
      <w:r>
        <w:rPr>
          <w:rFonts w:hint="eastAsia" w:asciiTheme="minorEastAsia" w:hAnsiTheme="minorEastAsia" w:eastAsiaTheme="minorEastAsia"/>
          <w:lang w:eastAsia="zh-CN"/>
        </w:rPr>
        <w:t>/d，年产生量为7.64×</w:t>
      </w:r>
      <w:r>
        <w:rPr>
          <w:rFonts w:asciiTheme="minorEastAsia" w:hAnsiTheme="minorEastAsia" w:eastAsiaTheme="minorEastAsia"/>
          <w:lang w:eastAsia="zh-CN"/>
        </w:rPr>
        <w:t>10</w:t>
      </w:r>
      <w:r>
        <w:rPr>
          <w:rFonts w:asciiTheme="minorEastAsia" w:hAnsiTheme="minorEastAsia" w:eastAsiaTheme="minorEastAsia"/>
          <w:vertAlign w:val="superscript"/>
          <w:lang w:eastAsia="zh-CN"/>
        </w:rPr>
        <w:t>4</w:t>
      </w:r>
      <w:r>
        <w:rPr>
          <w:rFonts w:hint="eastAsia" w:asciiTheme="minorEastAsia" w:hAnsiTheme="minorEastAsia" w:eastAsiaTheme="minorEastAsia"/>
          <w:lang w:eastAsia="zh-CN"/>
        </w:rPr>
        <w:t xml:space="preserve"> m</w:t>
      </w:r>
      <w:r>
        <w:rPr>
          <w:rFonts w:hint="eastAsia" w:asciiTheme="minorEastAsia" w:hAnsiTheme="minorEastAsia" w:eastAsiaTheme="minorEastAsia"/>
          <w:vertAlign w:val="superscript"/>
          <w:lang w:eastAsia="zh-CN"/>
        </w:rPr>
        <w:t>3</w:t>
      </w:r>
      <w:r>
        <w:rPr>
          <w:rFonts w:asciiTheme="minorEastAsia" w:hAnsiTheme="minorEastAsia" w:eastAsiaTheme="minorEastAsia"/>
          <w:lang w:eastAsia="zh-CN"/>
        </w:rPr>
        <w:t>/a</w:t>
      </w:r>
      <w:r>
        <w:rPr>
          <w:rFonts w:hint="eastAsia" w:asciiTheme="minorEastAsia" w:hAnsiTheme="minorEastAsia" w:eastAsiaTheme="minorEastAsia"/>
          <w:lang w:eastAsia="zh-CN"/>
        </w:rPr>
        <w:t>。参与水平衡计算的最大注水量年（2016年），污水产生量为130.68 m</w:t>
      </w:r>
      <w:r>
        <w:rPr>
          <w:rFonts w:hint="eastAsia" w:asciiTheme="minorEastAsia" w:hAnsiTheme="minorEastAsia" w:eastAsiaTheme="minorEastAsia"/>
          <w:vertAlign w:val="superscript"/>
          <w:lang w:eastAsia="zh-CN"/>
        </w:rPr>
        <w:t>3</w:t>
      </w:r>
      <w:r>
        <w:rPr>
          <w:rFonts w:hint="eastAsia" w:asciiTheme="minorEastAsia" w:hAnsiTheme="minorEastAsia" w:eastAsiaTheme="minorEastAsia"/>
          <w:lang w:eastAsia="zh-CN"/>
        </w:rPr>
        <w:t>/d，年产生量为4.77×</w:t>
      </w:r>
      <w:r>
        <w:rPr>
          <w:rFonts w:asciiTheme="minorEastAsia" w:hAnsiTheme="minorEastAsia" w:eastAsiaTheme="minorEastAsia"/>
          <w:lang w:eastAsia="zh-CN"/>
        </w:rPr>
        <w:t>10</w:t>
      </w:r>
      <w:r>
        <w:rPr>
          <w:rFonts w:asciiTheme="minorEastAsia" w:hAnsiTheme="minorEastAsia" w:eastAsiaTheme="minorEastAsia"/>
          <w:vertAlign w:val="superscript"/>
          <w:lang w:eastAsia="zh-CN"/>
        </w:rPr>
        <w:t>4</w:t>
      </w:r>
      <w:r>
        <w:rPr>
          <w:rFonts w:hint="eastAsia" w:asciiTheme="minorEastAsia" w:hAnsiTheme="minorEastAsia" w:eastAsiaTheme="minorEastAsia"/>
          <w:lang w:eastAsia="zh-CN"/>
        </w:rPr>
        <w:t xml:space="preserve"> m</w:t>
      </w:r>
      <w:r>
        <w:rPr>
          <w:rFonts w:hint="eastAsia" w:asciiTheme="minorEastAsia" w:hAnsiTheme="minorEastAsia" w:eastAsiaTheme="minorEastAsia"/>
          <w:vertAlign w:val="superscript"/>
          <w:lang w:eastAsia="zh-CN"/>
        </w:rPr>
        <w:t>3</w:t>
      </w:r>
      <w:r>
        <w:rPr>
          <w:rFonts w:asciiTheme="minorEastAsia" w:hAnsiTheme="minorEastAsia" w:eastAsiaTheme="minorEastAsia"/>
          <w:lang w:eastAsia="zh-CN"/>
        </w:rPr>
        <w:t>/a</w:t>
      </w:r>
      <w:r>
        <w:rPr>
          <w:rFonts w:hint="eastAsia" w:asciiTheme="minorEastAsia" w:hAnsiTheme="minorEastAsia" w:eastAsiaTheme="minorEastAsia"/>
          <w:lang w:eastAsia="zh-CN"/>
        </w:rPr>
        <w:t>。</w:t>
      </w:r>
    </w:p>
    <w:p w14:paraId="4F5EAB77">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3、洗井废水</w:t>
      </w:r>
    </w:p>
    <w:p w14:paraId="19D9C4FC">
      <w:pPr>
        <w:ind w:firstLine="480"/>
        <w:rPr>
          <w:rFonts w:asciiTheme="minorEastAsia" w:hAnsiTheme="minorEastAsia" w:eastAsiaTheme="minorEastAsia"/>
          <w:lang w:eastAsia="zh-CN"/>
        </w:rPr>
      </w:pPr>
      <w:r>
        <w:rPr>
          <w:rFonts w:asciiTheme="minorEastAsia" w:hAnsiTheme="minorEastAsia" w:eastAsiaTheme="minorEastAsia"/>
          <w:lang w:eastAsia="zh-CN"/>
        </w:rPr>
        <w:t>洗井是定期进行的，主要污染物有盐类、石油类、酸、碱等。</w:t>
      </w:r>
      <w:r>
        <w:rPr>
          <w:rFonts w:hint="eastAsia" w:asciiTheme="minorEastAsia" w:hAnsiTheme="minorEastAsia" w:eastAsiaTheme="minorEastAsia"/>
          <w:lang w:eastAsia="zh-CN"/>
        </w:rPr>
        <w:t>乌里雅斯太</w:t>
      </w:r>
      <w:r>
        <w:rPr>
          <w:rFonts w:asciiTheme="minorEastAsia" w:hAnsiTheme="minorEastAsia" w:eastAsiaTheme="minorEastAsia"/>
          <w:lang w:eastAsia="zh-CN"/>
        </w:rPr>
        <w:t>油田共建设采油井</w:t>
      </w:r>
      <w:r>
        <w:rPr>
          <w:rFonts w:hint="eastAsia" w:asciiTheme="minorEastAsia" w:hAnsiTheme="minorEastAsia" w:eastAsiaTheme="minorEastAsia"/>
          <w:lang w:eastAsia="zh-CN"/>
        </w:rPr>
        <w:t>122</w:t>
      </w:r>
      <w:r>
        <w:rPr>
          <w:rFonts w:asciiTheme="minorEastAsia" w:hAnsiTheme="minorEastAsia" w:eastAsiaTheme="minorEastAsia"/>
          <w:lang w:eastAsia="zh-CN"/>
        </w:rPr>
        <w:t>口</w:t>
      </w:r>
      <w:r>
        <w:rPr>
          <w:rFonts w:hint="eastAsia" w:asciiTheme="minorEastAsia" w:hAnsiTheme="minorEastAsia" w:eastAsiaTheme="minorEastAsia"/>
          <w:lang w:eastAsia="zh-CN"/>
        </w:rPr>
        <w:t>，规划部署油井最多开口104口，</w:t>
      </w:r>
      <w:r>
        <w:rPr>
          <w:rFonts w:asciiTheme="minorEastAsia" w:hAnsiTheme="minorEastAsia" w:eastAsiaTheme="minorEastAsia"/>
          <w:lang w:eastAsia="zh-CN"/>
        </w:rPr>
        <w:t>单井洗井产生废水量约为30m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，洗井周期为2个月1次，油井洗井废水量为</w:t>
      </w:r>
      <w:r>
        <w:rPr>
          <w:rFonts w:hint="eastAsia" w:asciiTheme="minorEastAsia" w:hAnsiTheme="minorEastAsia" w:eastAsiaTheme="minorEastAsia"/>
          <w:lang w:eastAsia="zh-CN"/>
        </w:rPr>
        <w:t>18720</w:t>
      </w:r>
      <w:r>
        <w:rPr>
          <w:rFonts w:asciiTheme="minorEastAsia" w:hAnsiTheme="minorEastAsia" w:eastAsiaTheme="minorEastAsia"/>
          <w:lang w:eastAsia="zh-CN"/>
        </w:rPr>
        <w:t>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/a。注水井共建设</w:t>
      </w:r>
      <w:r>
        <w:rPr>
          <w:rFonts w:hint="eastAsia" w:asciiTheme="minorEastAsia" w:hAnsiTheme="minorEastAsia" w:eastAsiaTheme="minorEastAsia"/>
          <w:lang w:eastAsia="zh-CN"/>
        </w:rPr>
        <w:t>43</w:t>
      </w:r>
      <w:r>
        <w:rPr>
          <w:rFonts w:asciiTheme="minorEastAsia" w:hAnsiTheme="minorEastAsia" w:eastAsiaTheme="minorEastAsia"/>
          <w:lang w:eastAsia="zh-CN"/>
        </w:rPr>
        <w:t>口，单井洗井产生的废水量为60m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，洗井周期为6个月1次，洗井废水量为</w:t>
      </w:r>
      <w:r>
        <w:rPr>
          <w:rFonts w:hint="eastAsia" w:asciiTheme="minorEastAsia" w:hAnsiTheme="minorEastAsia" w:eastAsiaTheme="minorEastAsia"/>
          <w:lang w:eastAsia="zh-CN"/>
        </w:rPr>
        <w:t>5160</w:t>
      </w:r>
      <w:r>
        <w:rPr>
          <w:rFonts w:asciiTheme="minorEastAsia" w:hAnsiTheme="minorEastAsia" w:eastAsiaTheme="minorEastAsia"/>
          <w:lang w:eastAsia="zh-CN"/>
        </w:rPr>
        <w:t>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/a。油井及注水井洗井废水总量为</w:t>
      </w:r>
      <w:r>
        <w:rPr>
          <w:rFonts w:hint="eastAsia" w:asciiTheme="minorEastAsia" w:hAnsiTheme="minorEastAsia" w:eastAsiaTheme="minorEastAsia"/>
          <w:lang w:eastAsia="zh-CN"/>
        </w:rPr>
        <w:t>23880</w:t>
      </w:r>
      <w:r>
        <w:rPr>
          <w:rFonts w:asciiTheme="minorEastAsia" w:hAnsiTheme="minorEastAsia" w:eastAsiaTheme="minorEastAsia"/>
          <w:lang w:eastAsia="zh-CN"/>
        </w:rPr>
        <w:t>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/a。对于油井洗井废水</w:t>
      </w:r>
      <w:r>
        <w:rPr>
          <w:rFonts w:hint="eastAsia" w:asciiTheme="minorEastAsia" w:hAnsiTheme="minorEastAsia" w:eastAsiaTheme="minorEastAsia"/>
          <w:lang w:eastAsia="zh-CN"/>
        </w:rPr>
        <w:t>经管线输送至含油污水处理系统，</w:t>
      </w:r>
      <w:r>
        <w:rPr>
          <w:rFonts w:asciiTheme="minorEastAsia" w:hAnsiTheme="minorEastAsia" w:eastAsiaTheme="minorEastAsia"/>
          <w:lang w:eastAsia="zh-CN"/>
        </w:rPr>
        <w:t>与采油废水一起处理。对于注水井洗井废水全部回收进入洗井作业时配套的密闭罐车，而后拉运回</w:t>
      </w:r>
      <w:r>
        <w:rPr>
          <w:rFonts w:hint="eastAsia" w:asciiTheme="minorEastAsia" w:hAnsiTheme="minorEastAsia" w:eastAsiaTheme="minorEastAsia"/>
          <w:lang w:eastAsia="zh-CN"/>
        </w:rPr>
        <w:t>雅斯联合站</w:t>
      </w:r>
      <w:r>
        <w:rPr>
          <w:rFonts w:asciiTheme="minorEastAsia" w:hAnsiTheme="minorEastAsia" w:eastAsiaTheme="minorEastAsia"/>
          <w:lang w:eastAsia="zh-CN"/>
        </w:rPr>
        <w:t>污水处理系统进行处理后回注，不外排。</w:t>
      </w:r>
      <w:r>
        <w:rPr>
          <w:rFonts w:hint="eastAsia" w:asciiTheme="minorEastAsia" w:hAnsiTheme="minorEastAsia" w:eastAsiaTheme="minorEastAsia"/>
          <w:lang w:eastAsia="zh-CN"/>
        </w:rPr>
        <w:t>油水井是逐年开发的，每年运行的井数有限，且洗井废水是不定期间断排放的，因此洗井废水不进入水平衡计算。</w:t>
      </w:r>
    </w:p>
    <w:p w14:paraId="2B7E55B7">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4、修井废水</w:t>
      </w:r>
    </w:p>
    <w:p w14:paraId="58C48442">
      <w:pPr>
        <w:ind w:firstLine="480"/>
        <w:rPr>
          <w:rFonts w:asciiTheme="minorEastAsia" w:hAnsiTheme="minorEastAsia" w:eastAsiaTheme="minorEastAsia"/>
          <w:lang w:eastAsia="zh-CN"/>
        </w:rPr>
      </w:pPr>
      <w:r>
        <w:rPr>
          <w:rFonts w:asciiTheme="minorEastAsia" w:hAnsiTheme="minorEastAsia" w:eastAsiaTheme="minorEastAsia"/>
          <w:lang w:eastAsia="zh-CN"/>
        </w:rPr>
        <w:t>修井废水包括下泵、修井、除砂、清蜡、防蜡、堵水等工艺产生的废水。除部分残液需外排，其它均已密闭作业</w:t>
      </w:r>
      <w:r>
        <w:rPr>
          <w:rFonts w:hint="eastAsia" w:asciiTheme="minorEastAsia" w:hAnsiTheme="minorEastAsia" w:eastAsiaTheme="minorEastAsia"/>
          <w:lang w:eastAsia="zh-CN"/>
        </w:rPr>
        <w:t>，</w:t>
      </w:r>
      <w:r>
        <w:rPr>
          <w:rFonts w:asciiTheme="minorEastAsia" w:hAnsiTheme="minorEastAsia" w:eastAsiaTheme="minorEastAsia"/>
          <w:lang w:eastAsia="zh-CN"/>
        </w:rPr>
        <w:t>修井废水主要含有石油类、</w:t>
      </w:r>
      <w:r>
        <w:rPr>
          <w:rFonts w:hint="eastAsia" w:asciiTheme="minorEastAsia" w:hAnsiTheme="minorEastAsia" w:eastAsiaTheme="minorEastAsia"/>
          <w:lang w:eastAsia="zh-CN"/>
        </w:rPr>
        <w:t>化学需氧量</w:t>
      </w:r>
      <w:r>
        <w:rPr>
          <w:rFonts w:asciiTheme="minorEastAsia" w:hAnsiTheme="minorEastAsia" w:eastAsiaTheme="minorEastAsia"/>
          <w:lang w:eastAsia="zh-CN"/>
        </w:rPr>
        <w:t>、挥发酚、表面活性剂和酸、碱等污染物。</w:t>
      </w:r>
    </w:p>
    <w:p w14:paraId="155B7EC5">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乌里雅斯太</w:t>
      </w:r>
      <w:r>
        <w:rPr>
          <w:rFonts w:asciiTheme="minorEastAsia" w:hAnsiTheme="minorEastAsia" w:eastAsiaTheme="minorEastAsia"/>
          <w:lang w:eastAsia="zh-CN"/>
        </w:rPr>
        <w:t>油田修井周期为2年，修井废水产生量约为2.5m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/井次，共建</w:t>
      </w:r>
      <w:r>
        <w:rPr>
          <w:rFonts w:hint="eastAsia" w:asciiTheme="minorEastAsia" w:hAnsiTheme="minorEastAsia" w:eastAsiaTheme="minorEastAsia"/>
          <w:lang w:eastAsia="zh-CN"/>
        </w:rPr>
        <w:t>油水</w:t>
      </w:r>
      <w:r>
        <w:rPr>
          <w:rFonts w:asciiTheme="minorEastAsia" w:hAnsiTheme="minorEastAsia" w:eastAsiaTheme="minorEastAsia"/>
          <w:lang w:eastAsia="zh-CN"/>
        </w:rPr>
        <w:t>井</w:t>
      </w:r>
      <w:r>
        <w:rPr>
          <w:rFonts w:hint="eastAsia" w:asciiTheme="minorEastAsia" w:hAnsiTheme="minorEastAsia" w:eastAsiaTheme="minorEastAsia"/>
          <w:lang w:eastAsia="zh-CN"/>
        </w:rPr>
        <w:t>162</w:t>
      </w:r>
      <w:r>
        <w:rPr>
          <w:rFonts w:asciiTheme="minorEastAsia" w:hAnsiTheme="minorEastAsia" w:eastAsiaTheme="minorEastAsia"/>
          <w:lang w:eastAsia="zh-CN"/>
        </w:rPr>
        <w:t>口</w:t>
      </w:r>
      <w:r>
        <w:rPr>
          <w:rFonts w:hint="eastAsia" w:asciiTheme="minorEastAsia" w:hAnsiTheme="minorEastAsia" w:eastAsiaTheme="minorEastAsia"/>
          <w:lang w:eastAsia="zh-CN"/>
        </w:rPr>
        <w:t>，最多开井147口</w:t>
      </w:r>
      <w:r>
        <w:rPr>
          <w:rFonts w:asciiTheme="minorEastAsia" w:hAnsiTheme="minorEastAsia" w:eastAsiaTheme="minorEastAsia"/>
          <w:lang w:eastAsia="zh-CN"/>
        </w:rPr>
        <w:t>，则油田修井废水的产生量约为</w:t>
      </w:r>
      <w:r>
        <w:rPr>
          <w:rFonts w:hint="eastAsia" w:asciiTheme="minorEastAsia" w:hAnsiTheme="minorEastAsia" w:eastAsiaTheme="minorEastAsia"/>
          <w:lang w:eastAsia="zh-CN"/>
        </w:rPr>
        <w:t>183.5</w:t>
      </w:r>
      <w:r>
        <w:rPr>
          <w:rFonts w:asciiTheme="minorEastAsia" w:hAnsiTheme="minorEastAsia" w:eastAsiaTheme="minorEastAsia"/>
          <w:lang w:eastAsia="zh-CN"/>
        </w:rPr>
        <w:t>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/a，其中油井修井废水为</w:t>
      </w:r>
      <w:r>
        <w:rPr>
          <w:rFonts w:hint="eastAsia" w:asciiTheme="minorEastAsia" w:hAnsiTheme="minorEastAsia" w:eastAsiaTheme="minorEastAsia"/>
          <w:lang w:eastAsia="zh-CN"/>
        </w:rPr>
        <w:t>130.0</w:t>
      </w:r>
      <w:r>
        <w:rPr>
          <w:rFonts w:asciiTheme="minorEastAsia" w:hAnsiTheme="minorEastAsia" w:eastAsiaTheme="minorEastAsia"/>
          <w:lang w:eastAsia="zh-CN"/>
        </w:rPr>
        <w:t>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/a（油井</w:t>
      </w:r>
      <w:r>
        <w:rPr>
          <w:rFonts w:hint="eastAsia" w:asciiTheme="minorEastAsia" w:hAnsiTheme="minorEastAsia" w:eastAsiaTheme="minorEastAsia"/>
          <w:lang w:eastAsia="zh-CN"/>
        </w:rPr>
        <w:t>104</w:t>
      </w:r>
      <w:r>
        <w:rPr>
          <w:rFonts w:asciiTheme="minorEastAsia" w:hAnsiTheme="minorEastAsia" w:eastAsiaTheme="minorEastAsia"/>
          <w:lang w:eastAsia="zh-CN"/>
        </w:rPr>
        <w:t>口），注水井修井废水为</w:t>
      </w:r>
      <w:r>
        <w:rPr>
          <w:rFonts w:hint="eastAsia" w:asciiTheme="minorEastAsia" w:hAnsiTheme="minorEastAsia" w:eastAsiaTheme="minorEastAsia"/>
          <w:lang w:eastAsia="zh-CN"/>
        </w:rPr>
        <w:t>53.5</w:t>
      </w:r>
      <w:r>
        <w:rPr>
          <w:rFonts w:asciiTheme="minorEastAsia" w:hAnsiTheme="minorEastAsia" w:eastAsiaTheme="minorEastAsia"/>
          <w:lang w:eastAsia="zh-CN"/>
        </w:rPr>
        <w:t>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/a（注水井</w:t>
      </w:r>
      <w:r>
        <w:rPr>
          <w:rFonts w:hint="eastAsia" w:asciiTheme="minorEastAsia" w:hAnsiTheme="minorEastAsia" w:eastAsiaTheme="minorEastAsia"/>
          <w:lang w:eastAsia="zh-CN"/>
        </w:rPr>
        <w:t>43</w:t>
      </w:r>
      <w:r>
        <w:rPr>
          <w:rFonts w:asciiTheme="minorEastAsia" w:hAnsiTheme="minorEastAsia" w:eastAsiaTheme="minorEastAsia"/>
          <w:lang w:eastAsia="zh-CN"/>
        </w:rPr>
        <w:t>口）。</w:t>
      </w:r>
      <w:r>
        <w:rPr>
          <w:rFonts w:hint="eastAsia" w:asciiTheme="minorEastAsia" w:hAnsiTheme="minorEastAsia" w:eastAsiaTheme="minorEastAsia"/>
          <w:lang w:eastAsia="zh-CN"/>
        </w:rPr>
        <w:t>油井修井废水通过配套工艺管线进入废液池，经有效降解、沉降后回收到除油罐，与采油废水一起处理。</w:t>
      </w:r>
      <w:r>
        <w:rPr>
          <w:rFonts w:asciiTheme="minorEastAsia" w:hAnsiTheme="minorEastAsia" w:eastAsiaTheme="minorEastAsia"/>
          <w:lang w:eastAsia="zh-CN"/>
        </w:rPr>
        <w:t>注水井修井废水全部回收进入修井作业时配套的密闭罐车，而后拉运回污水处理系统进行处理，不外排。</w:t>
      </w:r>
      <w:r>
        <w:rPr>
          <w:rFonts w:hint="eastAsia" w:asciiTheme="minorEastAsia" w:hAnsiTheme="minorEastAsia" w:eastAsiaTheme="minorEastAsia"/>
          <w:lang w:eastAsia="zh-CN"/>
        </w:rPr>
        <w:t>修井废水同样为不定期间断排放，不进入水平衡计算。</w:t>
      </w:r>
    </w:p>
    <w:p w14:paraId="0AC4FAAE">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5、生活污水</w:t>
      </w:r>
    </w:p>
    <w:p w14:paraId="1CC04181">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乌里雅斯太</w:t>
      </w:r>
      <w:r>
        <w:rPr>
          <w:rFonts w:asciiTheme="minorEastAsia" w:hAnsiTheme="minorEastAsia" w:eastAsiaTheme="minorEastAsia"/>
          <w:lang w:eastAsia="zh-CN"/>
        </w:rPr>
        <w:t>油田劳动定员</w:t>
      </w:r>
      <w:r>
        <w:rPr>
          <w:rFonts w:hint="eastAsia" w:asciiTheme="minorEastAsia" w:hAnsiTheme="minorEastAsia" w:eastAsiaTheme="minorEastAsia"/>
          <w:lang w:eastAsia="zh-CN"/>
        </w:rPr>
        <w:t>63</w:t>
      </w:r>
      <w:r>
        <w:rPr>
          <w:rFonts w:asciiTheme="minorEastAsia" w:hAnsiTheme="minorEastAsia" w:eastAsiaTheme="minorEastAsia"/>
          <w:lang w:eastAsia="zh-CN"/>
        </w:rPr>
        <w:t>人，生活污水最大产生量为</w:t>
      </w:r>
      <w:r>
        <w:rPr>
          <w:rFonts w:hint="eastAsia" w:asciiTheme="minorEastAsia" w:hAnsiTheme="minorEastAsia" w:eastAsiaTheme="minorEastAsia"/>
          <w:lang w:eastAsia="zh-CN"/>
        </w:rPr>
        <w:t>5.25</w:t>
      </w:r>
      <w:r>
        <w:rPr>
          <w:rFonts w:asciiTheme="minorEastAsia" w:hAnsiTheme="minorEastAsia" w:eastAsiaTheme="minorEastAsia"/>
          <w:lang w:eastAsia="zh-CN"/>
        </w:rPr>
        <w:t>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/d，</w:t>
      </w:r>
      <w:r>
        <w:rPr>
          <w:rFonts w:hint="eastAsia" w:asciiTheme="minorEastAsia" w:hAnsiTheme="minorEastAsia" w:eastAsiaTheme="minorEastAsia"/>
          <w:lang w:eastAsia="zh-CN"/>
        </w:rPr>
        <w:t>1916.25</w:t>
      </w:r>
      <w:r>
        <w:rPr>
          <w:rFonts w:asciiTheme="minorEastAsia" w:hAnsiTheme="minorEastAsia" w:eastAsiaTheme="minorEastAsia"/>
          <w:lang w:eastAsia="zh-CN"/>
        </w:rPr>
        <w:t>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/a。生活污水经</w:t>
      </w:r>
      <w:r>
        <w:rPr>
          <w:rFonts w:hint="eastAsia" w:asciiTheme="minorEastAsia" w:hAnsiTheme="minorEastAsia" w:eastAsiaTheme="minorEastAsia"/>
          <w:lang w:eastAsia="zh-CN"/>
        </w:rPr>
        <w:t>地埋式一体化污水处理系统处理后进入</w:t>
      </w:r>
      <w:r>
        <w:rPr>
          <w:rFonts w:asciiTheme="minorEastAsia" w:hAnsiTheme="minorEastAsia" w:eastAsiaTheme="minorEastAsia"/>
          <w:lang w:eastAsia="zh-CN"/>
        </w:rPr>
        <w:t>蒸发池</w:t>
      </w:r>
      <w:r>
        <w:rPr>
          <w:rFonts w:hint="eastAsia" w:asciiTheme="minorEastAsia" w:hAnsiTheme="minorEastAsia" w:eastAsiaTheme="minorEastAsia"/>
          <w:lang w:eastAsia="zh-CN"/>
        </w:rPr>
        <w:t>储存，</w:t>
      </w:r>
      <w:r>
        <w:rPr>
          <w:rFonts w:asciiTheme="minorEastAsia" w:hAnsiTheme="minorEastAsia" w:eastAsiaTheme="minorEastAsia"/>
          <w:lang w:eastAsia="zh-CN"/>
        </w:rPr>
        <w:t>部分用于绿化，部分用于洒水</w:t>
      </w:r>
      <w:r>
        <w:rPr>
          <w:rFonts w:hint="eastAsia" w:asciiTheme="minorEastAsia" w:hAnsiTheme="minorEastAsia" w:eastAsiaTheme="minorEastAsia"/>
          <w:lang w:eastAsia="zh-CN"/>
        </w:rPr>
        <w:t>抑尘</w:t>
      </w:r>
      <w:r>
        <w:rPr>
          <w:rFonts w:asciiTheme="minorEastAsia" w:hAnsiTheme="minorEastAsia" w:eastAsiaTheme="minorEastAsia"/>
          <w:lang w:eastAsia="zh-CN"/>
        </w:rPr>
        <w:t>。生活污水中的污染物排放情况见表3.</w:t>
      </w:r>
      <w:r>
        <w:rPr>
          <w:rFonts w:hint="eastAsia" w:asciiTheme="minorEastAsia" w:hAnsiTheme="minorEastAsia" w:eastAsiaTheme="minorEastAsia"/>
          <w:lang w:eastAsia="zh-CN"/>
        </w:rPr>
        <w:t>6</w:t>
      </w:r>
      <w:r>
        <w:rPr>
          <w:rFonts w:asciiTheme="minorEastAsia" w:hAnsiTheme="minorEastAsia" w:eastAsiaTheme="minorEastAsia"/>
          <w:lang w:eastAsia="zh-CN"/>
        </w:rPr>
        <w:t>-</w:t>
      </w:r>
      <w:r>
        <w:rPr>
          <w:rFonts w:hint="eastAsia" w:asciiTheme="minorEastAsia" w:hAnsiTheme="minorEastAsia" w:eastAsiaTheme="minorEastAsia"/>
          <w:lang w:eastAsia="zh-CN"/>
        </w:rPr>
        <w:t>5</w:t>
      </w:r>
      <w:r>
        <w:rPr>
          <w:rFonts w:asciiTheme="minorEastAsia" w:hAnsiTheme="minorEastAsia" w:eastAsiaTheme="minorEastAsia"/>
          <w:lang w:eastAsia="zh-CN"/>
        </w:rPr>
        <w:t>，油田开发过程废水污染物排放总量见表3.</w:t>
      </w:r>
      <w:r>
        <w:rPr>
          <w:rFonts w:hint="eastAsia" w:asciiTheme="minorEastAsia" w:hAnsiTheme="minorEastAsia" w:eastAsiaTheme="minorEastAsia"/>
          <w:lang w:eastAsia="zh-CN"/>
        </w:rPr>
        <w:t>6</w:t>
      </w:r>
      <w:r>
        <w:rPr>
          <w:rFonts w:asciiTheme="minorEastAsia" w:hAnsiTheme="minorEastAsia" w:eastAsiaTheme="minorEastAsia"/>
          <w:lang w:eastAsia="zh-CN"/>
        </w:rPr>
        <w:t>-</w:t>
      </w:r>
      <w:r>
        <w:rPr>
          <w:rFonts w:hint="eastAsia" w:asciiTheme="minorEastAsia" w:hAnsiTheme="minorEastAsia" w:eastAsiaTheme="minorEastAsia"/>
          <w:lang w:eastAsia="zh-CN"/>
        </w:rPr>
        <w:t>6</w:t>
      </w:r>
      <w:r>
        <w:rPr>
          <w:rFonts w:asciiTheme="minorEastAsia" w:hAnsiTheme="minorEastAsia" w:eastAsiaTheme="minorEastAsia"/>
          <w:lang w:eastAsia="zh-CN"/>
        </w:rPr>
        <w:t>。</w:t>
      </w:r>
    </w:p>
    <w:p w14:paraId="5A5C49B3">
      <w:pPr>
        <w:spacing w:line="240" w:lineRule="auto"/>
        <w:ind w:firstLine="600" w:firstLineChars="249"/>
        <w:rPr>
          <w:b/>
          <w:lang w:eastAsia="zh-CN"/>
        </w:rPr>
      </w:pPr>
      <w:r>
        <w:rPr>
          <w:b/>
          <w:lang w:eastAsia="zh-CN"/>
        </w:rPr>
        <w:t>表3.</w:t>
      </w:r>
      <w:r>
        <w:rPr>
          <w:rFonts w:hint="eastAsia"/>
          <w:b/>
          <w:lang w:eastAsia="zh-CN"/>
        </w:rPr>
        <w:t>6</w:t>
      </w:r>
      <w:r>
        <w:rPr>
          <w:b/>
          <w:lang w:eastAsia="zh-CN"/>
        </w:rPr>
        <w:t>-</w:t>
      </w:r>
      <w:r>
        <w:rPr>
          <w:rFonts w:hint="eastAsia"/>
          <w:b/>
          <w:lang w:eastAsia="zh-CN"/>
        </w:rPr>
        <w:t>5</w:t>
      </w:r>
      <w:r>
        <w:rPr>
          <w:b/>
          <w:lang w:eastAsia="zh-CN"/>
        </w:rPr>
        <w:t xml:space="preserve">  </w:t>
      </w:r>
      <w:r>
        <w:rPr>
          <w:rFonts w:hint="eastAsia"/>
          <w:b/>
          <w:lang w:eastAsia="zh-CN"/>
        </w:rPr>
        <w:t xml:space="preserve">  </w:t>
      </w:r>
      <w:r>
        <w:rPr>
          <w:b/>
          <w:lang w:eastAsia="zh-CN"/>
        </w:rPr>
        <w:t>生活污水污染物排放情况表</w:t>
      </w:r>
    </w:p>
    <w:tbl>
      <w:tblPr>
        <w:tblStyle w:val="7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85"/>
        <w:gridCol w:w="1474"/>
        <w:gridCol w:w="1382"/>
        <w:gridCol w:w="1566"/>
        <w:gridCol w:w="1290"/>
        <w:gridCol w:w="1332"/>
      </w:tblGrid>
      <w:tr w14:paraId="52DD64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85" w:type="dxa"/>
            <w:vAlign w:val="center"/>
          </w:tcPr>
          <w:p w14:paraId="436CCCE2">
            <w:pPr>
              <w:adjustRightInd w:val="0"/>
              <w:snapToGrid w:val="0"/>
              <w:spacing w:line="240" w:lineRule="auto"/>
              <w:ind w:firstLine="0" w:firstLineChars="0"/>
              <w:jc w:val="center"/>
              <w:rPr>
                <w:sz w:val="21"/>
                <w:szCs w:val="21"/>
              </w:rPr>
            </w:pPr>
            <w:r>
              <w:rPr>
                <w:sz w:val="21"/>
                <w:szCs w:val="21"/>
              </w:rPr>
              <w:t>污染物</w:t>
            </w:r>
          </w:p>
        </w:tc>
        <w:tc>
          <w:tcPr>
            <w:tcW w:w="1474" w:type="dxa"/>
            <w:vAlign w:val="center"/>
          </w:tcPr>
          <w:p w14:paraId="0AB5D51E">
            <w:pPr>
              <w:adjustRightInd w:val="0"/>
              <w:snapToGrid w:val="0"/>
              <w:spacing w:line="240" w:lineRule="auto"/>
              <w:ind w:firstLine="0" w:firstLineChars="0"/>
              <w:jc w:val="center"/>
              <w:rPr>
                <w:sz w:val="21"/>
                <w:szCs w:val="21"/>
              </w:rPr>
            </w:pPr>
            <w:r>
              <w:rPr>
                <w:sz w:val="21"/>
                <w:szCs w:val="21"/>
              </w:rPr>
              <w:t>处理前浓度(mg/L)</w:t>
            </w:r>
          </w:p>
        </w:tc>
        <w:tc>
          <w:tcPr>
            <w:tcW w:w="1382" w:type="dxa"/>
            <w:vAlign w:val="center"/>
          </w:tcPr>
          <w:p w14:paraId="72847D26">
            <w:pPr>
              <w:adjustRightInd w:val="0"/>
              <w:snapToGrid w:val="0"/>
              <w:spacing w:line="240" w:lineRule="auto"/>
              <w:ind w:firstLine="0" w:firstLineChars="0"/>
              <w:jc w:val="center"/>
              <w:rPr>
                <w:sz w:val="21"/>
                <w:szCs w:val="21"/>
                <w:lang w:eastAsia="zh-CN"/>
              </w:rPr>
            </w:pPr>
            <w:r>
              <w:rPr>
                <w:sz w:val="21"/>
                <w:szCs w:val="21"/>
              </w:rPr>
              <w:t>产生量</w:t>
            </w:r>
          </w:p>
          <w:p w14:paraId="014E2A3E">
            <w:pPr>
              <w:adjustRightInd w:val="0"/>
              <w:snapToGrid w:val="0"/>
              <w:spacing w:line="240" w:lineRule="auto"/>
              <w:ind w:firstLine="0" w:firstLineChars="0"/>
              <w:jc w:val="center"/>
              <w:rPr>
                <w:sz w:val="21"/>
                <w:szCs w:val="21"/>
              </w:rPr>
            </w:pPr>
            <w:r>
              <w:rPr>
                <w:sz w:val="21"/>
                <w:szCs w:val="21"/>
              </w:rPr>
              <w:t>(t/a)</w:t>
            </w:r>
          </w:p>
        </w:tc>
        <w:tc>
          <w:tcPr>
            <w:tcW w:w="1566" w:type="dxa"/>
            <w:vAlign w:val="center"/>
          </w:tcPr>
          <w:p w14:paraId="0AB22696">
            <w:pPr>
              <w:adjustRightInd w:val="0"/>
              <w:snapToGrid w:val="0"/>
              <w:spacing w:line="240" w:lineRule="auto"/>
              <w:ind w:firstLine="0" w:firstLineChars="0"/>
              <w:jc w:val="center"/>
              <w:rPr>
                <w:sz w:val="21"/>
                <w:szCs w:val="21"/>
              </w:rPr>
            </w:pPr>
            <w:r>
              <w:rPr>
                <w:sz w:val="21"/>
                <w:szCs w:val="21"/>
              </w:rPr>
              <w:t>处理后浓度(mg/L)</w:t>
            </w:r>
          </w:p>
        </w:tc>
        <w:tc>
          <w:tcPr>
            <w:tcW w:w="1290" w:type="dxa"/>
            <w:vAlign w:val="center"/>
          </w:tcPr>
          <w:p w14:paraId="3305464F">
            <w:pPr>
              <w:adjustRightInd w:val="0"/>
              <w:snapToGrid w:val="0"/>
              <w:spacing w:line="240" w:lineRule="auto"/>
              <w:ind w:firstLine="0" w:firstLineChars="0"/>
              <w:jc w:val="center"/>
              <w:rPr>
                <w:sz w:val="21"/>
                <w:szCs w:val="21"/>
                <w:lang w:eastAsia="zh-CN"/>
              </w:rPr>
            </w:pPr>
            <w:r>
              <w:rPr>
                <w:sz w:val="21"/>
                <w:szCs w:val="21"/>
              </w:rPr>
              <w:t>排放量</w:t>
            </w:r>
          </w:p>
          <w:p w14:paraId="6E7B1050">
            <w:pPr>
              <w:adjustRightInd w:val="0"/>
              <w:snapToGrid w:val="0"/>
              <w:spacing w:line="240" w:lineRule="auto"/>
              <w:ind w:firstLine="0" w:firstLineChars="0"/>
              <w:jc w:val="center"/>
              <w:rPr>
                <w:sz w:val="21"/>
                <w:szCs w:val="21"/>
              </w:rPr>
            </w:pPr>
            <w:r>
              <w:rPr>
                <w:sz w:val="21"/>
                <w:szCs w:val="21"/>
              </w:rPr>
              <w:t>(t/a)</w:t>
            </w:r>
          </w:p>
        </w:tc>
        <w:tc>
          <w:tcPr>
            <w:tcW w:w="1332" w:type="dxa"/>
            <w:vAlign w:val="center"/>
          </w:tcPr>
          <w:p w14:paraId="13CD51D0">
            <w:pPr>
              <w:adjustRightInd w:val="0"/>
              <w:snapToGrid w:val="0"/>
              <w:spacing w:line="240" w:lineRule="auto"/>
              <w:ind w:firstLine="0" w:firstLineChars="0"/>
              <w:jc w:val="center"/>
              <w:rPr>
                <w:sz w:val="21"/>
                <w:szCs w:val="21"/>
              </w:rPr>
            </w:pPr>
            <w:r>
              <w:rPr>
                <w:sz w:val="21"/>
                <w:szCs w:val="21"/>
              </w:rPr>
              <w:t>污水量(m</w:t>
            </w:r>
            <w:r>
              <w:rPr>
                <w:sz w:val="21"/>
                <w:szCs w:val="21"/>
                <w:vertAlign w:val="superscript"/>
              </w:rPr>
              <w:t>3</w:t>
            </w:r>
            <w:r>
              <w:rPr>
                <w:sz w:val="21"/>
                <w:szCs w:val="21"/>
              </w:rPr>
              <w:t>/</w:t>
            </w:r>
            <w:r>
              <w:rPr>
                <w:sz w:val="21"/>
                <w:szCs w:val="21"/>
                <w:lang w:eastAsia="zh-CN"/>
              </w:rPr>
              <w:t>a</w:t>
            </w:r>
            <w:r>
              <w:rPr>
                <w:sz w:val="21"/>
                <w:szCs w:val="21"/>
              </w:rPr>
              <w:t>)</w:t>
            </w:r>
          </w:p>
        </w:tc>
      </w:tr>
      <w:tr w14:paraId="526616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85" w:type="dxa"/>
            <w:vAlign w:val="center"/>
          </w:tcPr>
          <w:p w14:paraId="476BF23F">
            <w:pPr>
              <w:adjustRightInd w:val="0"/>
              <w:snapToGrid w:val="0"/>
              <w:spacing w:line="240" w:lineRule="auto"/>
              <w:ind w:firstLine="0" w:firstLineChars="0"/>
              <w:jc w:val="center"/>
              <w:rPr>
                <w:sz w:val="21"/>
                <w:szCs w:val="21"/>
              </w:rPr>
            </w:pPr>
            <w:r>
              <w:rPr>
                <w:sz w:val="21"/>
                <w:szCs w:val="21"/>
              </w:rPr>
              <w:t>CODcr</w:t>
            </w:r>
          </w:p>
        </w:tc>
        <w:tc>
          <w:tcPr>
            <w:tcW w:w="1474" w:type="dxa"/>
            <w:vAlign w:val="center"/>
          </w:tcPr>
          <w:p w14:paraId="7791D917">
            <w:pPr>
              <w:adjustRightInd w:val="0"/>
              <w:snapToGrid w:val="0"/>
              <w:spacing w:line="240" w:lineRule="auto"/>
              <w:ind w:firstLine="0" w:firstLineChars="0"/>
              <w:jc w:val="center"/>
              <w:rPr>
                <w:sz w:val="21"/>
                <w:szCs w:val="21"/>
                <w:lang w:eastAsia="zh-CN"/>
              </w:rPr>
            </w:pPr>
            <w:r>
              <w:rPr>
                <w:sz w:val="21"/>
                <w:szCs w:val="21"/>
                <w:lang w:eastAsia="zh-CN"/>
              </w:rPr>
              <w:t>400</w:t>
            </w:r>
          </w:p>
        </w:tc>
        <w:tc>
          <w:tcPr>
            <w:tcW w:w="1382" w:type="dxa"/>
            <w:vAlign w:val="center"/>
          </w:tcPr>
          <w:p w14:paraId="1E6C50C3">
            <w:pPr>
              <w:adjustRightInd w:val="0"/>
              <w:snapToGrid w:val="0"/>
              <w:spacing w:line="240" w:lineRule="auto"/>
              <w:ind w:firstLine="0" w:firstLineChars="0"/>
              <w:jc w:val="center"/>
              <w:rPr>
                <w:sz w:val="21"/>
                <w:szCs w:val="21"/>
                <w:lang w:eastAsia="zh-CN"/>
              </w:rPr>
            </w:pPr>
            <w:r>
              <w:rPr>
                <w:rFonts w:hint="eastAsia"/>
                <w:sz w:val="21"/>
                <w:szCs w:val="21"/>
                <w:lang w:eastAsia="zh-CN"/>
              </w:rPr>
              <w:t>0.77</w:t>
            </w:r>
          </w:p>
        </w:tc>
        <w:tc>
          <w:tcPr>
            <w:tcW w:w="1566" w:type="dxa"/>
            <w:vAlign w:val="center"/>
          </w:tcPr>
          <w:p w14:paraId="1F16AE23">
            <w:pPr>
              <w:adjustRightInd w:val="0"/>
              <w:snapToGrid w:val="0"/>
              <w:spacing w:line="240" w:lineRule="auto"/>
              <w:ind w:firstLine="0" w:firstLineChars="0"/>
              <w:jc w:val="center"/>
              <w:rPr>
                <w:sz w:val="21"/>
                <w:szCs w:val="21"/>
                <w:lang w:eastAsia="zh-CN"/>
              </w:rPr>
            </w:pPr>
            <w:r>
              <w:rPr>
                <w:sz w:val="21"/>
                <w:szCs w:val="21"/>
                <w:lang w:eastAsia="zh-CN"/>
              </w:rPr>
              <w:t>100</w:t>
            </w:r>
          </w:p>
        </w:tc>
        <w:tc>
          <w:tcPr>
            <w:tcW w:w="1290" w:type="dxa"/>
            <w:vAlign w:val="center"/>
          </w:tcPr>
          <w:p w14:paraId="708408EB">
            <w:pPr>
              <w:adjustRightInd w:val="0"/>
              <w:snapToGrid w:val="0"/>
              <w:spacing w:line="240" w:lineRule="auto"/>
              <w:ind w:firstLine="0" w:firstLineChars="0"/>
              <w:jc w:val="center"/>
              <w:rPr>
                <w:sz w:val="21"/>
                <w:szCs w:val="21"/>
              </w:rPr>
            </w:pPr>
            <w:r>
              <w:rPr>
                <w:sz w:val="21"/>
                <w:szCs w:val="21"/>
              </w:rPr>
              <w:t>0</w:t>
            </w:r>
          </w:p>
        </w:tc>
        <w:tc>
          <w:tcPr>
            <w:tcW w:w="1332" w:type="dxa"/>
            <w:vMerge w:val="restart"/>
            <w:vAlign w:val="center"/>
          </w:tcPr>
          <w:p w14:paraId="730B94E1">
            <w:pPr>
              <w:adjustRightInd w:val="0"/>
              <w:snapToGrid w:val="0"/>
              <w:spacing w:line="240" w:lineRule="auto"/>
              <w:ind w:firstLine="0" w:firstLineChars="0"/>
              <w:jc w:val="center"/>
              <w:rPr>
                <w:sz w:val="21"/>
                <w:szCs w:val="21"/>
                <w:lang w:eastAsia="zh-CN"/>
              </w:rPr>
            </w:pPr>
            <w:r>
              <w:rPr>
                <w:rFonts w:hint="eastAsia"/>
                <w:sz w:val="21"/>
                <w:szCs w:val="21"/>
                <w:lang w:eastAsia="zh-CN"/>
              </w:rPr>
              <w:t>1916.25</w:t>
            </w:r>
          </w:p>
        </w:tc>
      </w:tr>
      <w:tr w14:paraId="790159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85" w:type="dxa"/>
            <w:vAlign w:val="center"/>
          </w:tcPr>
          <w:p w14:paraId="70679CB6">
            <w:pPr>
              <w:adjustRightInd w:val="0"/>
              <w:snapToGrid w:val="0"/>
              <w:spacing w:line="240" w:lineRule="auto"/>
              <w:ind w:firstLine="0" w:firstLineChars="0"/>
              <w:jc w:val="center"/>
              <w:rPr>
                <w:sz w:val="21"/>
                <w:szCs w:val="21"/>
              </w:rPr>
            </w:pPr>
            <w:r>
              <w:rPr>
                <w:sz w:val="21"/>
                <w:szCs w:val="21"/>
              </w:rPr>
              <w:t>BOD</w:t>
            </w:r>
            <w:r>
              <w:rPr>
                <w:sz w:val="21"/>
                <w:szCs w:val="21"/>
                <w:vertAlign w:val="subscript"/>
              </w:rPr>
              <w:t>5</w:t>
            </w:r>
          </w:p>
        </w:tc>
        <w:tc>
          <w:tcPr>
            <w:tcW w:w="1474" w:type="dxa"/>
            <w:vAlign w:val="center"/>
          </w:tcPr>
          <w:p w14:paraId="5D8A1276">
            <w:pPr>
              <w:adjustRightInd w:val="0"/>
              <w:snapToGrid w:val="0"/>
              <w:spacing w:line="240" w:lineRule="auto"/>
              <w:ind w:firstLine="0" w:firstLineChars="0"/>
              <w:jc w:val="center"/>
              <w:rPr>
                <w:sz w:val="21"/>
                <w:szCs w:val="21"/>
                <w:lang w:eastAsia="zh-CN"/>
              </w:rPr>
            </w:pPr>
            <w:r>
              <w:rPr>
                <w:sz w:val="21"/>
                <w:szCs w:val="21"/>
                <w:lang w:eastAsia="zh-CN"/>
              </w:rPr>
              <w:t>200</w:t>
            </w:r>
          </w:p>
        </w:tc>
        <w:tc>
          <w:tcPr>
            <w:tcW w:w="1382" w:type="dxa"/>
            <w:vAlign w:val="center"/>
          </w:tcPr>
          <w:p w14:paraId="68772ECE">
            <w:pPr>
              <w:adjustRightInd w:val="0"/>
              <w:snapToGrid w:val="0"/>
              <w:spacing w:line="240" w:lineRule="auto"/>
              <w:ind w:firstLine="0" w:firstLineChars="0"/>
              <w:jc w:val="center"/>
              <w:rPr>
                <w:sz w:val="21"/>
                <w:szCs w:val="21"/>
                <w:lang w:eastAsia="zh-CN"/>
              </w:rPr>
            </w:pPr>
            <w:r>
              <w:rPr>
                <w:sz w:val="21"/>
                <w:szCs w:val="21"/>
                <w:lang w:eastAsia="zh-CN"/>
              </w:rPr>
              <w:t>0.</w:t>
            </w:r>
            <w:r>
              <w:rPr>
                <w:rFonts w:hint="eastAsia"/>
                <w:sz w:val="21"/>
                <w:szCs w:val="21"/>
                <w:lang w:eastAsia="zh-CN"/>
              </w:rPr>
              <w:t>38</w:t>
            </w:r>
          </w:p>
        </w:tc>
        <w:tc>
          <w:tcPr>
            <w:tcW w:w="1566" w:type="dxa"/>
            <w:vAlign w:val="center"/>
          </w:tcPr>
          <w:p w14:paraId="4CFBDAD6">
            <w:pPr>
              <w:adjustRightInd w:val="0"/>
              <w:snapToGrid w:val="0"/>
              <w:spacing w:line="240" w:lineRule="auto"/>
              <w:ind w:firstLine="0" w:firstLineChars="0"/>
              <w:jc w:val="center"/>
              <w:rPr>
                <w:sz w:val="21"/>
                <w:szCs w:val="21"/>
                <w:lang w:eastAsia="zh-CN"/>
              </w:rPr>
            </w:pPr>
            <w:r>
              <w:rPr>
                <w:sz w:val="21"/>
                <w:szCs w:val="21"/>
                <w:lang w:eastAsia="zh-CN"/>
              </w:rPr>
              <w:t>20</w:t>
            </w:r>
          </w:p>
        </w:tc>
        <w:tc>
          <w:tcPr>
            <w:tcW w:w="1290" w:type="dxa"/>
            <w:vAlign w:val="center"/>
          </w:tcPr>
          <w:p w14:paraId="7B10B3D8">
            <w:pPr>
              <w:adjustRightInd w:val="0"/>
              <w:snapToGrid w:val="0"/>
              <w:spacing w:line="240" w:lineRule="auto"/>
              <w:ind w:firstLine="0" w:firstLineChars="0"/>
              <w:jc w:val="center"/>
              <w:rPr>
                <w:sz w:val="21"/>
                <w:szCs w:val="21"/>
              </w:rPr>
            </w:pPr>
            <w:r>
              <w:rPr>
                <w:sz w:val="21"/>
                <w:szCs w:val="21"/>
              </w:rPr>
              <w:t>0</w:t>
            </w:r>
          </w:p>
        </w:tc>
        <w:tc>
          <w:tcPr>
            <w:tcW w:w="1332" w:type="dxa"/>
            <w:vMerge w:val="continue"/>
            <w:vAlign w:val="center"/>
          </w:tcPr>
          <w:p w14:paraId="6E70C0F9">
            <w:pPr>
              <w:adjustRightInd w:val="0"/>
              <w:snapToGrid w:val="0"/>
              <w:spacing w:line="240" w:lineRule="auto"/>
              <w:ind w:firstLine="0" w:firstLineChars="0"/>
              <w:jc w:val="center"/>
              <w:rPr>
                <w:sz w:val="21"/>
                <w:szCs w:val="21"/>
              </w:rPr>
            </w:pPr>
          </w:p>
        </w:tc>
      </w:tr>
      <w:tr w14:paraId="6926ED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85" w:type="dxa"/>
            <w:vAlign w:val="center"/>
          </w:tcPr>
          <w:p w14:paraId="41CC4373">
            <w:pPr>
              <w:adjustRightInd w:val="0"/>
              <w:snapToGrid w:val="0"/>
              <w:spacing w:line="240" w:lineRule="auto"/>
              <w:ind w:firstLine="0" w:firstLineChars="0"/>
              <w:jc w:val="center"/>
              <w:rPr>
                <w:sz w:val="21"/>
                <w:szCs w:val="21"/>
              </w:rPr>
            </w:pPr>
            <w:r>
              <w:rPr>
                <w:sz w:val="21"/>
                <w:szCs w:val="21"/>
              </w:rPr>
              <w:t>SS</w:t>
            </w:r>
          </w:p>
        </w:tc>
        <w:tc>
          <w:tcPr>
            <w:tcW w:w="1474" w:type="dxa"/>
            <w:vAlign w:val="center"/>
          </w:tcPr>
          <w:p w14:paraId="2B3F6B04">
            <w:pPr>
              <w:adjustRightInd w:val="0"/>
              <w:snapToGrid w:val="0"/>
              <w:spacing w:line="240" w:lineRule="auto"/>
              <w:ind w:firstLine="0" w:firstLineChars="0"/>
              <w:jc w:val="center"/>
              <w:rPr>
                <w:sz w:val="21"/>
                <w:szCs w:val="21"/>
                <w:lang w:eastAsia="zh-CN"/>
              </w:rPr>
            </w:pPr>
            <w:r>
              <w:rPr>
                <w:sz w:val="21"/>
                <w:szCs w:val="21"/>
                <w:lang w:eastAsia="zh-CN"/>
              </w:rPr>
              <w:t>220</w:t>
            </w:r>
          </w:p>
        </w:tc>
        <w:tc>
          <w:tcPr>
            <w:tcW w:w="1382" w:type="dxa"/>
            <w:vAlign w:val="center"/>
          </w:tcPr>
          <w:p w14:paraId="376206E8">
            <w:pPr>
              <w:adjustRightInd w:val="0"/>
              <w:snapToGrid w:val="0"/>
              <w:spacing w:line="240" w:lineRule="auto"/>
              <w:ind w:firstLine="0" w:firstLineChars="0"/>
              <w:jc w:val="center"/>
              <w:rPr>
                <w:sz w:val="21"/>
                <w:szCs w:val="21"/>
                <w:lang w:eastAsia="zh-CN"/>
              </w:rPr>
            </w:pPr>
            <w:r>
              <w:rPr>
                <w:rFonts w:hint="eastAsia"/>
                <w:sz w:val="21"/>
                <w:szCs w:val="21"/>
                <w:lang w:eastAsia="zh-CN"/>
              </w:rPr>
              <w:t>0.42</w:t>
            </w:r>
          </w:p>
        </w:tc>
        <w:tc>
          <w:tcPr>
            <w:tcW w:w="1566" w:type="dxa"/>
            <w:vAlign w:val="center"/>
          </w:tcPr>
          <w:p w14:paraId="4E00DFEB">
            <w:pPr>
              <w:adjustRightInd w:val="0"/>
              <w:snapToGrid w:val="0"/>
              <w:spacing w:line="240" w:lineRule="auto"/>
              <w:ind w:firstLine="0" w:firstLineChars="0"/>
              <w:jc w:val="center"/>
              <w:rPr>
                <w:sz w:val="21"/>
                <w:szCs w:val="21"/>
                <w:lang w:eastAsia="zh-CN"/>
              </w:rPr>
            </w:pPr>
            <w:r>
              <w:rPr>
                <w:rFonts w:hint="eastAsia"/>
                <w:sz w:val="21"/>
                <w:szCs w:val="21"/>
                <w:lang w:eastAsia="zh-CN"/>
              </w:rPr>
              <w:t>65</w:t>
            </w:r>
          </w:p>
        </w:tc>
        <w:tc>
          <w:tcPr>
            <w:tcW w:w="1290" w:type="dxa"/>
            <w:vAlign w:val="center"/>
          </w:tcPr>
          <w:p w14:paraId="751607C2">
            <w:pPr>
              <w:adjustRightInd w:val="0"/>
              <w:snapToGrid w:val="0"/>
              <w:spacing w:line="240" w:lineRule="auto"/>
              <w:ind w:firstLine="0" w:firstLineChars="0"/>
              <w:jc w:val="center"/>
              <w:rPr>
                <w:sz w:val="21"/>
                <w:szCs w:val="21"/>
              </w:rPr>
            </w:pPr>
            <w:r>
              <w:rPr>
                <w:sz w:val="21"/>
                <w:szCs w:val="21"/>
              </w:rPr>
              <w:t>0</w:t>
            </w:r>
          </w:p>
        </w:tc>
        <w:tc>
          <w:tcPr>
            <w:tcW w:w="1332" w:type="dxa"/>
            <w:vMerge w:val="continue"/>
            <w:vAlign w:val="center"/>
          </w:tcPr>
          <w:p w14:paraId="0A694D49">
            <w:pPr>
              <w:adjustRightInd w:val="0"/>
              <w:snapToGrid w:val="0"/>
              <w:spacing w:line="240" w:lineRule="auto"/>
              <w:ind w:firstLine="0" w:firstLineChars="0"/>
              <w:jc w:val="center"/>
              <w:rPr>
                <w:sz w:val="21"/>
                <w:szCs w:val="21"/>
              </w:rPr>
            </w:pPr>
          </w:p>
        </w:tc>
      </w:tr>
      <w:tr w14:paraId="0BAA9A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85" w:type="dxa"/>
            <w:vAlign w:val="center"/>
          </w:tcPr>
          <w:p w14:paraId="2BFC2E09">
            <w:pPr>
              <w:adjustRightInd w:val="0"/>
              <w:snapToGrid w:val="0"/>
              <w:spacing w:line="240" w:lineRule="auto"/>
              <w:ind w:firstLine="0" w:firstLineChars="0"/>
              <w:jc w:val="center"/>
              <w:rPr>
                <w:sz w:val="21"/>
                <w:szCs w:val="21"/>
              </w:rPr>
            </w:pPr>
            <w:r>
              <w:rPr>
                <w:sz w:val="21"/>
                <w:szCs w:val="21"/>
              </w:rPr>
              <w:t>NH</w:t>
            </w:r>
            <w:r>
              <w:rPr>
                <w:sz w:val="21"/>
                <w:szCs w:val="21"/>
                <w:vertAlign w:val="subscript"/>
              </w:rPr>
              <w:t>3</w:t>
            </w:r>
            <w:r>
              <w:rPr>
                <w:sz w:val="21"/>
                <w:szCs w:val="21"/>
              </w:rPr>
              <w:t>-N</w:t>
            </w:r>
          </w:p>
        </w:tc>
        <w:tc>
          <w:tcPr>
            <w:tcW w:w="1474" w:type="dxa"/>
            <w:vAlign w:val="center"/>
          </w:tcPr>
          <w:p w14:paraId="11363B72">
            <w:pPr>
              <w:adjustRightInd w:val="0"/>
              <w:snapToGrid w:val="0"/>
              <w:spacing w:line="240" w:lineRule="auto"/>
              <w:ind w:firstLine="0" w:firstLineChars="0"/>
              <w:jc w:val="center"/>
              <w:rPr>
                <w:sz w:val="21"/>
                <w:szCs w:val="21"/>
                <w:lang w:eastAsia="zh-CN"/>
              </w:rPr>
            </w:pPr>
            <w:r>
              <w:rPr>
                <w:sz w:val="21"/>
                <w:szCs w:val="21"/>
                <w:lang w:eastAsia="zh-CN"/>
              </w:rPr>
              <w:t>25</w:t>
            </w:r>
          </w:p>
        </w:tc>
        <w:tc>
          <w:tcPr>
            <w:tcW w:w="1382" w:type="dxa"/>
            <w:vAlign w:val="center"/>
          </w:tcPr>
          <w:p w14:paraId="44A104CC">
            <w:pPr>
              <w:adjustRightInd w:val="0"/>
              <w:snapToGrid w:val="0"/>
              <w:spacing w:line="240" w:lineRule="auto"/>
              <w:ind w:firstLine="0" w:firstLineChars="0"/>
              <w:jc w:val="center"/>
              <w:rPr>
                <w:sz w:val="21"/>
                <w:szCs w:val="21"/>
                <w:lang w:eastAsia="zh-CN"/>
              </w:rPr>
            </w:pPr>
            <w:r>
              <w:rPr>
                <w:sz w:val="21"/>
                <w:szCs w:val="21"/>
                <w:lang w:eastAsia="zh-CN"/>
              </w:rPr>
              <w:t>0.</w:t>
            </w:r>
            <w:r>
              <w:rPr>
                <w:rFonts w:hint="eastAsia"/>
                <w:sz w:val="21"/>
                <w:szCs w:val="21"/>
                <w:lang w:eastAsia="zh-CN"/>
              </w:rPr>
              <w:t>05</w:t>
            </w:r>
          </w:p>
        </w:tc>
        <w:tc>
          <w:tcPr>
            <w:tcW w:w="1566" w:type="dxa"/>
            <w:vAlign w:val="center"/>
          </w:tcPr>
          <w:p w14:paraId="3B6BA04E">
            <w:pPr>
              <w:adjustRightInd w:val="0"/>
              <w:snapToGrid w:val="0"/>
              <w:spacing w:line="240" w:lineRule="auto"/>
              <w:ind w:firstLine="0" w:firstLineChars="0"/>
              <w:jc w:val="center"/>
              <w:rPr>
                <w:sz w:val="21"/>
                <w:szCs w:val="21"/>
                <w:lang w:eastAsia="zh-CN"/>
              </w:rPr>
            </w:pPr>
            <w:r>
              <w:rPr>
                <w:sz w:val="21"/>
                <w:szCs w:val="21"/>
                <w:lang w:eastAsia="zh-CN"/>
              </w:rPr>
              <w:t>20</w:t>
            </w:r>
          </w:p>
        </w:tc>
        <w:tc>
          <w:tcPr>
            <w:tcW w:w="1290" w:type="dxa"/>
            <w:vAlign w:val="center"/>
          </w:tcPr>
          <w:p w14:paraId="54793615">
            <w:pPr>
              <w:adjustRightInd w:val="0"/>
              <w:snapToGrid w:val="0"/>
              <w:spacing w:line="240" w:lineRule="auto"/>
              <w:ind w:firstLine="0" w:firstLineChars="0"/>
              <w:jc w:val="center"/>
              <w:rPr>
                <w:sz w:val="21"/>
                <w:szCs w:val="21"/>
              </w:rPr>
            </w:pPr>
            <w:r>
              <w:rPr>
                <w:sz w:val="21"/>
                <w:szCs w:val="21"/>
              </w:rPr>
              <w:t>0</w:t>
            </w:r>
          </w:p>
        </w:tc>
        <w:tc>
          <w:tcPr>
            <w:tcW w:w="1332" w:type="dxa"/>
            <w:vMerge w:val="continue"/>
            <w:vAlign w:val="center"/>
          </w:tcPr>
          <w:p w14:paraId="59D098BD">
            <w:pPr>
              <w:adjustRightInd w:val="0"/>
              <w:snapToGrid w:val="0"/>
              <w:spacing w:line="240" w:lineRule="auto"/>
              <w:ind w:firstLine="0" w:firstLineChars="0"/>
              <w:jc w:val="center"/>
              <w:rPr>
                <w:sz w:val="21"/>
                <w:szCs w:val="21"/>
              </w:rPr>
            </w:pPr>
          </w:p>
        </w:tc>
      </w:tr>
    </w:tbl>
    <w:p w14:paraId="1B5FCC20">
      <w:pPr>
        <w:spacing w:line="240" w:lineRule="auto"/>
        <w:ind w:firstLine="0" w:firstLineChars="0"/>
        <w:jc w:val="center"/>
        <w:rPr>
          <w:lang w:eastAsia="zh-CN"/>
        </w:rPr>
      </w:pPr>
    </w:p>
    <w:p w14:paraId="2A276DF6">
      <w:pPr>
        <w:spacing w:line="240" w:lineRule="auto"/>
        <w:ind w:firstLine="0" w:firstLineChars="0"/>
        <w:jc w:val="center"/>
        <w:rPr>
          <w:lang w:eastAsia="zh-CN"/>
        </w:rPr>
      </w:pPr>
    </w:p>
    <w:p w14:paraId="1D9A7BD5">
      <w:pPr>
        <w:spacing w:line="240" w:lineRule="auto"/>
        <w:ind w:firstLine="0" w:firstLineChars="0"/>
        <w:jc w:val="center"/>
        <w:rPr>
          <w:lang w:eastAsia="zh-CN"/>
        </w:rPr>
      </w:pPr>
    </w:p>
    <w:p w14:paraId="5A43D047">
      <w:pPr>
        <w:spacing w:line="240" w:lineRule="auto"/>
        <w:ind w:firstLine="590" w:firstLineChars="245"/>
        <w:rPr>
          <w:lang w:eastAsia="zh-CN"/>
        </w:rPr>
      </w:pPr>
      <w:r>
        <w:rPr>
          <w:b/>
          <w:lang w:eastAsia="zh-CN"/>
        </w:rPr>
        <w:t>表3.</w:t>
      </w:r>
      <w:r>
        <w:rPr>
          <w:rFonts w:hint="eastAsia"/>
          <w:b/>
          <w:lang w:eastAsia="zh-CN"/>
        </w:rPr>
        <w:t>6</w:t>
      </w:r>
      <w:r>
        <w:rPr>
          <w:b/>
          <w:lang w:eastAsia="zh-CN"/>
        </w:rPr>
        <w:t>-</w:t>
      </w:r>
      <w:r>
        <w:rPr>
          <w:rFonts w:hint="eastAsia"/>
          <w:b/>
          <w:lang w:eastAsia="zh-CN"/>
        </w:rPr>
        <w:t>6</w:t>
      </w:r>
      <w:r>
        <w:rPr>
          <w:b/>
          <w:lang w:eastAsia="zh-CN"/>
        </w:rPr>
        <w:t xml:space="preserve">  </w:t>
      </w:r>
      <w:r>
        <w:rPr>
          <w:rFonts w:hint="eastAsia"/>
          <w:b/>
          <w:lang w:eastAsia="zh-CN"/>
        </w:rPr>
        <w:t xml:space="preserve">   </w:t>
      </w:r>
      <w:r>
        <w:rPr>
          <w:b/>
          <w:lang w:eastAsia="zh-CN"/>
        </w:rPr>
        <w:t>废水污染物排放总量表</w:t>
      </w:r>
    </w:p>
    <w:tbl>
      <w:tblPr>
        <w:tblStyle w:val="76"/>
        <w:tblW w:w="875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28"/>
        <w:gridCol w:w="840"/>
        <w:gridCol w:w="719"/>
        <w:gridCol w:w="730"/>
        <w:gridCol w:w="811"/>
        <w:gridCol w:w="575"/>
        <w:gridCol w:w="708"/>
        <w:gridCol w:w="993"/>
        <w:gridCol w:w="2551"/>
      </w:tblGrid>
      <w:tr w14:paraId="56E671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28" w:type="dxa"/>
            <w:vMerge w:val="restart"/>
            <w:vAlign w:val="center"/>
          </w:tcPr>
          <w:p w14:paraId="0A35166F">
            <w:pPr>
              <w:pStyle w:val="337"/>
              <w:rPr>
                <w:color w:val="auto"/>
                <w:szCs w:val="21"/>
                <w:lang w:val="en-US" w:eastAsia="en-US" w:bidi="en-US"/>
              </w:rPr>
            </w:pPr>
            <w:r>
              <w:rPr>
                <w:color w:val="auto"/>
                <w:szCs w:val="21"/>
                <w:lang w:val="en-US" w:eastAsia="en-US" w:bidi="en-US"/>
              </w:rPr>
              <w:t>废水种类</w:t>
            </w:r>
          </w:p>
        </w:tc>
        <w:tc>
          <w:tcPr>
            <w:tcW w:w="840" w:type="dxa"/>
            <w:vMerge w:val="restart"/>
            <w:vAlign w:val="center"/>
          </w:tcPr>
          <w:p w14:paraId="4CFEEEF4">
            <w:pPr>
              <w:pStyle w:val="337"/>
              <w:rPr>
                <w:color w:val="auto"/>
                <w:szCs w:val="21"/>
                <w:lang w:val="en-US" w:eastAsia="en-US" w:bidi="en-US"/>
              </w:rPr>
            </w:pPr>
            <w:r>
              <w:rPr>
                <w:color w:val="auto"/>
                <w:szCs w:val="21"/>
                <w:lang w:val="en-US" w:eastAsia="en-US" w:bidi="en-US"/>
              </w:rPr>
              <w:t>污水量</w:t>
            </w:r>
          </w:p>
          <w:p w14:paraId="08DBF40B">
            <w:pPr>
              <w:pStyle w:val="337"/>
              <w:rPr>
                <w:color w:val="auto"/>
                <w:szCs w:val="21"/>
                <w:lang w:val="en-US" w:eastAsia="en-US" w:bidi="en-US"/>
              </w:rPr>
            </w:pPr>
            <w:r>
              <w:rPr>
                <w:color w:val="auto"/>
                <w:szCs w:val="21"/>
                <w:lang w:val="en-US" w:eastAsia="en-US" w:bidi="en-US"/>
              </w:rPr>
              <w:t>(</w:t>
            </w:r>
            <w:r>
              <w:rPr>
                <w:color w:val="auto"/>
                <w:szCs w:val="21"/>
                <w:lang w:val="en-US" w:eastAsia="zh-CN" w:bidi="en-US"/>
              </w:rPr>
              <w:t>t</w:t>
            </w:r>
            <w:r>
              <w:rPr>
                <w:color w:val="auto"/>
                <w:szCs w:val="21"/>
                <w:lang w:val="en-US" w:eastAsia="en-US" w:bidi="en-US"/>
              </w:rPr>
              <w:t>/a)</w:t>
            </w:r>
          </w:p>
        </w:tc>
        <w:tc>
          <w:tcPr>
            <w:tcW w:w="3543" w:type="dxa"/>
            <w:gridSpan w:val="5"/>
            <w:vAlign w:val="center"/>
          </w:tcPr>
          <w:p w14:paraId="1199DFD9">
            <w:pPr>
              <w:pStyle w:val="337"/>
              <w:rPr>
                <w:color w:val="auto"/>
                <w:szCs w:val="21"/>
                <w:lang w:val="en-US" w:eastAsia="en-US" w:bidi="en-US"/>
              </w:rPr>
            </w:pPr>
            <w:r>
              <w:rPr>
                <w:color w:val="auto"/>
                <w:szCs w:val="21"/>
                <w:lang w:val="en-US" w:eastAsia="en-US" w:bidi="en-US"/>
              </w:rPr>
              <w:t>污染物</w:t>
            </w:r>
            <w:r>
              <w:rPr>
                <w:color w:val="auto"/>
                <w:szCs w:val="21"/>
                <w:lang w:val="en-US" w:eastAsia="zh-CN" w:bidi="en-US"/>
              </w:rPr>
              <w:t>排放量</w:t>
            </w:r>
            <w:r>
              <w:rPr>
                <w:color w:val="auto"/>
                <w:szCs w:val="21"/>
                <w:lang w:val="en-US" w:eastAsia="en-US" w:bidi="en-US"/>
              </w:rPr>
              <w:t>(t/a)</w:t>
            </w:r>
          </w:p>
        </w:tc>
        <w:tc>
          <w:tcPr>
            <w:tcW w:w="993" w:type="dxa"/>
            <w:vMerge w:val="restart"/>
            <w:vAlign w:val="center"/>
          </w:tcPr>
          <w:p w14:paraId="466CFA37">
            <w:pPr>
              <w:pStyle w:val="337"/>
              <w:rPr>
                <w:color w:val="auto"/>
                <w:szCs w:val="21"/>
                <w:lang w:val="en-US" w:eastAsia="zh-CN" w:bidi="en-US"/>
              </w:rPr>
            </w:pPr>
            <w:r>
              <w:rPr>
                <w:rFonts w:hint="eastAsia"/>
                <w:color w:val="auto"/>
                <w:szCs w:val="21"/>
                <w:lang w:val="en-US" w:eastAsia="zh-CN" w:bidi="en-US"/>
              </w:rPr>
              <w:t>产（排）方式</w:t>
            </w:r>
          </w:p>
        </w:tc>
        <w:tc>
          <w:tcPr>
            <w:tcW w:w="2551" w:type="dxa"/>
            <w:vMerge w:val="restart"/>
            <w:vAlign w:val="center"/>
          </w:tcPr>
          <w:p w14:paraId="74CC441D">
            <w:pPr>
              <w:pStyle w:val="337"/>
              <w:jc w:val="left"/>
              <w:rPr>
                <w:color w:val="auto"/>
                <w:szCs w:val="21"/>
                <w:lang w:val="en-US" w:eastAsia="zh-CN" w:bidi="en-US"/>
              </w:rPr>
            </w:pPr>
            <w:r>
              <w:rPr>
                <w:color w:val="auto"/>
                <w:szCs w:val="21"/>
                <w:lang w:val="en-US" w:eastAsia="zh-CN" w:bidi="en-US"/>
              </w:rPr>
              <w:t>处理措施</w:t>
            </w:r>
          </w:p>
        </w:tc>
      </w:tr>
      <w:tr w14:paraId="3C66F3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28" w:type="dxa"/>
            <w:vMerge w:val="continue"/>
            <w:vAlign w:val="center"/>
          </w:tcPr>
          <w:p w14:paraId="656F69E6">
            <w:pPr>
              <w:pStyle w:val="337"/>
              <w:rPr>
                <w:color w:val="auto"/>
                <w:szCs w:val="21"/>
                <w:lang w:val="en-US" w:eastAsia="en-US" w:bidi="en-US"/>
              </w:rPr>
            </w:pPr>
          </w:p>
        </w:tc>
        <w:tc>
          <w:tcPr>
            <w:tcW w:w="840" w:type="dxa"/>
            <w:vMerge w:val="continue"/>
            <w:vAlign w:val="center"/>
          </w:tcPr>
          <w:p w14:paraId="12F5C097">
            <w:pPr>
              <w:pStyle w:val="337"/>
              <w:rPr>
                <w:color w:val="auto"/>
                <w:szCs w:val="21"/>
                <w:lang w:val="en-US" w:eastAsia="en-US" w:bidi="en-US"/>
              </w:rPr>
            </w:pPr>
          </w:p>
        </w:tc>
        <w:tc>
          <w:tcPr>
            <w:tcW w:w="719" w:type="dxa"/>
            <w:vAlign w:val="center"/>
          </w:tcPr>
          <w:p w14:paraId="1CBE69B0">
            <w:pPr>
              <w:pStyle w:val="337"/>
              <w:rPr>
                <w:color w:val="auto"/>
                <w:szCs w:val="21"/>
                <w:lang w:val="en-US" w:eastAsia="en-US" w:bidi="en-US"/>
              </w:rPr>
            </w:pPr>
            <w:r>
              <w:rPr>
                <w:color w:val="auto"/>
                <w:szCs w:val="21"/>
                <w:lang w:val="en-US" w:eastAsia="en-US" w:bidi="en-US"/>
              </w:rPr>
              <w:t>COD</w:t>
            </w:r>
          </w:p>
        </w:tc>
        <w:tc>
          <w:tcPr>
            <w:tcW w:w="730" w:type="dxa"/>
            <w:vAlign w:val="center"/>
          </w:tcPr>
          <w:p w14:paraId="78B232BB">
            <w:pPr>
              <w:pStyle w:val="337"/>
              <w:rPr>
                <w:color w:val="auto"/>
                <w:spacing w:val="-20"/>
                <w:szCs w:val="21"/>
                <w:lang w:val="en-US" w:eastAsia="en-US" w:bidi="en-US"/>
              </w:rPr>
            </w:pPr>
            <w:r>
              <w:rPr>
                <w:color w:val="auto"/>
                <w:szCs w:val="21"/>
                <w:lang w:val="en-US" w:eastAsia="en-US" w:bidi="en-US"/>
              </w:rPr>
              <w:t>BOD</w:t>
            </w:r>
            <w:r>
              <w:rPr>
                <w:color w:val="auto"/>
                <w:szCs w:val="21"/>
                <w:vertAlign w:val="subscript"/>
                <w:lang w:val="en-US" w:eastAsia="en-US" w:bidi="en-US"/>
              </w:rPr>
              <w:t>5</w:t>
            </w:r>
          </w:p>
        </w:tc>
        <w:tc>
          <w:tcPr>
            <w:tcW w:w="811" w:type="dxa"/>
            <w:vAlign w:val="center"/>
          </w:tcPr>
          <w:p w14:paraId="7D3A1C78">
            <w:pPr>
              <w:pStyle w:val="337"/>
              <w:rPr>
                <w:color w:val="auto"/>
                <w:szCs w:val="21"/>
                <w:lang w:val="en-US" w:eastAsia="en-US" w:bidi="en-US"/>
              </w:rPr>
            </w:pPr>
            <w:r>
              <w:rPr>
                <w:color w:val="auto"/>
                <w:szCs w:val="21"/>
                <w:lang w:val="en-US" w:eastAsia="en-US" w:bidi="en-US"/>
              </w:rPr>
              <w:t>NH</w:t>
            </w:r>
            <w:r>
              <w:rPr>
                <w:color w:val="auto"/>
                <w:szCs w:val="21"/>
                <w:vertAlign w:val="subscript"/>
                <w:lang w:val="en-US" w:eastAsia="en-US" w:bidi="en-US"/>
              </w:rPr>
              <w:t>3</w:t>
            </w:r>
            <w:r>
              <w:rPr>
                <w:color w:val="auto"/>
                <w:szCs w:val="21"/>
                <w:lang w:val="en-US" w:eastAsia="en-US" w:bidi="en-US"/>
              </w:rPr>
              <w:t>-N</w:t>
            </w:r>
          </w:p>
        </w:tc>
        <w:tc>
          <w:tcPr>
            <w:tcW w:w="575" w:type="dxa"/>
            <w:vAlign w:val="center"/>
          </w:tcPr>
          <w:p w14:paraId="593AD339">
            <w:pPr>
              <w:pStyle w:val="337"/>
              <w:rPr>
                <w:color w:val="auto"/>
                <w:szCs w:val="21"/>
                <w:lang w:val="en-US" w:eastAsia="en-US" w:bidi="en-US"/>
              </w:rPr>
            </w:pPr>
            <w:r>
              <w:rPr>
                <w:color w:val="auto"/>
                <w:szCs w:val="21"/>
                <w:lang w:val="en-US" w:eastAsia="en-US" w:bidi="en-US"/>
              </w:rPr>
              <w:t>SS</w:t>
            </w:r>
          </w:p>
        </w:tc>
        <w:tc>
          <w:tcPr>
            <w:tcW w:w="708" w:type="dxa"/>
            <w:vAlign w:val="center"/>
          </w:tcPr>
          <w:p w14:paraId="0F41A83E">
            <w:pPr>
              <w:pStyle w:val="337"/>
              <w:rPr>
                <w:color w:val="auto"/>
                <w:szCs w:val="21"/>
                <w:lang w:val="en-US" w:eastAsia="zh-CN" w:bidi="en-US"/>
              </w:rPr>
            </w:pPr>
            <w:r>
              <w:rPr>
                <w:color w:val="auto"/>
                <w:szCs w:val="21"/>
                <w:lang w:val="en-US" w:eastAsia="zh-CN" w:bidi="en-US"/>
              </w:rPr>
              <w:t>石油类</w:t>
            </w:r>
          </w:p>
        </w:tc>
        <w:tc>
          <w:tcPr>
            <w:tcW w:w="993" w:type="dxa"/>
            <w:vMerge w:val="continue"/>
            <w:vAlign w:val="center"/>
          </w:tcPr>
          <w:p w14:paraId="51E79B77">
            <w:pPr>
              <w:pStyle w:val="337"/>
              <w:rPr>
                <w:color w:val="auto"/>
                <w:szCs w:val="21"/>
                <w:lang w:val="en-US" w:eastAsia="en-US" w:bidi="en-US"/>
              </w:rPr>
            </w:pPr>
          </w:p>
        </w:tc>
        <w:tc>
          <w:tcPr>
            <w:tcW w:w="2551" w:type="dxa"/>
            <w:vMerge w:val="continue"/>
            <w:vAlign w:val="center"/>
          </w:tcPr>
          <w:p w14:paraId="4D8664A9">
            <w:pPr>
              <w:pStyle w:val="337"/>
              <w:jc w:val="left"/>
              <w:rPr>
                <w:color w:val="auto"/>
                <w:szCs w:val="21"/>
                <w:lang w:val="en-US" w:eastAsia="en-US" w:bidi="en-US"/>
              </w:rPr>
            </w:pPr>
          </w:p>
        </w:tc>
      </w:tr>
      <w:tr w14:paraId="46B404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28" w:type="dxa"/>
            <w:vAlign w:val="center"/>
          </w:tcPr>
          <w:p w14:paraId="1705A728">
            <w:pPr>
              <w:pStyle w:val="337"/>
              <w:rPr>
                <w:color w:val="auto"/>
                <w:szCs w:val="21"/>
                <w:lang w:val="en-US" w:eastAsia="zh-CN" w:bidi="en-US"/>
              </w:rPr>
            </w:pPr>
            <w:r>
              <w:rPr>
                <w:color w:val="auto"/>
                <w:szCs w:val="21"/>
                <w:lang w:val="en-US" w:eastAsia="zh-CN" w:bidi="en-US"/>
              </w:rPr>
              <w:t>钻井</w:t>
            </w:r>
          </w:p>
          <w:p w14:paraId="192124FF">
            <w:pPr>
              <w:pStyle w:val="337"/>
              <w:rPr>
                <w:color w:val="auto"/>
                <w:szCs w:val="21"/>
                <w:lang w:val="en-US" w:eastAsia="zh-CN" w:bidi="en-US"/>
              </w:rPr>
            </w:pPr>
            <w:r>
              <w:rPr>
                <w:color w:val="auto"/>
                <w:szCs w:val="21"/>
                <w:lang w:val="en-US" w:eastAsia="zh-CN" w:bidi="en-US"/>
              </w:rPr>
              <w:t>废水</w:t>
            </w:r>
          </w:p>
          <w:p w14:paraId="1BE99B1B">
            <w:pPr>
              <w:pStyle w:val="337"/>
              <w:rPr>
                <w:color w:val="auto"/>
                <w:szCs w:val="21"/>
                <w:lang w:val="en-US" w:eastAsia="zh-CN" w:bidi="en-US"/>
              </w:rPr>
            </w:pPr>
            <w:r>
              <w:rPr>
                <w:color w:val="auto"/>
                <w:szCs w:val="21"/>
                <w:lang w:val="en-US" w:eastAsia="zh-CN" w:bidi="en-US"/>
              </w:rPr>
              <w:t>(单井)</w:t>
            </w:r>
          </w:p>
        </w:tc>
        <w:tc>
          <w:tcPr>
            <w:tcW w:w="840" w:type="dxa"/>
            <w:vAlign w:val="center"/>
          </w:tcPr>
          <w:p w14:paraId="3312E60F">
            <w:pPr>
              <w:pStyle w:val="337"/>
              <w:rPr>
                <w:color w:val="auto"/>
                <w:szCs w:val="21"/>
                <w:lang w:val="en-US" w:eastAsia="zh-CN" w:bidi="en-US"/>
              </w:rPr>
            </w:pPr>
            <w:r>
              <w:rPr>
                <w:rFonts w:hint="eastAsia"/>
                <w:color w:val="auto"/>
                <w:szCs w:val="21"/>
                <w:lang w:val="en-US" w:eastAsia="zh-CN" w:bidi="en-US"/>
              </w:rPr>
              <w:t>270</w:t>
            </w:r>
          </w:p>
        </w:tc>
        <w:tc>
          <w:tcPr>
            <w:tcW w:w="719" w:type="dxa"/>
            <w:vAlign w:val="center"/>
          </w:tcPr>
          <w:p w14:paraId="55840856">
            <w:pPr>
              <w:pStyle w:val="337"/>
              <w:rPr>
                <w:color w:val="auto"/>
                <w:szCs w:val="21"/>
                <w:lang w:val="en-US" w:eastAsia="zh-CN" w:bidi="en-US"/>
              </w:rPr>
            </w:pPr>
            <w:r>
              <w:rPr>
                <w:color w:val="auto"/>
                <w:szCs w:val="21"/>
                <w:lang w:val="en-US" w:eastAsia="zh-CN" w:bidi="en-US"/>
              </w:rPr>
              <w:t>0</w:t>
            </w:r>
          </w:p>
        </w:tc>
        <w:tc>
          <w:tcPr>
            <w:tcW w:w="730" w:type="dxa"/>
            <w:tcBorders>
              <w:bottom w:val="single" w:color="auto" w:sz="4" w:space="0"/>
            </w:tcBorders>
            <w:vAlign w:val="center"/>
          </w:tcPr>
          <w:p w14:paraId="0520B109">
            <w:pPr>
              <w:pStyle w:val="337"/>
              <w:rPr>
                <w:color w:val="auto"/>
                <w:szCs w:val="21"/>
                <w:lang w:val="en-US" w:eastAsia="en-US" w:bidi="en-US"/>
              </w:rPr>
            </w:pPr>
            <w:r>
              <w:rPr>
                <w:color w:val="auto"/>
                <w:szCs w:val="21"/>
                <w:lang w:val="en-US" w:eastAsia="en-US" w:bidi="en-US"/>
              </w:rPr>
              <w:t>—</w:t>
            </w:r>
          </w:p>
        </w:tc>
        <w:tc>
          <w:tcPr>
            <w:tcW w:w="811" w:type="dxa"/>
            <w:tcBorders>
              <w:bottom w:val="single" w:color="auto" w:sz="4" w:space="0"/>
            </w:tcBorders>
            <w:vAlign w:val="center"/>
          </w:tcPr>
          <w:p w14:paraId="33203D29">
            <w:pPr>
              <w:pStyle w:val="337"/>
              <w:rPr>
                <w:color w:val="auto"/>
                <w:szCs w:val="21"/>
                <w:lang w:val="en-US" w:eastAsia="en-US" w:bidi="en-US"/>
              </w:rPr>
            </w:pPr>
            <w:r>
              <w:rPr>
                <w:color w:val="auto"/>
                <w:szCs w:val="21"/>
                <w:lang w:val="en-US" w:eastAsia="en-US" w:bidi="en-US"/>
              </w:rPr>
              <w:t>—</w:t>
            </w:r>
          </w:p>
        </w:tc>
        <w:tc>
          <w:tcPr>
            <w:tcW w:w="575" w:type="dxa"/>
            <w:tcBorders>
              <w:bottom w:val="single" w:color="auto" w:sz="4" w:space="0"/>
            </w:tcBorders>
            <w:vAlign w:val="center"/>
          </w:tcPr>
          <w:p w14:paraId="465BD004">
            <w:pPr>
              <w:pStyle w:val="337"/>
              <w:rPr>
                <w:color w:val="auto"/>
                <w:szCs w:val="21"/>
                <w:lang w:val="en-US" w:eastAsia="zh-CN" w:bidi="en-US"/>
              </w:rPr>
            </w:pPr>
            <w:r>
              <w:rPr>
                <w:color w:val="auto"/>
                <w:szCs w:val="21"/>
                <w:lang w:val="en-US" w:eastAsia="zh-CN" w:bidi="en-US"/>
              </w:rPr>
              <w:t>0</w:t>
            </w:r>
          </w:p>
        </w:tc>
        <w:tc>
          <w:tcPr>
            <w:tcW w:w="708" w:type="dxa"/>
            <w:tcBorders>
              <w:bottom w:val="single" w:color="auto" w:sz="4" w:space="0"/>
            </w:tcBorders>
            <w:vAlign w:val="center"/>
          </w:tcPr>
          <w:p w14:paraId="0A8868E5">
            <w:pPr>
              <w:pStyle w:val="337"/>
              <w:rPr>
                <w:color w:val="auto"/>
                <w:szCs w:val="21"/>
                <w:lang w:val="en-US" w:eastAsia="zh-CN" w:bidi="en-US"/>
              </w:rPr>
            </w:pPr>
            <w:r>
              <w:rPr>
                <w:color w:val="auto"/>
                <w:szCs w:val="21"/>
                <w:lang w:val="en-US" w:eastAsia="zh-CN" w:bidi="en-US"/>
              </w:rPr>
              <w:t>0</w:t>
            </w:r>
          </w:p>
        </w:tc>
        <w:tc>
          <w:tcPr>
            <w:tcW w:w="993" w:type="dxa"/>
            <w:tcBorders>
              <w:bottom w:val="single" w:color="auto" w:sz="4" w:space="0"/>
            </w:tcBorders>
            <w:vAlign w:val="center"/>
          </w:tcPr>
          <w:p w14:paraId="313A558A">
            <w:pPr>
              <w:pStyle w:val="337"/>
              <w:rPr>
                <w:color w:val="auto"/>
                <w:szCs w:val="21"/>
                <w:lang w:val="en-US" w:eastAsia="zh-CN" w:bidi="en-US"/>
              </w:rPr>
            </w:pPr>
            <w:r>
              <w:rPr>
                <w:rFonts w:hint="eastAsia"/>
                <w:color w:val="auto"/>
                <w:szCs w:val="21"/>
                <w:lang w:val="en-US" w:eastAsia="zh-CN" w:bidi="en-US"/>
              </w:rPr>
              <w:t>间断</w:t>
            </w:r>
          </w:p>
          <w:p w14:paraId="2909024F">
            <w:pPr>
              <w:pStyle w:val="337"/>
              <w:rPr>
                <w:color w:val="auto"/>
                <w:szCs w:val="21"/>
                <w:lang w:val="en-US" w:eastAsia="zh-CN" w:bidi="en-US"/>
              </w:rPr>
            </w:pPr>
            <w:r>
              <w:rPr>
                <w:rFonts w:hint="eastAsia"/>
                <w:color w:val="auto"/>
                <w:szCs w:val="21"/>
                <w:lang w:val="en-US" w:eastAsia="zh-CN" w:bidi="en-US"/>
              </w:rPr>
              <w:t>随着钻井结束而结束</w:t>
            </w:r>
          </w:p>
        </w:tc>
        <w:tc>
          <w:tcPr>
            <w:tcW w:w="2551" w:type="dxa"/>
            <w:tcBorders>
              <w:bottom w:val="single" w:color="auto" w:sz="4" w:space="0"/>
            </w:tcBorders>
            <w:vAlign w:val="center"/>
          </w:tcPr>
          <w:p w14:paraId="64F82F14">
            <w:pPr>
              <w:pStyle w:val="337"/>
              <w:jc w:val="left"/>
              <w:rPr>
                <w:color w:val="auto"/>
                <w:szCs w:val="21"/>
                <w:lang w:val="en-US" w:eastAsia="zh-CN" w:bidi="en-US"/>
              </w:rPr>
            </w:pPr>
            <w:r>
              <w:rPr>
                <w:color w:val="auto"/>
                <w:szCs w:val="21"/>
                <w:lang w:val="en-US" w:eastAsia="zh-CN" w:bidi="en-US"/>
              </w:rPr>
              <w:t>钻井废水置于</w:t>
            </w:r>
            <w:r>
              <w:rPr>
                <w:rFonts w:hint="eastAsia"/>
                <w:color w:val="auto"/>
                <w:szCs w:val="21"/>
                <w:lang w:val="en-US" w:eastAsia="zh-CN" w:bidi="en-US"/>
              </w:rPr>
              <w:t>防渗</w:t>
            </w:r>
            <w:r>
              <w:rPr>
                <w:color w:val="auto"/>
                <w:szCs w:val="21"/>
                <w:lang w:val="en-US" w:eastAsia="zh-CN" w:bidi="en-US"/>
              </w:rPr>
              <w:t>泥浆池中，自然蒸干</w:t>
            </w:r>
            <w:r>
              <w:rPr>
                <w:rFonts w:hint="eastAsia"/>
                <w:color w:val="auto"/>
                <w:szCs w:val="21"/>
                <w:lang w:val="en-US" w:eastAsia="zh-CN" w:bidi="en-US"/>
              </w:rPr>
              <w:t>和</w:t>
            </w:r>
            <w:r>
              <w:rPr>
                <w:color w:val="auto"/>
                <w:szCs w:val="21"/>
                <w:lang w:val="en-US" w:eastAsia="zh-CN" w:bidi="en-US"/>
              </w:rPr>
              <w:t>同废弃泥浆一同无害化固化稳定</w:t>
            </w:r>
            <w:r>
              <w:rPr>
                <w:rFonts w:hint="eastAsia"/>
                <w:color w:val="auto"/>
                <w:szCs w:val="21"/>
                <w:lang w:val="en-US" w:eastAsia="zh-CN" w:bidi="en-US"/>
              </w:rPr>
              <w:t>、</w:t>
            </w:r>
            <w:r>
              <w:rPr>
                <w:color w:val="auto"/>
                <w:szCs w:val="21"/>
                <w:lang w:val="en-US" w:eastAsia="zh-CN" w:bidi="en-US"/>
              </w:rPr>
              <w:t>填埋处理。</w:t>
            </w:r>
          </w:p>
        </w:tc>
      </w:tr>
      <w:tr w14:paraId="670BA4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28" w:type="dxa"/>
            <w:vAlign w:val="center"/>
          </w:tcPr>
          <w:p w14:paraId="3B28A5B8">
            <w:pPr>
              <w:pStyle w:val="337"/>
              <w:rPr>
                <w:color w:val="auto"/>
                <w:szCs w:val="21"/>
                <w:lang w:val="en-US" w:eastAsia="zh-CN" w:bidi="en-US"/>
              </w:rPr>
            </w:pPr>
            <w:r>
              <w:rPr>
                <w:color w:val="auto"/>
                <w:szCs w:val="21"/>
                <w:lang w:val="en-US" w:eastAsia="en-US" w:bidi="en-US"/>
              </w:rPr>
              <w:t>含油</w:t>
            </w:r>
          </w:p>
          <w:p w14:paraId="034FDEF8">
            <w:pPr>
              <w:pStyle w:val="337"/>
              <w:rPr>
                <w:color w:val="auto"/>
                <w:szCs w:val="21"/>
                <w:lang w:val="en-US" w:eastAsia="zh-CN" w:bidi="en-US"/>
              </w:rPr>
            </w:pPr>
            <w:r>
              <w:rPr>
                <w:color w:val="auto"/>
                <w:szCs w:val="21"/>
                <w:lang w:val="en-US" w:eastAsia="en-US" w:bidi="en-US"/>
              </w:rPr>
              <w:t>废水</w:t>
            </w:r>
          </w:p>
        </w:tc>
        <w:tc>
          <w:tcPr>
            <w:tcW w:w="840" w:type="dxa"/>
            <w:vAlign w:val="center"/>
          </w:tcPr>
          <w:p w14:paraId="75804FC0">
            <w:pPr>
              <w:pStyle w:val="337"/>
              <w:rPr>
                <w:color w:val="auto"/>
                <w:szCs w:val="21"/>
                <w:lang w:val="en-US" w:eastAsia="zh-CN" w:bidi="en-US"/>
              </w:rPr>
            </w:pPr>
            <w:r>
              <w:rPr>
                <w:rFonts w:hint="eastAsia"/>
                <w:color w:val="auto"/>
                <w:lang w:val="en-US" w:eastAsia="zh-CN"/>
              </w:rPr>
              <w:t>76400</w:t>
            </w:r>
          </w:p>
        </w:tc>
        <w:tc>
          <w:tcPr>
            <w:tcW w:w="719" w:type="dxa"/>
            <w:vAlign w:val="center"/>
          </w:tcPr>
          <w:p w14:paraId="0D939782">
            <w:pPr>
              <w:pStyle w:val="337"/>
              <w:rPr>
                <w:color w:val="auto"/>
                <w:szCs w:val="21"/>
                <w:lang w:val="en-US" w:eastAsia="en-US" w:bidi="en-US"/>
              </w:rPr>
            </w:pPr>
            <w:r>
              <w:rPr>
                <w:color w:val="auto"/>
                <w:szCs w:val="21"/>
                <w:lang w:val="en-US" w:eastAsia="en-US" w:bidi="en-US"/>
              </w:rPr>
              <w:t>0</w:t>
            </w:r>
          </w:p>
        </w:tc>
        <w:tc>
          <w:tcPr>
            <w:tcW w:w="730" w:type="dxa"/>
            <w:tcBorders>
              <w:top w:val="single" w:color="auto" w:sz="4" w:space="0"/>
            </w:tcBorders>
            <w:vAlign w:val="center"/>
          </w:tcPr>
          <w:p w14:paraId="47EFBBB7">
            <w:pPr>
              <w:pStyle w:val="337"/>
              <w:rPr>
                <w:color w:val="auto"/>
                <w:szCs w:val="21"/>
                <w:lang w:val="en-US" w:eastAsia="en-US" w:bidi="en-US"/>
              </w:rPr>
            </w:pPr>
            <w:r>
              <w:rPr>
                <w:color w:val="auto"/>
                <w:szCs w:val="21"/>
                <w:lang w:val="en-US" w:eastAsia="en-US" w:bidi="en-US"/>
              </w:rPr>
              <w:t>——</w:t>
            </w:r>
          </w:p>
        </w:tc>
        <w:tc>
          <w:tcPr>
            <w:tcW w:w="811" w:type="dxa"/>
            <w:tcBorders>
              <w:top w:val="single" w:color="auto" w:sz="4" w:space="0"/>
            </w:tcBorders>
            <w:vAlign w:val="center"/>
          </w:tcPr>
          <w:p w14:paraId="4B8E072B">
            <w:pPr>
              <w:pStyle w:val="337"/>
              <w:rPr>
                <w:color w:val="auto"/>
                <w:szCs w:val="21"/>
                <w:lang w:val="en-US" w:eastAsia="en-US" w:bidi="en-US"/>
              </w:rPr>
            </w:pPr>
            <w:r>
              <w:rPr>
                <w:color w:val="auto"/>
                <w:szCs w:val="21"/>
                <w:lang w:val="en-US" w:eastAsia="en-US" w:bidi="en-US"/>
              </w:rPr>
              <w:t>——</w:t>
            </w:r>
          </w:p>
        </w:tc>
        <w:tc>
          <w:tcPr>
            <w:tcW w:w="575" w:type="dxa"/>
            <w:vAlign w:val="center"/>
          </w:tcPr>
          <w:p w14:paraId="6EF08171">
            <w:pPr>
              <w:pStyle w:val="337"/>
              <w:rPr>
                <w:color w:val="auto"/>
                <w:szCs w:val="21"/>
                <w:lang w:val="en-US" w:eastAsia="en-US" w:bidi="en-US"/>
              </w:rPr>
            </w:pPr>
            <w:r>
              <w:rPr>
                <w:color w:val="auto"/>
                <w:szCs w:val="21"/>
                <w:lang w:val="en-US" w:eastAsia="en-US" w:bidi="en-US"/>
              </w:rPr>
              <w:t>0</w:t>
            </w:r>
          </w:p>
        </w:tc>
        <w:tc>
          <w:tcPr>
            <w:tcW w:w="708" w:type="dxa"/>
            <w:vAlign w:val="center"/>
          </w:tcPr>
          <w:p w14:paraId="5814AB78">
            <w:pPr>
              <w:pStyle w:val="337"/>
              <w:rPr>
                <w:color w:val="auto"/>
                <w:szCs w:val="21"/>
                <w:lang w:val="en-US" w:eastAsia="zh-CN" w:bidi="en-US"/>
              </w:rPr>
            </w:pPr>
            <w:r>
              <w:rPr>
                <w:color w:val="auto"/>
                <w:szCs w:val="21"/>
                <w:lang w:val="en-US" w:eastAsia="zh-CN" w:bidi="en-US"/>
              </w:rPr>
              <w:t>0</w:t>
            </w:r>
          </w:p>
        </w:tc>
        <w:tc>
          <w:tcPr>
            <w:tcW w:w="993" w:type="dxa"/>
            <w:vAlign w:val="center"/>
          </w:tcPr>
          <w:p w14:paraId="614B5E91">
            <w:pPr>
              <w:pStyle w:val="337"/>
              <w:rPr>
                <w:color w:val="auto"/>
                <w:szCs w:val="21"/>
                <w:lang w:val="en-US" w:eastAsia="zh-CN" w:bidi="en-US"/>
              </w:rPr>
            </w:pPr>
            <w:r>
              <w:rPr>
                <w:rFonts w:hint="eastAsia"/>
                <w:color w:val="auto"/>
                <w:szCs w:val="21"/>
                <w:lang w:val="en-US" w:eastAsia="zh-CN" w:bidi="en-US"/>
              </w:rPr>
              <w:t>连续</w:t>
            </w:r>
          </w:p>
          <w:p w14:paraId="5FD94976">
            <w:pPr>
              <w:pStyle w:val="337"/>
              <w:rPr>
                <w:color w:val="auto"/>
                <w:szCs w:val="21"/>
                <w:lang w:val="en-US" w:eastAsia="zh-CN" w:bidi="en-US"/>
              </w:rPr>
            </w:pPr>
            <w:r>
              <w:rPr>
                <w:rFonts w:hint="eastAsia"/>
                <w:color w:val="auto"/>
                <w:szCs w:val="21"/>
                <w:lang w:val="en-US" w:eastAsia="zh-CN" w:bidi="en-US"/>
              </w:rPr>
              <w:t>（以预测年最大产污水量）</w:t>
            </w:r>
          </w:p>
        </w:tc>
        <w:tc>
          <w:tcPr>
            <w:tcW w:w="2551" w:type="dxa"/>
            <w:tcBorders>
              <w:top w:val="single" w:color="auto" w:sz="4" w:space="0"/>
            </w:tcBorders>
            <w:vAlign w:val="center"/>
          </w:tcPr>
          <w:p w14:paraId="60DB997E">
            <w:pPr>
              <w:pStyle w:val="337"/>
              <w:jc w:val="left"/>
              <w:rPr>
                <w:color w:val="auto"/>
                <w:szCs w:val="21"/>
                <w:lang w:val="en-US" w:eastAsia="zh-CN" w:bidi="en-US"/>
              </w:rPr>
            </w:pPr>
            <w:r>
              <w:rPr>
                <w:color w:val="auto"/>
                <w:szCs w:val="21"/>
                <w:lang w:val="en-US" w:eastAsia="zh-CN" w:bidi="en-US"/>
              </w:rPr>
              <w:t>经污水处理系统进行处理后回注地层。</w:t>
            </w:r>
          </w:p>
        </w:tc>
      </w:tr>
      <w:tr w14:paraId="32714A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28" w:type="dxa"/>
            <w:vAlign w:val="center"/>
          </w:tcPr>
          <w:p w14:paraId="5E30C7BA">
            <w:pPr>
              <w:pStyle w:val="337"/>
              <w:rPr>
                <w:color w:val="auto"/>
                <w:szCs w:val="21"/>
                <w:lang w:val="en-US" w:eastAsia="zh-CN" w:bidi="en-US"/>
              </w:rPr>
            </w:pPr>
            <w:r>
              <w:rPr>
                <w:color w:val="auto"/>
                <w:szCs w:val="21"/>
                <w:lang w:val="en-US" w:eastAsia="en-US" w:bidi="en-US"/>
              </w:rPr>
              <w:t>洗井</w:t>
            </w:r>
          </w:p>
          <w:p w14:paraId="6051EE37">
            <w:pPr>
              <w:pStyle w:val="337"/>
              <w:rPr>
                <w:color w:val="auto"/>
                <w:szCs w:val="21"/>
                <w:lang w:val="en-US" w:eastAsia="zh-CN" w:bidi="en-US"/>
              </w:rPr>
            </w:pPr>
            <w:r>
              <w:rPr>
                <w:color w:val="auto"/>
                <w:szCs w:val="21"/>
                <w:lang w:val="en-US" w:eastAsia="en-US" w:bidi="en-US"/>
              </w:rPr>
              <w:t>废水</w:t>
            </w:r>
          </w:p>
        </w:tc>
        <w:tc>
          <w:tcPr>
            <w:tcW w:w="840" w:type="dxa"/>
            <w:tcBorders>
              <w:bottom w:val="single" w:color="auto" w:sz="4" w:space="0"/>
            </w:tcBorders>
            <w:vAlign w:val="center"/>
          </w:tcPr>
          <w:p w14:paraId="5873791F">
            <w:pPr>
              <w:pStyle w:val="337"/>
              <w:rPr>
                <w:color w:val="auto"/>
                <w:szCs w:val="21"/>
                <w:lang w:val="en-US" w:eastAsia="zh-CN" w:bidi="en-US"/>
              </w:rPr>
            </w:pPr>
            <w:r>
              <w:rPr>
                <w:rFonts w:hint="eastAsia"/>
                <w:color w:val="auto"/>
                <w:lang w:val="en-US" w:eastAsia="zh-CN"/>
              </w:rPr>
              <w:t>23880</w:t>
            </w:r>
          </w:p>
        </w:tc>
        <w:tc>
          <w:tcPr>
            <w:tcW w:w="719" w:type="dxa"/>
            <w:tcBorders>
              <w:bottom w:val="single" w:color="auto" w:sz="4" w:space="0"/>
            </w:tcBorders>
            <w:vAlign w:val="center"/>
          </w:tcPr>
          <w:p w14:paraId="3EB267D6">
            <w:pPr>
              <w:pStyle w:val="337"/>
              <w:rPr>
                <w:color w:val="auto"/>
                <w:szCs w:val="21"/>
                <w:lang w:val="en-US" w:eastAsia="en-US" w:bidi="en-US"/>
              </w:rPr>
            </w:pPr>
            <w:r>
              <w:rPr>
                <w:color w:val="auto"/>
                <w:szCs w:val="21"/>
                <w:lang w:val="en-US" w:eastAsia="en-US" w:bidi="en-US"/>
              </w:rPr>
              <w:t>0</w:t>
            </w:r>
          </w:p>
        </w:tc>
        <w:tc>
          <w:tcPr>
            <w:tcW w:w="730" w:type="dxa"/>
            <w:tcBorders>
              <w:bottom w:val="single" w:color="auto" w:sz="4" w:space="0"/>
            </w:tcBorders>
            <w:vAlign w:val="center"/>
          </w:tcPr>
          <w:p w14:paraId="13DF2E89">
            <w:pPr>
              <w:pStyle w:val="337"/>
              <w:rPr>
                <w:color w:val="auto"/>
                <w:szCs w:val="21"/>
                <w:lang w:val="en-US" w:eastAsia="en-US" w:bidi="en-US"/>
              </w:rPr>
            </w:pPr>
            <w:r>
              <w:rPr>
                <w:color w:val="auto"/>
                <w:szCs w:val="21"/>
                <w:lang w:val="en-US" w:eastAsia="en-US" w:bidi="en-US"/>
              </w:rPr>
              <w:t>——</w:t>
            </w:r>
          </w:p>
        </w:tc>
        <w:tc>
          <w:tcPr>
            <w:tcW w:w="811" w:type="dxa"/>
            <w:tcBorders>
              <w:bottom w:val="single" w:color="auto" w:sz="4" w:space="0"/>
            </w:tcBorders>
            <w:vAlign w:val="center"/>
          </w:tcPr>
          <w:p w14:paraId="0A276AFC">
            <w:pPr>
              <w:pStyle w:val="337"/>
              <w:rPr>
                <w:color w:val="auto"/>
                <w:szCs w:val="21"/>
                <w:lang w:val="en-US" w:eastAsia="en-US" w:bidi="en-US"/>
              </w:rPr>
            </w:pPr>
            <w:r>
              <w:rPr>
                <w:color w:val="auto"/>
                <w:szCs w:val="21"/>
                <w:lang w:val="en-US" w:eastAsia="en-US" w:bidi="en-US"/>
              </w:rPr>
              <w:t>——</w:t>
            </w:r>
          </w:p>
        </w:tc>
        <w:tc>
          <w:tcPr>
            <w:tcW w:w="575" w:type="dxa"/>
            <w:tcBorders>
              <w:bottom w:val="single" w:color="auto" w:sz="4" w:space="0"/>
            </w:tcBorders>
            <w:vAlign w:val="center"/>
          </w:tcPr>
          <w:p w14:paraId="5C865329">
            <w:pPr>
              <w:pStyle w:val="337"/>
              <w:rPr>
                <w:color w:val="auto"/>
                <w:szCs w:val="21"/>
                <w:lang w:val="en-US" w:eastAsia="en-US" w:bidi="en-US"/>
              </w:rPr>
            </w:pPr>
            <w:r>
              <w:rPr>
                <w:color w:val="auto"/>
                <w:szCs w:val="21"/>
                <w:lang w:val="en-US" w:eastAsia="en-US" w:bidi="en-US"/>
              </w:rPr>
              <w:t>0</w:t>
            </w:r>
          </w:p>
        </w:tc>
        <w:tc>
          <w:tcPr>
            <w:tcW w:w="708" w:type="dxa"/>
            <w:tcBorders>
              <w:bottom w:val="single" w:color="auto" w:sz="4" w:space="0"/>
            </w:tcBorders>
            <w:vAlign w:val="center"/>
          </w:tcPr>
          <w:p w14:paraId="008FB39D">
            <w:pPr>
              <w:pStyle w:val="337"/>
              <w:rPr>
                <w:color w:val="auto"/>
                <w:szCs w:val="21"/>
                <w:lang w:val="en-US" w:eastAsia="zh-CN" w:bidi="en-US"/>
              </w:rPr>
            </w:pPr>
            <w:r>
              <w:rPr>
                <w:color w:val="auto"/>
                <w:szCs w:val="21"/>
                <w:lang w:val="en-US" w:eastAsia="zh-CN" w:bidi="en-US"/>
              </w:rPr>
              <w:t>0</w:t>
            </w:r>
          </w:p>
        </w:tc>
        <w:tc>
          <w:tcPr>
            <w:tcW w:w="993" w:type="dxa"/>
            <w:vAlign w:val="center"/>
          </w:tcPr>
          <w:p w14:paraId="7B7CF383">
            <w:pPr>
              <w:pStyle w:val="337"/>
              <w:rPr>
                <w:color w:val="auto"/>
                <w:szCs w:val="21"/>
                <w:lang w:val="en-US" w:eastAsia="zh-CN" w:bidi="en-US"/>
              </w:rPr>
            </w:pPr>
            <w:r>
              <w:rPr>
                <w:rFonts w:hint="eastAsia"/>
                <w:color w:val="auto"/>
                <w:szCs w:val="21"/>
                <w:lang w:val="en-US" w:eastAsia="zh-CN" w:bidi="en-US"/>
              </w:rPr>
              <w:t>单井每2个月洗井1次。间断</w:t>
            </w:r>
          </w:p>
        </w:tc>
        <w:tc>
          <w:tcPr>
            <w:tcW w:w="2551" w:type="dxa"/>
            <w:vAlign w:val="center"/>
          </w:tcPr>
          <w:p w14:paraId="1A011381">
            <w:pPr>
              <w:pStyle w:val="337"/>
              <w:jc w:val="left"/>
              <w:rPr>
                <w:color w:val="auto"/>
                <w:szCs w:val="21"/>
                <w:lang w:val="en-US" w:eastAsia="zh-CN" w:bidi="en-US"/>
              </w:rPr>
            </w:pPr>
            <w:r>
              <w:rPr>
                <w:rFonts w:hint="eastAsia"/>
                <w:color w:val="auto"/>
                <w:szCs w:val="21"/>
                <w:lang w:val="en-US" w:eastAsia="zh-CN" w:bidi="en-US"/>
              </w:rPr>
              <w:t>油井洗井废水进入废液池，经有效降解、沉降后回收到除油罐，与采油废水一起处理。注水井洗井废水全部回收进入密闭罐车，拉运回雅思联合站污水处理系统进行处理后回注。</w:t>
            </w:r>
          </w:p>
        </w:tc>
      </w:tr>
      <w:tr w14:paraId="2FAA5C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28" w:type="dxa"/>
            <w:vAlign w:val="center"/>
          </w:tcPr>
          <w:p w14:paraId="346812B4">
            <w:pPr>
              <w:pStyle w:val="337"/>
              <w:rPr>
                <w:color w:val="auto"/>
                <w:szCs w:val="21"/>
                <w:lang w:val="en-US" w:eastAsia="zh-CN" w:bidi="en-US"/>
              </w:rPr>
            </w:pPr>
            <w:r>
              <w:rPr>
                <w:color w:val="auto"/>
                <w:szCs w:val="21"/>
                <w:lang w:val="en-US" w:eastAsia="zh-CN" w:bidi="en-US"/>
              </w:rPr>
              <w:t>修井</w:t>
            </w:r>
          </w:p>
          <w:p w14:paraId="55F02C9A">
            <w:pPr>
              <w:pStyle w:val="337"/>
              <w:rPr>
                <w:color w:val="auto"/>
                <w:szCs w:val="21"/>
                <w:lang w:val="en-US" w:eastAsia="zh-CN" w:bidi="en-US"/>
              </w:rPr>
            </w:pPr>
            <w:r>
              <w:rPr>
                <w:color w:val="auto"/>
                <w:szCs w:val="21"/>
                <w:lang w:val="en-US" w:eastAsia="en-US" w:bidi="en-US"/>
              </w:rPr>
              <w:t>废水</w:t>
            </w:r>
          </w:p>
        </w:tc>
        <w:tc>
          <w:tcPr>
            <w:tcW w:w="840" w:type="dxa"/>
            <w:tcBorders>
              <w:top w:val="single" w:color="auto" w:sz="4" w:space="0"/>
            </w:tcBorders>
            <w:vAlign w:val="center"/>
          </w:tcPr>
          <w:p w14:paraId="48572769">
            <w:pPr>
              <w:pStyle w:val="337"/>
              <w:rPr>
                <w:color w:val="auto"/>
                <w:szCs w:val="21"/>
                <w:lang w:val="en-US" w:eastAsia="zh-CN" w:bidi="en-US"/>
              </w:rPr>
            </w:pPr>
            <w:r>
              <w:rPr>
                <w:rFonts w:hint="eastAsia"/>
                <w:color w:val="auto"/>
                <w:lang w:val="en-US" w:eastAsia="zh-CN"/>
              </w:rPr>
              <w:t>183.5</w:t>
            </w:r>
          </w:p>
        </w:tc>
        <w:tc>
          <w:tcPr>
            <w:tcW w:w="719" w:type="dxa"/>
            <w:vAlign w:val="center"/>
          </w:tcPr>
          <w:p w14:paraId="697B4FB5">
            <w:pPr>
              <w:pStyle w:val="337"/>
              <w:rPr>
                <w:color w:val="auto"/>
                <w:szCs w:val="21"/>
                <w:lang w:val="en-US" w:eastAsia="en-US" w:bidi="en-US"/>
              </w:rPr>
            </w:pPr>
            <w:r>
              <w:rPr>
                <w:color w:val="auto"/>
                <w:szCs w:val="21"/>
                <w:lang w:val="en-US" w:eastAsia="en-US" w:bidi="en-US"/>
              </w:rPr>
              <w:t>0</w:t>
            </w:r>
          </w:p>
        </w:tc>
        <w:tc>
          <w:tcPr>
            <w:tcW w:w="730" w:type="dxa"/>
            <w:vAlign w:val="center"/>
          </w:tcPr>
          <w:p w14:paraId="3F83F923">
            <w:pPr>
              <w:pStyle w:val="337"/>
              <w:rPr>
                <w:color w:val="auto"/>
                <w:szCs w:val="21"/>
                <w:lang w:val="en-US" w:eastAsia="en-US" w:bidi="en-US"/>
              </w:rPr>
            </w:pPr>
            <w:r>
              <w:rPr>
                <w:color w:val="auto"/>
                <w:szCs w:val="21"/>
                <w:lang w:val="en-US" w:eastAsia="en-US" w:bidi="en-US"/>
              </w:rPr>
              <w:t>——</w:t>
            </w:r>
          </w:p>
        </w:tc>
        <w:tc>
          <w:tcPr>
            <w:tcW w:w="811" w:type="dxa"/>
            <w:vAlign w:val="center"/>
          </w:tcPr>
          <w:p w14:paraId="14BB17E3">
            <w:pPr>
              <w:pStyle w:val="337"/>
              <w:rPr>
                <w:color w:val="auto"/>
                <w:szCs w:val="21"/>
                <w:lang w:val="en-US" w:eastAsia="en-US" w:bidi="en-US"/>
              </w:rPr>
            </w:pPr>
            <w:r>
              <w:rPr>
                <w:color w:val="auto"/>
                <w:szCs w:val="21"/>
                <w:lang w:val="en-US" w:eastAsia="en-US" w:bidi="en-US"/>
              </w:rPr>
              <w:t>——</w:t>
            </w:r>
          </w:p>
        </w:tc>
        <w:tc>
          <w:tcPr>
            <w:tcW w:w="575" w:type="dxa"/>
            <w:vAlign w:val="center"/>
          </w:tcPr>
          <w:p w14:paraId="3FCDC8D8">
            <w:pPr>
              <w:pStyle w:val="337"/>
              <w:rPr>
                <w:color w:val="auto"/>
                <w:szCs w:val="21"/>
                <w:lang w:val="en-US" w:eastAsia="en-US" w:bidi="en-US"/>
              </w:rPr>
            </w:pPr>
            <w:r>
              <w:rPr>
                <w:color w:val="auto"/>
                <w:szCs w:val="21"/>
                <w:lang w:val="en-US" w:eastAsia="en-US" w:bidi="en-US"/>
              </w:rPr>
              <w:t>0</w:t>
            </w:r>
          </w:p>
        </w:tc>
        <w:tc>
          <w:tcPr>
            <w:tcW w:w="708" w:type="dxa"/>
            <w:vAlign w:val="center"/>
          </w:tcPr>
          <w:p w14:paraId="1AF31474">
            <w:pPr>
              <w:pStyle w:val="337"/>
              <w:rPr>
                <w:color w:val="auto"/>
                <w:szCs w:val="21"/>
                <w:lang w:val="en-US" w:eastAsia="zh-CN" w:bidi="en-US"/>
              </w:rPr>
            </w:pPr>
            <w:r>
              <w:rPr>
                <w:color w:val="auto"/>
                <w:szCs w:val="21"/>
                <w:lang w:val="en-US" w:eastAsia="zh-CN" w:bidi="en-US"/>
              </w:rPr>
              <w:t>0</w:t>
            </w:r>
          </w:p>
        </w:tc>
        <w:tc>
          <w:tcPr>
            <w:tcW w:w="993" w:type="dxa"/>
            <w:vAlign w:val="center"/>
          </w:tcPr>
          <w:p w14:paraId="02AAD03F">
            <w:pPr>
              <w:pStyle w:val="337"/>
              <w:rPr>
                <w:color w:val="auto"/>
                <w:szCs w:val="21"/>
                <w:lang w:val="en-US" w:eastAsia="zh-CN" w:bidi="en-US"/>
              </w:rPr>
            </w:pPr>
            <w:r>
              <w:rPr>
                <w:color w:val="auto"/>
                <w:szCs w:val="21"/>
                <w:lang w:val="en-US" w:eastAsia="zh-CN" w:bidi="en-US"/>
              </w:rPr>
              <w:t>修井周期为2年，</w:t>
            </w:r>
            <w:r>
              <w:rPr>
                <w:rFonts w:hint="eastAsia"/>
                <w:color w:val="auto"/>
                <w:szCs w:val="21"/>
                <w:lang w:val="en-US" w:eastAsia="zh-CN" w:bidi="en-US"/>
              </w:rPr>
              <w:t>间断</w:t>
            </w:r>
          </w:p>
          <w:p w14:paraId="507AD49E">
            <w:pPr>
              <w:pStyle w:val="337"/>
              <w:rPr>
                <w:color w:val="auto"/>
                <w:szCs w:val="21"/>
                <w:lang w:val="en-US" w:eastAsia="zh-CN" w:bidi="en-US"/>
              </w:rPr>
            </w:pPr>
          </w:p>
        </w:tc>
        <w:tc>
          <w:tcPr>
            <w:tcW w:w="2551" w:type="dxa"/>
            <w:vAlign w:val="center"/>
          </w:tcPr>
          <w:p w14:paraId="7255F02F">
            <w:pPr>
              <w:pStyle w:val="337"/>
              <w:jc w:val="left"/>
              <w:rPr>
                <w:color w:val="auto"/>
                <w:szCs w:val="21"/>
                <w:lang w:val="en-US" w:eastAsia="zh-CN" w:bidi="en-US"/>
              </w:rPr>
            </w:pPr>
            <w:r>
              <w:rPr>
                <w:rFonts w:hint="eastAsia"/>
                <w:color w:val="auto"/>
                <w:szCs w:val="21"/>
                <w:lang w:val="en-US" w:eastAsia="zh-CN" w:bidi="en-US"/>
              </w:rPr>
              <w:t>油井修井废水进入废液池，经有效降解、沉降后回收到除油罐，与采油废水一起处理。注水井修井废水全部回收进入密闭罐车，拉运回污水处理系统进行处理。</w:t>
            </w:r>
            <w:r>
              <w:rPr>
                <w:color w:val="auto"/>
                <w:szCs w:val="21"/>
                <w:lang w:val="en-US" w:eastAsia="zh-CN" w:bidi="en-US"/>
              </w:rPr>
              <w:t xml:space="preserve"> </w:t>
            </w:r>
          </w:p>
        </w:tc>
      </w:tr>
      <w:tr w14:paraId="51EE76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28" w:type="dxa"/>
            <w:vAlign w:val="center"/>
          </w:tcPr>
          <w:p w14:paraId="38E10226">
            <w:pPr>
              <w:pStyle w:val="337"/>
              <w:rPr>
                <w:color w:val="auto"/>
                <w:szCs w:val="21"/>
                <w:lang w:val="en-US" w:eastAsia="zh-CN" w:bidi="en-US"/>
              </w:rPr>
            </w:pPr>
            <w:r>
              <w:rPr>
                <w:color w:val="auto"/>
                <w:szCs w:val="21"/>
                <w:lang w:val="en-US" w:eastAsia="en-US" w:bidi="en-US"/>
              </w:rPr>
              <w:t>生活</w:t>
            </w:r>
          </w:p>
          <w:p w14:paraId="446E4319">
            <w:pPr>
              <w:pStyle w:val="337"/>
              <w:rPr>
                <w:color w:val="auto"/>
                <w:szCs w:val="21"/>
                <w:lang w:val="en-US" w:eastAsia="en-US" w:bidi="en-US"/>
              </w:rPr>
            </w:pPr>
            <w:r>
              <w:rPr>
                <w:color w:val="auto"/>
                <w:szCs w:val="21"/>
                <w:lang w:val="en-US" w:eastAsia="en-US" w:bidi="en-US"/>
              </w:rPr>
              <w:t>污水</w:t>
            </w:r>
          </w:p>
        </w:tc>
        <w:tc>
          <w:tcPr>
            <w:tcW w:w="840" w:type="dxa"/>
            <w:vAlign w:val="center"/>
          </w:tcPr>
          <w:p w14:paraId="18276CB6">
            <w:pPr>
              <w:pStyle w:val="337"/>
              <w:rPr>
                <w:color w:val="auto"/>
                <w:szCs w:val="21"/>
                <w:lang w:val="en-US" w:eastAsia="zh-CN" w:bidi="en-US"/>
              </w:rPr>
            </w:pPr>
            <w:r>
              <w:rPr>
                <w:rFonts w:hint="eastAsia"/>
                <w:color w:val="auto"/>
                <w:szCs w:val="21"/>
                <w:lang w:val="en-US" w:eastAsia="zh-CN" w:bidi="en-US"/>
              </w:rPr>
              <w:t>1916.25</w:t>
            </w:r>
          </w:p>
        </w:tc>
        <w:tc>
          <w:tcPr>
            <w:tcW w:w="719" w:type="dxa"/>
            <w:vAlign w:val="center"/>
          </w:tcPr>
          <w:p w14:paraId="285737B4">
            <w:pPr>
              <w:pStyle w:val="337"/>
              <w:rPr>
                <w:color w:val="auto"/>
                <w:szCs w:val="21"/>
                <w:lang w:val="en-US" w:eastAsia="en-US" w:bidi="en-US"/>
              </w:rPr>
            </w:pPr>
            <w:r>
              <w:rPr>
                <w:color w:val="auto"/>
                <w:szCs w:val="21"/>
                <w:lang w:val="en-US" w:eastAsia="en-US" w:bidi="en-US"/>
              </w:rPr>
              <w:t>0</w:t>
            </w:r>
          </w:p>
        </w:tc>
        <w:tc>
          <w:tcPr>
            <w:tcW w:w="730" w:type="dxa"/>
            <w:vAlign w:val="center"/>
          </w:tcPr>
          <w:p w14:paraId="223DA4F0">
            <w:pPr>
              <w:pStyle w:val="337"/>
              <w:rPr>
                <w:color w:val="auto"/>
                <w:szCs w:val="21"/>
                <w:lang w:val="en-US" w:eastAsia="en-US" w:bidi="en-US"/>
              </w:rPr>
            </w:pPr>
            <w:r>
              <w:rPr>
                <w:color w:val="auto"/>
                <w:szCs w:val="21"/>
                <w:lang w:val="en-US" w:eastAsia="en-US" w:bidi="en-US"/>
              </w:rPr>
              <w:t>——</w:t>
            </w:r>
          </w:p>
        </w:tc>
        <w:tc>
          <w:tcPr>
            <w:tcW w:w="811" w:type="dxa"/>
            <w:vAlign w:val="center"/>
          </w:tcPr>
          <w:p w14:paraId="0E6401D5">
            <w:pPr>
              <w:pStyle w:val="337"/>
              <w:rPr>
                <w:color w:val="auto"/>
                <w:szCs w:val="21"/>
                <w:lang w:val="en-US" w:eastAsia="zh-CN" w:bidi="en-US"/>
              </w:rPr>
            </w:pPr>
            <w:r>
              <w:rPr>
                <w:rFonts w:hint="eastAsia"/>
                <w:color w:val="auto"/>
                <w:szCs w:val="21"/>
                <w:lang w:val="en-US" w:eastAsia="zh-CN" w:bidi="en-US"/>
              </w:rPr>
              <w:t>0</w:t>
            </w:r>
          </w:p>
        </w:tc>
        <w:tc>
          <w:tcPr>
            <w:tcW w:w="575" w:type="dxa"/>
            <w:vAlign w:val="center"/>
          </w:tcPr>
          <w:p w14:paraId="51ADCB19">
            <w:pPr>
              <w:pStyle w:val="337"/>
              <w:rPr>
                <w:color w:val="auto"/>
                <w:szCs w:val="21"/>
                <w:lang w:val="en-US" w:eastAsia="en-US" w:bidi="en-US"/>
              </w:rPr>
            </w:pPr>
            <w:r>
              <w:rPr>
                <w:color w:val="auto"/>
                <w:szCs w:val="21"/>
                <w:lang w:val="en-US" w:eastAsia="en-US" w:bidi="en-US"/>
              </w:rPr>
              <w:t>0</w:t>
            </w:r>
          </w:p>
        </w:tc>
        <w:tc>
          <w:tcPr>
            <w:tcW w:w="708" w:type="dxa"/>
            <w:vAlign w:val="center"/>
          </w:tcPr>
          <w:p w14:paraId="2F655972">
            <w:pPr>
              <w:pStyle w:val="337"/>
              <w:rPr>
                <w:color w:val="auto"/>
                <w:szCs w:val="21"/>
                <w:lang w:val="en-US" w:eastAsia="zh-CN" w:bidi="en-US"/>
              </w:rPr>
            </w:pPr>
            <w:r>
              <w:rPr>
                <w:color w:val="auto"/>
                <w:szCs w:val="21"/>
                <w:lang w:val="en-US" w:eastAsia="zh-CN" w:bidi="en-US"/>
              </w:rPr>
              <w:t>0</w:t>
            </w:r>
          </w:p>
        </w:tc>
        <w:tc>
          <w:tcPr>
            <w:tcW w:w="993" w:type="dxa"/>
            <w:vAlign w:val="center"/>
          </w:tcPr>
          <w:p w14:paraId="528874EC">
            <w:pPr>
              <w:pStyle w:val="337"/>
              <w:rPr>
                <w:color w:val="auto"/>
                <w:szCs w:val="21"/>
                <w:lang w:val="en-US" w:eastAsia="zh-CN" w:bidi="en-US"/>
              </w:rPr>
            </w:pPr>
            <w:r>
              <w:rPr>
                <w:rFonts w:hint="eastAsia"/>
                <w:color w:val="auto"/>
                <w:szCs w:val="21"/>
                <w:lang w:val="en-US" w:eastAsia="zh-CN" w:bidi="en-US"/>
              </w:rPr>
              <w:t>连续</w:t>
            </w:r>
          </w:p>
        </w:tc>
        <w:tc>
          <w:tcPr>
            <w:tcW w:w="2551" w:type="dxa"/>
            <w:vAlign w:val="center"/>
          </w:tcPr>
          <w:p w14:paraId="109A3B72">
            <w:pPr>
              <w:pStyle w:val="337"/>
              <w:jc w:val="left"/>
              <w:rPr>
                <w:color w:val="auto"/>
                <w:szCs w:val="21"/>
                <w:lang w:val="en-US" w:eastAsia="zh-CN" w:bidi="en-US"/>
              </w:rPr>
            </w:pPr>
            <w:r>
              <w:rPr>
                <w:rFonts w:hint="eastAsia"/>
                <w:color w:val="auto"/>
                <w:szCs w:val="21"/>
                <w:lang w:val="en-US" w:eastAsia="zh-CN" w:bidi="en-US"/>
              </w:rPr>
              <w:t>雅思联合站生活污水经地埋式一体化污水处理系统处理后进入蒸发池储存，用于绿化或洒水抑尘。</w:t>
            </w:r>
          </w:p>
        </w:tc>
      </w:tr>
    </w:tbl>
    <w:p w14:paraId="34213A8C">
      <w:pPr>
        <w:pStyle w:val="4"/>
        <w:rPr>
          <w:lang w:eastAsia="zh-CN"/>
        </w:rPr>
      </w:pPr>
      <w:bookmarkStart w:id="211" w:name="_Toc408413951"/>
      <w:r>
        <w:rPr>
          <w:lang w:eastAsia="zh-CN"/>
        </w:rPr>
        <w:t>3.</w:t>
      </w:r>
      <w:r>
        <w:rPr>
          <w:rFonts w:hint="eastAsia"/>
          <w:lang w:eastAsia="zh-CN"/>
        </w:rPr>
        <w:t>6</w:t>
      </w:r>
      <w:r>
        <w:rPr>
          <w:lang w:eastAsia="zh-CN"/>
        </w:rPr>
        <w:t>.4固体废弃物排放及处置措施</w:t>
      </w:r>
      <w:bookmarkEnd w:id="211"/>
    </w:p>
    <w:p w14:paraId="0F005B71">
      <w:pPr>
        <w:ind w:firstLine="480"/>
        <w:rPr>
          <w:rFonts w:asciiTheme="minorEastAsia" w:hAnsiTheme="minorEastAsia" w:eastAsiaTheme="minorEastAsia"/>
          <w:lang w:eastAsia="zh-CN"/>
        </w:rPr>
      </w:pPr>
      <w:r>
        <w:rPr>
          <w:rFonts w:asciiTheme="minorEastAsia" w:hAnsiTheme="minorEastAsia" w:eastAsiaTheme="minorEastAsia"/>
          <w:lang w:eastAsia="zh-CN"/>
        </w:rPr>
        <w:t>油田开发过程中的废弃物主要有钻井废弃泥浆、钻井岩屑、</w:t>
      </w:r>
      <w:r>
        <w:rPr>
          <w:rFonts w:hint="eastAsia" w:asciiTheme="minorEastAsia" w:hAnsiTheme="minorEastAsia" w:eastAsiaTheme="minorEastAsia"/>
          <w:lang w:eastAsia="zh-CN"/>
        </w:rPr>
        <w:t>落地油、</w:t>
      </w:r>
      <w:r>
        <w:rPr>
          <w:rFonts w:asciiTheme="minorEastAsia" w:hAnsiTheme="minorEastAsia" w:eastAsiaTheme="minorEastAsia"/>
          <w:lang w:eastAsia="zh-CN"/>
        </w:rPr>
        <w:t>原油储罐底部分离出的泥砂、办公生活区产生的生活垃圾，以及生产废水及生活污水处理产生的污泥。</w:t>
      </w:r>
    </w:p>
    <w:p w14:paraId="3D9B8241">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1、钻井废弃泥浆</w:t>
      </w:r>
    </w:p>
    <w:p w14:paraId="6AFB62AE">
      <w:pPr>
        <w:ind w:firstLine="480"/>
        <w:rPr>
          <w:rFonts w:asciiTheme="minorEastAsia" w:hAnsiTheme="minorEastAsia" w:eastAsiaTheme="minorEastAsia"/>
          <w:lang w:eastAsia="zh-CN"/>
        </w:rPr>
      </w:pPr>
      <w:r>
        <w:rPr>
          <w:rFonts w:asciiTheme="minorEastAsia" w:hAnsiTheme="minorEastAsia" w:eastAsiaTheme="minorEastAsia"/>
          <w:lang w:eastAsia="zh-CN"/>
        </w:rPr>
        <w:t>泥浆用于钻井作业，起携带岩屑、稳定井壁、冷却和冲洗钻头、调节油层区压以及防止井喷、塌、卡等作用。</w:t>
      </w:r>
    </w:p>
    <w:p w14:paraId="0B9B4706">
      <w:pPr>
        <w:ind w:firstLine="480"/>
        <w:rPr>
          <w:rFonts w:asciiTheme="minorEastAsia" w:hAnsiTheme="minorEastAsia" w:eastAsiaTheme="minorEastAsia"/>
          <w:lang w:eastAsia="zh-CN"/>
        </w:rPr>
      </w:pPr>
      <w:r>
        <w:rPr>
          <w:rFonts w:asciiTheme="minorEastAsia" w:hAnsiTheme="minorEastAsia" w:eastAsiaTheme="minorEastAsia"/>
          <w:lang w:eastAsia="zh-CN"/>
        </w:rPr>
        <w:t>据</w:t>
      </w:r>
      <w:r>
        <w:rPr>
          <w:rFonts w:hint="eastAsia" w:asciiTheme="minorEastAsia" w:hAnsiTheme="minorEastAsia" w:eastAsiaTheme="minorEastAsia"/>
          <w:lang w:eastAsia="zh-CN"/>
        </w:rPr>
        <w:t>乌里雅斯太</w:t>
      </w:r>
      <w:r>
        <w:rPr>
          <w:rFonts w:asciiTheme="minorEastAsia" w:hAnsiTheme="minorEastAsia" w:eastAsiaTheme="minorEastAsia"/>
          <w:lang w:eastAsia="zh-CN"/>
        </w:rPr>
        <w:t>油田石油勘探统计，钻井期一般单井每100m进尺泥浆使用量为10～11t（本项目取</w:t>
      </w:r>
      <w:r>
        <w:rPr>
          <w:rFonts w:hint="eastAsia" w:asciiTheme="minorEastAsia" w:hAnsiTheme="minorEastAsia" w:eastAsiaTheme="minorEastAsia"/>
          <w:lang w:eastAsia="zh-CN"/>
        </w:rPr>
        <w:t>最大</w:t>
      </w:r>
      <w:r>
        <w:rPr>
          <w:rFonts w:asciiTheme="minorEastAsia" w:hAnsiTheme="minorEastAsia" w:eastAsiaTheme="minorEastAsia"/>
          <w:lang w:eastAsia="zh-CN"/>
        </w:rPr>
        <w:t>值</w:t>
      </w:r>
      <w:r>
        <w:rPr>
          <w:rFonts w:hint="eastAsia" w:asciiTheme="minorEastAsia" w:hAnsiTheme="minorEastAsia" w:eastAsiaTheme="minorEastAsia"/>
          <w:lang w:eastAsia="zh-CN"/>
        </w:rPr>
        <w:t>11.0</w:t>
      </w:r>
      <w:r>
        <w:rPr>
          <w:rFonts w:asciiTheme="minorEastAsia" w:hAnsiTheme="minorEastAsia" w:eastAsiaTheme="minorEastAsia"/>
          <w:lang w:eastAsia="zh-CN"/>
        </w:rPr>
        <w:t>t）。在钻井期间产生的泥浆大部分回收再利用，回收率约为60%，钻井深平均约</w:t>
      </w:r>
      <w:r>
        <w:rPr>
          <w:rFonts w:hint="eastAsia" w:asciiTheme="minorEastAsia" w:hAnsiTheme="minorEastAsia" w:eastAsiaTheme="minorEastAsia"/>
          <w:lang w:eastAsia="zh-CN"/>
        </w:rPr>
        <w:t>1800</w:t>
      </w:r>
      <w:r>
        <w:rPr>
          <w:rFonts w:asciiTheme="minorEastAsia" w:hAnsiTheme="minorEastAsia" w:eastAsiaTheme="minorEastAsia"/>
          <w:lang w:eastAsia="zh-CN"/>
        </w:rPr>
        <w:t>m，则每口井钻井产生泥浆为</w:t>
      </w:r>
      <w:r>
        <w:rPr>
          <w:rFonts w:hint="eastAsia" w:asciiTheme="minorEastAsia" w:hAnsiTheme="minorEastAsia" w:eastAsiaTheme="minorEastAsia"/>
          <w:lang w:eastAsia="zh-CN"/>
        </w:rPr>
        <w:t>198</w:t>
      </w:r>
      <w:r>
        <w:rPr>
          <w:rFonts w:asciiTheme="minorEastAsia" w:hAnsiTheme="minorEastAsia" w:eastAsiaTheme="minorEastAsia"/>
          <w:lang w:eastAsia="zh-CN"/>
        </w:rPr>
        <w:t>t，排放的废弃泥浆约为</w:t>
      </w:r>
      <w:r>
        <w:rPr>
          <w:rFonts w:hint="eastAsia" w:asciiTheme="minorEastAsia" w:hAnsiTheme="minorEastAsia" w:eastAsiaTheme="minorEastAsia"/>
          <w:lang w:eastAsia="zh-CN"/>
        </w:rPr>
        <w:t>79.2</w:t>
      </w:r>
      <w:r>
        <w:rPr>
          <w:rFonts w:asciiTheme="minorEastAsia" w:hAnsiTheme="minorEastAsia" w:eastAsiaTheme="minorEastAsia"/>
          <w:lang w:eastAsia="zh-CN"/>
        </w:rPr>
        <w:t>t。泥浆的主要成分是土粉、纯碱、烧碱和无机及有机添加剂，废弃泥浆全部进入泥浆池，而后进行无害化固化稳定处理。</w:t>
      </w:r>
    </w:p>
    <w:p w14:paraId="68F30088">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2、钻井岩屑</w:t>
      </w:r>
    </w:p>
    <w:p w14:paraId="3A1C1F46">
      <w:pPr>
        <w:ind w:firstLine="480"/>
        <w:rPr>
          <w:rFonts w:asciiTheme="minorEastAsia" w:hAnsiTheme="minorEastAsia" w:eastAsiaTheme="minorEastAsia"/>
          <w:lang w:eastAsia="zh-CN"/>
        </w:rPr>
      </w:pPr>
      <w:r>
        <w:rPr>
          <w:rFonts w:asciiTheme="minorEastAsia" w:hAnsiTheme="minorEastAsia" w:eastAsiaTheme="minorEastAsia"/>
          <w:lang w:eastAsia="zh-CN"/>
        </w:rPr>
        <w:t>在钻井过程中，岩石经钻头和泥浆的研磨而破碎成岩屑，其中50%的岩屑混入泥浆中，剩余的岩屑经泥浆循环携带出井口，在地面经振动筛分离出来，排入泥浆池中随废弃泥浆一同处理。经类比</w:t>
      </w:r>
      <w:r>
        <w:rPr>
          <w:rFonts w:hint="eastAsia" w:asciiTheme="minorEastAsia" w:hAnsiTheme="minorEastAsia" w:eastAsiaTheme="minorEastAsia"/>
          <w:lang w:eastAsia="zh-CN"/>
        </w:rPr>
        <w:t>乌里雅斯太</w:t>
      </w:r>
      <w:r>
        <w:rPr>
          <w:rFonts w:asciiTheme="minorEastAsia" w:hAnsiTheme="minorEastAsia" w:eastAsiaTheme="minorEastAsia"/>
          <w:lang w:eastAsia="zh-CN"/>
        </w:rPr>
        <w:t>油田现有井的钻井情况，一般单井每100m进尺岩屑的产生量约为2.0t，钻井平均深</w:t>
      </w:r>
      <w:r>
        <w:rPr>
          <w:rFonts w:hint="eastAsia" w:asciiTheme="minorEastAsia" w:hAnsiTheme="minorEastAsia" w:eastAsiaTheme="minorEastAsia"/>
          <w:lang w:eastAsia="zh-CN"/>
        </w:rPr>
        <w:t>1800</w:t>
      </w:r>
      <w:r>
        <w:rPr>
          <w:rFonts w:asciiTheme="minorEastAsia" w:hAnsiTheme="minorEastAsia" w:eastAsiaTheme="minorEastAsia"/>
          <w:lang w:eastAsia="zh-CN"/>
        </w:rPr>
        <w:t>m，则每钻一口井岩屑产生量约为</w:t>
      </w:r>
      <w:r>
        <w:rPr>
          <w:rFonts w:hint="eastAsia" w:asciiTheme="minorEastAsia" w:hAnsiTheme="minorEastAsia" w:eastAsiaTheme="minorEastAsia"/>
          <w:lang w:eastAsia="zh-CN"/>
        </w:rPr>
        <w:t>36.0</w:t>
      </w:r>
      <w:r>
        <w:rPr>
          <w:rFonts w:asciiTheme="minorEastAsia" w:hAnsiTheme="minorEastAsia" w:eastAsiaTheme="minorEastAsia"/>
          <w:lang w:eastAsia="zh-CN"/>
        </w:rPr>
        <w:t>t，随钻井废弃泥浆一起进行无害化固化稳定及填埋处理。</w:t>
      </w:r>
    </w:p>
    <w:p w14:paraId="099CDEB5">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3、油泥砂</w:t>
      </w:r>
    </w:p>
    <w:p w14:paraId="7D36A635">
      <w:pPr>
        <w:ind w:firstLine="480"/>
        <w:rPr>
          <w:rFonts w:asciiTheme="minorEastAsia" w:hAnsiTheme="minorEastAsia" w:eastAsiaTheme="minorEastAsia"/>
          <w:lang w:eastAsia="zh-CN"/>
        </w:rPr>
      </w:pPr>
      <w:r>
        <w:rPr>
          <w:rFonts w:asciiTheme="minorEastAsia" w:hAnsiTheme="minorEastAsia" w:eastAsiaTheme="minorEastAsia"/>
          <w:lang w:eastAsia="zh-CN"/>
        </w:rPr>
        <w:t>油泥砂主要来源于</w:t>
      </w:r>
      <w:r>
        <w:rPr>
          <w:rFonts w:hint="eastAsia" w:asciiTheme="minorEastAsia" w:hAnsiTheme="minorEastAsia" w:eastAsiaTheme="minorEastAsia"/>
          <w:lang w:eastAsia="zh-CN"/>
        </w:rPr>
        <w:t>储油罐和</w:t>
      </w:r>
      <w:r>
        <w:rPr>
          <w:rFonts w:asciiTheme="minorEastAsia" w:hAnsiTheme="minorEastAsia" w:eastAsiaTheme="minorEastAsia"/>
          <w:lang w:eastAsia="zh-CN"/>
        </w:rPr>
        <w:t>污水处理系统，据类比监测结果可知，污水处理系统处理1t的含油废水产生0.237kg的含油泥砂量。</w:t>
      </w:r>
      <w:r>
        <w:rPr>
          <w:rFonts w:hint="eastAsia" w:asciiTheme="minorEastAsia" w:hAnsiTheme="minorEastAsia" w:eastAsiaTheme="minorEastAsia"/>
          <w:lang w:eastAsia="zh-CN"/>
        </w:rPr>
        <w:t>雅斯联合站</w:t>
      </w:r>
      <w:r>
        <w:rPr>
          <w:rFonts w:asciiTheme="minorEastAsia" w:hAnsiTheme="minorEastAsia" w:eastAsiaTheme="minorEastAsia"/>
          <w:lang w:eastAsia="zh-CN"/>
        </w:rPr>
        <w:t>污水处理系统处理的生产废水约</w:t>
      </w:r>
      <w:r>
        <w:rPr>
          <w:rFonts w:hint="eastAsia" w:asciiTheme="minorEastAsia" w:hAnsiTheme="minorEastAsia" w:eastAsiaTheme="minorEastAsia"/>
          <w:lang w:eastAsia="zh-CN"/>
        </w:rPr>
        <w:t>10.05×</w:t>
      </w:r>
      <w:r>
        <w:rPr>
          <w:rFonts w:asciiTheme="minorEastAsia" w:hAnsiTheme="minorEastAsia" w:eastAsiaTheme="minorEastAsia"/>
          <w:lang w:eastAsia="zh-CN"/>
        </w:rPr>
        <w:t>10</w:t>
      </w:r>
      <w:r>
        <w:rPr>
          <w:rFonts w:asciiTheme="minorEastAsia" w:hAnsiTheme="minorEastAsia" w:eastAsiaTheme="minorEastAsia"/>
          <w:vertAlign w:val="superscript"/>
          <w:lang w:eastAsia="zh-CN"/>
        </w:rPr>
        <w:t>4</w:t>
      </w:r>
      <w:r>
        <w:rPr>
          <w:rFonts w:asciiTheme="minorEastAsia" w:hAnsiTheme="minorEastAsia" w:eastAsiaTheme="minorEastAsia"/>
          <w:lang w:eastAsia="zh-CN"/>
        </w:rPr>
        <w:t>t/a，经污水处理系统处理后产生的油泥</w:t>
      </w:r>
      <w:r>
        <w:rPr>
          <w:rFonts w:hint="eastAsia" w:asciiTheme="minorEastAsia" w:hAnsiTheme="minorEastAsia" w:eastAsiaTheme="minorEastAsia"/>
          <w:lang w:eastAsia="zh-CN"/>
        </w:rPr>
        <w:t>23.82</w:t>
      </w:r>
      <w:r>
        <w:rPr>
          <w:rFonts w:asciiTheme="minorEastAsia" w:hAnsiTheme="minorEastAsia" w:eastAsiaTheme="minorEastAsia"/>
          <w:lang w:eastAsia="zh-CN"/>
        </w:rPr>
        <w:t>t/a。根据</w:t>
      </w:r>
      <w:r>
        <w:rPr>
          <w:rFonts w:hint="eastAsia" w:asciiTheme="minorEastAsia" w:hAnsiTheme="minorEastAsia" w:eastAsiaTheme="minorEastAsia"/>
          <w:lang w:eastAsia="zh-CN"/>
        </w:rPr>
        <w:t>乌里雅斯太</w:t>
      </w:r>
      <w:r>
        <w:rPr>
          <w:rFonts w:asciiTheme="minorEastAsia" w:hAnsiTheme="minorEastAsia" w:eastAsiaTheme="minorEastAsia"/>
          <w:lang w:eastAsia="zh-CN"/>
        </w:rPr>
        <w:t>油田经验数据，储油罐内每7t原油产生1kg油泥砂，</w:t>
      </w:r>
      <w:r>
        <w:rPr>
          <w:rFonts w:hint="eastAsia" w:asciiTheme="minorEastAsia" w:hAnsiTheme="minorEastAsia" w:eastAsiaTheme="minorEastAsia"/>
          <w:lang w:eastAsia="zh-CN"/>
        </w:rPr>
        <w:t>扩建工程最大产能将达到产</w:t>
      </w:r>
      <w:r>
        <w:rPr>
          <w:rFonts w:asciiTheme="minorEastAsia" w:hAnsiTheme="minorEastAsia" w:eastAsiaTheme="minorEastAsia"/>
          <w:lang w:eastAsia="zh-CN"/>
        </w:rPr>
        <w:t>油量为</w:t>
      </w:r>
      <w:r>
        <w:rPr>
          <w:rFonts w:hint="eastAsia" w:asciiTheme="minorEastAsia" w:hAnsiTheme="minorEastAsia" w:eastAsiaTheme="minorEastAsia"/>
          <w:lang w:eastAsia="zh-CN"/>
        </w:rPr>
        <w:t>8×</w:t>
      </w:r>
      <w:r>
        <w:rPr>
          <w:rFonts w:asciiTheme="minorEastAsia" w:hAnsiTheme="minorEastAsia" w:eastAsiaTheme="minorEastAsia"/>
          <w:lang w:eastAsia="zh-CN"/>
        </w:rPr>
        <w:t>10</w:t>
      </w:r>
      <w:r>
        <w:rPr>
          <w:rFonts w:asciiTheme="minorEastAsia" w:hAnsiTheme="minorEastAsia" w:eastAsiaTheme="minorEastAsia"/>
          <w:vertAlign w:val="superscript"/>
          <w:lang w:eastAsia="zh-CN"/>
        </w:rPr>
        <w:t>4</w:t>
      </w:r>
      <w:r>
        <w:rPr>
          <w:rFonts w:asciiTheme="minorEastAsia" w:hAnsiTheme="minorEastAsia" w:eastAsiaTheme="minorEastAsia"/>
          <w:lang w:eastAsia="zh-CN"/>
        </w:rPr>
        <w:t>t/a，产生油泥砂</w:t>
      </w:r>
      <w:r>
        <w:rPr>
          <w:rFonts w:hint="eastAsia" w:asciiTheme="minorEastAsia" w:hAnsiTheme="minorEastAsia" w:eastAsiaTheme="minorEastAsia"/>
          <w:lang w:eastAsia="zh-CN"/>
        </w:rPr>
        <w:t>11.43</w:t>
      </w:r>
      <w:r>
        <w:rPr>
          <w:rFonts w:asciiTheme="minorEastAsia" w:hAnsiTheme="minorEastAsia" w:eastAsiaTheme="minorEastAsia"/>
          <w:lang w:eastAsia="zh-CN"/>
        </w:rPr>
        <w:t>t/a。</w:t>
      </w:r>
      <w:r>
        <w:rPr>
          <w:rFonts w:hint="eastAsia" w:asciiTheme="minorEastAsia" w:hAnsiTheme="minorEastAsia" w:eastAsiaTheme="minorEastAsia"/>
          <w:lang w:eastAsia="zh-CN"/>
        </w:rPr>
        <w:t>油田达到最大产能后</w:t>
      </w:r>
      <w:r>
        <w:rPr>
          <w:rFonts w:asciiTheme="minorEastAsia" w:hAnsiTheme="minorEastAsia" w:eastAsiaTheme="minorEastAsia"/>
          <w:lang w:eastAsia="zh-CN"/>
        </w:rPr>
        <w:t>产生总油泥砂量</w:t>
      </w:r>
      <w:r>
        <w:rPr>
          <w:rFonts w:hint="eastAsia" w:asciiTheme="minorEastAsia" w:hAnsiTheme="minorEastAsia" w:eastAsiaTheme="minorEastAsia"/>
          <w:lang w:eastAsia="zh-CN"/>
        </w:rPr>
        <w:t>35.25</w:t>
      </w:r>
      <w:r>
        <w:rPr>
          <w:rFonts w:asciiTheme="minorEastAsia" w:hAnsiTheme="minorEastAsia" w:eastAsiaTheme="minorEastAsia"/>
          <w:lang w:eastAsia="zh-CN"/>
        </w:rPr>
        <w:t>t/a。</w:t>
      </w:r>
      <w:r>
        <w:rPr>
          <w:rFonts w:hint="eastAsia" w:asciiTheme="minorEastAsia" w:hAnsiTheme="minorEastAsia" w:eastAsiaTheme="minorEastAsia"/>
          <w:lang w:eastAsia="zh-CN"/>
        </w:rPr>
        <w:t>油泥砂进入废液池，进行有效降解、沉降，上清液进入污水处理系统，底泥一般3-5年清理一次，委托东乌珠穆沁旗高科危险废物处理有限公司进行处置。。</w:t>
      </w:r>
    </w:p>
    <w:p w14:paraId="6BFD703D">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4、落地油</w:t>
      </w:r>
    </w:p>
    <w:p w14:paraId="01FC8ACF">
      <w:pPr>
        <w:ind w:firstLine="480"/>
        <w:rPr>
          <w:rFonts w:asciiTheme="minorEastAsia" w:hAnsiTheme="minorEastAsia" w:eastAsiaTheme="minorEastAsia"/>
          <w:lang w:eastAsia="zh-CN"/>
        </w:rPr>
      </w:pPr>
      <w:r>
        <w:rPr>
          <w:rFonts w:asciiTheme="minorEastAsia" w:hAnsiTheme="minorEastAsia" w:eastAsiaTheme="minorEastAsia"/>
          <w:lang w:eastAsia="zh-CN"/>
        </w:rPr>
        <w:t>在石油的开采过程中，建井期及采油期井下作业均有可能</w:t>
      </w:r>
      <w:r>
        <w:rPr>
          <w:rFonts w:hint="eastAsia" w:asciiTheme="minorEastAsia" w:hAnsiTheme="minorEastAsia" w:eastAsiaTheme="minorEastAsia"/>
          <w:lang w:eastAsia="zh-CN"/>
        </w:rPr>
        <w:t>使</w:t>
      </w:r>
      <w:r>
        <w:rPr>
          <w:rFonts w:asciiTheme="minorEastAsia" w:hAnsiTheme="minorEastAsia" w:eastAsiaTheme="minorEastAsia"/>
          <w:lang w:eastAsia="zh-CN"/>
        </w:rPr>
        <w:t>原油抛落于地面，由于洗井、修井等其它作业产生落地油，</w:t>
      </w:r>
      <w:r>
        <w:rPr>
          <w:rFonts w:hint="eastAsia" w:asciiTheme="minorEastAsia" w:hAnsiTheme="minorEastAsia" w:eastAsiaTheme="minorEastAsia"/>
          <w:lang w:eastAsia="zh-CN"/>
        </w:rPr>
        <w:t>根据乌里雅斯太油田经验数据，</w:t>
      </w:r>
      <w:r>
        <w:rPr>
          <w:rFonts w:asciiTheme="minorEastAsia" w:hAnsiTheme="minorEastAsia" w:eastAsiaTheme="minorEastAsia"/>
          <w:lang w:eastAsia="zh-CN"/>
        </w:rPr>
        <w:t>单个井运营期内</w:t>
      </w:r>
      <w:r>
        <w:rPr>
          <w:rFonts w:hint="eastAsia" w:asciiTheme="minorEastAsia" w:hAnsiTheme="minorEastAsia" w:eastAsiaTheme="minorEastAsia"/>
          <w:lang w:eastAsia="zh-CN"/>
        </w:rPr>
        <w:t>最多</w:t>
      </w:r>
      <w:r>
        <w:rPr>
          <w:rFonts w:asciiTheme="minorEastAsia" w:hAnsiTheme="minorEastAsia" w:eastAsiaTheme="minorEastAsia"/>
          <w:lang w:eastAsia="zh-CN"/>
        </w:rPr>
        <w:t>产生的落地油为6</w:t>
      </w:r>
      <w:r>
        <w:rPr>
          <w:rFonts w:hint="eastAsia" w:asciiTheme="minorEastAsia" w:hAnsiTheme="minorEastAsia" w:eastAsiaTheme="minorEastAsia"/>
          <w:lang w:eastAsia="zh-CN"/>
        </w:rPr>
        <w:t>.0</w:t>
      </w:r>
      <w:r>
        <w:rPr>
          <w:rFonts w:asciiTheme="minorEastAsia" w:hAnsiTheme="minorEastAsia" w:eastAsiaTheme="minorEastAsia"/>
          <w:lang w:eastAsia="zh-CN"/>
        </w:rPr>
        <w:t>t/a，</w:t>
      </w:r>
      <w:r>
        <w:rPr>
          <w:rFonts w:hint="eastAsia" w:asciiTheme="minorEastAsia" w:hAnsiTheme="minorEastAsia" w:eastAsiaTheme="minorEastAsia"/>
          <w:lang w:eastAsia="zh-CN"/>
        </w:rPr>
        <w:t>油田最多部署122口油井，最多开口104口，则产生的落地油量为624.0</w:t>
      </w:r>
      <w:r>
        <w:rPr>
          <w:rFonts w:asciiTheme="minorEastAsia" w:hAnsiTheme="minorEastAsia" w:eastAsiaTheme="minorEastAsia"/>
          <w:lang w:eastAsia="zh-CN"/>
        </w:rPr>
        <w:t>t/a</w:t>
      </w:r>
      <w:r>
        <w:rPr>
          <w:rFonts w:hint="eastAsia" w:asciiTheme="minorEastAsia" w:hAnsiTheme="minorEastAsia" w:eastAsiaTheme="minorEastAsia"/>
          <w:lang w:eastAsia="zh-CN"/>
        </w:rPr>
        <w:t>，</w:t>
      </w:r>
      <w:r>
        <w:rPr>
          <w:rFonts w:asciiTheme="minorEastAsia" w:hAnsiTheme="minorEastAsia" w:eastAsiaTheme="minorEastAsia"/>
          <w:lang w:eastAsia="zh-CN"/>
        </w:rPr>
        <w:t>落地油回收率99%，排入外环境的</w:t>
      </w:r>
      <w:r>
        <w:rPr>
          <w:rFonts w:hint="eastAsia" w:asciiTheme="minorEastAsia" w:hAnsiTheme="minorEastAsia" w:eastAsiaTheme="minorEastAsia"/>
          <w:lang w:eastAsia="zh-CN"/>
        </w:rPr>
        <w:t>（即落至</w:t>
      </w:r>
      <w:r>
        <w:rPr>
          <w:rFonts w:asciiTheme="minorEastAsia" w:hAnsiTheme="minorEastAsia" w:eastAsiaTheme="minorEastAsia"/>
          <w:lang w:eastAsia="zh-CN"/>
        </w:rPr>
        <w:t>防渗布</w:t>
      </w:r>
      <w:r>
        <w:rPr>
          <w:rFonts w:hint="eastAsia" w:asciiTheme="minorEastAsia" w:hAnsiTheme="minorEastAsia" w:eastAsiaTheme="minorEastAsia"/>
          <w:lang w:eastAsia="zh-CN"/>
        </w:rPr>
        <w:t>上的）</w:t>
      </w:r>
      <w:r>
        <w:rPr>
          <w:rFonts w:asciiTheme="minorEastAsia" w:hAnsiTheme="minorEastAsia" w:eastAsiaTheme="minorEastAsia"/>
          <w:lang w:eastAsia="zh-CN"/>
        </w:rPr>
        <w:t>落地油量为</w:t>
      </w:r>
      <w:r>
        <w:rPr>
          <w:rFonts w:hint="eastAsia" w:asciiTheme="minorEastAsia" w:hAnsiTheme="minorEastAsia" w:eastAsiaTheme="minorEastAsia"/>
          <w:lang w:eastAsia="zh-CN"/>
        </w:rPr>
        <w:t>2.64</w:t>
      </w:r>
      <w:r>
        <w:rPr>
          <w:rFonts w:asciiTheme="minorEastAsia" w:hAnsiTheme="minorEastAsia" w:eastAsiaTheme="minorEastAsia"/>
          <w:lang w:eastAsia="zh-CN"/>
        </w:rPr>
        <w:t>t/a</w:t>
      </w:r>
      <w:r>
        <w:rPr>
          <w:rFonts w:hint="eastAsia" w:asciiTheme="minorEastAsia" w:hAnsiTheme="minorEastAsia" w:eastAsiaTheme="minorEastAsia"/>
          <w:lang w:eastAsia="zh-CN"/>
        </w:rPr>
        <w:t>；</w:t>
      </w:r>
      <w:r>
        <w:rPr>
          <w:rFonts w:asciiTheme="minorEastAsia" w:hAnsiTheme="minorEastAsia" w:eastAsiaTheme="minorEastAsia"/>
          <w:lang w:eastAsia="zh-CN"/>
        </w:rPr>
        <w:t>建井期，一般每口井钻井期产生的落地油约为20kg/井次，</w:t>
      </w:r>
      <w:r>
        <w:rPr>
          <w:rFonts w:hint="eastAsia" w:asciiTheme="minorEastAsia" w:hAnsiTheme="minorEastAsia" w:eastAsiaTheme="minorEastAsia"/>
          <w:lang w:eastAsia="zh-CN"/>
        </w:rPr>
        <w:t>本次改扩建</w:t>
      </w:r>
      <w:r>
        <w:rPr>
          <w:rFonts w:asciiTheme="minorEastAsia" w:hAnsiTheme="minorEastAsia" w:eastAsiaTheme="minorEastAsia"/>
          <w:lang w:eastAsia="zh-CN"/>
        </w:rPr>
        <w:t>共</w:t>
      </w:r>
      <w:r>
        <w:rPr>
          <w:rFonts w:hint="eastAsia" w:asciiTheme="minorEastAsia" w:hAnsiTheme="minorEastAsia" w:eastAsiaTheme="minorEastAsia"/>
          <w:lang w:eastAsia="zh-CN"/>
        </w:rPr>
        <w:t>新</w:t>
      </w:r>
      <w:r>
        <w:rPr>
          <w:rFonts w:asciiTheme="minorEastAsia" w:hAnsiTheme="minorEastAsia" w:eastAsiaTheme="minorEastAsia"/>
          <w:lang w:eastAsia="zh-CN"/>
        </w:rPr>
        <w:t>建油井数</w:t>
      </w:r>
      <w:r>
        <w:rPr>
          <w:rFonts w:hint="eastAsia" w:asciiTheme="minorEastAsia" w:hAnsiTheme="minorEastAsia" w:eastAsiaTheme="minorEastAsia"/>
          <w:lang w:eastAsia="zh-CN"/>
        </w:rPr>
        <w:t>74</w:t>
      </w:r>
      <w:r>
        <w:rPr>
          <w:rFonts w:asciiTheme="minorEastAsia" w:hAnsiTheme="minorEastAsia" w:eastAsiaTheme="minorEastAsia"/>
          <w:lang w:eastAsia="zh-CN"/>
        </w:rPr>
        <w:t>口，则产生的落地油量约为</w:t>
      </w:r>
      <w:r>
        <w:rPr>
          <w:rFonts w:hint="eastAsia" w:asciiTheme="minorEastAsia" w:hAnsiTheme="minorEastAsia" w:eastAsiaTheme="minorEastAsia"/>
          <w:lang w:eastAsia="zh-CN"/>
        </w:rPr>
        <w:t>1.48</w:t>
      </w:r>
      <w:r>
        <w:rPr>
          <w:rFonts w:asciiTheme="minorEastAsia" w:hAnsiTheme="minorEastAsia" w:eastAsiaTheme="minorEastAsia"/>
          <w:lang w:eastAsia="zh-CN"/>
        </w:rPr>
        <w:t xml:space="preserve"> t/</w:t>
      </w:r>
      <w:r>
        <w:rPr>
          <w:rFonts w:hint="eastAsia" w:asciiTheme="minorEastAsia" w:hAnsiTheme="minorEastAsia" w:eastAsiaTheme="minorEastAsia"/>
          <w:lang w:eastAsia="zh-CN"/>
        </w:rPr>
        <w:t>a</w:t>
      </w:r>
      <w:r>
        <w:rPr>
          <w:rFonts w:asciiTheme="minorEastAsia" w:hAnsiTheme="minorEastAsia" w:eastAsiaTheme="minorEastAsia"/>
          <w:lang w:eastAsia="zh-CN"/>
        </w:rPr>
        <w:t>，落地油回收率99%，排入外环境的</w:t>
      </w:r>
      <w:r>
        <w:rPr>
          <w:rFonts w:hint="eastAsia" w:asciiTheme="minorEastAsia" w:hAnsiTheme="minorEastAsia" w:eastAsiaTheme="minorEastAsia"/>
          <w:lang w:eastAsia="zh-CN"/>
        </w:rPr>
        <w:t>（即落至</w:t>
      </w:r>
      <w:r>
        <w:rPr>
          <w:rFonts w:asciiTheme="minorEastAsia" w:hAnsiTheme="minorEastAsia" w:eastAsiaTheme="minorEastAsia"/>
          <w:lang w:eastAsia="zh-CN"/>
        </w:rPr>
        <w:t>防渗布</w:t>
      </w:r>
      <w:r>
        <w:rPr>
          <w:rFonts w:hint="eastAsia" w:asciiTheme="minorEastAsia" w:hAnsiTheme="minorEastAsia" w:eastAsiaTheme="minorEastAsia"/>
          <w:lang w:eastAsia="zh-CN"/>
        </w:rPr>
        <w:t>上的）</w:t>
      </w:r>
      <w:r>
        <w:rPr>
          <w:rFonts w:asciiTheme="minorEastAsia" w:hAnsiTheme="minorEastAsia" w:eastAsiaTheme="minorEastAsia"/>
          <w:lang w:eastAsia="zh-CN"/>
        </w:rPr>
        <w:t>落地油量为0.0</w:t>
      </w:r>
      <w:r>
        <w:rPr>
          <w:rFonts w:hint="eastAsia" w:asciiTheme="minorEastAsia" w:hAnsiTheme="minorEastAsia" w:eastAsiaTheme="minorEastAsia"/>
          <w:lang w:eastAsia="zh-CN"/>
        </w:rPr>
        <w:t>15</w:t>
      </w:r>
      <w:r>
        <w:rPr>
          <w:rFonts w:asciiTheme="minorEastAsia" w:hAnsiTheme="minorEastAsia" w:eastAsiaTheme="minorEastAsia"/>
          <w:lang w:eastAsia="zh-CN"/>
        </w:rPr>
        <w:t>t/</w:t>
      </w:r>
      <w:r>
        <w:rPr>
          <w:rFonts w:hint="eastAsia" w:asciiTheme="minorEastAsia" w:hAnsiTheme="minorEastAsia" w:eastAsiaTheme="minorEastAsia"/>
          <w:lang w:eastAsia="zh-CN"/>
        </w:rPr>
        <w:t>a</w:t>
      </w:r>
      <w:r>
        <w:rPr>
          <w:rFonts w:asciiTheme="minorEastAsia" w:hAnsiTheme="minorEastAsia" w:eastAsiaTheme="minorEastAsia"/>
          <w:lang w:eastAsia="zh-CN"/>
        </w:rPr>
        <w:t>。</w:t>
      </w:r>
      <w:r>
        <w:rPr>
          <w:rFonts w:hint="eastAsia" w:asciiTheme="minorEastAsia" w:hAnsiTheme="minorEastAsia" w:eastAsiaTheme="minorEastAsia"/>
          <w:lang w:eastAsia="zh-CN"/>
        </w:rPr>
        <w:t>乌里雅斯太</w:t>
      </w:r>
      <w:r>
        <w:rPr>
          <w:rFonts w:asciiTheme="minorEastAsia" w:hAnsiTheme="minorEastAsia" w:eastAsiaTheme="minorEastAsia"/>
          <w:lang w:eastAsia="zh-CN"/>
        </w:rPr>
        <w:t>油田作业时全部采取防渗布铺地，防止</w:t>
      </w:r>
      <w:r>
        <w:rPr>
          <w:rFonts w:hint="eastAsia" w:asciiTheme="minorEastAsia" w:hAnsiTheme="minorEastAsia" w:eastAsiaTheme="minorEastAsia"/>
          <w:lang w:eastAsia="zh-CN"/>
        </w:rPr>
        <w:t>落地油</w:t>
      </w:r>
      <w:r>
        <w:rPr>
          <w:rFonts w:asciiTheme="minorEastAsia" w:hAnsiTheme="minorEastAsia" w:eastAsiaTheme="minorEastAsia"/>
          <w:lang w:eastAsia="zh-CN"/>
        </w:rPr>
        <w:t>直接落在地面。回收的落地油</w:t>
      </w:r>
      <w:r>
        <w:rPr>
          <w:rFonts w:hint="eastAsia" w:asciiTheme="minorEastAsia" w:hAnsiTheme="minorEastAsia" w:eastAsiaTheme="minorEastAsia"/>
          <w:lang w:eastAsia="zh-CN"/>
        </w:rPr>
        <w:t>进入废液池，进行有效降解、沉降，上清液进入污水处理系统，底泥一般3-5年清理一次，委托东乌珠穆沁旗高科危险废物处理有限公司进行处置，落至</w:t>
      </w:r>
      <w:r>
        <w:rPr>
          <w:rFonts w:asciiTheme="minorEastAsia" w:hAnsiTheme="minorEastAsia" w:eastAsiaTheme="minorEastAsia"/>
          <w:lang w:eastAsia="zh-CN"/>
        </w:rPr>
        <w:t>防渗布</w:t>
      </w:r>
      <w:r>
        <w:rPr>
          <w:rFonts w:hint="eastAsia" w:asciiTheme="minorEastAsia" w:hAnsiTheme="minorEastAsia" w:eastAsiaTheme="minorEastAsia"/>
          <w:lang w:eastAsia="zh-CN"/>
        </w:rPr>
        <w:t>上的落地油委托东乌珠穆沁旗高科危险废物处理有限公司进行处置。</w:t>
      </w:r>
    </w:p>
    <w:p w14:paraId="10687A1A">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5、生活垃圾</w:t>
      </w:r>
    </w:p>
    <w:p w14:paraId="1AF47245">
      <w:pPr>
        <w:ind w:firstLine="480"/>
        <w:rPr>
          <w:rFonts w:asciiTheme="minorEastAsia" w:hAnsiTheme="minorEastAsia" w:eastAsiaTheme="minorEastAsia"/>
          <w:lang w:eastAsia="zh-CN"/>
        </w:rPr>
      </w:pPr>
      <w:r>
        <w:rPr>
          <w:rFonts w:asciiTheme="minorEastAsia" w:hAnsiTheme="minorEastAsia" w:eastAsiaTheme="minorEastAsia"/>
          <w:lang w:eastAsia="zh-CN"/>
        </w:rPr>
        <w:t>本项目</w:t>
      </w:r>
      <w:r>
        <w:rPr>
          <w:rFonts w:hint="eastAsia" w:asciiTheme="minorEastAsia" w:hAnsiTheme="minorEastAsia" w:eastAsiaTheme="minorEastAsia"/>
          <w:lang w:eastAsia="zh-CN"/>
        </w:rPr>
        <w:t>劳动定员63</w:t>
      </w:r>
      <w:r>
        <w:rPr>
          <w:rFonts w:asciiTheme="minorEastAsia" w:hAnsiTheme="minorEastAsia" w:eastAsiaTheme="minorEastAsia"/>
          <w:lang w:eastAsia="zh-CN"/>
        </w:rPr>
        <w:t>人，生活垃圾按每人每天产生</w:t>
      </w:r>
      <w:r>
        <w:rPr>
          <w:rFonts w:hint="eastAsia" w:asciiTheme="minorEastAsia" w:hAnsiTheme="minorEastAsia" w:eastAsiaTheme="minorEastAsia"/>
          <w:lang w:eastAsia="zh-CN"/>
        </w:rPr>
        <w:t>1.0</w:t>
      </w:r>
      <w:r>
        <w:rPr>
          <w:rFonts w:asciiTheme="minorEastAsia" w:hAnsiTheme="minorEastAsia" w:eastAsiaTheme="minorEastAsia"/>
          <w:lang w:eastAsia="zh-CN"/>
        </w:rPr>
        <w:t>kg计算，生活垃圾的产生量为</w:t>
      </w:r>
      <w:r>
        <w:rPr>
          <w:rFonts w:hint="eastAsia" w:asciiTheme="minorEastAsia" w:hAnsiTheme="minorEastAsia" w:eastAsiaTheme="minorEastAsia"/>
          <w:lang w:eastAsia="zh-CN"/>
        </w:rPr>
        <w:t>23.0t</w:t>
      </w:r>
      <w:r>
        <w:rPr>
          <w:rFonts w:asciiTheme="minorEastAsia" w:hAnsiTheme="minorEastAsia" w:eastAsiaTheme="minorEastAsia"/>
          <w:lang w:eastAsia="zh-CN"/>
        </w:rPr>
        <w:t>/a</w:t>
      </w:r>
      <w:r>
        <w:rPr>
          <w:rFonts w:hint="eastAsia" w:asciiTheme="minorEastAsia" w:hAnsiTheme="minorEastAsia" w:eastAsiaTheme="minorEastAsia"/>
          <w:lang w:eastAsia="zh-CN"/>
        </w:rPr>
        <w:t>。雅斯联合站内设有生活垃圾箱，集中收集后，运至联合站西侧集中填埋处置。</w:t>
      </w:r>
    </w:p>
    <w:p w14:paraId="67A2BE85">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乌里雅斯太</w:t>
      </w:r>
      <w:r>
        <w:rPr>
          <w:rFonts w:asciiTheme="minorEastAsia" w:hAnsiTheme="minorEastAsia" w:eastAsiaTheme="minorEastAsia"/>
          <w:lang w:eastAsia="zh-CN"/>
        </w:rPr>
        <w:t>油田开发建设中的固体废弃物排放情况见表3.</w:t>
      </w:r>
      <w:r>
        <w:rPr>
          <w:rFonts w:hint="eastAsia" w:asciiTheme="minorEastAsia" w:hAnsiTheme="minorEastAsia" w:eastAsiaTheme="minorEastAsia"/>
          <w:lang w:eastAsia="zh-CN"/>
        </w:rPr>
        <w:t>6</w:t>
      </w:r>
      <w:r>
        <w:rPr>
          <w:rFonts w:asciiTheme="minorEastAsia" w:hAnsiTheme="minorEastAsia" w:eastAsiaTheme="minorEastAsia"/>
          <w:lang w:eastAsia="zh-CN"/>
        </w:rPr>
        <w:t>-</w:t>
      </w:r>
      <w:r>
        <w:rPr>
          <w:rFonts w:hint="eastAsia" w:asciiTheme="minorEastAsia" w:hAnsiTheme="minorEastAsia" w:eastAsiaTheme="minorEastAsia"/>
          <w:lang w:eastAsia="zh-CN"/>
        </w:rPr>
        <w:t>7</w:t>
      </w:r>
      <w:r>
        <w:rPr>
          <w:rFonts w:asciiTheme="minorEastAsia" w:hAnsiTheme="minorEastAsia" w:eastAsiaTheme="minorEastAsia"/>
          <w:lang w:eastAsia="zh-CN"/>
        </w:rPr>
        <w:t>。</w:t>
      </w:r>
    </w:p>
    <w:p w14:paraId="5495BE0E">
      <w:pPr>
        <w:spacing w:line="240" w:lineRule="auto"/>
        <w:ind w:firstLine="482"/>
        <w:rPr>
          <w:b/>
          <w:lang w:eastAsia="zh-CN"/>
        </w:rPr>
      </w:pPr>
      <w:r>
        <w:rPr>
          <w:b/>
          <w:lang w:eastAsia="zh-CN"/>
        </w:rPr>
        <w:t>表3.</w:t>
      </w:r>
      <w:r>
        <w:rPr>
          <w:rFonts w:hint="eastAsia"/>
          <w:b/>
          <w:lang w:eastAsia="zh-CN"/>
        </w:rPr>
        <w:t>6</w:t>
      </w:r>
      <w:r>
        <w:rPr>
          <w:b/>
          <w:lang w:eastAsia="zh-CN"/>
        </w:rPr>
        <w:t>-</w:t>
      </w:r>
      <w:r>
        <w:rPr>
          <w:rFonts w:hint="eastAsia"/>
          <w:b/>
          <w:lang w:eastAsia="zh-CN"/>
        </w:rPr>
        <w:t>7</w:t>
      </w:r>
      <w:r>
        <w:rPr>
          <w:b/>
          <w:lang w:eastAsia="zh-CN"/>
        </w:rPr>
        <w:t xml:space="preserve">  </w:t>
      </w:r>
      <w:r>
        <w:rPr>
          <w:rFonts w:hint="eastAsia"/>
          <w:b/>
          <w:lang w:eastAsia="zh-CN"/>
        </w:rPr>
        <w:t xml:space="preserve">  </w:t>
      </w:r>
      <w:r>
        <w:rPr>
          <w:b/>
          <w:lang w:eastAsia="zh-CN"/>
        </w:rPr>
        <w:t>固废污染物产</w:t>
      </w:r>
      <w:r>
        <w:rPr>
          <w:rFonts w:hint="eastAsia"/>
          <w:b/>
          <w:lang w:eastAsia="zh-CN"/>
        </w:rPr>
        <w:t>（排）情况汇总</w:t>
      </w:r>
      <w:r>
        <w:rPr>
          <w:b/>
          <w:lang w:eastAsia="zh-CN"/>
        </w:rPr>
        <w:t>表</w:t>
      </w:r>
    </w:p>
    <w:tbl>
      <w:tblPr>
        <w:tblStyle w:val="7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93"/>
        <w:gridCol w:w="1843"/>
        <w:gridCol w:w="4593"/>
      </w:tblGrid>
      <w:tr w14:paraId="104120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093" w:type="dxa"/>
            <w:vAlign w:val="center"/>
          </w:tcPr>
          <w:p w14:paraId="46A9A95A">
            <w:pPr>
              <w:pStyle w:val="337"/>
              <w:rPr>
                <w:color w:val="auto"/>
                <w:lang w:val="en-US" w:eastAsia="en-US" w:bidi="en-US"/>
              </w:rPr>
            </w:pPr>
            <w:r>
              <w:rPr>
                <w:color w:val="auto"/>
                <w:lang w:val="en-US" w:eastAsia="en-US" w:bidi="en-US"/>
              </w:rPr>
              <w:t>类型</w:t>
            </w:r>
          </w:p>
        </w:tc>
        <w:tc>
          <w:tcPr>
            <w:tcW w:w="1843" w:type="dxa"/>
            <w:vAlign w:val="center"/>
          </w:tcPr>
          <w:p w14:paraId="312F2E0B">
            <w:pPr>
              <w:pStyle w:val="337"/>
              <w:rPr>
                <w:color w:val="auto"/>
                <w:lang w:val="en-US" w:eastAsia="en-US" w:bidi="en-US"/>
              </w:rPr>
            </w:pPr>
            <w:r>
              <w:rPr>
                <w:color w:val="auto"/>
                <w:lang w:val="en-US" w:eastAsia="en-US" w:bidi="en-US"/>
              </w:rPr>
              <w:t>排放量</w:t>
            </w:r>
          </w:p>
          <w:p w14:paraId="618B0185">
            <w:pPr>
              <w:pStyle w:val="337"/>
              <w:rPr>
                <w:color w:val="auto"/>
                <w:lang w:val="en-US" w:eastAsia="en-US" w:bidi="en-US"/>
              </w:rPr>
            </w:pPr>
            <w:r>
              <w:rPr>
                <w:color w:val="auto"/>
                <w:lang w:val="en-US" w:eastAsia="en-US" w:bidi="en-US"/>
              </w:rPr>
              <w:t>(t/a)</w:t>
            </w:r>
          </w:p>
        </w:tc>
        <w:tc>
          <w:tcPr>
            <w:tcW w:w="4593" w:type="dxa"/>
            <w:vAlign w:val="center"/>
          </w:tcPr>
          <w:p w14:paraId="46008203">
            <w:pPr>
              <w:pStyle w:val="337"/>
              <w:rPr>
                <w:color w:val="auto"/>
                <w:lang w:val="en-US" w:eastAsia="en-US" w:bidi="en-US"/>
              </w:rPr>
            </w:pPr>
            <w:r>
              <w:rPr>
                <w:color w:val="auto"/>
                <w:lang w:val="en-US" w:eastAsia="en-US" w:bidi="en-US"/>
              </w:rPr>
              <w:t>排放去向</w:t>
            </w:r>
          </w:p>
        </w:tc>
      </w:tr>
      <w:tr w14:paraId="13DBFF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093" w:type="dxa"/>
            <w:vAlign w:val="center"/>
          </w:tcPr>
          <w:p w14:paraId="67E898DB">
            <w:pPr>
              <w:pStyle w:val="337"/>
              <w:rPr>
                <w:color w:val="auto"/>
                <w:lang w:val="en-US" w:eastAsia="zh-CN" w:bidi="en-US"/>
              </w:rPr>
            </w:pPr>
            <w:r>
              <w:rPr>
                <w:color w:val="auto"/>
                <w:lang w:val="en-US" w:eastAsia="zh-CN" w:bidi="en-US"/>
              </w:rPr>
              <w:t>钻井废弃泥浆</w:t>
            </w:r>
          </w:p>
          <w:p w14:paraId="2B37BEB8">
            <w:pPr>
              <w:pStyle w:val="337"/>
              <w:rPr>
                <w:color w:val="auto"/>
                <w:lang w:val="en-US" w:eastAsia="zh-CN" w:bidi="en-US"/>
              </w:rPr>
            </w:pPr>
            <w:r>
              <w:rPr>
                <w:color w:val="auto"/>
                <w:lang w:val="en-US" w:eastAsia="zh-CN" w:bidi="en-US"/>
              </w:rPr>
              <w:t>（单井）</w:t>
            </w:r>
          </w:p>
        </w:tc>
        <w:tc>
          <w:tcPr>
            <w:tcW w:w="1843" w:type="dxa"/>
            <w:vAlign w:val="center"/>
          </w:tcPr>
          <w:p w14:paraId="1CA2790D">
            <w:pPr>
              <w:pStyle w:val="337"/>
              <w:rPr>
                <w:color w:val="auto"/>
                <w:lang w:val="en-US" w:eastAsia="zh-CN" w:bidi="en-US"/>
              </w:rPr>
            </w:pPr>
            <w:r>
              <w:rPr>
                <w:rFonts w:hint="eastAsia"/>
                <w:color w:val="auto"/>
                <w:lang w:val="en-US" w:eastAsia="zh-CN"/>
              </w:rPr>
              <w:t>79.2</w:t>
            </w:r>
          </w:p>
        </w:tc>
        <w:tc>
          <w:tcPr>
            <w:tcW w:w="4593" w:type="dxa"/>
            <w:vAlign w:val="center"/>
          </w:tcPr>
          <w:p w14:paraId="1EC44E20">
            <w:pPr>
              <w:pStyle w:val="337"/>
              <w:rPr>
                <w:color w:val="auto"/>
                <w:lang w:val="en-US" w:eastAsia="zh-CN" w:bidi="en-US"/>
              </w:rPr>
            </w:pPr>
            <w:r>
              <w:rPr>
                <w:color w:val="auto"/>
                <w:lang w:val="en-US" w:eastAsia="zh-CN" w:bidi="en-US"/>
              </w:rPr>
              <w:t>井场</w:t>
            </w:r>
            <w:r>
              <w:rPr>
                <w:rFonts w:hint="eastAsia"/>
                <w:color w:val="auto"/>
                <w:lang w:val="en-US" w:eastAsia="zh-CN" w:bidi="en-US"/>
              </w:rPr>
              <w:t>防渗</w:t>
            </w:r>
            <w:r>
              <w:rPr>
                <w:color w:val="auto"/>
                <w:lang w:val="en-US" w:eastAsia="zh-CN" w:bidi="en-US"/>
              </w:rPr>
              <w:t>泥浆池</w:t>
            </w:r>
            <w:r>
              <w:rPr>
                <w:rFonts w:hint="eastAsia"/>
                <w:color w:val="auto"/>
                <w:lang w:val="en-US" w:eastAsia="zh-CN" w:bidi="en-US"/>
              </w:rPr>
              <w:t>，</w:t>
            </w:r>
            <w:r>
              <w:rPr>
                <w:color w:val="auto"/>
                <w:lang w:val="en-US" w:eastAsia="zh-CN" w:bidi="en-US"/>
              </w:rPr>
              <w:t>无害化固化稳定处理</w:t>
            </w:r>
          </w:p>
        </w:tc>
      </w:tr>
      <w:tr w14:paraId="0E3B23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093" w:type="dxa"/>
            <w:vAlign w:val="center"/>
          </w:tcPr>
          <w:p w14:paraId="09B1752C">
            <w:pPr>
              <w:pStyle w:val="337"/>
              <w:rPr>
                <w:color w:val="auto"/>
                <w:lang w:val="en-US" w:eastAsia="en-US" w:bidi="en-US"/>
              </w:rPr>
            </w:pPr>
            <w:r>
              <w:rPr>
                <w:color w:val="auto"/>
                <w:lang w:val="en-US" w:eastAsia="en-US" w:bidi="en-US"/>
              </w:rPr>
              <w:t>钻井岩屑</w:t>
            </w:r>
            <w:r>
              <w:rPr>
                <w:color w:val="auto"/>
                <w:lang w:val="en-US" w:eastAsia="zh-CN" w:bidi="en-US"/>
              </w:rPr>
              <w:t>（单井）</w:t>
            </w:r>
          </w:p>
        </w:tc>
        <w:tc>
          <w:tcPr>
            <w:tcW w:w="1843" w:type="dxa"/>
            <w:vAlign w:val="center"/>
          </w:tcPr>
          <w:p w14:paraId="67DDA160">
            <w:pPr>
              <w:pStyle w:val="337"/>
              <w:rPr>
                <w:color w:val="auto"/>
                <w:lang w:val="en-US" w:eastAsia="zh-CN" w:bidi="en-US"/>
              </w:rPr>
            </w:pPr>
            <w:r>
              <w:rPr>
                <w:rFonts w:hint="eastAsia"/>
                <w:color w:val="auto"/>
                <w:lang w:val="en-US" w:eastAsia="zh-CN" w:bidi="en-US"/>
              </w:rPr>
              <w:t>36.0</w:t>
            </w:r>
          </w:p>
        </w:tc>
        <w:tc>
          <w:tcPr>
            <w:tcW w:w="4593" w:type="dxa"/>
            <w:vAlign w:val="center"/>
          </w:tcPr>
          <w:p w14:paraId="1AA77686">
            <w:pPr>
              <w:pStyle w:val="337"/>
              <w:rPr>
                <w:color w:val="auto"/>
                <w:lang w:val="en-US" w:eastAsia="zh-CN" w:bidi="en-US"/>
              </w:rPr>
            </w:pPr>
            <w:r>
              <w:rPr>
                <w:color w:val="auto"/>
                <w:lang w:val="en-US" w:eastAsia="zh-CN" w:bidi="en-US"/>
              </w:rPr>
              <w:t>井场</w:t>
            </w:r>
            <w:r>
              <w:rPr>
                <w:rFonts w:hint="eastAsia"/>
                <w:color w:val="auto"/>
                <w:lang w:val="en-US" w:eastAsia="zh-CN" w:bidi="en-US"/>
              </w:rPr>
              <w:t>防渗</w:t>
            </w:r>
            <w:r>
              <w:rPr>
                <w:color w:val="auto"/>
                <w:lang w:val="en-US" w:eastAsia="zh-CN" w:bidi="en-US"/>
              </w:rPr>
              <w:t>泥浆池</w:t>
            </w:r>
            <w:r>
              <w:rPr>
                <w:rFonts w:hint="eastAsia"/>
                <w:color w:val="auto"/>
                <w:lang w:val="en-US" w:eastAsia="zh-CN" w:bidi="en-US"/>
              </w:rPr>
              <w:t>，</w:t>
            </w:r>
            <w:r>
              <w:rPr>
                <w:color w:val="auto"/>
                <w:lang w:val="en-US" w:eastAsia="zh-CN" w:bidi="en-US"/>
              </w:rPr>
              <w:t>无害化固化稳定处理</w:t>
            </w:r>
          </w:p>
        </w:tc>
      </w:tr>
      <w:tr w14:paraId="068857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093" w:type="dxa"/>
            <w:vAlign w:val="center"/>
          </w:tcPr>
          <w:p w14:paraId="678404D2">
            <w:pPr>
              <w:pStyle w:val="337"/>
              <w:rPr>
                <w:color w:val="auto"/>
                <w:lang w:val="en-US" w:eastAsia="en-US" w:bidi="en-US"/>
              </w:rPr>
            </w:pPr>
            <w:r>
              <w:rPr>
                <w:color w:val="auto"/>
                <w:lang w:val="en-US" w:eastAsia="en-US" w:bidi="en-US"/>
              </w:rPr>
              <w:t>油泥砂</w:t>
            </w:r>
          </w:p>
        </w:tc>
        <w:tc>
          <w:tcPr>
            <w:tcW w:w="1843" w:type="dxa"/>
            <w:vAlign w:val="center"/>
          </w:tcPr>
          <w:p w14:paraId="5ED6CFA8">
            <w:pPr>
              <w:pStyle w:val="337"/>
              <w:rPr>
                <w:color w:val="auto"/>
                <w:lang w:val="en-US" w:eastAsia="zh-CN" w:bidi="en-US"/>
              </w:rPr>
            </w:pPr>
            <w:r>
              <w:rPr>
                <w:rFonts w:hint="eastAsia"/>
                <w:color w:val="auto"/>
                <w:lang w:val="en-US" w:eastAsia="zh-CN"/>
              </w:rPr>
              <w:t>35.25</w:t>
            </w:r>
          </w:p>
        </w:tc>
        <w:tc>
          <w:tcPr>
            <w:tcW w:w="4593" w:type="dxa"/>
            <w:vAlign w:val="center"/>
          </w:tcPr>
          <w:p w14:paraId="00DC052C">
            <w:pPr>
              <w:pStyle w:val="337"/>
              <w:rPr>
                <w:color w:val="auto"/>
                <w:lang w:val="en-US" w:eastAsia="zh-CN" w:bidi="en-US"/>
              </w:rPr>
            </w:pPr>
            <w:r>
              <w:rPr>
                <w:rFonts w:hint="eastAsia"/>
                <w:color w:val="auto"/>
                <w:lang w:val="en-US" w:eastAsia="zh-CN" w:bidi="en-US"/>
              </w:rPr>
              <w:t>进入废液池进行有效降解、沉降，上清液进入污水处理系统，底泥一般3-5年清理一次，</w:t>
            </w:r>
            <w:r>
              <w:rPr>
                <w:rFonts w:hint="eastAsia" w:asciiTheme="minorEastAsia" w:hAnsiTheme="minorEastAsia" w:eastAsiaTheme="minorEastAsia"/>
                <w:color w:val="auto"/>
                <w:lang w:val="en-US" w:eastAsia="zh-CN"/>
              </w:rPr>
              <w:t>委托东乌珠穆沁旗高科危险废物处理有限公司进行处置</w:t>
            </w:r>
            <w:r>
              <w:rPr>
                <w:rFonts w:hint="eastAsia"/>
                <w:color w:val="auto"/>
                <w:lang w:val="en-US" w:eastAsia="zh-CN" w:bidi="en-US"/>
              </w:rPr>
              <w:t>。</w:t>
            </w:r>
          </w:p>
        </w:tc>
      </w:tr>
      <w:tr w14:paraId="46BA45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37" w:hRule="atLeast"/>
        </w:trPr>
        <w:tc>
          <w:tcPr>
            <w:tcW w:w="2093" w:type="dxa"/>
            <w:vMerge w:val="restart"/>
            <w:vAlign w:val="center"/>
          </w:tcPr>
          <w:p w14:paraId="7B1D5605">
            <w:pPr>
              <w:pStyle w:val="337"/>
              <w:rPr>
                <w:color w:val="auto"/>
                <w:lang w:val="en-US" w:eastAsia="en-US" w:bidi="en-US"/>
              </w:rPr>
            </w:pPr>
            <w:r>
              <w:rPr>
                <w:color w:val="auto"/>
                <w:lang w:val="en-US" w:eastAsia="en-US" w:bidi="en-US"/>
              </w:rPr>
              <w:t>落地油</w:t>
            </w:r>
          </w:p>
        </w:tc>
        <w:tc>
          <w:tcPr>
            <w:tcW w:w="1843" w:type="dxa"/>
            <w:vAlign w:val="center"/>
          </w:tcPr>
          <w:p w14:paraId="53CB26DE">
            <w:pPr>
              <w:pStyle w:val="337"/>
              <w:rPr>
                <w:color w:val="auto"/>
                <w:lang w:val="en-US" w:eastAsia="zh-CN" w:bidi="en-US"/>
              </w:rPr>
            </w:pPr>
            <w:r>
              <w:rPr>
                <w:color w:val="auto"/>
                <w:lang w:val="en-US" w:eastAsia="zh-CN" w:bidi="en-US"/>
              </w:rPr>
              <w:t>运营期</w:t>
            </w:r>
            <w:r>
              <w:rPr>
                <w:rFonts w:hint="eastAsia"/>
                <w:color w:val="auto"/>
                <w:lang w:val="en-US" w:eastAsia="zh-CN" w:bidi="en-US"/>
              </w:rPr>
              <w:t>2.64</w:t>
            </w:r>
          </w:p>
        </w:tc>
        <w:tc>
          <w:tcPr>
            <w:tcW w:w="4593" w:type="dxa"/>
            <w:vMerge w:val="restart"/>
            <w:vAlign w:val="center"/>
          </w:tcPr>
          <w:p w14:paraId="08B64732">
            <w:pPr>
              <w:pStyle w:val="337"/>
              <w:rPr>
                <w:color w:val="auto"/>
                <w:lang w:val="en-US" w:eastAsia="zh-CN" w:bidi="en-US"/>
              </w:rPr>
            </w:pPr>
            <w:r>
              <w:rPr>
                <w:color w:val="auto"/>
                <w:lang w:val="en-US" w:eastAsia="zh-CN"/>
              </w:rPr>
              <w:t>回收的落地油</w:t>
            </w:r>
            <w:r>
              <w:rPr>
                <w:rFonts w:hint="eastAsia"/>
                <w:color w:val="auto"/>
                <w:lang w:val="en-US" w:eastAsia="zh-CN"/>
              </w:rPr>
              <w:t>进入废液池，进行有效降解、沉降，上清液进入污水处理系统，底泥一般3-5年清理一次，集中运至阿尔善基地集中处置，</w:t>
            </w:r>
            <w:r>
              <w:rPr>
                <w:rFonts w:hint="eastAsia"/>
                <w:color w:val="auto"/>
                <w:lang w:val="en-US" w:eastAsia="zh-CN" w:bidi="en-US"/>
              </w:rPr>
              <w:t>落至</w:t>
            </w:r>
            <w:r>
              <w:rPr>
                <w:color w:val="auto"/>
                <w:lang w:val="en-US" w:eastAsia="zh-CN" w:bidi="en-US"/>
              </w:rPr>
              <w:t>防渗布</w:t>
            </w:r>
            <w:r>
              <w:rPr>
                <w:rFonts w:hint="eastAsia"/>
                <w:color w:val="auto"/>
                <w:lang w:val="en-US" w:eastAsia="zh-CN" w:bidi="en-US"/>
              </w:rPr>
              <w:t>上的落地油统一运至阿尔善基地处置</w:t>
            </w:r>
            <w:r>
              <w:rPr>
                <w:color w:val="auto"/>
                <w:lang w:val="en-US" w:eastAsia="zh-CN"/>
              </w:rPr>
              <w:t>。</w:t>
            </w:r>
          </w:p>
        </w:tc>
      </w:tr>
      <w:tr w14:paraId="35FB8C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093" w:type="dxa"/>
            <w:vMerge w:val="continue"/>
            <w:vAlign w:val="center"/>
          </w:tcPr>
          <w:p w14:paraId="3081EB17">
            <w:pPr>
              <w:pStyle w:val="337"/>
              <w:rPr>
                <w:color w:val="auto"/>
                <w:lang w:val="en-US" w:eastAsia="zh-CN" w:bidi="en-US"/>
              </w:rPr>
            </w:pPr>
          </w:p>
        </w:tc>
        <w:tc>
          <w:tcPr>
            <w:tcW w:w="1843" w:type="dxa"/>
            <w:vAlign w:val="center"/>
          </w:tcPr>
          <w:p w14:paraId="0306C111">
            <w:pPr>
              <w:pStyle w:val="337"/>
              <w:rPr>
                <w:color w:val="auto"/>
                <w:lang w:val="en-US" w:eastAsia="zh-CN" w:bidi="en-US"/>
              </w:rPr>
            </w:pPr>
            <w:r>
              <w:rPr>
                <w:color w:val="auto"/>
                <w:lang w:val="en-US" w:eastAsia="zh-CN" w:bidi="en-US"/>
              </w:rPr>
              <w:t>建设期</w:t>
            </w:r>
            <w:r>
              <w:rPr>
                <w:rFonts w:hint="eastAsia"/>
                <w:color w:val="auto"/>
                <w:lang w:val="en-US" w:eastAsia="zh-CN" w:bidi="en-US"/>
              </w:rPr>
              <w:t>0.015</w:t>
            </w:r>
          </w:p>
          <w:p w14:paraId="4D7C6BB3">
            <w:pPr>
              <w:pStyle w:val="337"/>
              <w:rPr>
                <w:color w:val="auto"/>
                <w:lang w:val="en-US" w:eastAsia="zh-CN" w:bidi="en-US"/>
              </w:rPr>
            </w:pPr>
            <w:r>
              <w:rPr>
                <w:rFonts w:hint="eastAsia"/>
                <w:color w:val="auto"/>
                <w:lang w:val="en-US" w:eastAsia="zh-CN" w:bidi="en-US"/>
              </w:rPr>
              <w:t>（t/a）</w:t>
            </w:r>
          </w:p>
        </w:tc>
        <w:tc>
          <w:tcPr>
            <w:tcW w:w="4593" w:type="dxa"/>
            <w:vMerge w:val="continue"/>
            <w:vAlign w:val="center"/>
          </w:tcPr>
          <w:p w14:paraId="562E0B6B">
            <w:pPr>
              <w:pStyle w:val="337"/>
              <w:rPr>
                <w:color w:val="auto"/>
                <w:lang w:val="en-US" w:eastAsia="zh-CN" w:bidi="en-US"/>
              </w:rPr>
            </w:pPr>
          </w:p>
        </w:tc>
      </w:tr>
      <w:tr w14:paraId="2378E4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093" w:type="dxa"/>
            <w:vAlign w:val="center"/>
          </w:tcPr>
          <w:p w14:paraId="2097A5F1">
            <w:pPr>
              <w:pStyle w:val="337"/>
              <w:rPr>
                <w:color w:val="auto"/>
                <w:lang w:val="en-US" w:eastAsia="en-US" w:bidi="en-US"/>
              </w:rPr>
            </w:pPr>
            <w:r>
              <w:rPr>
                <w:color w:val="auto"/>
                <w:lang w:val="en-US" w:eastAsia="en-US" w:bidi="en-US"/>
              </w:rPr>
              <w:t>生活垃圾</w:t>
            </w:r>
          </w:p>
        </w:tc>
        <w:tc>
          <w:tcPr>
            <w:tcW w:w="1843" w:type="dxa"/>
            <w:vAlign w:val="center"/>
          </w:tcPr>
          <w:p w14:paraId="609C40A3">
            <w:pPr>
              <w:pStyle w:val="337"/>
              <w:rPr>
                <w:color w:val="auto"/>
                <w:lang w:val="en-US" w:eastAsia="zh-CN" w:bidi="en-US"/>
              </w:rPr>
            </w:pPr>
            <w:r>
              <w:rPr>
                <w:rFonts w:hint="eastAsia"/>
                <w:color w:val="auto"/>
                <w:lang w:val="en-US" w:eastAsia="zh-CN" w:bidi="en-US"/>
              </w:rPr>
              <w:t>23.0</w:t>
            </w:r>
          </w:p>
        </w:tc>
        <w:tc>
          <w:tcPr>
            <w:tcW w:w="4593" w:type="dxa"/>
            <w:vAlign w:val="center"/>
          </w:tcPr>
          <w:p w14:paraId="4CBFBE7E">
            <w:pPr>
              <w:pStyle w:val="337"/>
              <w:rPr>
                <w:color w:val="auto"/>
                <w:lang w:val="en-US" w:eastAsia="zh-CN" w:bidi="en-US"/>
              </w:rPr>
            </w:pPr>
            <w:r>
              <w:rPr>
                <w:rFonts w:hint="eastAsia"/>
                <w:color w:val="auto"/>
                <w:lang w:val="en-US" w:eastAsia="zh-CN"/>
              </w:rPr>
              <w:t>雅斯联合站内设有生活垃圾箱，集中收集后，运至联合站西侧集中填埋处置</w:t>
            </w:r>
          </w:p>
        </w:tc>
      </w:tr>
    </w:tbl>
    <w:p w14:paraId="3593F0C3">
      <w:pPr>
        <w:pStyle w:val="4"/>
        <w:rPr>
          <w:lang w:eastAsia="zh-CN"/>
        </w:rPr>
      </w:pPr>
      <w:bookmarkStart w:id="212" w:name="_Toc408413952"/>
      <w:r>
        <w:rPr>
          <w:lang w:eastAsia="zh-CN"/>
        </w:rPr>
        <w:t>3.</w:t>
      </w:r>
      <w:r>
        <w:rPr>
          <w:rFonts w:hint="eastAsia"/>
          <w:lang w:eastAsia="zh-CN"/>
        </w:rPr>
        <w:t>6</w:t>
      </w:r>
      <w:r>
        <w:rPr>
          <w:lang w:eastAsia="zh-CN"/>
        </w:rPr>
        <w:t>.5噪声污染影响分析</w:t>
      </w:r>
      <w:bookmarkEnd w:id="212"/>
    </w:p>
    <w:p w14:paraId="21923C68">
      <w:pPr>
        <w:ind w:firstLine="480"/>
        <w:rPr>
          <w:rFonts w:asciiTheme="minorEastAsia" w:hAnsiTheme="minorEastAsia" w:eastAsiaTheme="minorEastAsia"/>
          <w:lang w:eastAsia="zh-CN"/>
        </w:rPr>
      </w:pPr>
      <w:r>
        <w:rPr>
          <w:rFonts w:asciiTheme="minorEastAsia" w:hAnsiTheme="minorEastAsia" w:eastAsiaTheme="minorEastAsia"/>
          <w:lang w:eastAsia="zh-CN"/>
        </w:rPr>
        <w:t>在油田开发过程中，噪声的主要来源有：钻前拖拉机作业、钻井作业、固井作业、修井试油作业、油气输送作业等。由于这些作业多系野外作业，具有明显的流动性，因此，声源也具有不固定性和不稳定性。经现场测试并通过整理统计，油田</w:t>
      </w:r>
      <w:r>
        <w:rPr>
          <w:rFonts w:hint="eastAsia" w:asciiTheme="minorEastAsia" w:hAnsiTheme="minorEastAsia" w:eastAsiaTheme="minorEastAsia"/>
          <w:lang w:eastAsia="zh-CN"/>
        </w:rPr>
        <w:t>开采</w:t>
      </w:r>
      <w:r>
        <w:rPr>
          <w:rFonts w:asciiTheme="minorEastAsia" w:hAnsiTheme="minorEastAsia" w:eastAsiaTheme="minorEastAsia"/>
          <w:lang w:eastAsia="zh-CN"/>
        </w:rPr>
        <w:t>作业主要噪声源特征值见表3.</w:t>
      </w:r>
      <w:r>
        <w:rPr>
          <w:rFonts w:hint="eastAsia" w:asciiTheme="minorEastAsia" w:hAnsiTheme="minorEastAsia" w:eastAsiaTheme="minorEastAsia"/>
          <w:lang w:eastAsia="zh-CN"/>
        </w:rPr>
        <w:t>6</w:t>
      </w:r>
      <w:r>
        <w:rPr>
          <w:rFonts w:asciiTheme="minorEastAsia" w:hAnsiTheme="minorEastAsia" w:eastAsiaTheme="minorEastAsia"/>
          <w:lang w:eastAsia="zh-CN"/>
        </w:rPr>
        <w:t>-</w:t>
      </w:r>
      <w:r>
        <w:rPr>
          <w:rFonts w:hint="eastAsia" w:asciiTheme="minorEastAsia" w:hAnsiTheme="minorEastAsia" w:eastAsiaTheme="minorEastAsia"/>
          <w:lang w:eastAsia="zh-CN"/>
        </w:rPr>
        <w:t>8</w:t>
      </w:r>
      <w:r>
        <w:rPr>
          <w:rFonts w:asciiTheme="minorEastAsia" w:hAnsiTheme="minorEastAsia" w:eastAsiaTheme="minorEastAsia"/>
          <w:lang w:eastAsia="zh-CN"/>
        </w:rPr>
        <w:t>，</w:t>
      </w:r>
      <w:r>
        <w:rPr>
          <w:rFonts w:hint="eastAsia" w:asciiTheme="minorEastAsia" w:hAnsiTheme="minorEastAsia" w:eastAsiaTheme="minorEastAsia"/>
          <w:lang w:eastAsia="zh-CN"/>
        </w:rPr>
        <w:t>雅斯联合站</w:t>
      </w:r>
      <w:r>
        <w:rPr>
          <w:rFonts w:asciiTheme="minorEastAsia" w:hAnsiTheme="minorEastAsia" w:eastAsiaTheme="minorEastAsia"/>
          <w:lang w:eastAsia="zh-CN"/>
        </w:rPr>
        <w:t>站主要噪声源特征见表3.</w:t>
      </w:r>
      <w:r>
        <w:rPr>
          <w:rFonts w:hint="eastAsia" w:asciiTheme="minorEastAsia" w:hAnsiTheme="minorEastAsia" w:eastAsiaTheme="minorEastAsia"/>
          <w:lang w:eastAsia="zh-CN"/>
        </w:rPr>
        <w:t>6</w:t>
      </w:r>
      <w:r>
        <w:rPr>
          <w:rFonts w:asciiTheme="minorEastAsia" w:hAnsiTheme="minorEastAsia" w:eastAsiaTheme="minorEastAsia"/>
          <w:lang w:eastAsia="zh-CN"/>
        </w:rPr>
        <w:t>-</w:t>
      </w:r>
      <w:r>
        <w:rPr>
          <w:rFonts w:hint="eastAsia" w:asciiTheme="minorEastAsia" w:hAnsiTheme="minorEastAsia" w:eastAsiaTheme="minorEastAsia"/>
          <w:lang w:eastAsia="zh-CN"/>
        </w:rPr>
        <w:t>9</w:t>
      </w:r>
      <w:r>
        <w:rPr>
          <w:rFonts w:asciiTheme="minorEastAsia" w:hAnsiTheme="minorEastAsia" w:eastAsiaTheme="minorEastAsia"/>
          <w:lang w:eastAsia="zh-CN"/>
        </w:rPr>
        <w:t>。</w:t>
      </w:r>
    </w:p>
    <w:p w14:paraId="13BED4BA">
      <w:pPr>
        <w:spacing w:line="240" w:lineRule="auto"/>
        <w:ind w:firstLine="357" w:firstLineChars="148"/>
        <w:rPr>
          <w:b/>
          <w:szCs w:val="21"/>
          <w:lang w:eastAsia="zh-CN"/>
        </w:rPr>
      </w:pPr>
      <w:r>
        <w:rPr>
          <w:b/>
        </w:rPr>
        <w:t>表</w:t>
      </w:r>
      <w:r>
        <w:rPr>
          <w:b/>
          <w:lang w:eastAsia="zh-CN"/>
        </w:rPr>
        <w:t>3.</w:t>
      </w:r>
      <w:r>
        <w:rPr>
          <w:rFonts w:hint="eastAsia"/>
          <w:b/>
          <w:lang w:eastAsia="zh-CN"/>
        </w:rPr>
        <w:t>6</w:t>
      </w:r>
      <w:r>
        <w:rPr>
          <w:b/>
          <w:lang w:eastAsia="zh-CN"/>
        </w:rPr>
        <w:t>-</w:t>
      </w:r>
      <w:r>
        <w:rPr>
          <w:rFonts w:hint="eastAsia"/>
          <w:b/>
          <w:lang w:eastAsia="zh-CN"/>
        </w:rPr>
        <w:t>8</w:t>
      </w:r>
      <w:r>
        <w:rPr>
          <w:b/>
          <w:lang w:eastAsia="zh-CN"/>
        </w:rPr>
        <w:t xml:space="preserve">  </w:t>
      </w:r>
      <w:r>
        <w:rPr>
          <w:rFonts w:hint="eastAsia"/>
          <w:b/>
          <w:lang w:eastAsia="zh-CN"/>
        </w:rPr>
        <w:t xml:space="preserve">  </w:t>
      </w:r>
      <w:r>
        <w:rPr>
          <w:b/>
        </w:rPr>
        <w:t>油田开采作业主要噪声源特征值表</w:t>
      </w:r>
      <w:r>
        <w:rPr>
          <w:b/>
          <w:lang w:eastAsia="zh-CN"/>
        </w:rPr>
        <w:t xml:space="preserve">  </w:t>
      </w:r>
      <w:r>
        <w:rPr>
          <w:b/>
          <w:szCs w:val="21"/>
        </w:rPr>
        <w:t>单位：dB(A)</w:t>
      </w:r>
    </w:p>
    <w:tbl>
      <w:tblPr>
        <w:tblStyle w:val="7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07"/>
        <w:gridCol w:w="1610"/>
        <w:gridCol w:w="1405"/>
        <w:gridCol w:w="1202"/>
        <w:gridCol w:w="1610"/>
        <w:gridCol w:w="1405"/>
      </w:tblGrid>
      <w:tr w14:paraId="05F79B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07" w:type="dxa"/>
            <w:vAlign w:val="center"/>
          </w:tcPr>
          <w:p w14:paraId="30394D55">
            <w:pPr>
              <w:pStyle w:val="518"/>
            </w:pPr>
            <w:r>
              <w:t>作业内容</w:t>
            </w:r>
          </w:p>
        </w:tc>
        <w:tc>
          <w:tcPr>
            <w:tcW w:w="1610" w:type="dxa"/>
            <w:vAlign w:val="center"/>
          </w:tcPr>
          <w:p w14:paraId="2693AD88">
            <w:pPr>
              <w:pStyle w:val="518"/>
            </w:pPr>
            <w:r>
              <w:t>噪声</w:t>
            </w:r>
            <w:r>
              <w:rPr>
                <w:rFonts w:hint="eastAsia"/>
                <w:lang w:eastAsia="zh-CN"/>
              </w:rPr>
              <w:t>源强</w:t>
            </w:r>
          </w:p>
        </w:tc>
        <w:tc>
          <w:tcPr>
            <w:tcW w:w="1405" w:type="dxa"/>
            <w:vAlign w:val="center"/>
          </w:tcPr>
          <w:p w14:paraId="3AFC7447">
            <w:pPr>
              <w:pStyle w:val="518"/>
            </w:pPr>
            <w:r>
              <w:rPr>
                <w:rFonts w:hint="eastAsia"/>
                <w:lang w:eastAsia="zh-CN"/>
              </w:rPr>
              <w:t>井场160m处</w:t>
            </w:r>
            <w:r>
              <w:t>噪声</w:t>
            </w:r>
          </w:p>
        </w:tc>
        <w:tc>
          <w:tcPr>
            <w:tcW w:w="1202" w:type="dxa"/>
            <w:vAlign w:val="center"/>
          </w:tcPr>
          <w:p w14:paraId="5B181831">
            <w:pPr>
              <w:pStyle w:val="518"/>
            </w:pPr>
            <w:r>
              <w:t>作业内容</w:t>
            </w:r>
          </w:p>
        </w:tc>
        <w:tc>
          <w:tcPr>
            <w:tcW w:w="1610" w:type="dxa"/>
            <w:vAlign w:val="center"/>
          </w:tcPr>
          <w:p w14:paraId="72060861">
            <w:pPr>
              <w:pStyle w:val="518"/>
            </w:pPr>
            <w:r>
              <w:t>生产岗位噪声</w:t>
            </w:r>
          </w:p>
        </w:tc>
        <w:tc>
          <w:tcPr>
            <w:tcW w:w="1405" w:type="dxa"/>
            <w:vAlign w:val="center"/>
          </w:tcPr>
          <w:p w14:paraId="2812C58D">
            <w:pPr>
              <w:pStyle w:val="518"/>
            </w:pPr>
            <w:r>
              <w:rPr>
                <w:rFonts w:hint="eastAsia"/>
                <w:lang w:eastAsia="zh-CN"/>
              </w:rPr>
              <w:t>井场160m处</w:t>
            </w:r>
            <w:r>
              <w:t>噪声</w:t>
            </w:r>
          </w:p>
        </w:tc>
      </w:tr>
      <w:tr w14:paraId="25E939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07" w:type="dxa"/>
            <w:vAlign w:val="center"/>
          </w:tcPr>
          <w:p w14:paraId="1B4A813B">
            <w:pPr>
              <w:pStyle w:val="518"/>
            </w:pPr>
            <w:r>
              <w:t>钻　井</w:t>
            </w:r>
          </w:p>
        </w:tc>
        <w:tc>
          <w:tcPr>
            <w:tcW w:w="1610" w:type="dxa"/>
            <w:vAlign w:val="center"/>
          </w:tcPr>
          <w:p w14:paraId="3E27928E">
            <w:pPr>
              <w:pStyle w:val="518"/>
            </w:pPr>
            <w:r>
              <w:t>79～11</w:t>
            </w:r>
            <w:r>
              <w:rPr>
                <w:rFonts w:hint="eastAsia"/>
                <w:lang w:eastAsia="zh-CN"/>
              </w:rPr>
              <w:t>0</w:t>
            </w:r>
          </w:p>
        </w:tc>
        <w:tc>
          <w:tcPr>
            <w:tcW w:w="1405" w:type="dxa"/>
            <w:vAlign w:val="center"/>
          </w:tcPr>
          <w:p w14:paraId="080C4ACF">
            <w:pPr>
              <w:pStyle w:val="518"/>
            </w:pPr>
            <w:r>
              <w:rPr>
                <w:rFonts w:hint="eastAsia"/>
                <w:lang w:eastAsia="zh-CN"/>
              </w:rPr>
              <w:t>23.93</w:t>
            </w:r>
            <w:r>
              <w:t>～</w:t>
            </w:r>
            <w:r>
              <w:rPr>
                <w:rFonts w:hint="eastAsia"/>
                <w:lang w:eastAsia="zh-CN"/>
              </w:rPr>
              <w:t>54.93</w:t>
            </w:r>
          </w:p>
        </w:tc>
        <w:tc>
          <w:tcPr>
            <w:tcW w:w="1202" w:type="dxa"/>
            <w:vAlign w:val="center"/>
          </w:tcPr>
          <w:p w14:paraId="2D50FBE9">
            <w:pPr>
              <w:pStyle w:val="518"/>
              <w:rPr>
                <w:lang w:eastAsia="zh-CN"/>
              </w:rPr>
            </w:pPr>
            <w:r>
              <w:rPr>
                <w:lang w:eastAsia="zh-CN"/>
              </w:rPr>
              <w:t>柴油机</w:t>
            </w:r>
          </w:p>
        </w:tc>
        <w:tc>
          <w:tcPr>
            <w:tcW w:w="1610" w:type="dxa"/>
            <w:vAlign w:val="center"/>
          </w:tcPr>
          <w:p w14:paraId="70F738A9">
            <w:pPr>
              <w:pStyle w:val="518"/>
            </w:pPr>
            <w:r>
              <w:t>92～110</w:t>
            </w:r>
          </w:p>
        </w:tc>
        <w:tc>
          <w:tcPr>
            <w:tcW w:w="1405" w:type="dxa"/>
            <w:vAlign w:val="center"/>
          </w:tcPr>
          <w:p w14:paraId="282A5328">
            <w:pPr>
              <w:pStyle w:val="518"/>
            </w:pPr>
            <w:r>
              <w:rPr>
                <w:rFonts w:hint="eastAsia"/>
                <w:lang w:eastAsia="zh-CN"/>
              </w:rPr>
              <w:t>36.93</w:t>
            </w:r>
            <w:r>
              <w:t>～</w:t>
            </w:r>
            <w:r>
              <w:rPr>
                <w:rFonts w:hint="eastAsia"/>
                <w:lang w:eastAsia="zh-CN"/>
              </w:rPr>
              <w:t>54.93</w:t>
            </w:r>
          </w:p>
        </w:tc>
      </w:tr>
      <w:tr w14:paraId="56283B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07" w:type="dxa"/>
            <w:vAlign w:val="center"/>
          </w:tcPr>
          <w:p w14:paraId="3E8D83EB">
            <w:pPr>
              <w:pStyle w:val="518"/>
            </w:pPr>
            <w:r>
              <w:t>修　井</w:t>
            </w:r>
          </w:p>
        </w:tc>
        <w:tc>
          <w:tcPr>
            <w:tcW w:w="1610" w:type="dxa"/>
            <w:vAlign w:val="center"/>
          </w:tcPr>
          <w:p w14:paraId="3AB953CA">
            <w:pPr>
              <w:pStyle w:val="518"/>
            </w:pPr>
            <w:r>
              <w:t>63～11</w:t>
            </w:r>
            <w:r>
              <w:rPr>
                <w:rFonts w:hint="eastAsia"/>
                <w:lang w:eastAsia="zh-CN"/>
              </w:rPr>
              <w:t>0</w:t>
            </w:r>
          </w:p>
        </w:tc>
        <w:tc>
          <w:tcPr>
            <w:tcW w:w="1405" w:type="dxa"/>
            <w:vAlign w:val="center"/>
          </w:tcPr>
          <w:p w14:paraId="4C721CEC">
            <w:pPr>
              <w:pStyle w:val="518"/>
            </w:pPr>
            <w:r>
              <w:rPr>
                <w:rFonts w:hint="eastAsia"/>
                <w:lang w:eastAsia="zh-CN"/>
              </w:rPr>
              <w:t>54.93</w:t>
            </w:r>
          </w:p>
        </w:tc>
        <w:tc>
          <w:tcPr>
            <w:tcW w:w="1202" w:type="dxa"/>
            <w:vAlign w:val="center"/>
          </w:tcPr>
          <w:p w14:paraId="7AEF0A18">
            <w:pPr>
              <w:pStyle w:val="518"/>
            </w:pPr>
            <w:r>
              <w:t>采　油</w:t>
            </w:r>
          </w:p>
        </w:tc>
        <w:tc>
          <w:tcPr>
            <w:tcW w:w="1610" w:type="dxa"/>
            <w:vAlign w:val="center"/>
          </w:tcPr>
          <w:p w14:paraId="6BABD6AA">
            <w:pPr>
              <w:pStyle w:val="518"/>
            </w:pPr>
            <w:r>
              <w:t>70～101</w:t>
            </w:r>
          </w:p>
        </w:tc>
        <w:tc>
          <w:tcPr>
            <w:tcW w:w="1405" w:type="dxa"/>
            <w:vAlign w:val="center"/>
          </w:tcPr>
          <w:p w14:paraId="46C336B5">
            <w:pPr>
              <w:pStyle w:val="518"/>
            </w:pPr>
            <w:r>
              <w:rPr>
                <w:rFonts w:hint="eastAsia"/>
                <w:lang w:eastAsia="zh-CN"/>
              </w:rPr>
              <w:t>45.93</w:t>
            </w:r>
          </w:p>
        </w:tc>
      </w:tr>
      <w:tr w14:paraId="6812B5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07" w:type="dxa"/>
            <w:vAlign w:val="center"/>
          </w:tcPr>
          <w:p w14:paraId="7EC4F0AD">
            <w:pPr>
              <w:pStyle w:val="518"/>
            </w:pPr>
            <w:r>
              <w:t>固　井</w:t>
            </w:r>
          </w:p>
        </w:tc>
        <w:tc>
          <w:tcPr>
            <w:tcW w:w="1610" w:type="dxa"/>
            <w:vAlign w:val="center"/>
          </w:tcPr>
          <w:p w14:paraId="0711308F">
            <w:pPr>
              <w:pStyle w:val="518"/>
            </w:pPr>
            <w:r>
              <w:t>94～11</w:t>
            </w:r>
            <w:r>
              <w:rPr>
                <w:rFonts w:hint="eastAsia"/>
                <w:lang w:eastAsia="zh-CN"/>
              </w:rPr>
              <w:t>0</w:t>
            </w:r>
          </w:p>
        </w:tc>
        <w:tc>
          <w:tcPr>
            <w:tcW w:w="1405" w:type="dxa"/>
            <w:vAlign w:val="center"/>
          </w:tcPr>
          <w:p w14:paraId="2D27394D">
            <w:pPr>
              <w:pStyle w:val="518"/>
            </w:pPr>
            <w:r>
              <w:rPr>
                <w:rFonts w:hint="eastAsia"/>
                <w:lang w:eastAsia="zh-CN"/>
              </w:rPr>
              <w:t>54.93</w:t>
            </w:r>
          </w:p>
        </w:tc>
        <w:tc>
          <w:tcPr>
            <w:tcW w:w="1202" w:type="dxa"/>
            <w:vAlign w:val="center"/>
          </w:tcPr>
          <w:p w14:paraId="198551FA">
            <w:pPr>
              <w:pStyle w:val="518"/>
              <w:rPr>
                <w:lang w:eastAsia="zh-CN"/>
              </w:rPr>
            </w:pPr>
          </w:p>
        </w:tc>
        <w:tc>
          <w:tcPr>
            <w:tcW w:w="1610" w:type="dxa"/>
            <w:vAlign w:val="center"/>
          </w:tcPr>
          <w:p w14:paraId="247C5A4A">
            <w:pPr>
              <w:pStyle w:val="518"/>
            </w:pPr>
          </w:p>
        </w:tc>
        <w:tc>
          <w:tcPr>
            <w:tcW w:w="1405" w:type="dxa"/>
            <w:vAlign w:val="center"/>
          </w:tcPr>
          <w:p w14:paraId="14F12560">
            <w:pPr>
              <w:pStyle w:val="518"/>
            </w:pPr>
          </w:p>
        </w:tc>
      </w:tr>
    </w:tbl>
    <w:p w14:paraId="7E55F10F">
      <w:pPr>
        <w:spacing w:beforeLines="50" w:line="240" w:lineRule="auto"/>
        <w:ind w:firstLine="475" w:firstLineChars="197"/>
        <w:rPr>
          <w:b/>
          <w:lang w:eastAsia="zh-CN"/>
        </w:rPr>
      </w:pPr>
      <w:r>
        <w:rPr>
          <w:b/>
          <w:lang w:eastAsia="zh-CN"/>
        </w:rPr>
        <w:t>表3.</w:t>
      </w:r>
      <w:r>
        <w:rPr>
          <w:rFonts w:hint="eastAsia"/>
          <w:b/>
          <w:lang w:eastAsia="zh-CN"/>
        </w:rPr>
        <w:t>6</w:t>
      </w:r>
      <w:r>
        <w:rPr>
          <w:b/>
          <w:lang w:eastAsia="zh-CN"/>
        </w:rPr>
        <w:t>-</w:t>
      </w:r>
      <w:r>
        <w:rPr>
          <w:rFonts w:hint="eastAsia"/>
          <w:b/>
          <w:lang w:eastAsia="zh-CN"/>
        </w:rPr>
        <w:t>8</w:t>
      </w:r>
      <w:r>
        <w:rPr>
          <w:b/>
          <w:lang w:eastAsia="zh-CN"/>
        </w:rPr>
        <w:t xml:space="preserve">  </w:t>
      </w:r>
      <w:r>
        <w:rPr>
          <w:rFonts w:hint="eastAsia"/>
          <w:b/>
          <w:lang w:eastAsia="zh-CN"/>
        </w:rPr>
        <w:t xml:space="preserve">   </w:t>
      </w:r>
      <w:r>
        <w:rPr>
          <w:b/>
          <w:lang w:eastAsia="zh-CN"/>
        </w:rPr>
        <w:t>联合站</w:t>
      </w:r>
      <w:r>
        <w:rPr>
          <w:rFonts w:hint="eastAsia"/>
          <w:b/>
          <w:lang w:eastAsia="zh-CN"/>
        </w:rPr>
        <w:t>新增</w:t>
      </w:r>
      <w:r>
        <w:rPr>
          <w:b/>
          <w:lang w:eastAsia="zh-CN"/>
        </w:rPr>
        <w:t>主要声源特征   单位：dB(A)</w:t>
      </w:r>
    </w:p>
    <w:tbl>
      <w:tblPr>
        <w:tblStyle w:val="76"/>
        <w:tblW w:w="875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01"/>
        <w:gridCol w:w="1701"/>
        <w:gridCol w:w="1134"/>
        <w:gridCol w:w="1417"/>
        <w:gridCol w:w="1276"/>
        <w:gridCol w:w="2126"/>
      </w:tblGrid>
      <w:tr w14:paraId="7C2814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01" w:type="dxa"/>
            <w:vAlign w:val="center"/>
          </w:tcPr>
          <w:p w14:paraId="484A12CF">
            <w:pPr>
              <w:pStyle w:val="337"/>
              <w:rPr>
                <w:color w:val="auto"/>
                <w:lang w:val="en-US" w:eastAsia="zh-CN" w:bidi="en-US"/>
              </w:rPr>
            </w:pPr>
            <w:r>
              <w:rPr>
                <w:color w:val="auto"/>
                <w:lang w:val="en-US" w:eastAsia="en-US" w:bidi="en-US"/>
              </w:rPr>
              <w:t>噪声源</w:t>
            </w:r>
          </w:p>
          <w:p w14:paraId="4B62BEA0">
            <w:pPr>
              <w:pStyle w:val="337"/>
              <w:rPr>
                <w:color w:val="auto"/>
                <w:lang w:val="en-US" w:eastAsia="en-US" w:bidi="en-US"/>
              </w:rPr>
            </w:pPr>
            <w:r>
              <w:rPr>
                <w:color w:val="auto"/>
                <w:lang w:val="en-US" w:eastAsia="en-US" w:bidi="en-US"/>
              </w:rPr>
              <w:t>位置</w:t>
            </w:r>
          </w:p>
        </w:tc>
        <w:tc>
          <w:tcPr>
            <w:tcW w:w="1701" w:type="dxa"/>
            <w:vAlign w:val="center"/>
          </w:tcPr>
          <w:p w14:paraId="17168D00">
            <w:pPr>
              <w:pStyle w:val="337"/>
              <w:rPr>
                <w:color w:val="auto"/>
                <w:lang w:val="en-US" w:eastAsia="en-US" w:bidi="en-US"/>
              </w:rPr>
            </w:pPr>
            <w:r>
              <w:rPr>
                <w:color w:val="auto"/>
                <w:lang w:val="en-US" w:eastAsia="en-US" w:bidi="en-US"/>
              </w:rPr>
              <w:t>主要产噪设备</w:t>
            </w:r>
          </w:p>
        </w:tc>
        <w:tc>
          <w:tcPr>
            <w:tcW w:w="1134" w:type="dxa"/>
            <w:vAlign w:val="center"/>
          </w:tcPr>
          <w:p w14:paraId="5E78676F">
            <w:pPr>
              <w:pStyle w:val="337"/>
              <w:rPr>
                <w:color w:val="auto"/>
                <w:lang w:val="en-US" w:eastAsia="en-US" w:bidi="en-US"/>
              </w:rPr>
            </w:pPr>
            <w:r>
              <w:rPr>
                <w:color w:val="auto"/>
                <w:lang w:val="en-US" w:eastAsia="en-US" w:bidi="en-US"/>
              </w:rPr>
              <w:t>源强</w:t>
            </w:r>
          </w:p>
        </w:tc>
        <w:tc>
          <w:tcPr>
            <w:tcW w:w="1417" w:type="dxa"/>
            <w:tcBorders>
              <w:right w:val="single" w:color="auto" w:sz="4" w:space="0"/>
            </w:tcBorders>
            <w:vAlign w:val="center"/>
          </w:tcPr>
          <w:p w14:paraId="7C7027C7">
            <w:pPr>
              <w:pStyle w:val="337"/>
              <w:rPr>
                <w:color w:val="auto"/>
                <w:lang w:val="en-US" w:eastAsia="en-US" w:bidi="en-US"/>
              </w:rPr>
            </w:pPr>
            <w:r>
              <w:rPr>
                <w:rFonts w:hint="eastAsia"/>
                <w:color w:val="auto"/>
                <w:lang w:val="en-US" w:eastAsia="zh-CN" w:bidi="en-US"/>
              </w:rPr>
              <w:t>措施</w:t>
            </w:r>
          </w:p>
        </w:tc>
        <w:tc>
          <w:tcPr>
            <w:tcW w:w="1276" w:type="dxa"/>
            <w:tcBorders>
              <w:left w:val="single" w:color="auto" w:sz="4" w:space="0"/>
            </w:tcBorders>
            <w:vAlign w:val="center"/>
          </w:tcPr>
          <w:p w14:paraId="58621180">
            <w:pPr>
              <w:pStyle w:val="337"/>
              <w:rPr>
                <w:color w:val="auto"/>
                <w:lang w:val="en-US" w:eastAsia="en-US" w:bidi="en-US"/>
              </w:rPr>
            </w:pPr>
            <w:r>
              <w:rPr>
                <w:color w:val="auto"/>
                <w:lang w:val="en-US" w:eastAsia="en-US" w:bidi="en-US"/>
              </w:rPr>
              <w:t>治理后源强</w:t>
            </w:r>
          </w:p>
        </w:tc>
        <w:tc>
          <w:tcPr>
            <w:tcW w:w="2126" w:type="dxa"/>
            <w:vAlign w:val="center"/>
          </w:tcPr>
          <w:p w14:paraId="74608531">
            <w:pPr>
              <w:pStyle w:val="337"/>
              <w:rPr>
                <w:color w:val="auto"/>
                <w:lang w:val="en-US" w:eastAsia="en-US" w:bidi="en-US"/>
              </w:rPr>
            </w:pPr>
            <w:r>
              <w:rPr>
                <w:rFonts w:hint="eastAsia"/>
                <w:color w:val="auto"/>
                <w:lang w:val="en-US" w:eastAsia="zh-CN" w:bidi="en-US"/>
              </w:rPr>
              <w:t>场界噪声</w:t>
            </w:r>
          </w:p>
        </w:tc>
      </w:tr>
      <w:tr w14:paraId="12790B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01" w:type="dxa"/>
            <w:vMerge w:val="restart"/>
            <w:vAlign w:val="center"/>
          </w:tcPr>
          <w:p w14:paraId="7CD1028C">
            <w:pPr>
              <w:pStyle w:val="337"/>
              <w:rPr>
                <w:color w:val="auto"/>
                <w:lang w:val="en-US" w:eastAsia="zh-CN" w:bidi="en-US"/>
              </w:rPr>
            </w:pPr>
            <w:r>
              <w:rPr>
                <w:rFonts w:hint="eastAsia"/>
                <w:color w:val="auto"/>
                <w:lang w:val="en-US" w:eastAsia="zh-CN" w:bidi="en-US"/>
              </w:rPr>
              <w:t>雅斯</w:t>
            </w:r>
          </w:p>
          <w:p w14:paraId="19453036">
            <w:pPr>
              <w:pStyle w:val="337"/>
              <w:rPr>
                <w:color w:val="auto"/>
                <w:lang w:val="en-US" w:eastAsia="zh-CN" w:bidi="en-US"/>
              </w:rPr>
            </w:pPr>
            <w:r>
              <w:rPr>
                <w:rFonts w:hint="eastAsia"/>
                <w:color w:val="auto"/>
                <w:lang w:val="en-US" w:eastAsia="zh-CN" w:bidi="en-US"/>
              </w:rPr>
              <w:t>联合站</w:t>
            </w:r>
          </w:p>
        </w:tc>
        <w:tc>
          <w:tcPr>
            <w:tcW w:w="1701" w:type="dxa"/>
            <w:vAlign w:val="center"/>
          </w:tcPr>
          <w:p w14:paraId="5F252D53">
            <w:pPr>
              <w:pStyle w:val="337"/>
              <w:rPr>
                <w:color w:val="auto"/>
                <w:lang w:val="en-US" w:eastAsia="zh-CN" w:bidi="en-US"/>
              </w:rPr>
            </w:pPr>
            <w:r>
              <w:rPr>
                <w:rFonts w:hint="eastAsia"/>
                <w:color w:val="auto"/>
                <w:lang w:val="en-US" w:eastAsia="zh-CN" w:bidi="en-US"/>
              </w:rPr>
              <w:t xml:space="preserve">抽气压缩机组、 </w:t>
            </w:r>
            <w:r>
              <w:rPr>
                <w:color w:val="auto"/>
                <w:lang w:val="en-US" w:eastAsia="zh-CN" w:bidi="en-US"/>
              </w:rPr>
              <w:t>分离器</w:t>
            </w:r>
          </w:p>
        </w:tc>
        <w:tc>
          <w:tcPr>
            <w:tcW w:w="1134" w:type="dxa"/>
            <w:vAlign w:val="center"/>
          </w:tcPr>
          <w:p w14:paraId="5BF2F60A">
            <w:pPr>
              <w:pStyle w:val="337"/>
              <w:rPr>
                <w:color w:val="auto"/>
                <w:lang w:val="en-US" w:eastAsia="en-US" w:bidi="en-US"/>
              </w:rPr>
            </w:pPr>
            <w:r>
              <w:rPr>
                <w:color w:val="auto"/>
                <w:lang w:val="en-US" w:eastAsia="en-US" w:bidi="en-US"/>
              </w:rPr>
              <w:t>8</w:t>
            </w:r>
            <w:r>
              <w:rPr>
                <w:color w:val="auto"/>
                <w:lang w:val="en-US" w:eastAsia="zh-CN" w:bidi="en-US"/>
              </w:rPr>
              <w:t>5</w:t>
            </w:r>
            <w:r>
              <w:rPr>
                <w:color w:val="auto"/>
                <w:lang w:val="en-US" w:eastAsia="en-US" w:bidi="en-US"/>
              </w:rPr>
              <w:t>～93</w:t>
            </w:r>
          </w:p>
        </w:tc>
        <w:tc>
          <w:tcPr>
            <w:tcW w:w="1417" w:type="dxa"/>
            <w:tcBorders>
              <w:right w:val="single" w:color="auto" w:sz="4" w:space="0"/>
            </w:tcBorders>
            <w:vAlign w:val="center"/>
          </w:tcPr>
          <w:p w14:paraId="5CAAA585">
            <w:pPr>
              <w:pStyle w:val="337"/>
              <w:rPr>
                <w:color w:val="auto"/>
                <w:lang w:val="en-US" w:eastAsia="zh-CN" w:bidi="en-US"/>
              </w:rPr>
            </w:pPr>
            <w:r>
              <w:rPr>
                <w:rFonts w:hint="eastAsia"/>
                <w:color w:val="auto"/>
                <w:lang w:val="en-US" w:eastAsia="zh-CN" w:bidi="en-US"/>
              </w:rPr>
              <w:t>减震降噪垫</w:t>
            </w:r>
          </w:p>
          <w:p w14:paraId="172C22AC">
            <w:pPr>
              <w:pStyle w:val="337"/>
              <w:rPr>
                <w:color w:val="auto"/>
                <w:lang w:val="en-US" w:eastAsia="zh-CN" w:bidi="en-US"/>
              </w:rPr>
            </w:pPr>
            <w:r>
              <w:rPr>
                <w:rFonts w:hint="eastAsia"/>
                <w:color w:val="auto"/>
                <w:lang w:val="en-US" w:eastAsia="zh-CN" w:bidi="en-US"/>
              </w:rPr>
              <w:t>封闭</w:t>
            </w:r>
          </w:p>
        </w:tc>
        <w:tc>
          <w:tcPr>
            <w:tcW w:w="1276" w:type="dxa"/>
            <w:tcBorders>
              <w:left w:val="single" w:color="auto" w:sz="4" w:space="0"/>
            </w:tcBorders>
            <w:vAlign w:val="center"/>
          </w:tcPr>
          <w:p w14:paraId="0D641E21">
            <w:pPr>
              <w:pStyle w:val="337"/>
              <w:rPr>
                <w:color w:val="auto"/>
                <w:lang w:val="en-US" w:eastAsia="zh-CN" w:bidi="en-US"/>
              </w:rPr>
            </w:pPr>
            <w:r>
              <w:rPr>
                <w:color w:val="auto"/>
                <w:lang w:val="en-US" w:eastAsia="en-US" w:bidi="en-US"/>
              </w:rPr>
              <w:t>7</w:t>
            </w:r>
            <w:r>
              <w:rPr>
                <w:color w:val="auto"/>
                <w:lang w:val="en-US" w:eastAsia="zh-CN" w:bidi="en-US"/>
              </w:rPr>
              <w:t>1</w:t>
            </w:r>
          </w:p>
        </w:tc>
        <w:tc>
          <w:tcPr>
            <w:tcW w:w="2126" w:type="dxa"/>
            <w:vAlign w:val="center"/>
          </w:tcPr>
          <w:p w14:paraId="2CD085C4">
            <w:pPr>
              <w:pStyle w:val="337"/>
              <w:rPr>
                <w:color w:val="auto"/>
                <w:lang w:val="en-US" w:eastAsia="en-US" w:bidi="en-US"/>
              </w:rPr>
            </w:pPr>
            <w:r>
              <w:rPr>
                <w:rFonts w:hint="eastAsia"/>
                <w:color w:val="auto"/>
                <w:lang w:val="en-US" w:eastAsia="zh-CN" w:bidi="en-US"/>
              </w:rPr>
              <w:t>40.01</w:t>
            </w:r>
          </w:p>
        </w:tc>
      </w:tr>
      <w:tr w14:paraId="76932E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01" w:type="dxa"/>
            <w:vMerge w:val="continue"/>
            <w:vAlign w:val="center"/>
          </w:tcPr>
          <w:p w14:paraId="664E79CE">
            <w:pPr>
              <w:pStyle w:val="337"/>
              <w:rPr>
                <w:color w:val="auto"/>
                <w:lang w:val="en-US" w:eastAsia="zh-CN" w:bidi="en-US"/>
              </w:rPr>
            </w:pPr>
          </w:p>
        </w:tc>
        <w:tc>
          <w:tcPr>
            <w:tcW w:w="1701" w:type="dxa"/>
            <w:vAlign w:val="center"/>
          </w:tcPr>
          <w:p w14:paraId="2E547DEE">
            <w:pPr>
              <w:pStyle w:val="337"/>
              <w:rPr>
                <w:color w:val="auto"/>
                <w:lang w:val="en-US" w:eastAsia="zh-CN" w:bidi="en-US"/>
              </w:rPr>
            </w:pPr>
            <w:r>
              <w:rPr>
                <w:rFonts w:hint="eastAsia"/>
                <w:color w:val="auto"/>
                <w:lang w:val="en-US" w:eastAsia="zh-CN" w:bidi="en-US"/>
              </w:rPr>
              <w:t>搅拌机</w:t>
            </w:r>
          </w:p>
        </w:tc>
        <w:tc>
          <w:tcPr>
            <w:tcW w:w="1134" w:type="dxa"/>
            <w:vAlign w:val="center"/>
          </w:tcPr>
          <w:p w14:paraId="64478B56">
            <w:pPr>
              <w:pStyle w:val="337"/>
              <w:rPr>
                <w:color w:val="auto"/>
                <w:lang w:val="en-US" w:eastAsia="zh-CN" w:bidi="en-US"/>
              </w:rPr>
            </w:pPr>
            <w:r>
              <w:rPr>
                <w:rFonts w:hint="eastAsia"/>
                <w:color w:val="auto"/>
                <w:lang w:val="en-US" w:eastAsia="zh-CN" w:bidi="en-US"/>
              </w:rPr>
              <w:t>80～90</w:t>
            </w:r>
          </w:p>
        </w:tc>
        <w:tc>
          <w:tcPr>
            <w:tcW w:w="1417" w:type="dxa"/>
            <w:tcBorders>
              <w:right w:val="single" w:color="auto" w:sz="4" w:space="0"/>
            </w:tcBorders>
            <w:vAlign w:val="center"/>
          </w:tcPr>
          <w:p w14:paraId="0947E22D">
            <w:pPr>
              <w:pStyle w:val="337"/>
              <w:rPr>
                <w:color w:val="auto"/>
                <w:lang w:val="en-US" w:eastAsia="zh-CN" w:bidi="en-US"/>
              </w:rPr>
            </w:pPr>
            <w:r>
              <w:rPr>
                <w:rFonts w:hint="eastAsia"/>
                <w:color w:val="auto"/>
                <w:lang w:val="en-US" w:eastAsia="zh-CN" w:bidi="en-US"/>
              </w:rPr>
              <w:t>减震降噪垫</w:t>
            </w:r>
          </w:p>
          <w:p w14:paraId="6524806A">
            <w:pPr>
              <w:pStyle w:val="337"/>
              <w:rPr>
                <w:color w:val="auto"/>
                <w:lang w:val="en-US" w:eastAsia="zh-CN" w:bidi="en-US"/>
              </w:rPr>
            </w:pPr>
            <w:r>
              <w:rPr>
                <w:rFonts w:hint="eastAsia"/>
                <w:color w:val="auto"/>
                <w:lang w:val="en-US" w:eastAsia="zh-CN" w:bidi="en-US"/>
              </w:rPr>
              <w:t>封闭</w:t>
            </w:r>
          </w:p>
        </w:tc>
        <w:tc>
          <w:tcPr>
            <w:tcW w:w="1276" w:type="dxa"/>
            <w:tcBorders>
              <w:left w:val="single" w:color="auto" w:sz="4" w:space="0"/>
            </w:tcBorders>
            <w:vAlign w:val="center"/>
          </w:tcPr>
          <w:p w14:paraId="51D220E7">
            <w:pPr>
              <w:pStyle w:val="337"/>
              <w:rPr>
                <w:color w:val="auto"/>
                <w:lang w:val="en-US" w:eastAsia="zh-CN" w:bidi="en-US"/>
              </w:rPr>
            </w:pPr>
            <w:r>
              <w:rPr>
                <w:rFonts w:hint="eastAsia"/>
                <w:color w:val="auto"/>
                <w:lang w:val="en-US" w:eastAsia="zh-CN" w:bidi="en-US"/>
              </w:rPr>
              <w:t>70</w:t>
            </w:r>
          </w:p>
        </w:tc>
        <w:tc>
          <w:tcPr>
            <w:tcW w:w="2126" w:type="dxa"/>
            <w:vAlign w:val="center"/>
          </w:tcPr>
          <w:p w14:paraId="1C82D3E9">
            <w:pPr>
              <w:pStyle w:val="337"/>
              <w:rPr>
                <w:color w:val="auto"/>
                <w:lang w:val="en-US" w:eastAsia="zh-CN" w:bidi="en-US"/>
              </w:rPr>
            </w:pPr>
            <w:r>
              <w:rPr>
                <w:rFonts w:hint="eastAsia"/>
                <w:color w:val="auto"/>
                <w:lang w:val="en-US" w:eastAsia="zh-CN" w:bidi="en-US"/>
              </w:rPr>
              <w:t>39.01</w:t>
            </w:r>
          </w:p>
        </w:tc>
      </w:tr>
      <w:tr w14:paraId="6DB2F7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01" w:type="dxa"/>
            <w:vMerge w:val="continue"/>
            <w:vAlign w:val="center"/>
          </w:tcPr>
          <w:p w14:paraId="15CFF50A">
            <w:pPr>
              <w:pStyle w:val="337"/>
              <w:rPr>
                <w:color w:val="auto"/>
                <w:lang w:val="en-US" w:eastAsia="zh-CN" w:bidi="en-US"/>
              </w:rPr>
            </w:pPr>
          </w:p>
        </w:tc>
        <w:tc>
          <w:tcPr>
            <w:tcW w:w="1701" w:type="dxa"/>
            <w:vAlign w:val="center"/>
          </w:tcPr>
          <w:p w14:paraId="1336645B">
            <w:pPr>
              <w:pStyle w:val="337"/>
              <w:rPr>
                <w:color w:val="auto"/>
                <w:lang w:val="en-US" w:eastAsia="zh-CN" w:bidi="en-US"/>
              </w:rPr>
            </w:pPr>
            <w:r>
              <w:rPr>
                <w:rFonts w:hint="eastAsia"/>
                <w:color w:val="auto"/>
                <w:lang w:val="en-US" w:eastAsia="zh-CN" w:bidi="en-US"/>
              </w:rPr>
              <w:t>曝气风机</w:t>
            </w:r>
          </w:p>
        </w:tc>
        <w:tc>
          <w:tcPr>
            <w:tcW w:w="1134" w:type="dxa"/>
            <w:vAlign w:val="center"/>
          </w:tcPr>
          <w:p w14:paraId="7747FED6">
            <w:pPr>
              <w:pStyle w:val="337"/>
              <w:rPr>
                <w:color w:val="auto"/>
                <w:lang w:val="en-US" w:eastAsia="zh-CN" w:bidi="en-US"/>
              </w:rPr>
            </w:pPr>
            <w:r>
              <w:rPr>
                <w:rFonts w:hint="eastAsia"/>
                <w:color w:val="auto"/>
                <w:lang w:val="en-US" w:eastAsia="zh-CN" w:bidi="en-US"/>
              </w:rPr>
              <w:t>95～101</w:t>
            </w:r>
          </w:p>
        </w:tc>
        <w:tc>
          <w:tcPr>
            <w:tcW w:w="1417" w:type="dxa"/>
            <w:tcBorders>
              <w:right w:val="single" w:color="auto" w:sz="4" w:space="0"/>
            </w:tcBorders>
            <w:vAlign w:val="center"/>
          </w:tcPr>
          <w:p w14:paraId="2F030D35">
            <w:pPr>
              <w:pStyle w:val="337"/>
              <w:rPr>
                <w:color w:val="auto"/>
                <w:lang w:val="en-US" w:eastAsia="zh-CN" w:bidi="en-US"/>
              </w:rPr>
            </w:pPr>
            <w:r>
              <w:rPr>
                <w:rFonts w:hint="eastAsia"/>
                <w:color w:val="auto"/>
                <w:lang w:val="en-US" w:eastAsia="zh-CN" w:bidi="en-US"/>
              </w:rPr>
              <w:t>减震降噪垫</w:t>
            </w:r>
          </w:p>
          <w:p w14:paraId="2FAF3389">
            <w:pPr>
              <w:pStyle w:val="337"/>
              <w:rPr>
                <w:color w:val="auto"/>
                <w:lang w:val="en-US" w:eastAsia="zh-CN" w:bidi="en-US"/>
              </w:rPr>
            </w:pPr>
            <w:r>
              <w:rPr>
                <w:rFonts w:hint="eastAsia"/>
                <w:color w:val="auto"/>
                <w:lang w:val="en-US" w:eastAsia="zh-CN" w:bidi="en-US"/>
              </w:rPr>
              <w:t>封闭</w:t>
            </w:r>
          </w:p>
        </w:tc>
        <w:tc>
          <w:tcPr>
            <w:tcW w:w="1276" w:type="dxa"/>
            <w:tcBorders>
              <w:left w:val="single" w:color="auto" w:sz="4" w:space="0"/>
            </w:tcBorders>
            <w:vAlign w:val="center"/>
          </w:tcPr>
          <w:p w14:paraId="57E0D9CE">
            <w:pPr>
              <w:pStyle w:val="337"/>
              <w:rPr>
                <w:color w:val="auto"/>
                <w:lang w:val="en-US" w:eastAsia="zh-CN" w:bidi="en-US"/>
              </w:rPr>
            </w:pPr>
            <w:r>
              <w:rPr>
                <w:rFonts w:hint="eastAsia"/>
                <w:color w:val="auto"/>
                <w:lang w:val="en-US" w:eastAsia="zh-CN" w:bidi="en-US"/>
              </w:rPr>
              <w:t>79</w:t>
            </w:r>
          </w:p>
        </w:tc>
        <w:tc>
          <w:tcPr>
            <w:tcW w:w="2126" w:type="dxa"/>
            <w:vAlign w:val="center"/>
          </w:tcPr>
          <w:p w14:paraId="6658218F">
            <w:pPr>
              <w:pStyle w:val="337"/>
              <w:rPr>
                <w:color w:val="auto"/>
                <w:lang w:val="en-US" w:eastAsia="zh-CN" w:bidi="en-US"/>
              </w:rPr>
            </w:pPr>
            <w:r>
              <w:rPr>
                <w:rFonts w:hint="eastAsia"/>
                <w:color w:val="auto"/>
                <w:lang w:val="en-US" w:eastAsia="zh-CN" w:bidi="en-US"/>
              </w:rPr>
              <w:t>48.01</w:t>
            </w:r>
          </w:p>
        </w:tc>
      </w:tr>
      <w:tr w14:paraId="48C907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01" w:type="dxa"/>
            <w:vMerge w:val="continue"/>
            <w:vAlign w:val="center"/>
          </w:tcPr>
          <w:p w14:paraId="33160885">
            <w:pPr>
              <w:pStyle w:val="337"/>
              <w:rPr>
                <w:color w:val="auto"/>
                <w:lang w:val="en-US" w:eastAsia="en-US" w:bidi="en-US"/>
              </w:rPr>
            </w:pPr>
          </w:p>
        </w:tc>
        <w:tc>
          <w:tcPr>
            <w:tcW w:w="1701" w:type="dxa"/>
            <w:vAlign w:val="center"/>
          </w:tcPr>
          <w:p w14:paraId="1A2D50FB">
            <w:pPr>
              <w:pStyle w:val="337"/>
              <w:rPr>
                <w:color w:val="auto"/>
                <w:lang w:val="en-US" w:eastAsia="zh-CN" w:bidi="en-US"/>
              </w:rPr>
            </w:pPr>
            <w:r>
              <w:rPr>
                <w:color w:val="auto"/>
                <w:lang w:val="en-US" w:eastAsia="en-US" w:bidi="en-US"/>
              </w:rPr>
              <w:t>注水</w:t>
            </w:r>
            <w:r>
              <w:rPr>
                <w:color w:val="auto"/>
                <w:lang w:val="en-US" w:eastAsia="zh-CN" w:bidi="en-US"/>
              </w:rPr>
              <w:t>、</w:t>
            </w:r>
          </w:p>
          <w:p w14:paraId="688BB7FF">
            <w:pPr>
              <w:pStyle w:val="337"/>
              <w:rPr>
                <w:color w:val="auto"/>
                <w:lang w:val="en-US" w:eastAsia="zh-CN" w:bidi="en-US"/>
              </w:rPr>
            </w:pPr>
            <w:r>
              <w:rPr>
                <w:color w:val="auto"/>
                <w:lang w:val="en-US" w:eastAsia="zh-CN" w:bidi="en-US"/>
              </w:rPr>
              <w:t>掺水</w:t>
            </w:r>
            <w:r>
              <w:rPr>
                <w:color w:val="auto"/>
                <w:lang w:val="en-US" w:eastAsia="en-US" w:bidi="en-US"/>
              </w:rPr>
              <w:t>加压泵</w:t>
            </w:r>
          </w:p>
        </w:tc>
        <w:tc>
          <w:tcPr>
            <w:tcW w:w="1134" w:type="dxa"/>
            <w:vAlign w:val="center"/>
          </w:tcPr>
          <w:p w14:paraId="3A2F239A">
            <w:pPr>
              <w:pStyle w:val="337"/>
              <w:rPr>
                <w:color w:val="auto"/>
                <w:lang w:val="en-US" w:eastAsia="en-US" w:bidi="en-US"/>
              </w:rPr>
            </w:pPr>
            <w:r>
              <w:rPr>
                <w:color w:val="auto"/>
                <w:lang w:val="en-US" w:eastAsia="en-US" w:bidi="en-US"/>
              </w:rPr>
              <w:t>90～100</w:t>
            </w:r>
          </w:p>
        </w:tc>
        <w:tc>
          <w:tcPr>
            <w:tcW w:w="1417" w:type="dxa"/>
            <w:tcBorders>
              <w:right w:val="single" w:color="auto" w:sz="4" w:space="0"/>
            </w:tcBorders>
            <w:vAlign w:val="center"/>
          </w:tcPr>
          <w:p w14:paraId="1AE62475">
            <w:pPr>
              <w:pStyle w:val="337"/>
              <w:rPr>
                <w:color w:val="auto"/>
                <w:lang w:val="en-US" w:eastAsia="zh-CN" w:bidi="en-US"/>
              </w:rPr>
            </w:pPr>
            <w:r>
              <w:rPr>
                <w:rFonts w:hint="eastAsia"/>
                <w:color w:val="auto"/>
                <w:lang w:val="en-US" w:eastAsia="zh-CN" w:bidi="en-US"/>
              </w:rPr>
              <w:t>减震降噪垫</w:t>
            </w:r>
          </w:p>
          <w:p w14:paraId="77C62C49">
            <w:pPr>
              <w:pStyle w:val="337"/>
              <w:rPr>
                <w:color w:val="auto"/>
                <w:lang w:val="en-US" w:eastAsia="en-US" w:bidi="en-US"/>
              </w:rPr>
            </w:pPr>
            <w:r>
              <w:rPr>
                <w:rFonts w:hint="eastAsia"/>
                <w:color w:val="auto"/>
                <w:lang w:val="en-US" w:eastAsia="zh-CN" w:bidi="en-US"/>
              </w:rPr>
              <w:t>封闭</w:t>
            </w:r>
          </w:p>
        </w:tc>
        <w:tc>
          <w:tcPr>
            <w:tcW w:w="1276" w:type="dxa"/>
            <w:tcBorders>
              <w:left w:val="single" w:color="auto" w:sz="4" w:space="0"/>
            </w:tcBorders>
            <w:vAlign w:val="center"/>
          </w:tcPr>
          <w:p w14:paraId="6CA14D24">
            <w:pPr>
              <w:pStyle w:val="337"/>
              <w:rPr>
                <w:color w:val="auto"/>
                <w:lang w:val="en-US" w:eastAsia="zh-CN" w:bidi="en-US"/>
              </w:rPr>
            </w:pPr>
            <w:r>
              <w:rPr>
                <w:color w:val="auto"/>
                <w:lang w:val="en-US" w:eastAsia="en-US" w:bidi="en-US"/>
              </w:rPr>
              <w:t>7</w:t>
            </w:r>
            <w:r>
              <w:rPr>
                <w:rFonts w:hint="eastAsia"/>
                <w:color w:val="auto"/>
                <w:lang w:val="en-US" w:eastAsia="zh-CN" w:bidi="en-US"/>
              </w:rPr>
              <w:t>6</w:t>
            </w:r>
          </w:p>
        </w:tc>
        <w:tc>
          <w:tcPr>
            <w:tcW w:w="2126" w:type="dxa"/>
            <w:vAlign w:val="center"/>
          </w:tcPr>
          <w:p w14:paraId="31622F03">
            <w:pPr>
              <w:pStyle w:val="337"/>
              <w:rPr>
                <w:color w:val="auto"/>
                <w:lang w:val="en-US" w:eastAsia="zh-CN" w:bidi="en-US"/>
              </w:rPr>
            </w:pPr>
            <w:r>
              <w:rPr>
                <w:rFonts w:hint="eastAsia"/>
                <w:color w:val="auto"/>
                <w:lang w:val="en-US" w:eastAsia="zh-CN" w:bidi="en-US"/>
              </w:rPr>
              <w:t>45.01</w:t>
            </w:r>
          </w:p>
        </w:tc>
      </w:tr>
      <w:tr w14:paraId="31AF86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101" w:type="dxa"/>
            <w:vMerge w:val="continue"/>
            <w:vAlign w:val="center"/>
          </w:tcPr>
          <w:p w14:paraId="463629B1">
            <w:pPr>
              <w:pStyle w:val="337"/>
              <w:rPr>
                <w:color w:val="auto"/>
                <w:lang w:val="en-US" w:eastAsia="en-US" w:bidi="en-US"/>
              </w:rPr>
            </w:pPr>
          </w:p>
        </w:tc>
        <w:tc>
          <w:tcPr>
            <w:tcW w:w="1701" w:type="dxa"/>
            <w:vAlign w:val="center"/>
          </w:tcPr>
          <w:p w14:paraId="2DB8ECAC">
            <w:pPr>
              <w:pStyle w:val="337"/>
              <w:rPr>
                <w:color w:val="auto"/>
                <w:lang w:val="en-US" w:eastAsia="zh-CN" w:bidi="en-US"/>
              </w:rPr>
            </w:pPr>
            <w:r>
              <w:rPr>
                <w:rFonts w:hint="eastAsia"/>
                <w:color w:val="auto"/>
                <w:lang w:val="en-US" w:eastAsia="zh-CN" w:bidi="en-US"/>
              </w:rPr>
              <w:t>各水</w:t>
            </w:r>
            <w:r>
              <w:rPr>
                <w:color w:val="auto"/>
                <w:lang w:val="en-US" w:eastAsia="en-US" w:bidi="en-US"/>
              </w:rPr>
              <w:t>泵</w:t>
            </w:r>
            <w:r>
              <w:rPr>
                <w:rFonts w:hint="eastAsia"/>
                <w:color w:val="auto"/>
                <w:lang w:val="en-US" w:eastAsia="zh-CN" w:bidi="en-US"/>
              </w:rPr>
              <w:t>、燃油泵</w:t>
            </w:r>
          </w:p>
        </w:tc>
        <w:tc>
          <w:tcPr>
            <w:tcW w:w="1134" w:type="dxa"/>
            <w:vAlign w:val="center"/>
          </w:tcPr>
          <w:p w14:paraId="19E57301">
            <w:pPr>
              <w:pStyle w:val="337"/>
              <w:rPr>
                <w:color w:val="auto"/>
                <w:lang w:val="en-US" w:eastAsia="en-US" w:bidi="en-US"/>
              </w:rPr>
            </w:pPr>
            <w:r>
              <w:rPr>
                <w:color w:val="auto"/>
                <w:lang w:val="en-US" w:eastAsia="en-US" w:bidi="en-US"/>
              </w:rPr>
              <w:t>85</w:t>
            </w:r>
          </w:p>
        </w:tc>
        <w:tc>
          <w:tcPr>
            <w:tcW w:w="1417" w:type="dxa"/>
            <w:tcBorders>
              <w:right w:val="single" w:color="auto" w:sz="4" w:space="0"/>
            </w:tcBorders>
            <w:vAlign w:val="center"/>
          </w:tcPr>
          <w:p w14:paraId="7EB320FA">
            <w:pPr>
              <w:pStyle w:val="337"/>
              <w:rPr>
                <w:color w:val="auto"/>
                <w:lang w:val="en-US" w:eastAsia="zh-CN" w:bidi="en-US"/>
              </w:rPr>
            </w:pPr>
          </w:p>
        </w:tc>
        <w:tc>
          <w:tcPr>
            <w:tcW w:w="1276" w:type="dxa"/>
            <w:tcBorders>
              <w:left w:val="single" w:color="auto" w:sz="4" w:space="0"/>
            </w:tcBorders>
            <w:vAlign w:val="center"/>
          </w:tcPr>
          <w:p w14:paraId="7B710496">
            <w:pPr>
              <w:pStyle w:val="337"/>
              <w:rPr>
                <w:color w:val="auto"/>
                <w:lang w:val="en-US" w:eastAsia="zh-CN" w:bidi="en-US"/>
              </w:rPr>
            </w:pPr>
            <w:r>
              <w:rPr>
                <w:color w:val="auto"/>
                <w:lang w:val="en-US" w:eastAsia="en-US" w:bidi="en-US"/>
              </w:rPr>
              <w:t>7</w:t>
            </w:r>
            <w:r>
              <w:rPr>
                <w:color w:val="auto"/>
                <w:lang w:val="en-US" w:eastAsia="zh-CN" w:bidi="en-US"/>
              </w:rPr>
              <w:t>0</w:t>
            </w:r>
          </w:p>
        </w:tc>
        <w:tc>
          <w:tcPr>
            <w:tcW w:w="2126" w:type="dxa"/>
            <w:vAlign w:val="center"/>
          </w:tcPr>
          <w:p w14:paraId="2083C800">
            <w:pPr>
              <w:pStyle w:val="337"/>
              <w:rPr>
                <w:color w:val="auto"/>
                <w:lang w:val="en-US" w:eastAsia="zh-CN" w:bidi="en-US"/>
              </w:rPr>
            </w:pPr>
            <w:r>
              <w:rPr>
                <w:rFonts w:hint="eastAsia"/>
                <w:color w:val="auto"/>
                <w:lang w:val="en-US" w:eastAsia="zh-CN" w:bidi="en-US"/>
              </w:rPr>
              <w:t>39.01</w:t>
            </w:r>
          </w:p>
        </w:tc>
      </w:tr>
    </w:tbl>
    <w:p w14:paraId="146E7199">
      <w:pPr>
        <w:ind w:firstLine="480"/>
        <w:rPr>
          <w:rFonts w:asciiTheme="minorEastAsia" w:hAnsiTheme="minorEastAsia" w:eastAsiaTheme="minorEastAsia"/>
          <w:lang w:eastAsia="zh-CN"/>
        </w:rPr>
      </w:pPr>
      <w:r>
        <w:rPr>
          <w:rFonts w:asciiTheme="minorEastAsia" w:hAnsiTheme="minorEastAsia" w:eastAsiaTheme="minorEastAsia"/>
          <w:lang w:eastAsia="zh-CN"/>
        </w:rPr>
        <w:t>由上表可知，油田开发主要设备噪声均较高，最常见的较强的噪声源是钻井的噪声，钻井噪声是由多种设备噪声组成，其中以柴油机噪声为最大，可达1</w:t>
      </w:r>
      <w:r>
        <w:rPr>
          <w:rFonts w:hint="eastAsia" w:asciiTheme="minorEastAsia" w:hAnsiTheme="minorEastAsia" w:eastAsiaTheme="minorEastAsia"/>
          <w:lang w:eastAsia="zh-CN"/>
        </w:rPr>
        <w:t>10</w:t>
      </w:r>
      <w:r>
        <w:rPr>
          <w:rFonts w:asciiTheme="minorEastAsia" w:hAnsiTheme="minorEastAsia" w:eastAsiaTheme="minorEastAsia"/>
          <w:lang w:eastAsia="zh-CN"/>
        </w:rPr>
        <w:t>dB(A)，井场边界噪声依机械设备位置而定，靠近柴油机和振动筛的边界噪声较大。</w:t>
      </w:r>
      <w:r>
        <w:rPr>
          <w:rFonts w:hint="eastAsia" w:asciiTheme="minorEastAsia" w:hAnsiTheme="minorEastAsia" w:eastAsiaTheme="minorEastAsia"/>
          <w:lang w:eastAsia="zh-CN"/>
        </w:rPr>
        <w:t>根据预测</w:t>
      </w:r>
      <w:r>
        <w:rPr>
          <w:rFonts w:asciiTheme="minorEastAsia" w:hAnsiTheme="minorEastAsia" w:eastAsiaTheme="minorEastAsia"/>
          <w:lang w:eastAsia="zh-CN"/>
        </w:rPr>
        <w:t>，</w:t>
      </w:r>
      <w:r>
        <w:rPr>
          <w:rFonts w:hint="eastAsia" w:asciiTheme="minorEastAsia" w:hAnsiTheme="minorEastAsia" w:eastAsiaTheme="minorEastAsia"/>
          <w:lang w:eastAsia="zh-CN"/>
        </w:rPr>
        <w:t>到井场</w:t>
      </w:r>
      <w:r>
        <w:rPr>
          <w:rFonts w:asciiTheme="minorEastAsia" w:hAnsiTheme="minorEastAsia" w:eastAsiaTheme="minorEastAsia"/>
          <w:lang w:eastAsia="zh-CN"/>
        </w:rPr>
        <w:t>边界</w:t>
      </w:r>
      <w:r>
        <w:rPr>
          <w:rFonts w:hint="eastAsia" w:asciiTheme="minorEastAsia" w:hAnsiTheme="minorEastAsia" w:eastAsiaTheme="minorEastAsia"/>
          <w:lang w:eastAsia="zh-CN"/>
        </w:rPr>
        <w:t>160m处</w:t>
      </w:r>
      <w:r>
        <w:rPr>
          <w:rFonts w:asciiTheme="minorEastAsia" w:hAnsiTheme="minorEastAsia" w:eastAsiaTheme="minorEastAsia"/>
          <w:lang w:eastAsia="zh-CN"/>
        </w:rPr>
        <w:t>噪声</w:t>
      </w:r>
      <w:r>
        <w:rPr>
          <w:rFonts w:hint="eastAsia" w:asciiTheme="minorEastAsia" w:hAnsiTheme="minorEastAsia" w:eastAsiaTheme="minorEastAsia"/>
          <w:lang w:eastAsia="zh-CN"/>
        </w:rPr>
        <w:t>最大噪声可降至45.93</w:t>
      </w:r>
      <w:r>
        <w:rPr>
          <w:rFonts w:asciiTheme="minorEastAsia" w:hAnsiTheme="minorEastAsia" w:eastAsiaTheme="minorEastAsia"/>
          <w:lang w:eastAsia="zh-CN"/>
        </w:rPr>
        <w:t>dB(A)</w:t>
      </w:r>
      <w:r>
        <w:rPr>
          <w:rFonts w:hint="eastAsia" w:asciiTheme="minorEastAsia" w:hAnsiTheme="minorEastAsia" w:eastAsiaTheme="minorEastAsia"/>
          <w:lang w:eastAsia="zh-CN"/>
        </w:rPr>
        <w:t>，由于产生高噪声的井场</w:t>
      </w:r>
      <w:r>
        <w:rPr>
          <w:rFonts w:asciiTheme="minorEastAsia" w:hAnsiTheme="minorEastAsia" w:eastAsiaTheme="minorEastAsia"/>
          <w:lang w:eastAsia="zh-CN"/>
        </w:rPr>
        <w:t>钻井、固井、修井试油</w:t>
      </w:r>
      <w:r>
        <w:rPr>
          <w:rFonts w:hint="eastAsia" w:asciiTheme="minorEastAsia" w:hAnsiTheme="minorEastAsia" w:eastAsiaTheme="minorEastAsia"/>
          <w:lang w:eastAsia="zh-CN"/>
        </w:rPr>
        <w:t>等</w:t>
      </w:r>
      <w:r>
        <w:rPr>
          <w:rFonts w:asciiTheme="minorEastAsia" w:hAnsiTheme="minorEastAsia" w:eastAsiaTheme="minorEastAsia"/>
          <w:lang w:eastAsia="zh-CN"/>
        </w:rPr>
        <w:t>作业</w:t>
      </w:r>
      <w:r>
        <w:rPr>
          <w:rFonts w:hint="eastAsia" w:asciiTheme="minorEastAsia" w:hAnsiTheme="minorEastAsia" w:eastAsiaTheme="minorEastAsia"/>
          <w:lang w:eastAsia="zh-CN"/>
        </w:rPr>
        <w:t>时间较短，作业结束噪声影响随之消失，对周围环境的影响是短期的</w:t>
      </w:r>
      <w:r>
        <w:rPr>
          <w:rFonts w:asciiTheme="minorEastAsia" w:hAnsiTheme="minorEastAsia" w:eastAsiaTheme="minorEastAsia"/>
          <w:lang w:eastAsia="zh-CN"/>
        </w:rPr>
        <w:t>。联合站内主要噪声源为</w:t>
      </w:r>
      <w:r>
        <w:rPr>
          <w:rFonts w:hint="eastAsia" w:asciiTheme="minorEastAsia" w:hAnsiTheme="minorEastAsia" w:eastAsiaTheme="minorEastAsia"/>
          <w:lang w:eastAsia="zh-CN"/>
        </w:rPr>
        <w:t>曝气风机、</w:t>
      </w:r>
      <w:r>
        <w:rPr>
          <w:rFonts w:asciiTheme="minorEastAsia" w:hAnsiTheme="minorEastAsia" w:eastAsiaTheme="minorEastAsia"/>
          <w:lang w:eastAsia="zh-CN"/>
        </w:rPr>
        <w:t>注水、掺水泵</w:t>
      </w:r>
      <w:r>
        <w:rPr>
          <w:rFonts w:hint="eastAsia" w:asciiTheme="minorEastAsia" w:hAnsiTheme="minorEastAsia" w:eastAsiaTheme="minorEastAsia"/>
          <w:lang w:eastAsia="zh-CN"/>
        </w:rPr>
        <w:t>等</w:t>
      </w:r>
      <w:r>
        <w:rPr>
          <w:rFonts w:asciiTheme="minorEastAsia" w:hAnsiTheme="minorEastAsia" w:eastAsiaTheme="minorEastAsia"/>
          <w:lang w:eastAsia="zh-CN"/>
        </w:rPr>
        <w:t>，</w:t>
      </w:r>
      <w:r>
        <w:rPr>
          <w:rFonts w:hint="eastAsia" w:asciiTheme="minorEastAsia" w:hAnsiTheme="minorEastAsia" w:eastAsiaTheme="minorEastAsia"/>
          <w:lang w:eastAsia="zh-CN"/>
        </w:rPr>
        <w:t>风机房和</w:t>
      </w:r>
      <w:r>
        <w:rPr>
          <w:rFonts w:asciiTheme="minorEastAsia" w:hAnsiTheme="minorEastAsia" w:eastAsiaTheme="minorEastAsia"/>
          <w:lang w:eastAsia="zh-CN"/>
        </w:rPr>
        <w:t>泵房内，噪声高达1</w:t>
      </w:r>
      <w:r>
        <w:rPr>
          <w:rFonts w:hint="eastAsia" w:asciiTheme="minorEastAsia" w:hAnsiTheme="minorEastAsia" w:eastAsiaTheme="minorEastAsia"/>
          <w:lang w:eastAsia="zh-CN"/>
        </w:rPr>
        <w:t>01</w:t>
      </w:r>
      <w:r>
        <w:rPr>
          <w:rFonts w:asciiTheme="minorEastAsia" w:hAnsiTheme="minorEastAsia" w:eastAsiaTheme="minorEastAsia"/>
          <w:lang w:eastAsia="zh-CN"/>
        </w:rPr>
        <w:t xml:space="preserve"> dB(A)，</w:t>
      </w:r>
      <w:r>
        <w:rPr>
          <w:rFonts w:hint="eastAsia" w:asciiTheme="minorEastAsia" w:hAnsiTheme="minorEastAsia" w:eastAsiaTheme="minorEastAsia"/>
          <w:lang w:eastAsia="zh-CN"/>
        </w:rPr>
        <w:t>各类产噪声设备采取隔振降噪措施，风机房和泵房</w:t>
      </w:r>
      <w:r>
        <w:rPr>
          <w:rFonts w:asciiTheme="minorEastAsia" w:hAnsiTheme="minorEastAsia" w:eastAsiaTheme="minorEastAsia"/>
          <w:lang w:eastAsia="zh-CN"/>
        </w:rPr>
        <w:t>设隔音材料，房外噪声较低，</w:t>
      </w:r>
      <w:r>
        <w:rPr>
          <w:rFonts w:hint="eastAsia" w:asciiTheme="minorEastAsia" w:hAnsiTheme="minorEastAsia" w:eastAsiaTheme="minorEastAsia"/>
          <w:lang w:eastAsia="zh-CN"/>
        </w:rPr>
        <w:t>场界噪声达标，距离联合站最近的牧户在1000m外，联合站产生的噪声</w:t>
      </w:r>
      <w:r>
        <w:rPr>
          <w:rFonts w:asciiTheme="minorEastAsia" w:hAnsiTheme="minorEastAsia" w:eastAsiaTheme="minorEastAsia"/>
          <w:lang w:eastAsia="zh-CN"/>
        </w:rPr>
        <w:t>对周围环境的影响较小。</w:t>
      </w:r>
    </w:p>
    <w:p w14:paraId="1A8DB309">
      <w:pPr>
        <w:pStyle w:val="4"/>
        <w:rPr>
          <w:lang w:eastAsia="zh-CN"/>
        </w:rPr>
      </w:pPr>
      <w:bookmarkStart w:id="213" w:name="_Toc408413953"/>
      <w:bookmarkStart w:id="214" w:name="_Toc341445576"/>
      <w:bookmarkStart w:id="215" w:name="_Toc266114268"/>
      <w:bookmarkStart w:id="216" w:name="_Toc280903696"/>
      <w:bookmarkStart w:id="217" w:name="_Toc275957915"/>
      <w:r>
        <w:rPr>
          <w:lang w:eastAsia="zh-CN"/>
        </w:rPr>
        <w:t>3.</w:t>
      </w:r>
      <w:r>
        <w:rPr>
          <w:rFonts w:hint="eastAsia"/>
          <w:lang w:eastAsia="zh-CN"/>
        </w:rPr>
        <w:t>6</w:t>
      </w:r>
      <w:r>
        <w:rPr>
          <w:lang w:eastAsia="zh-CN"/>
        </w:rPr>
        <w:t>.6生态影响因素分析</w:t>
      </w:r>
      <w:bookmarkEnd w:id="213"/>
    </w:p>
    <w:p w14:paraId="5649D535">
      <w:pPr>
        <w:ind w:firstLine="480"/>
        <w:rPr>
          <w:rFonts w:asciiTheme="minorEastAsia" w:hAnsiTheme="minorEastAsia" w:eastAsiaTheme="minorEastAsia"/>
          <w:lang w:eastAsia="zh-CN"/>
        </w:rPr>
      </w:pPr>
      <w:r>
        <w:rPr>
          <w:rFonts w:asciiTheme="minorEastAsia" w:hAnsiTheme="minorEastAsia" w:eastAsiaTheme="minorEastAsia"/>
          <w:lang w:eastAsia="zh-CN"/>
        </w:rPr>
        <w:t>在油田开发过程中对生态影响主要表现在对景观影响、植被影响、野生动物影响、土壤环境影响的影响等。</w:t>
      </w:r>
    </w:p>
    <w:p w14:paraId="7B7AB0AC">
      <w:pPr>
        <w:ind w:firstLine="480"/>
        <w:rPr>
          <w:rFonts w:asciiTheme="minorEastAsia" w:hAnsiTheme="minorEastAsia" w:eastAsiaTheme="minorEastAsia"/>
          <w:lang w:eastAsia="zh-CN"/>
        </w:rPr>
      </w:pPr>
      <w:r>
        <w:rPr>
          <w:rFonts w:asciiTheme="minorEastAsia" w:hAnsiTheme="minorEastAsia" w:eastAsiaTheme="minorEastAsia"/>
          <w:lang w:eastAsia="zh-CN"/>
        </w:rPr>
        <w:t>油田内联络道路、各站场、井场的建设改变了原来草原景观，形成了</w:t>
      </w:r>
      <w:r>
        <w:rPr>
          <w:rFonts w:hint="eastAsia" w:asciiTheme="minorEastAsia" w:hAnsiTheme="minorEastAsia" w:eastAsiaTheme="minorEastAsia"/>
          <w:lang w:eastAsia="zh-CN"/>
        </w:rPr>
        <w:t>新的采油</w:t>
      </w:r>
      <w:r>
        <w:rPr>
          <w:rFonts w:asciiTheme="minorEastAsia" w:hAnsiTheme="minorEastAsia" w:eastAsiaTheme="minorEastAsia"/>
          <w:lang w:eastAsia="zh-CN"/>
        </w:rPr>
        <w:t>景观。油田开采对当地生态系统产生人为干扰，改变了原有土地利用类型，使植被</w:t>
      </w:r>
      <w:r>
        <w:rPr>
          <w:rFonts w:hint="eastAsia" w:asciiTheme="minorEastAsia" w:hAnsiTheme="minorEastAsia" w:eastAsiaTheme="minorEastAsia"/>
          <w:lang w:eastAsia="zh-CN"/>
        </w:rPr>
        <w:t>受到影响，联合站、井场永久占地植被</w:t>
      </w:r>
      <w:r>
        <w:rPr>
          <w:rFonts w:asciiTheme="minorEastAsia" w:hAnsiTheme="minorEastAsia" w:eastAsiaTheme="minorEastAsia"/>
          <w:lang w:eastAsia="zh-CN"/>
        </w:rPr>
        <w:t>破坏，</w:t>
      </w:r>
      <w:r>
        <w:rPr>
          <w:rFonts w:hint="eastAsia" w:asciiTheme="minorEastAsia" w:hAnsiTheme="minorEastAsia" w:eastAsiaTheme="minorEastAsia"/>
          <w:lang w:eastAsia="zh-CN"/>
        </w:rPr>
        <w:t>植被</w:t>
      </w:r>
      <w:r>
        <w:rPr>
          <w:rFonts w:asciiTheme="minorEastAsia" w:hAnsiTheme="minorEastAsia" w:eastAsiaTheme="minorEastAsia"/>
          <w:lang w:eastAsia="zh-CN"/>
        </w:rPr>
        <w:t>面积减少，</w:t>
      </w:r>
      <w:r>
        <w:rPr>
          <w:rFonts w:hint="eastAsia" w:asciiTheme="minorEastAsia" w:hAnsiTheme="minorEastAsia" w:eastAsiaTheme="minorEastAsia"/>
          <w:lang w:eastAsia="zh-CN"/>
        </w:rPr>
        <w:t>受扰动的植被</w:t>
      </w:r>
      <w:r>
        <w:rPr>
          <w:rFonts w:asciiTheme="minorEastAsia" w:hAnsiTheme="minorEastAsia" w:eastAsiaTheme="minorEastAsia"/>
          <w:lang w:eastAsia="zh-CN"/>
        </w:rPr>
        <w:t>覆盖率下降。</w:t>
      </w:r>
    </w:p>
    <w:p w14:paraId="1CF6AEA9">
      <w:pPr>
        <w:pStyle w:val="4"/>
        <w:rPr>
          <w:lang w:eastAsia="zh-CN"/>
        </w:rPr>
      </w:pPr>
      <w:bookmarkStart w:id="218" w:name="_Toc408413954"/>
      <w:r>
        <w:rPr>
          <w:lang w:eastAsia="zh-CN"/>
        </w:rPr>
        <w:t>3.</w:t>
      </w:r>
      <w:r>
        <w:rPr>
          <w:rFonts w:hint="eastAsia"/>
          <w:lang w:eastAsia="zh-CN"/>
        </w:rPr>
        <w:t>6</w:t>
      </w:r>
      <w:r>
        <w:rPr>
          <w:lang w:eastAsia="zh-CN"/>
        </w:rPr>
        <w:t>.</w:t>
      </w:r>
      <w:r>
        <w:rPr>
          <w:rFonts w:hint="eastAsia"/>
          <w:lang w:eastAsia="zh-CN"/>
        </w:rPr>
        <w:t>7“</w:t>
      </w:r>
      <w:r>
        <w:rPr>
          <w:lang w:eastAsia="zh-CN"/>
        </w:rPr>
        <w:t>以新带老</w:t>
      </w:r>
      <w:r>
        <w:rPr>
          <w:rFonts w:hint="eastAsia"/>
          <w:lang w:eastAsia="zh-CN"/>
        </w:rPr>
        <w:t>”</w:t>
      </w:r>
      <w:r>
        <w:rPr>
          <w:lang w:eastAsia="zh-CN"/>
        </w:rPr>
        <w:t>措施</w:t>
      </w:r>
      <w:bookmarkEnd w:id="218"/>
    </w:p>
    <w:p w14:paraId="5D2F537A">
      <w:pPr>
        <w:ind w:firstLine="480"/>
        <w:rPr>
          <w:rFonts w:asciiTheme="minorEastAsia" w:hAnsiTheme="minorEastAsia" w:eastAsiaTheme="minorEastAsia"/>
          <w:lang w:eastAsia="zh-CN"/>
        </w:rPr>
      </w:pPr>
      <w:r>
        <w:rPr>
          <w:rFonts w:asciiTheme="minorEastAsia" w:hAnsiTheme="minorEastAsia" w:eastAsiaTheme="minorEastAsia"/>
          <w:lang w:eastAsia="zh-CN"/>
        </w:rPr>
        <w:t>1、主要措施</w:t>
      </w:r>
    </w:p>
    <w:p w14:paraId="2F7EDE7B">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（1）雅一站现有</w:t>
      </w:r>
      <w:r>
        <w:rPr>
          <w:rFonts w:asciiTheme="minorEastAsia" w:hAnsiTheme="minorEastAsia" w:eastAsiaTheme="minorEastAsia"/>
          <w:lang w:eastAsia="zh-CN"/>
        </w:rPr>
        <w:t>生活污水</w:t>
      </w:r>
      <w:r>
        <w:rPr>
          <w:rFonts w:hint="eastAsia" w:asciiTheme="minorEastAsia" w:hAnsiTheme="minorEastAsia" w:eastAsiaTheme="minorEastAsia"/>
          <w:lang w:eastAsia="zh-CN"/>
        </w:rPr>
        <w:t>进化粪池</w:t>
      </w:r>
      <w:r>
        <w:rPr>
          <w:rFonts w:asciiTheme="minorEastAsia" w:hAnsiTheme="minorEastAsia" w:eastAsiaTheme="minorEastAsia"/>
          <w:lang w:eastAsia="zh-CN"/>
        </w:rPr>
        <w:t>，</w:t>
      </w:r>
      <w:r>
        <w:rPr>
          <w:rFonts w:hint="eastAsia" w:asciiTheme="minorEastAsia" w:hAnsiTheme="minorEastAsia" w:eastAsiaTheme="minorEastAsia"/>
          <w:lang w:eastAsia="zh-CN"/>
        </w:rPr>
        <w:t>排入蒸发池，扩建</w:t>
      </w:r>
      <w:r>
        <w:rPr>
          <w:rFonts w:asciiTheme="minorEastAsia" w:hAnsiTheme="minorEastAsia" w:eastAsiaTheme="minorEastAsia"/>
          <w:lang w:eastAsia="zh-CN"/>
        </w:rPr>
        <w:t>后在</w:t>
      </w:r>
      <w:r>
        <w:rPr>
          <w:rFonts w:hint="eastAsia" w:asciiTheme="minorEastAsia" w:hAnsiTheme="minorEastAsia" w:eastAsiaTheme="minorEastAsia"/>
          <w:lang w:eastAsia="zh-CN"/>
        </w:rPr>
        <w:t>雅思联合站内</w:t>
      </w:r>
      <w:r>
        <w:rPr>
          <w:rFonts w:asciiTheme="minorEastAsia" w:hAnsiTheme="minorEastAsia" w:eastAsiaTheme="minorEastAsia"/>
          <w:lang w:eastAsia="zh-CN"/>
        </w:rPr>
        <w:t>建</w:t>
      </w:r>
      <w:r>
        <w:rPr>
          <w:rFonts w:hint="eastAsia" w:asciiTheme="minorEastAsia" w:hAnsiTheme="minorEastAsia" w:eastAsiaTheme="minorEastAsia"/>
          <w:lang w:eastAsia="zh-CN"/>
        </w:rPr>
        <w:t>地埋式一体化污水处理系统，生活污水经处理后排入蒸发池，</w:t>
      </w:r>
      <w:r>
        <w:rPr>
          <w:rFonts w:asciiTheme="minorEastAsia" w:hAnsiTheme="minorEastAsia" w:eastAsiaTheme="minorEastAsia"/>
          <w:lang w:eastAsia="zh-CN"/>
        </w:rPr>
        <w:t>用于绿化</w:t>
      </w:r>
      <w:r>
        <w:rPr>
          <w:rFonts w:hint="eastAsia" w:asciiTheme="minorEastAsia" w:hAnsiTheme="minorEastAsia" w:eastAsiaTheme="minorEastAsia"/>
          <w:lang w:eastAsia="zh-CN"/>
        </w:rPr>
        <w:t>或者洒水抑尘。</w:t>
      </w:r>
    </w:p>
    <w:p w14:paraId="01363685">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（2）现有的生产废水进入50m3/d的污水处理站，处理后污水回注地下。扩建后污水处理设施规模扩建为300m3/d，处理后污水回注地层。</w:t>
      </w:r>
    </w:p>
    <w:p w14:paraId="718A592A">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（3）现有井场间联系道路，没有设置网围栏等设施。本次扩建工程将井场间联系道路全部设置网围栏。</w:t>
      </w:r>
    </w:p>
    <w:p w14:paraId="51711BB6">
      <w:pPr>
        <w:ind w:firstLine="480"/>
        <w:outlineLvl w:val="0"/>
        <w:rPr>
          <w:rFonts w:asciiTheme="minorEastAsia" w:hAnsiTheme="minorEastAsia" w:eastAsiaTheme="minorEastAsia"/>
          <w:lang w:eastAsia="zh-CN"/>
        </w:rPr>
      </w:pPr>
      <w:r>
        <w:rPr>
          <w:rFonts w:hint="eastAsia" w:asciiTheme="minorEastAsia" w:hAnsiTheme="minorEastAsia" w:eastAsiaTheme="minorEastAsia"/>
          <w:lang w:eastAsia="zh-CN"/>
        </w:rPr>
        <w:t>（4）现有油泥砂等固废，</w:t>
      </w:r>
    </w:p>
    <w:p w14:paraId="5B380A6B">
      <w:pPr>
        <w:ind w:firstLine="480"/>
        <w:rPr>
          <w:rFonts w:asciiTheme="minorEastAsia" w:hAnsiTheme="minorEastAsia" w:eastAsiaTheme="minorEastAsia"/>
          <w:lang w:eastAsia="zh-CN"/>
        </w:rPr>
      </w:pPr>
      <w:r>
        <w:rPr>
          <w:rFonts w:asciiTheme="minorEastAsia" w:hAnsiTheme="minorEastAsia" w:eastAsiaTheme="minorEastAsia"/>
          <w:lang w:eastAsia="zh-CN"/>
        </w:rPr>
        <w:t>最初</w:t>
      </w:r>
      <w:r>
        <w:rPr>
          <w:rFonts w:hint="eastAsia" w:asciiTheme="minorEastAsia" w:hAnsiTheme="minorEastAsia" w:eastAsiaTheme="minorEastAsia"/>
          <w:lang w:eastAsia="zh-CN"/>
        </w:rPr>
        <w:t>各作业废液及油泥砂等拉运至阿尔善处理。</w:t>
      </w:r>
      <w:r>
        <w:rPr>
          <w:rFonts w:asciiTheme="minorEastAsia" w:hAnsiTheme="minorEastAsia" w:eastAsiaTheme="minorEastAsia"/>
          <w:lang w:eastAsia="zh-CN"/>
        </w:rPr>
        <w:t>扩建后</w:t>
      </w:r>
      <w:r>
        <w:rPr>
          <w:rFonts w:hint="eastAsia" w:asciiTheme="minorEastAsia" w:hAnsiTheme="minorEastAsia" w:eastAsiaTheme="minorEastAsia"/>
          <w:lang w:eastAsia="zh-CN"/>
        </w:rPr>
        <w:t>在雅斯联合站西侧</w:t>
      </w:r>
      <w:r>
        <w:rPr>
          <w:rFonts w:asciiTheme="minorEastAsia" w:hAnsiTheme="minorEastAsia" w:eastAsiaTheme="minorEastAsia"/>
          <w:lang w:eastAsia="zh-CN"/>
        </w:rPr>
        <w:t>建</w:t>
      </w:r>
      <w:r>
        <w:rPr>
          <w:rFonts w:hint="eastAsia" w:asciiTheme="minorEastAsia" w:hAnsiTheme="minorEastAsia" w:eastAsiaTheme="minorEastAsia"/>
          <w:lang w:eastAsia="zh-CN"/>
        </w:rPr>
        <w:t>废液</w:t>
      </w:r>
      <w:r>
        <w:rPr>
          <w:rFonts w:asciiTheme="minorEastAsia" w:hAnsiTheme="minorEastAsia" w:eastAsiaTheme="minorEastAsia"/>
          <w:lang w:eastAsia="zh-CN"/>
        </w:rPr>
        <w:t>池</w:t>
      </w:r>
      <w:r>
        <w:rPr>
          <w:rFonts w:hint="eastAsia" w:asciiTheme="minorEastAsia" w:hAnsiTheme="minorEastAsia" w:eastAsiaTheme="minorEastAsia"/>
          <w:lang w:eastAsia="zh-CN"/>
        </w:rPr>
        <w:t>，废液池防渗防渗系数1.0×10</w:t>
      </w:r>
      <w:r>
        <w:rPr>
          <w:rFonts w:hint="eastAsia" w:asciiTheme="minorEastAsia" w:hAnsiTheme="minorEastAsia" w:eastAsiaTheme="minorEastAsia"/>
          <w:vertAlign w:val="superscript"/>
          <w:lang w:eastAsia="zh-CN"/>
        </w:rPr>
        <w:t>-7</w:t>
      </w:r>
      <w:r>
        <w:rPr>
          <w:rFonts w:hint="eastAsia" w:asciiTheme="minorEastAsia" w:hAnsiTheme="minorEastAsia" w:eastAsiaTheme="minorEastAsia"/>
          <w:lang w:eastAsia="zh-CN"/>
        </w:rPr>
        <w:t>cm/s，容积1200m</w:t>
      </w:r>
      <w:r>
        <w:rPr>
          <w:rFonts w:hint="eastAsia" w:asciiTheme="minorEastAsia" w:hAnsiTheme="minorEastAsia" w:eastAsiaTheme="minorEastAsia"/>
          <w:vertAlign w:val="superscript"/>
          <w:lang w:eastAsia="zh-CN"/>
        </w:rPr>
        <w:t>3</w:t>
      </w:r>
      <w:r>
        <w:rPr>
          <w:rFonts w:asciiTheme="minorEastAsia" w:hAnsiTheme="minorEastAsia" w:eastAsiaTheme="minorEastAsia"/>
          <w:lang w:eastAsia="zh-CN"/>
        </w:rPr>
        <w:t>，</w:t>
      </w:r>
      <w:r>
        <w:rPr>
          <w:rFonts w:hint="eastAsia" w:asciiTheme="minorEastAsia" w:hAnsiTheme="minorEastAsia" w:eastAsiaTheme="minorEastAsia"/>
          <w:lang w:eastAsia="zh-CN"/>
        </w:rPr>
        <w:t>油井洗井和修井废液、油泥砂、落地油等进入废液池，经有效降解、沉降后，上清液进入污水处理系统，底泥一般3-5年清理一次，委托东乌珠穆沁旗高科危险废物处理有限公司进行处置。</w:t>
      </w:r>
      <w:r>
        <w:rPr>
          <w:rFonts w:asciiTheme="minorEastAsia" w:hAnsiTheme="minorEastAsia" w:eastAsiaTheme="minorEastAsia"/>
          <w:lang w:eastAsia="zh-CN"/>
        </w:rPr>
        <w:t>本次扩建工程以新带老措施见表3.</w:t>
      </w:r>
      <w:r>
        <w:rPr>
          <w:rFonts w:hint="eastAsia" w:asciiTheme="minorEastAsia" w:hAnsiTheme="minorEastAsia" w:eastAsiaTheme="minorEastAsia"/>
          <w:lang w:eastAsia="zh-CN"/>
        </w:rPr>
        <w:t>7</w:t>
      </w:r>
      <w:r>
        <w:rPr>
          <w:rFonts w:asciiTheme="minorEastAsia" w:hAnsiTheme="minorEastAsia" w:eastAsiaTheme="minorEastAsia"/>
          <w:lang w:eastAsia="zh-CN"/>
        </w:rPr>
        <w:t>-1。</w:t>
      </w:r>
    </w:p>
    <w:p w14:paraId="531F6938">
      <w:pPr>
        <w:spacing w:line="240" w:lineRule="auto"/>
        <w:ind w:firstLine="718" w:firstLineChars="298"/>
        <w:rPr>
          <w:b/>
          <w:bCs/>
          <w:lang w:eastAsia="zh-CN"/>
        </w:rPr>
      </w:pPr>
      <w:r>
        <w:rPr>
          <w:b/>
          <w:bCs/>
          <w:lang w:eastAsia="zh-CN"/>
        </w:rPr>
        <w:t>表3.</w:t>
      </w:r>
      <w:r>
        <w:rPr>
          <w:rFonts w:hint="eastAsia"/>
          <w:b/>
          <w:bCs/>
          <w:lang w:eastAsia="zh-CN"/>
        </w:rPr>
        <w:t>7</w:t>
      </w:r>
      <w:r>
        <w:rPr>
          <w:b/>
          <w:bCs/>
          <w:lang w:eastAsia="zh-CN"/>
        </w:rPr>
        <w:t>-</w:t>
      </w:r>
      <w:r>
        <w:rPr>
          <w:rFonts w:hint="eastAsia"/>
          <w:b/>
          <w:bCs/>
          <w:lang w:eastAsia="zh-CN"/>
        </w:rPr>
        <w:t>1</w:t>
      </w:r>
      <w:r>
        <w:rPr>
          <w:b/>
          <w:bCs/>
          <w:lang w:eastAsia="zh-CN"/>
        </w:rPr>
        <w:t xml:space="preserve">  </w:t>
      </w:r>
      <w:r>
        <w:rPr>
          <w:rFonts w:hint="eastAsia"/>
          <w:b/>
          <w:bCs/>
          <w:lang w:eastAsia="zh-CN"/>
        </w:rPr>
        <w:t xml:space="preserve">   </w:t>
      </w:r>
      <w:r>
        <w:rPr>
          <w:b/>
          <w:bCs/>
          <w:lang w:eastAsia="zh-CN"/>
        </w:rPr>
        <w:t>以新带老环保措施汇总</w:t>
      </w:r>
    </w:p>
    <w:tbl>
      <w:tblPr>
        <w:tblStyle w:val="7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5"/>
        <w:gridCol w:w="992"/>
        <w:gridCol w:w="1276"/>
        <w:gridCol w:w="1985"/>
        <w:gridCol w:w="3543"/>
      </w:tblGrid>
      <w:tr w14:paraId="51C6D0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5" w:type="dxa"/>
            <w:vAlign w:val="center"/>
          </w:tcPr>
          <w:p w14:paraId="0C34DF45">
            <w:pPr>
              <w:pStyle w:val="337"/>
              <w:rPr>
                <w:color w:val="auto"/>
                <w:lang w:val="en-US" w:eastAsia="zh-CN" w:bidi="en-US"/>
              </w:rPr>
            </w:pPr>
            <w:r>
              <w:rPr>
                <w:color w:val="auto"/>
                <w:lang w:val="en-US" w:eastAsia="zh-CN" w:bidi="en-US"/>
              </w:rPr>
              <w:t>序号</w:t>
            </w:r>
          </w:p>
        </w:tc>
        <w:tc>
          <w:tcPr>
            <w:tcW w:w="2268" w:type="dxa"/>
            <w:gridSpan w:val="2"/>
            <w:vAlign w:val="center"/>
          </w:tcPr>
          <w:p w14:paraId="5757B6DB">
            <w:pPr>
              <w:pStyle w:val="337"/>
              <w:rPr>
                <w:color w:val="auto"/>
                <w:lang w:val="en-US" w:eastAsia="en-US" w:bidi="en-US"/>
              </w:rPr>
            </w:pPr>
            <w:r>
              <w:rPr>
                <w:color w:val="auto"/>
                <w:lang w:val="en-US" w:eastAsia="en-US" w:bidi="en-US"/>
              </w:rPr>
              <w:t>污染物</w:t>
            </w:r>
          </w:p>
        </w:tc>
        <w:tc>
          <w:tcPr>
            <w:tcW w:w="1985" w:type="dxa"/>
            <w:vAlign w:val="center"/>
          </w:tcPr>
          <w:p w14:paraId="053DE14A">
            <w:pPr>
              <w:pStyle w:val="337"/>
              <w:rPr>
                <w:color w:val="auto"/>
                <w:lang w:val="en-US" w:eastAsia="en-US" w:bidi="en-US"/>
              </w:rPr>
            </w:pPr>
            <w:r>
              <w:rPr>
                <w:rFonts w:hint="eastAsia"/>
                <w:color w:val="auto"/>
                <w:lang w:val="en-US" w:eastAsia="zh-CN" w:bidi="en-US"/>
              </w:rPr>
              <w:t>现有</w:t>
            </w:r>
            <w:r>
              <w:rPr>
                <w:color w:val="auto"/>
                <w:lang w:val="en-US" w:eastAsia="zh-CN" w:bidi="en-US"/>
              </w:rPr>
              <w:t>工程环保措施</w:t>
            </w:r>
          </w:p>
        </w:tc>
        <w:tc>
          <w:tcPr>
            <w:tcW w:w="3543" w:type="dxa"/>
            <w:vAlign w:val="center"/>
          </w:tcPr>
          <w:p w14:paraId="2DD324A3">
            <w:pPr>
              <w:pStyle w:val="337"/>
              <w:rPr>
                <w:color w:val="auto"/>
                <w:lang w:val="en-US" w:eastAsia="zh-CN" w:bidi="en-US"/>
              </w:rPr>
            </w:pPr>
            <w:r>
              <w:rPr>
                <w:color w:val="auto"/>
                <w:lang w:val="en-US" w:eastAsia="zh-CN" w:bidi="en-US"/>
              </w:rPr>
              <w:t>以新带老环保措施</w:t>
            </w:r>
          </w:p>
        </w:tc>
      </w:tr>
      <w:tr w14:paraId="671CDF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5" w:type="dxa"/>
            <w:vAlign w:val="center"/>
          </w:tcPr>
          <w:p w14:paraId="767BA70E">
            <w:pPr>
              <w:pStyle w:val="337"/>
              <w:rPr>
                <w:color w:val="auto"/>
                <w:lang w:val="en-US" w:eastAsia="zh-CN" w:bidi="en-US"/>
              </w:rPr>
            </w:pPr>
            <w:r>
              <w:rPr>
                <w:color w:val="auto"/>
                <w:lang w:val="en-US" w:eastAsia="zh-CN" w:bidi="en-US"/>
              </w:rPr>
              <w:t>一</w:t>
            </w:r>
          </w:p>
        </w:tc>
        <w:tc>
          <w:tcPr>
            <w:tcW w:w="992" w:type="dxa"/>
            <w:vAlign w:val="center"/>
          </w:tcPr>
          <w:p w14:paraId="6F70014D">
            <w:pPr>
              <w:pStyle w:val="337"/>
              <w:rPr>
                <w:color w:val="auto"/>
                <w:lang w:val="en-US" w:eastAsia="zh-CN" w:bidi="en-US"/>
              </w:rPr>
            </w:pPr>
            <w:r>
              <w:rPr>
                <w:color w:val="auto"/>
                <w:lang w:val="en-US" w:eastAsia="zh-CN" w:bidi="en-US"/>
              </w:rPr>
              <w:t>大气污染源</w:t>
            </w:r>
          </w:p>
        </w:tc>
        <w:tc>
          <w:tcPr>
            <w:tcW w:w="1276" w:type="dxa"/>
            <w:vAlign w:val="center"/>
          </w:tcPr>
          <w:p w14:paraId="4AA5D27A">
            <w:pPr>
              <w:pStyle w:val="337"/>
              <w:rPr>
                <w:color w:val="auto"/>
                <w:lang w:val="en-US" w:eastAsia="zh-CN" w:bidi="en-US"/>
              </w:rPr>
            </w:pPr>
            <w:r>
              <w:rPr>
                <w:rFonts w:hint="eastAsia"/>
                <w:color w:val="auto"/>
                <w:lang w:val="en-US" w:eastAsia="zh-CN" w:bidi="en-US"/>
              </w:rPr>
              <w:t>加热</w:t>
            </w:r>
            <w:r>
              <w:rPr>
                <w:color w:val="auto"/>
                <w:lang w:val="en-US" w:eastAsia="zh-CN" w:bidi="en-US"/>
              </w:rPr>
              <w:t>锅炉</w:t>
            </w:r>
          </w:p>
          <w:p w14:paraId="660F72D7">
            <w:pPr>
              <w:pStyle w:val="337"/>
              <w:rPr>
                <w:color w:val="auto"/>
                <w:lang w:val="en-US" w:eastAsia="zh-CN" w:bidi="en-US"/>
              </w:rPr>
            </w:pPr>
            <w:r>
              <w:rPr>
                <w:rFonts w:hint="eastAsia"/>
                <w:color w:val="auto"/>
                <w:lang w:val="en-US" w:eastAsia="zh-CN" w:bidi="en-US"/>
              </w:rPr>
              <w:t>及燃气发电机组</w:t>
            </w:r>
          </w:p>
          <w:p w14:paraId="258875AB">
            <w:pPr>
              <w:pStyle w:val="337"/>
              <w:rPr>
                <w:color w:val="auto"/>
                <w:lang w:val="en-US" w:eastAsia="zh-CN" w:bidi="en-US"/>
              </w:rPr>
            </w:pPr>
            <w:r>
              <w:rPr>
                <w:color w:val="auto"/>
                <w:lang w:val="en-US" w:eastAsia="zh-CN" w:bidi="en-US"/>
              </w:rPr>
              <w:t>烟气</w:t>
            </w:r>
          </w:p>
        </w:tc>
        <w:tc>
          <w:tcPr>
            <w:tcW w:w="1985" w:type="dxa"/>
            <w:vAlign w:val="center"/>
          </w:tcPr>
          <w:p w14:paraId="56BFFE30">
            <w:pPr>
              <w:pStyle w:val="337"/>
              <w:rPr>
                <w:color w:val="auto"/>
                <w:lang w:val="en-US" w:eastAsia="zh-CN" w:bidi="en-US"/>
              </w:rPr>
            </w:pPr>
            <w:r>
              <w:rPr>
                <w:rFonts w:hint="eastAsia"/>
                <w:color w:val="auto"/>
                <w:lang w:val="en-US" w:eastAsia="zh-CN" w:bidi="en-US"/>
              </w:rPr>
              <w:t>燃烧分离处理后的伴生气，</w:t>
            </w:r>
            <w:r>
              <w:rPr>
                <w:color w:val="auto"/>
                <w:lang w:val="en-US" w:eastAsia="zh-CN" w:bidi="en-US"/>
              </w:rPr>
              <w:t>烟气经</w:t>
            </w:r>
            <w:r>
              <w:rPr>
                <w:rFonts w:hint="eastAsia"/>
                <w:color w:val="auto"/>
                <w:lang w:val="en-US" w:eastAsia="zh-CN" w:bidi="en-US"/>
              </w:rPr>
              <w:t>10</w:t>
            </w:r>
            <w:r>
              <w:rPr>
                <w:color w:val="auto"/>
                <w:lang w:val="en-US" w:eastAsia="zh-CN" w:bidi="en-US"/>
              </w:rPr>
              <w:t>m高</w:t>
            </w:r>
          </w:p>
          <w:p w14:paraId="2354B8D0">
            <w:pPr>
              <w:pStyle w:val="337"/>
              <w:rPr>
                <w:color w:val="auto"/>
                <w:lang w:val="en-US" w:eastAsia="zh-CN" w:bidi="en-US"/>
              </w:rPr>
            </w:pPr>
            <w:r>
              <w:rPr>
                <w:color w:val="auto"/>
                <w:lang w:val="en-US" w:eastAsia="zh-CN" w:bidi="en-US"/>
              </w:rPr>
              <w:t>烟囱排放</w:t>
            </w:r>
          </w:p>
        </w:tc>
        <w:tc>
          <w:tcPr>
            <w:tcW w:w="3543" w:type="dxa"/>
            <w:vAlign w:val="center"/>
          </w:tcPr>
          <w:p w14:paraId="2CB4B4B5">
            <w:pPr>
              <w:pStyle w:val="337"/>
              <w:jc w:val="left"/>
              <w:rPr>
                <w:color w:val="auto"/>
                <w:lang w:val="en-US" w:eastAsia="zh-CN" w:bidi="en-US"/>
              </w:rPr>
            </w:pPr>
            <w:r>
              <w:rPr>
                <w:rFonts w:hint="eastAsia"/>
                <w:color w:val="auto"/>
                <w:lang w:val="en-US" w:eastAsia="zh-CN" w:bidi="en-US"/>
              </w:rPr>
              <w:t>燃烧出炉后的伴生气，燃气机组余热利用</w:t>
            </w:r>
          </w:p>
        </w:tc>
      </w:tr>
      <w:tr w14:paraId="0A3585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5" w:type="dxa"/>
            <w:vMerge w:val="restart"/>
            <w:vAlign w:val="center"/>
          </w:tcPr>
          <w:p w14:paraId="15EC379C">
            <w:pPr>
              <w:pStyle w:val="337"/>
              <w:rPr>
                <w:color w:val="auto"/>
                <w:lang w:val="en-US" w:eastAsia="zh-CN" w:bidi="en-US"/>
              </w:rPr>
            </w:pPr>
            <w:r>
              <w:rPr>
                <w:color w:val="auto"/>
                <w:lang w:val="en-US" w:eastAsia="zh-CN" w:bidi="en-US"/>
              </w:rPr>
              <w:t>二</w:t>
            </w:r>
          </w:p>
        </w:tc>
        <w:tc>
          <w:tcPr>
            <w:tcW w:w="992" w:type="dxa"/>
            <w:vMerge w:val="restart"/>
            <w:vAlign w:val="center"/>
          </w:tcPr>
          <w:p w14:paraId="4C071859">
            <w:pPr>
              <w:pStyle w:val="337"/>
              <w:rPr>
                <w:color w:val="auto"/>
                <w:lang w:val="en-US" w:eastAsia="zh-CN" w:bidi="en-US"/>
              </w:rPr>
            </w:pPr>
            <w:r>
              <w:rPr>
                <w:color w:val="auto"/>
                <w:lang w:val="en-US" w:eastAsia="zh-CN" w:bidi="en-US"/>
              </w:rPr>
              <w:t>水污染源</w:t>
            </w:r>
          </w:p>
        </w:tc>
        <w:tc>
          <w:tcPr>
            <w:tcW w:w="1276" w:type="dxa"/>
            <w:vAlign w:val="center"/>
          </w:tcPr>
          <w:p w14:paraId="2F52DC1D">
            <w:pPr>
              <w:pStyle w:val="337"/>
              <w:rPr>
                <w:color w:val="auto"/>
                <w:lang w:val="en-US" w:eastAsia="en-US" w:bidi="en-US"/>
              </w:rPr>
            </w:pPr>
            <w:r>
              <w:rPr>
                <w:color w:val="auto"/>
                <w:lang w:val="en-US" w:eastAsia="zh-CN" w:bidi="en-US"/>
              </w:rPr>
              <w:t>生活污水</w:t>
            </w:r>
          </w:p>
        </w:tc>
        <w:tc>
          <w:tcPr>
            <w:tcW w:w="1985" w:type="dxa"/>
            <w:vAlign w:val="center"/>
          </w:tcPr>
          <w:p w14:paraId="684DC0F6">
            <w:pPr>
              <w:pStyle w:val="337"/>
              <w:rPr>
                <w:color w:val="auto"/>
                <w:lang w:val="en-US" w:eastAsia="zh-CN" w:bidi="en-US"/>
              </w:rPr>
            </w:pPr>
            <w:r>
              <w:rPr>
                <w:color w:val="auto"/>
                <w:lang w:val="en-US" w:eastAsia="zh-CN" w:bidi="en-US"/>
              </w:rPr>
              <w:t>生活污水进</w:t>
            </w:r>
            <w:r>
              <w:rPr>
                <w:rFonts w:hint="eastAsia"/>
                <w:color w:val="auto"/>
                <w:lang w:val="en-US" w:eastAsia="zh-CN" w:bidi="en-US"/>
              </w:rPr>
              <w:t>化粪池后排入蒸发池。</w:t>
            </w:r>
          </w:p>
        </w:tc>
        <w:tc>
          <w:tcPr>
            <w:tcW w:w="3543" w:type="dxa"/>
            <w:vAlign w:val="center"/>
          </w:tcPr>
          <w:p w14:paraId="79321880">
            <w:pPr>
              <w:pStyle w:val="337"/>
              <w:rPr>
                <w:color w:val="auto"/>
                <w:lang w:val="en-US" w:eastAsia="zh-CN" w:bidi="en-US"/>
              </w:rPr>
            </w:pPr>
            <w:r>
              <w:rPr>
                <w:color w:val="auto"/>
                <w:lang w:val="en-US" w:eastAsia="zh-CN" w:bidi="en-US"/>
              </w:rPr>
              <w:t>废弃原来的</w:t>
            </w:r>
            <w:r>
              <w:rPr>
                <w:rFonts w:hint="eastAsia"/>
                <w:color w:val="auto"/>
                <w:lang w:val="en-US" w:eastAsia="zh-CN" w:bidi="en-US"/>
              </w:rPr>
              <w:t>化粪池</w:t>
            </w:r>
            <w:r>
              <w:rPr>
                <w:color w:val="auto"/>
                <w:lang w:val="en-US" w:eastAsia="zh-CN" w:bidi="en-US"/>
              </w:rPr>
              <w:t>，</w:t>
            </w:r>
            <w:r>
              <w:rPr>
                <w:rFonts w:hint="eastAsia"/>
                <w:color w:val="auto"/>
                <w:lang w:val="en-US" w:eastAsia="zh-CN" w:bidi="en-US"/>
              </w:rPr>
              <w:t>新</w:t>
            </w:r>
            <w:r>
              <w:rPr>
                <w:color w:val="auto"/>
                <w:lang w:val="en-US" w:eastAsia="zh-CN" w:bidi="en-US"/>
              </w:rPr>
              <w:t>建有</w:t>
            </w:r>
            <w:r>
              <w:rPr>
                <w:rFonts w:hint="eastAsia"/>
                <w:color w:val="auto"/>
                <w:lang w:val="en-US" w:eastAsia="zh-CN" w:bidi="en-US"/>
              </w:rPr>
              <w:t>地埋式一体化污水处理系统，生活污水经污水处理系统处理后进入蒸发池储存，部分用于绿化，部分用于道路洒水。</w:t>
            </w:r>
          </w:p>
        </w:tc>
      </w:tr>
      <w:tr w14:paraId="7314F6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5" w:type="dxa"/>
            <w:vMerge w:val="continue"/>
            <w:vAlign w:val="center"/>
          </w:tcPr>
          <w:p w14:paraId="73570441">
            <w:pPr>
              <w:pStyle w:val="337"/>
              <w:rPr>
                <w:color w:val="auto"/>
                <w:lang w:val="en-US" w:eastAsia="zh-CN" w:bidi="en-US"/>
              </w:rPr>
            </w:pPr>
          </w:p>
        </w:tc>
        <w:tc>
          <w:tcPr>
            <w:tcW w:w="992" w:type="dxa"/>
            <w:vMerge w:val="continue"/>
            <w:vAlign w:val="center"/>
          </w:tcPr>
          <w:p w14:paraId="74DD727F">
            <w:pPr>
              <w:pStyle w:val="337"/>
              <w:rPr>
                <w:color w:val="auto"/>
                <w:lang w:val="en-US" w:eastAsia="zh-CN" w:bidi="en-US"/>
              </w:rPr>
            </w:pPr>
          </w:p>
        </w:tc>
        <w:tc>
          <w:tcPr>
            <w:tcW w:w="1276" w:type="dxa"/>
            <w:vAlign w:val="center"/>
          </w:tcPr>
          <w:p w14:paraId="5FB15594">
            <w:pPr>
              <w:pStyle w:val="337"/>
              <w:rPr>
                <w:color w:val="auto"/>
                <w:lang w:val="en-US" w:eastAsia="zh-CN" w:bidi="en-US"/>
              </w:rPr>
            </w:pPr>
            <w:r>
              <w:rPr>
                <w:rFonts w:hint="eastAsia"/>
                <w:color w:val="auto"/>
                <w:lang w:val="en-US" w:eastAsia="zh-CN" w:bidi="en-US"/>
              </w:rPr>
              <w:t>生产废水</w:t>
            </w:r>
          </w:p>
        </w:tc>
        <w:tc>
          <w:tcPr>
            <w:tcW w:w="1985" w:type="dxa"/>
            <w:vAlign w:val="center"/>
          </w:tcPr>
          <w:p w14:paraId="09D519E2">
            <w:pPr>
              <w:pStyle w:val="337"/>
              <w:rPr>
                <w:color w:val="auto"/>
                <w:lang w:val="en-US" w:eastAsia="zh-CN" w:bidi="en-US"/>
              </w:rPr>
            </w:pPr>
            <w:r>
              <w:rPr>
                <w:rFonts w:hint="eastAsia"/>
                <w:color w:val="auto"/>
                <w:lang w:val="en-US" w:eastAsia="zh-CN" w:bidi="en-US"/>
              </w:rPr>
              <w:t>含油污水进入污水处理系统（50m</w:t>
            </w:r>
            <w:r>
              <w:rPr>
                <w:rFonts w:hint="eastAsia"/>
                <w:color w:val="auto"/>
                <w:vertAlign w:val="superscript"/>
                <w:lang w:val="en-US" w:eastAsia="zh-CN" w:bidi="en-US"/>
              </w:rPr>
              <w:t>3</w:t>
            </w:r>
            <w:r>
              <w:rPr>
                <w:rFonts w:hint="eastAsia"/>
                <w:color w:val="auto"/>
                <w:lang w:val="en-US" w:eastAsia="zh-CN" w:bidi="en-US"/>
              </w:rPr>
              <w:t>/d），处理后污水回注地下。</w:t>
            </w:r>
          </w:p>
        </w:tc>
        <w:tc>
          <w:tcPr>
            <w:tcW w:w="3543" w:type="dxa"/>
            <w:vAlign w:val="center"/>
          </w:tcPr>
          <w:p w14:paraId="4613C307">
            <w:pPr>
              <w:pStyle w:val="337"/>
              <w:rPr>
                <w:color w:val="auto"/>
                <w:lang w:val="en-US" w:eastAsia="zh-CN" w:bidi="en-US"/>
              </w:rPr>
            </w:pPr>
            <w:r>
              <w:rPr>
                <w:rFonts w:hint="eastAsia"/>
                <w:color w:val="auto"/>
                <w:lang w:val="en-US" w:eastAsia="zh-CN" w:bidi="en-US"/>
              </w:rPr>
              <w:t>污水处理系统改扩建，规模增至300m</w:t>
            </w:r>
            <w:r>
              <w:rPr>
                <w:rFonts w:hint="eastAsia"/>
                <w:color w:val="auto"/>
                <w:vertAlign w:val="superscript"/>
                <w:lang w:val="en-US" w:eastAsia="zh-CN" w:bidi="en-US"/>
              </w:rPr>
              <w:t>3</w:t>
            </w:r>
            <w:r>
              <w:rPr>
                <w:rFonts w:hint="eastAsia"/>
                <w:color w:val="auto"/>
                <w:lang w:val="en-US" w:eastAsia="zh-CN" w:bidi="en-US"/>
              </w:rPr>
              <w:t>/d，污水经处理达标后回注地层。</w:t>
            </w:r>
          </w:p>
        </w:tc>
      </w:tr>
      <w:tr w14:paraId="1F2ACA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5" w:type="dxa"/>
            <w:vMerge w:val="restart"/>
            <w:vAlign w:val="center"/>
          </w:tcPr>
          <w:p w14:paraId="6087B8AD">
            <w:pPr>
              <w:pStyle w:val="337"/>
              <w:rPr>
                <w:color w:val="auto"/>
                <w:lang w:val="en-US" w:eastAsia="zh-CN" w:bidi="en-US"/>
              </w:rPr>
            </w:pPr>
            <w:r>
              <w:rPr>
                <w:color w:val="auto"/>
                <w:lang w:val="en-US" w:eastAsia="zh-CN" w:bidi="en-US"/>
              </w:rPr>
              <w:t>三</w:t>
            </w:r>
          </w:p>
        </w:tc>
        <w:tc>
          <w:tcPr>
            <w:tcW w:w="992" w:type="dxa"/>
            <w:vMerge w:val="restart"/>
            <w:vAlign w:val="center"/>
          </w:tcPr>
          <w:p w14:paraId="7AEF5BA6">
            <w:pPr>
              <w:pStyle w:val="337"/>
              <w:rPr>
                <w:color w:val="auto"/>
                <w:lang w:val="en-US" w:eastAsia="zh-CN" w:bidi="en-US"/>
              </w:rPr>
            </w:pPr>
            <w:r>
              <w:rPr>
                <w:color w:val="auto"/>
                <w:lang w:val="en-US" w:eastAsia="zh-CN" w:bidi="en-US"/>
              </w:rPr>
              <w:t>固体废弃物</w:t>
            </w:r>
          </w:p>
        </w:tc>
        <w:tc>
          <w:tcPr>
            <w:tcW w:w="1276" w:type="dxa"/>
            <w:vAlign w:val="center"/>
          </w:tcPr>
          <w:p w14:paraId="50DCE5E7">
            <w:pPr>
              <w:pStyle w:val="337"/>
              <w:rPr>
                <w:color w:val="auto"/>
                <w:lang w:val="en-US" w:eastAsia="zh-CN" w:bidi="en-US"/>
              </w:rPr>
            </w:pPr>
            <w:r>
              <w:rPr>
                <w:color w:val="auto"/>
                <w:lang w:val="en-US" w:eastAsia="en-US" w:bidi="en-US"/>
              </w:rPr>
              <w:t>油泥砂</w:t>
            </w:r>
          </w:p>
        </w:tc>
        <w:tc>
          <w:tcPr>
            <w:tcW w:w="1985" w:type="dxa"/>
            <w:vAlign w:val="center"/>
          </w:tcPr>
          <w:p w14:paraId="5AE02E01">
            <w:pPr>
              <w:pStyle w:val="337"/>
              <w:rPr>
                <w:color w:val="auto"/>
                <w:lang w:val="en-US" w:eastAsia="en-US" w:bidi="en-US"/>
              </w:rPr>
            </w:pPr>
            <w:r>
              <w:rPr>
                <w:rFonts w:hint="eastAsia"/>
                <w:color w:val="auto"/>
                <w:lang w:val="en-US" w:eastAsia="en-US" w:bidi="en-US"/>
              </w:rPr>
              <w:t>拉运至阿尔善处理</w:t>
            </w:r>
          </w:p>
        </w:tc>
        <w:tc>
          <w:tcPr>
            <w:tcW w:w="3543" w:type="dxa"/>
            <w:vAlign w:val="center"/>
          </w:tcPr>
          <w:p w14:paraId="3584FC7D">
            <w:pPr>
              <w:pStyle w:val="337"/>
              <w:rPr>
                <w:color w:val="auto"/>
                <w:lang w:val="en-US" w:eastAsia="zh-CN" w:bidi="en-US"/>
              </w:rPr>
            </w:pPr>
            <w:r>
              <w:rPr>
                <w:rFonts w:hint="eastAsia"/>
                <w:color w:val="auto"/>
                <w:lang w:val="en-US" w:eastAsia="zh-CN" w:bidi="en-US"/>
              </w:rPr>
              <w:t>雅斯联合站东建有废液池，油泥砂进入废液池，经有效降解、沉降后，</w:t>
            </w:r>
            <w:r>
              <w:rPr>
                <w:rFonts w:hint="eastAsia"/>
                <w:color w:val="auto"/>
                <w:lang w:val="en-US" w:eastAsia="zh-CN"/>
              </w:rPr>
              <w:t>上清液进入污水处理系统，底泥一般3-5年清理一次，</w:t>
            </w:r>
            <w:r>
              <w:rPr>
                <w:rFonts w:hint="eastAsia" w:asciiTheme="minorEastAsia" w:hAnsiTheme="minorEastAsia" w:eastAsiaTheme="minorEastAsia"/>
                <w:color w:val="auto"/>
                <w:lang w:val="en-US" w:eastAsia="zh-CN"/>
              </w:rPr>
              <w:t>委托东乌珠穆沁旗高科危险废物处理有限公司进行处置</w:t>
            </w:r>
            <w:r>
              <w:rPr>
                <w:rFonts w:hint="eastAsia"/>
                <w:color w:val="auto"/>
                <w:lang w:val="en-US" w:eastAsia="zh-CN" w:bidi="en-US"/>
              </w:rPr>
              <w:t>，落至</w:t>
            </w:r>
            <w:r>
              <w:rPr>
                <w:color w:val="auto"/>
                <w:lang w:val="en-US" w:eastAsia="zh-CN" w:bidi="en-US"/>
              </w:rPr>
              <w:t>防渗布</w:t>
            </w:r>
            <w:r>
              <w:rPr>
                <w:rFonts w:hint="eastAsia"/>
                <w:color w:val="auto"/>
                <w:lang w:val="en-US" w:eastAsia="zh-CN" w:bidi="en-US"/>
              </w:rPr>
              <w:t>上的落地油</w:t>
            </w:r>
            <w:r>
              <w:rPr>
                <w:rFonts w:hint="eastAsia" w:asciiTheme="minorEastAsia" w:hAnsiTheme="minorEastAsia" w:eastAsiaTheme="minorEastAsia"/>
                <w:color w:val="auto"/>
                <w:lang w:val="en-US" w:eastAsia="zh-CN"/>
              </w:rPr>
              <w:t>委托东乌珠穆沁旗高科危险废物处理有限公司进行处置</w:t>
            </w:r>
            <w:r>
              <w:rPr>
                <w:color w:val="auto"/>
                <w:lang w:val="en-US" w:eastAsia="zh-CN"/>
              </w:rPr>
              <w:t>。</w:t>
            </w:r>
          </w:p>
        </w:tc>
      </w:tr>
      <w:tr w14:paraId="3718C7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5" w:type="dxa"/>
            <w:vMerge w:val="continue"/>
            <w:vAlign w:val="center"/>
          </w:tcPr>
          <w:p w14:paraId="568902A4">
            <w:pPr>
              <w:pStyle w:val="337"/>
              <w:rPr>
                <w:color w:val="auto"/>
                <w:lang w:val="en-US" w:eastAsia="zh-CN" w:bidi="en-US"/>
              </w:rPr>
            </w:pPr>
          </w:p>
        </w:tc>
        <w:tc>
          <w:tcPr>
            <w:tcW w:w="992" w:type="dxa"/>
            <w:vMerge w:val="continue"/>
            <w:vAlign w:val="center"/>
          </w:tcPr>
          <w:p w14:paraId="44DD2A30">
            <w:pPr>
              <w:pStyle w:val="337"/>
              <w:rPr>
                <w:color w:val="auto"/>
                <w:lang w:val="en-US" w:eastAsia="zh-CN" w:bidi="en-US"/>
              </w:rPr>
            </w:pPr>
          </w:p>
        </w:tc>
        <w:tc>
          <w:tcPr>
            <w:tcW w:w="1276" w:type="dxa"/>
            <w:vAlign w:val="center"/>
          </w:tcPr>
          <w:p w14:paraId="66B87ADD">
            <w:pPr>
              <w:pStyle w:val="337"/>
              <w:rPr>
                <w:color w:val="auto"/>
                <w:lang w:val="en-US" w:eastAsia="en-US" w:bidi="en-US"/>
              </w:rPr>
            </w:pPr>
            <w:r>
              <w:rPr>
                <w:rFonts w:hint="eastAsia"/>
                <w:color w:val="auto"/>
                <w:lang w:val="en-US" w:eastAsia="zh-CN" w:bidi="en-US"/>
              </w:rPr>
              <w:t>落地油</w:t>
            </w:r>
          </w:p>
        </w:tc>
        <w:tc>
          <w:tcPr>
            <w:tcW w:w="1985" w:type="dxa"/>
            <w:vAlign w:val="center"/>
          </w:tcPr>
          <w:p w14:paraId="327CB502">
            <w:pPr>
              <w:pStyle w:val="337"/>
              <w:rPr>
                <w:color w:val="auto"/>
                <w:lang w:val="en-US" w:eastAsia="en-US" w:bidi="en-US"/>
              </w:rPr>
            </w:pPr>
            <w:r>
              <w:rPr>
                <w:rFonts w:hint="eastAsia"/>
                <w:color w:val="auto"/>
                <w:lang w:val="en-US" w:eastAsia="en-US" w:bidi="en-US"/>
              </w:rPr>
              <w:t>拉运至阿尔善处理</w:t>
            </w:r>
          </w:p>
        </w:tc>
        <w:tc>
          <w:tcPr>
            <w:tcW w:w="3543" w:type="dxa"/>
            <w:vAlign w:val="center"/>
          </w:tcPr>
          <w:p w14:paraId="79B88D9E">
            <w:pPr>
              <w:pStyle w:val="337"/>
              <w:rPr>
                <w:color w:val="auto"/>
                <w:lang w:val="en-US" w:eastAsia="zh-CN" w:bidi="en-US"/>
              </w:rPr>
            </w:pPr>
            <w:r>
              <w:rPr>
                <w:rFonts w:hint="eastAsia"/>
                <w:color w:val="auto"/>
                <w:lang w:val="en-US" w:eastAsia="zh-CN" w:bidi="en-US"/>
              </w:rPr>
              <w:t>回收的落地油进入废液池，经有效降解、沉降后，</w:t>
            </w:r>
            <w:r>
              <w:rPr>
                <w:rFonts w:hint="eastAsia"/>
                <w:color w:val="auto"/>
                <w:lang w:val="en-US" w:eastAsia="zh-CN"/>
              </w:rPr>
              <w:t>上清液进入污水处理系统，底泥一般3-5年清理一次，</w:t>
            </w:r>
            <w:r>
              <w:rPr>
                <w:rFonts w:hint="eastAsia" w:asciiTheme="minorEastAsia" w:hAnsiTheme="minorEastAsia" w:eastAsiaTheme="minorEastAsia"/>
                <w:color w:val="auto"/>
                <w:lang w:val="en-US" w:eastAsia="zh-CN"/>
              </w:rPr>
              <w:t>委托东乌珠穆沁旗高科危险废物处理有限公司进行处置</w:t>
            </w:r>
            <w:r>
              <w:rPr>
                <w:rFonts w:hint="eastAsia"/>
                <w:color w:val="auto"/>
                <w:lang w:val="en-US" w:eastAsia="zh-CN" w:bidi="en-US"/>
              </w:rPr>
              <w:t>，落至</w:t>
            </w:r>
            <w:r>
              <w:rPr>
                <w:color w:val="auto"/>
                <w:lang w:val="en-US" w:eastAsia="zh-CN" w:bidi="en-US"/>
              </w:rPr>
              <w:t>防渗布</w:t>
            </w:r>
            <w:r>
              <w:rPr>
                <w:rFonts w:hint="eastAsia"/>
                <w:color w:val="auto"/>
                <w:lang w:val="en-US" w:eastAsia="zh-CN" w:bidi="en-US"/>
              </w:rPr>
              <w:t>上的落地油</w:t>
            </w:r>
            <w:r>
              <w:rPr>
                <w:rFonts w:hint="eastAsia" w:asciiTheme="minorEastAsia" w:hAnsiTheme="minorEastAsia" w:eastAsiaTheme="minorEastAsia"/>
                <w:color w:val="auto"/>
                <w:lang w:val="en-US" w:eastAsia="zh-CN"/>
              </w:rPr>
              <w:t>委托东乌珠穆沁旗高科危险废物处理有限公司进行处置</w:t>
            </w:r>
            <w:r>
              <w:rPr>
                <w:color w:val="auto"/>
                <w:lang w:val="en-US" w:eastAsia="zh-CN"/>
              </w:rPr>
              <w:t>。</w:t>
            </w:r>
          </w:p>
        </w:tc>
      </w:tr>
      <w:tr w14:paraId="080973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15" w:type="dxa"/>
            <w:vMerge w:val="continue"/>
            <w:vAlign w:val="center"/>
          </w:tcPr>
          <w:p w14:paraId="0B481D34">
            <w:pPr>
              <w:pStyle w:val="337"/>
              <w:rPr>
                <w:color w:val="auto"/>
                <w:lang w:val="en-US" w:eastAsia="zh-CN" w:bidi="en-US"/>
              </w:rPr>
            </w:pPr>
          </w:p>
        </w:tc>
        <w:tc>
          <w:tcPr>
            <w:tcW w:w="992" w:type="dxa"/>
            <w:vMerge w:val="continue"/>
            <w:vAlign w:val="center"/>
          </w:tcPr>
          <w:p w14:paraId="31E46572">
            <w:pPr>
              <w:pStyle w:val="337"/>
              <w:rPr>
                <w:color w:val="auto"/>
                <w:lang w:val="en-US" w:eastAsia="zh-CN" w:bidi="en-US"/>
              </w:rPr>
            </w:pPr>
          </w:p>
        </w:tc>
        <w:tc>
          <w:tcPr>
            <w:tcW w:w="1276" w:type="dxa"/>
            <w:vAlign w:val="center"/>
          </w:tcPr>
          <w:p w14:paraId="40DE66C0">
            <w:pPr>
              <w:pStyle w:val="337"/>
              <w:rPr>
                <w:color w:val="auto"/>
                <w:lang w:val="en-US" w:eastAsia="zh-CN" w:bidi="en-US"/>
              </w:rPr>
            </w:pPr>
            <w:r>
              <w:rPr>
                <w:color w:val="auto"/>
                <w:lang w:val="en-US" w:eastAsia="zh-CN" w:bidi="en-US"/>
              </w:rPr>
              <w:t>生活垃圾</w:t>
            </w:r>
          </w:p>
        </w:tc>
        <w:tc>
          <w:tcPr>
            <w:tcW w:w="1985" w:type="dxa"/>
            <w:vAlign w:val="center"/>
          </w:tcPr>
          <w:p w14:paraId="289A6A72">
            <w:pPr>
              <w:pStyle w:val="337"/>
              <w:rPr>
                <w:color w:val="auto"/>
                <w:highlight w:val="red"/>
                <w:lang w:val="en-US" w:eastAsia="zh-CN" w:bidi="en-US"/>
              </w:rPr>
            </w:pPr>
            <w:r>
              <w:rPr>
                <w:color w:val="auto"/>
                <w:lang w:val="en-US" w:eastAsia="zh-CN" w:bidi="en-US"/>
              </w:rPr>
              <w:t>集中收集，固定点填埋。</w:t>
            </w:r>
          </w:p>
        </w:tc>
        <w:tc>
          <w:tcPr>
            <w:tcW w:w="3543" w:type="dxa"/>
            <w:vAlign w:val="center"/>
          </w:tcPr>
          <w:p w14:paraId="3F989A78">
            <w:pPr>
              <w:pStyle w:val="337"/>
              <w:rPr>
                <w:color w:val="auto"/>
                <w:highlight w:val="red"/>
                <w:lang w:val="en-US" w:eastAsia="zh-CN" w:bidi="en-US"/>
              </w:rPr>
            </w:pPr>
            <w:r>
              <w:rPr>
                <w:color w:val="auto"/>
                <w:lang w:val="en-US" w:eastAsia="zh-CN" w:bidi="en-US"/>
              </w:rPr>
              <w:t>集中收集，固定点填埋。</w:t>
            </w:r>
          </w:p>
        </w:tc>
      </w:tr>
    </w:tbl>
    <w:p w14:paraId="3518040D">
      <w:pPr>
        <w:ind w:firstLine="480"/>
        <w:rPr>
          <w:rFonts w:asciiTheme="minorEastAsia" w:hAnsiTheme="minorEastAsia" w:eastAsiaTheme="minorEastAsia"/>
          <w:lang w:eastAsia="zh-CN"/>
        </w:rPr>
      </w:pPr>
      <w:r>
        <w:rPr>
          <w:rFonts w:asciiTheme="minorEastAsia" w:hAnsiTheme="minorEastAsia" w:eastAsiaTheme="minorEastAsia"/>
          <w:lang w:eastAsia="zh-CN"/>
        </w:rPr>
        <w:t>2、</w:t>
      </w:r>
      <w:r>
        <w:rPr>
          <w:rFonts w:hint="eastAsia" w:asciiTheme="minorEastAsia" w:hAnsiTheme="minorEastAsia" w:eastAsiaTheme="minorEastAsia"/>
          <w:lang w:eastAsia="zh-CN"/>
        </w:rPr>
        <w:t>“以</w:t>
      </w:r>
      <w:r>
        <w:rPr>
          <w:rFonts w:asciiTheme="minorEastAsia" w:hAnsiTheme="minorEastAsia" w:eastAsiaTheme="minorEastAsia"/>
          <w:lang w:eastAsia="zh-CN"/>
        </w:rPr>
        <w:t>新带老</w:t>
      </w:r>
      <w:r>
        <w:rPr>
          <w:rFonts w:hint="eastAsia" w:asciiTheme="minorEastAsia" w:hAnsiTheme="minorEastAsia" w:eastAsiaTheme="minorEastAsia"/>
          <w:lang w:eastAsia="zh-CN"/>
        </w:rPr>
        <w:t>”</w:t>
      </w:r>
      <w:r>
        <w:rPr>
          <w:rFonts w:asciiTheme="minorEastAsia" w:hAnsiTheme="minorEastAsia" w:eastAsiaTheme="minorEastAsia"/>
          <w:lang w:eastAsia="zh-CN"/>
        </w:rPr>
        <w:t>污染物消减量</w:t>
      </w:r>
    </w:p>
    <w:p w14:paraId="26BBDDD5">
      <w:pPr>
        <w:ind w:firstLine="480"/>
        <w:rPr>
          <w:rFonts w:asciiTheme="minorEastAsia" w:hAnsiTheme="minorEastAsia" w:eastAsiaTheme="minorEastAsia"/>
          <w:lang w:eastAsia="zh-CN"/>
        </w:rPr>
      </w:pPr>
      <w:r>
        <w:rPr>
          <w:rFonts w:asciiTheme="minorEastAsia" w:hAnsiTheme="minorEastAsia" w:eastAsiaTheme="minorEastAsia"/>
          <w:lang w:eastAsia="zh-CN"/>
        </w:rPr>
        <w:t>本项目是在</w:t>
      </w:r>
      <w:r>
        <w:rPr>
          <w:rFonts w:hint="eastAsia" w:asciiTheme="minorEastAsia" w:hAnsiTheme="minorEastAsia" w:eastAsiaTheme="minorEastAsia"/>
          <w:lang w:eastAsia="zh-CN"/>
        </w:rPr>
        <w:t>现有</w:t>
      </w:r>
      <w:r>
        <w:rPr>
          <w:rFonts w:asciiTheme="minorEastAsia" w:hAnsiTheme="minorEastAsia" w:eastAsiaTheme="minorEastAsia"/>
          <w:lang w:eastAsia="zh-CN"/>
        </w:rPr>
        <w:t>工程的基础上进行改扩建生产，本次工程完成后以新带老污染物消减量见表3.</w:t>
      </w:r>
      <w:r>
        <w:rPr>
          <w:rFonts w:hint="eastAsia" w:asciiTheme="minorEastAsia" w:hAnsiTheme="minorEastAsia" w:eastAsiaTheme="minorEastAsia"/>
          <w:lang w:eastAsia="zh-CN"/>
        </w:rPr>
        <w:t>7</w:t>
      </w:r>
      <w:r>
        <w:rPr>
          <w:rFonts w:asciiTheme="minorEastAsia" w:hAnsiTheme="minorEastAsia" w:eastAsiaTheme="minorEastAsia"/>
          <w:lang w:eastAsia="zh-CN"/>
        </w:rPr>
        <w:t>-</w:t>
      </w:r>
      <w:r>
        <w:rPr>
          <w:rFonts w:hint="eastAsia" w:asciiTheme="minorEastAsia" w:hAnsiTheme="minorEastAsia" w:eastAsiaTheme="minorEastAsia"/>
          <w:lang w:eastAsia="zh-CN"/>
        </w:rPr>
        <w:t>2</w:t>
      </w:r>
      <w:r>
        <w:rPr>
          <w:rFonts w:asciiTheme="minorEastAsia" w:hAnsiTheme="minorEastAsia" w:eastAsiaTheme="minorEastAsia"/>
          <w:lang w:eastAsia="zh-CN"/>
        </w:rPr>
        <w:t>。</w:t>
      </w:r>
    </w:p>
    <w:p w14:paraId="2E4260DF">
      <w:pPr>
        <w:ind w:firstLine="480"/>
        <w:rPr>
          <w:rFonts w:asciiTheme="minorEastAsia" w:hAnsiTheme="minorEastAsia" w:eastAsiaTheme="minorEastAsia"/>
          <w:lang w:eastAsia="zh-CN"/>
        </w:rPr>
      </w:pPr>
    </w:p>
    <w:p w14:paraId="1472FD23">
      <w:pPr>
        <w:ind w:firstLine="480"/>
        <w:rPr>
          <w:rFonts w:asciiTheme="minorEastAsia" w:hAnsiTheme="minorEastAsia" w:eastAsiaTheme="minorEastAsia"/>
          <w:lang w:eastAsia="zh-CN"/>
        </w:rPr>
      </w:pPr>
    </w:p>
    <w:p w14:paraId="20917A4E">
      <w:pPr>
        <w:ind w:firstLine="480"/>
        <w:rPr>
          <w:rFonts w:asciiTheme="minorEastAsia" w:hAnsiTheme="minorEastAsia" w:eastAsiaTheme="minorEastAsia"/>
          <w:lang w:eastAsia="zh-CN"/>
        </w:rPr>
      </w:pPr>
    </w:p>
    <w:p w14:paraId="5CD609A0">
      <w:pPr>
        <w:ind w:firstLine="480"/>
        <w:rPr>
          <w:rFonts w:asciiTheme="minorEastAsia" w:hAnsiTheme="minorEastAsia" w:eastAsiaTheme="minorEastAsia"/>
          <w:lang w:eastAsia="zh-CN"/>
        </w:rPr>
      </w:pPr>
    </w:p>
    <w:p w14:paraId="59072F42">
      <w:pPr>
        <w:spacing w:line="240" w:lineRule="auto"/>
        <w:ind w:firstLine="482"/>
        <w:rPr>
          <w:b/>
          <w:bCs/>
          <w:lang w:eastAsia="zh-CN"/>
        </w:rPr>
      </w:pPr>
      <w:r>
        <w:rPr>
          <w:b/>
          <w:bCs/>
          <w:lang w:eastAsia="zh-CN"/>
        </w:rPr>
        <w:t>表3.</w:t>
      </w:r>
      <w:r>
        <w:rPr>
          <w:rFonts w:hint="eastAsia"/>
          <w:b/>
          <w:bCs/>
          <w:lang w:eastAsia="zh-CN"/>
        </w:rPr>
        <w:t>7</w:t>
      </w:r>
      <w:r>
        <w:rPr>
          <w:b/>
          <w:bCs/>
          <w:lang w:eastAsia="zh-CN"/>
        </w:rPr>
        <w:t>-</w:t>
      </w:r>
      <w:r>
        <w:rPr>
          <w:rFonts w:hint="eastAsia"/>
          <w:b/>
          <w:bCs/>
          <w:lang w:eastAsia="zh-CN"/>
        </w:rPr>
        <w:t>2</w:t>
      </w:r>
      <w:r>
        <w:rPr>
          <w:b/>
          <w:bCs/>
          <w:lang w:eastAsia="zh-CN"/>
        </w:rPr>
        <w:t xml:space="preserve">  </w:t>
      </w:r>
      <w:r>
        <w:rPr>
          <w:rFonts w:hint="eastAsia"/>
          <w:b/>
          <w:bCs/>
          <w:lang w:eastAsia="zh-CN"/>
        </w:rPr>
        <w:t xml:space="preserve">    </w:t>
      </w:r>
      <w:r>
        <w:rPr>
          <w:b/>
          <w:bCs/>
          <w:lang w:eastAsia="zh-CN"/>
        </w:rPr>
        <w:t>以新带老污染物消减量</w:t>
      </w:r>
    </w:p>
    <w:tbl>
      <w:tblPr>
        <w:tblStyle w:val="7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82"/>
        <w:gridCol w:w="1701"/>
        <w:gridCol w:w="1701"/>
        <w:gridCol w:w="2156"/>
        <w:gridCol w:w="1484"/>
      </w:tblGrid>
      <w:tr w14:paraId="005F0C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82" w:type="dxa"/>
            <w:vAlign w:val="center"/>
          </w:tcPr>
          <w:p w14:paraId="75DC0FCA">
            <w:pPr>
              <w:pStyle w:val="337"/>
              <w:rPr>
                <w:color w:val="auto"/>
                <w:lang w:val="en-US" w:eastAsia="zh-CN" w:bidi="en-US"/>
              </w:rPr>
            </w:pPr>
            <w:r>
              <w:rPr>
                <w:color w:val="auto"/>
                <w:lang w:val="en-US" w:eastAsia="en-US" w:bidi="en-US"/>
              </w:rPr>
              <w:t>污染源</w:t>
            </w:r>
          </w:p>
        </w:tc>
        <w:tc>
          <w:tcPr>
            <w:tcW w:w="1701" w:type="dxa"/>
            <w:vAlign w:val="center"/>
          </w:tcPr>
          <w:p w14:paraId="603AE6EA">
            <w:pPr>
              <w:pStyle w:val="337"/>
              <w:rPr>
                <w:color w:val="auto"/>
                <w:lang w:val="en-US" w:eastAsia="en-US" w:bidi="en-US"/>
              </w:rPr>
            </w:pPr>
            <w:r>
              <w:rPr>
                <w:color w:val="auto"/>
                <w:lang w:val="en-US" w:eastAsia="en-US" w:bidi="en-US"/>
              </w:rPr>
              <w:t>污染物</w:t>
            </w:r>
          </w:p>
        </w:tc>
        <w:tc>
          <w:tcPr>
            <w:tcW w:w="1701" w:type="dxa"/>
            <w:vAlign w:val="center"/>
          </w:tcPr>
          <w:p w14:paraId="7AB04203">
            <w:pPr>
              <w:pStyle w:val="337"/>
              <w:rPr>
                <w:color w:val="auto"/>
                <w:lang w:val="en-US" w:eastAsia="zh-CN" w:bidi="en-US"/>
              </w:rPr>
            </w:pPr>
            <w:r>
              <w:rPr>
                <w:rFonts w:hint="eastAsia"/>
                <w:color w:val="auto"/>
                <w:lang w:val="en-US" w:eastAsia="zh-CN" w:bidi="en-US"/>
              </w:rPr>
              <w:t>现有工程</w:t>
            </w:r>
          </w:p>
          <w:p w14:paraId="57C777CD">
            <w:pPr>
              <w:pStyle w:val="337"/>
              <w:rPr>
                <w:color w:val="auto"/>
                <w:lang w:val="en-US" w:eastAsia="en-US" w:bidi="en-US"/>
              </w:rPr>
            </w:pPr>
            <w:r>
              <w:rPr>
                <w:color w:val="auto"/>
                <w:lang w:val="en-US" w:eastAsia="en-US" w:bidi="en-US"/>
              </w:rPr>
              <w:t>排放量</w:t>
            </w:r>
          </w:p>
          <w:p w14:paraId="17F4A903">
            <w:pPr>
              <w:pStyle w:val="337"/>
              <w:rPr>
                <w:color w:val="auto"/>
                <w:lang w:val="en-US" w:eastAsia="en-US" w:bidi="en-US"/>
              </w:rPr>
            </w:pPr>
            <w:r>
              <w:rPr>
                <w:color w:val="auto"/>
                <w:lang w:val="en-US" w:eastAsia="en-US" w:bidi="en-US"/>
              </w:rPr>
              <w:t>(t/a)</w:t>
            </w:r>
          </w:p>
        </w:tc>
        <w:tc>
          <w:tcPr>
            <w:tcW w:w="2156" w:type="dxa"/>
            <w:vAlign w:val="center"/>
          </w:tcPr>
          <w:p w14:paraId="27AC6C69">
            <w:pPr>
              <w:pStyle w:val="337"/>
              <w:rPr>
                <w:color w:val="auto"/>
                <w:lang w:val="en-US" w:eastAsia="zh-CN" w:bidi="en-US"/>
              </w:rPr>
            </w:pPr>
            <w:r>
              <w:rPr>
                <w:color w:val="auto"/>
                <w:lang w:val="en-US" w:eastAsia="zh-CN" w:bidi="en-US"/>
              </w:rPr>
              <w:t>改扩建工程完成后</w:t>
            </w:r>
          </w:p>
          <w:p w14:paraId="1BE9C887">
            <w:pPr>
              <w:pStyle w:val="337"/>
              <w:rPr>
                <w:color w:val="auto"/>
                <w:lang w:val="en-US" w:eastAsia="zh-CN" w:bidi="en-US"/>
              </w:rPr>
            </w:pPr>
            <w:r>
              <w:rPr>
                <w:color w:val="auto"/>
                <w:lang w:val="en-US" w:eastAsia="zh-CN" w:bidi="en-US"/>
              </w:rPr>
              <w:t>排放量</w:t>
            </w:r>
          </w:p>
          <w:p w14:paraId="16AEC27A">
            <w:pPr>
              <w:pStyle w:val="337"/>
              <w:rPr>
                <w:color w:val="auto"/>
                <w:lang w:val="en-US" w:eastAsia="en-US" w:bidi="en-US"/>
              </w:rPr>
            </w:pPr>
            <w:r>
              <w:rPr>
                <w:color w:val="auto"/>
                <w:lang w:val="en-US" w:eastAsia="en-US" w:bidi="en-US"/>
              </w:rPr>
              <w:t>(t/a)</w:t>
            </w:r>
          </w:p>
        </w:tc>
        <w:tc>
          <w:tcPr>
            <w:tcW w:w="1484" w:type="dxa"/>
            <w:vAlign w:val="center"/>
          </w:tcPr>
          <w:p w14:paraId="6AF52003">
            <w:pPr>
              <w:pStyle w:val="337"/>
              <w:rPr>
                <w:color w:val="auto"/>
                <w:lang w:val="en-US" w:eastAsia="en-US" w:bidi="en-US"/>
              </w:rPr>
            </w:pPr>
            <w:r>
              <w:rPr>
                <w:color w:val="auto"/>
                <w:lang w:val="en-US" w:eastAsia="en-US" w:bidi="en-US"/>
              </w:rPr>
              <w:t>增减量</w:t>
            </w:r>
          </w:p>
          <w:p w14:paraId="057EBD9C">
            <w:pPr>
              <w:pStyle w:val="337"/>
              <w:rPr>
                <w:color w:val="auto"/>
                <w:lang w:val="en-US" w:eastAsia="en-US" w:bidi="en-US"/>
              </w:rPr>
            </w:pPr>
            <w:r>
              <w:rPr>
                <w:color w:val="auto"/>
                <w:lang w:val="en-US" w:eastAsia="en-US" w:bidi="en-US"/>
              </w:rPr>
              <w:t>(t/a)</w:t>
            </w:r>
          </w:p>
        </w:tc>
      </w:tr>
      <w:tr w14:paraId="0A0695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82" w:type="dxa"/>
            <w:vMerge w:val="restart"/>
            <w:vAlign w:val="center"/>
          </w:tcPr>
          <w:p w14:paraId="5ACB325C">
            <w:pPr>
              <w:pStyle w:val="337"/>
              <w:rPr>
                <w:color w:val="auto"/>
                <w:lang w:val="en-US" w:eastAsia="en-US" w:bidi="en-US"/>
              </w:rPr>
            </w:pPr>
            <w:r>
              <w:rPr>
                <w:color w:val="auto"/>
                <w:lang w:val="en-US" w:eastAsia="en-US" w:bidi="en-US"/>
              </w:rPr>
              <w:t>废气</w:t>
            </w:r>
          </w:p>
        </w:tc>
        <w:tc>
          <w:tcPr>
            <w:tcW w:w="1701" w:type="dxa"/>
            <w:vAlign w:val="center"/>
          </w:tcPr>
          <w:p w14:paraId="3BDC8F13">
            <w:pPr>
              <w:pStyle w:val="337"/>
              <w:rPr>
                <w:color w:val="auto"/>
                <w:lang w:val="en-US" w:eastAsia="en-US" w:bidi="en-US"/>
              </w:rPr>
            </w:pPr>
            <w:r>
              <w:rPr>
                <w:color w:val="auto"/>
                <w:lang w:val="en-US" w:eastAsia="en-US" w:bidi="en-US"/>
              </w:rPr>
              <w:t>烟尘</w:t>
            </w:r>
          </w:p>
        </w:tc>
        <w:tc>
          <w:tcPr>
            <w:tcW w:w="1701" w:type="dxa"/>
            <w:vAlign w:val="center"/>
          </w:tcPr>
          <w:p w14:paraId="2212367D">
            <w:pPr>
              <w:pStyle w:val="337"/>
              <w:rPr>
                <w:color w:val="auto"/>
                <w:lang w:val="en-US" w:eastAsia="zh-CN" w:bidi="en-US"/>
              </w:rPr>
            </w:pPr>
            <w:r>
              <w:rPr>
                <w:rFonts w:hint="eastAsia"/>
                <w:color w:val="auto"/>
                <w:lang w:val="en-US" w:eastAsia="zh-CN" w:bidi="en-US"/>
              </w:rPr>
              <w:t>0.43</w:t>
            </w:r>
          </w:p>
        </w:tc>
        <w:tc>
          <w:tcPr>
            <w:tcW w:w="2156" w:type="dxa"/>
            <w:vAlign w:val="center"/>
          </w:tcPr>
          <w:p w14:paraId="2027CA1C">
            <w:pPr>
              <w:pStyle w:val="337"/>
              <w:rPr>
                <w:color w:val="auto"/>
                <w:lang w:val="en-US" w:eastAsia="zh-CN" w:bidi="en-US"/>
              </w:rPr>
            </w:pPr>
            <w:r>
              <w:rPr>
                <w:rFonts w:hint="eastAsia"/>
                <w:color w:val="auto"/>
                <w:lang w:val="en-US" w:eastAsia="zh-CN" w:bidi="en-US"/>
              </w:rPr>
              <w:t>0.766</w:t>
            </w:r>
          </w:p>
        </w:tc>
        <w:tc>
          <w:tcPr>
            <w:tcW w:w="1484" w:type="dxa"/>
          </w:tcPr>
          <w:p w14:paraId="6F6C664D">
            <w:pPr>
              <w:pStyle w:val="337"/>
              <w:rPr>
                <w:color w:val="auto"/>
                <w:lang w:val="en-US" w:eastAsia="zh-CN" w:bidi="en-US"/>
              </w:rPr>
            </w:pPr>
            <w:r>
              <w:rPr>
                <w:rFonts w:hint="eastAsia" w:ascii="宋体" w:hAnsi="宋体"/>
                <w:color w:val="auto"/>
                <w:lang w:val="en-US" w:eastAsia="zh-CN" w:bidi="en-US"/>
              </w:rPr>
              <w:t>+0.336</w:t>
            </w:r>
          </w:p>
        </w:tc>
      </w:tr>
      <w:tr w14:paraId="7C7F7F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82" w:type="dxa"/>
            <w:vMerge w:val="continue"/>
            <w:vAlign w:val="center"/>
          </w:tcPr>
          <w:p w14:paraId="5ED009C1">
            <w:pPr>
              <w:pStyle w:val="337"/>
              <w:rPr>
                <w:color w:val="auto"/>
                <w:lang w:val="en-US" w:eastAsia="en-US" w:bidi="en-US"/>
              </w:rPr>
            </w:pPr>
          </w:p>
        </w:tc>
        <w:tc>
          <w:tcPr>
            <w:tcW w:w="1701" w:type="dxa"/>
            <w:vAlign w:val="center"/>
          </w:tcPr>
          <w:p w14:paraId="2C6CD577">
            <w:pPr>
              <w:pStyle w:val="337"/>
              <w:rPr>
                <w:color w:val="auto"/>
                <w:lang w:val="en-US" w:eastAsia="en-US" w:bidi="en-US"/>
              </w:rPr>
            </w:pPr>
            <w:r>
              <w:rPr>
                <w:color w:val="auto"/>
                <w:lang w:val="en-US" w:eastAsia="en-US" w:bidi="en-US"/>
              </w:rPr>
              <w:t>SO</w:t>
            </w:r>
            <w:r>
              <w:rPr>
                <w:color w:val="auto"/>
                <w:vertAlign w:val="subscript"/>
                <w:lang w:val="en-US" w:eastAsia="en-US" w:bidi="en-US"/>
              </w:rPr>
              <w:t>2</w:t>
            </w:r>
          </w:p>
        </w:tc>
        <w:tc>
          <w:tcPr>
            <w:tcW w:w="1701" w:type="dxa"/>
            <w:vAlign w:val="center"/>
          </w:tcPr>
          <w:p w14:paraId="10CDAA52">
            <w:pPr>
              <w:pStyle w:val="337"/>
              <w:rPr>
                <w:color w:val="auto"/>
                <w:lang w:val="en-US" w:eastAsia="zh-CN" w:bidi="en-US"/>
              </w:rPr>
            </w:pPr>
            <w:r>
              <w:rPr>
                <w:rFonts w:hint="eastAsia"/>
                <w:color w:val="auto"/>
                <w:lang w:val="en-US" w:eastAsia="zh-CN" w:bidi="en-US"/>
              </w:rPr>
              <w:t>0.29</w:t>
            </w:r>
          </w:p>
        </w:tc>
        <w:tc>
          <w:tcPr>
            <w:tcW w:w="2156" w:type="dxa"/>
            <w:vAlign w:val="center"/>
          </w:tcPr>
          <w:p w14:paraId="7699FBA6">
            <w:pPr>
              <w:pStyle w:val="337"/>
              <w:rPr>
                <w:color w:val="auto"/>
                <w:lang w:val="en-US" w:eastAsia="zh-CN" w:bidi="en-US"/>
              </w:rPr>
            </w:pPr>
            <w:r>
              <w:rPr>
                <w:rFonts w:hint="eastAsia"/>
                <w:color w:val="auto"/>
                <w:lang w:val="en-US" w:eastAsia="zh-CN" w:bidi="en-US"/>
              </w:rPr>
              <w:t>0.521</w:t>
            </w:r>
          </w:p>
        </w:tc>
        <w:tc>
          <w:tcPr>
            <w:tcW w:w="1484" w:type="dxa"/>
          </w:tcPr>
          <w:p w14:paraId="04CBB2D0">
            <w:pPr>
              <w:pStyle w:val="337"/>
              <w:rPr>
                <w:color w:val="auto"/>
                <w:lang w:val="en-US" w:eastAsia="zh-CN" w:bidi="en-US"/>
              </w:rPr>
            </w:pPr>
            <w:r>
              <w:rPr>
                <w:rFonts w:hint="eastAsia"/>
                <w:color w:val="auto"/>
                <w:lang w:val="en-US" w:eastAsia="zh-CN" w:bidi="en-US"/>
              </w:rPr>
              <w:t>＋0.231</w:t>
            </w:r>
          </w:p>
        </w:tc>
      </w:tr>
      <w:tr w14:paraId="7DAABB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82" w:type="dxa"/>
            <w:vMerge w:val="continue"/>
            <w:vAlign w:val="center"/>
          </w:tcPr>
          <w:p w14:paraId="0ACD3B42">
            <w:pPr>
              <w:pStyle w:val="337"/>
              <w:rPr>
                <w:color w:val="auto"/>
                <w:lang w:val="en-US" w:eastAsia="en-US" w:bidi="en-US"/>
              </w:rPr>
            </w:pPr>
          </w:p>
        </w:tc>
        <w:tc>
          <w:tcPr>
            <w:tcW w:w="1701" w:type="dxa"/>
            <w:vAlign w:val="center"/>
          </w:tcPr>
          <w:p w14:paraId="7F1B5842">
            <w:pPr>
              <w:pStyle w:val="337"/>
              <w:rPr>
                <w:color w:val="auto"/>
                <w:lang w:val="en-US" w:eastAsia="zh-CN" w:bidi="en-US"/>
              </w:rPr>
            </w:pPr>
            <w:r>
              <w:rPr>
                <w:color w:val="auto"/>
                <w:lang w:val="en-US" w:eastAsia="zh-CN" w:bidi="en-US"/>
              </w:rPr>
              <w:t>NO</w:t>
            </w:r>
            <w:r>
              <w:rPr>
                <w:rFonts w:hint="eastAsia"/>
                <w:color w:val="auto"/>
                <w:vertAlign w:val="subscript"/>
                <w:lang w:val="en-US" w:eastAsia="zh-CN" w:bidi="en-US"/>
              </w:rPr>
              <w:t>X</w:t>
            </w:r>
          </w:p>
        </w:tc>
        <w:tc>
          <w:tcPr>
            <w:tcW w:w="1701" w:type="dxa"/>
            <w:vAlign w:val="center"/>
          </w:tcPr>
          <w:p w14:paraId="4AF22A10">
            <w:pPr>
              <w:pStyle w:val="337"/>
              <w:rPr>
                <w:color w:val="auto"/>
                <w:lang w:val="en-US" w:eastAsia="zh-CN" w:bidi="en-US"/>
              </w:rPr>
            </w:pPr>
            <w:r>
              <w:rPr>
                <w:rFonts w:hint="eastAsia"/>
                <w:color w:val="auto"/>
                <w:lang w:val="en-US" w:eastAsia="zh-CN" w:bidi="en-US"/>
              </w:rPr>
              <w:t>0.823</w:t>
            </w:r>
          </w:p>
        </w:tc>
        <w:tc>
          <w:tcPr>
            <w:tcW w:w="2156" w:type="dxa"/>
            <w:vAlign w:val="center"/>
          </w:tcPr>
          <w:p w14:paraId="2F8740BF">
            <w:pPr>
              <w:pStyle w:val="337"/>
              <w:rPr>
                <w:color w:val="auto"/>
                <w:lang w:val="en-US" w:eastAsia="zh-CN" w:bidi="en-US"/>
              </w:rPr>
            </w:pPr>
            <w:r>
              <w:rPr>
                <w:rFonts w:hint="eastAsia"/>
                <w:color w:val="auto"/>
                <w:lang w:val="en-US" w:eastAsia="zh-CN" w:bidi="en-US"/>
              </w:rPr>
              <w:t>1.621</w:t>
            </w:r>
          </w:p>
        </w:tc>
        <w:tc>
          <w:tcPr>
            <w:tcW w:w="1484" w:type="dxa"/>
          </w:tcPr>
          <w:p w14:paraId="73CC8CDE">
            <w:pPr>
              <w:pStyle w:val="337"/>
              <w:rPr>
                <w:color w:val="auto"/>
                <w:lang w:val="en-US" w:eastAsia="zh-CN" w:bidi="en-US"/>
              </w:rPr>
            </w:pPr>
            <w:r>
              <w:rPr>
                <w:rFonts w:hint="eastAsia"/>
                <w:color w:val="auto"/>
                <w:lang w:val="en-US" w:eastAsia="zh-CN" w:bidi="en-US"/>
              </w:rPr>
              <w:t>＋0.798</w:t>
            </w:r>
          </w:p>
        </w:tc>
      </w:tr>
      <w:tr w14:paraId="0AADE2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82" w:type="dxa"/>
            <w:vMerge w:val="restart"/>
            <w:vAlign w:val="center"/>
          </w:tcPr>
          <w:p w14:paraId="0710E16C">
            <w:pPr>
              <w:pStyle w:val="337"/>
              <w:rPr>
                <w:color w:val="auto"/>
                <w:lang w:val="en-US" w:eastAsia="en-US" w:bidi="en-US"/>
              </w:rPr>
            </w:pPr>
            <w:r>
              <w:rPr>
                <w:color w:val="auto"/>
                <w:lang w:val="en-US" w:eastAsia="en-US" w:bidi="en-US"/>
              </w:rPr>
              <w:t>废水</w:t>
            </w:r>
          </w:p>
        </w:tc>
        <w:tc>
          <w:tcPr>
            <w:tcW w:w="1701" w:type="dxa"/>
            <w:vAlign w:val="center"/>
          </w:tcPr>
          <w:p w14:paraId="19AF91A8">
            <w:pPr>
              <w:pStyle w:val="337"/>
              <w:rPr>
                <w:color w:val="auto"/>
                <w:lang w:val="en-US" w:eastAsia="en-US" w:bidi="en-US"/>
              </w:rPr>
            </w:pPr>
            <w:r>
              <w:rPr>
                <w:color w:val="auto"/>
                <w:lang w:val="en-US" w:eastAsia="en-US" w:bidi="en-US"/>
              </w:rPr>
              <w:t>COD</w:t>
            </w:r>
          </w:p>
        </w:tc>
        <w:tc>
          <w:tcPr>
            <w:tcW w:w="1701" w:type="dxa"/>
            <w:vAlign w:val="center"/>
          </w:tcPr>
          <w:p w14:paraId="4774E65C">
            <w:pPr>
              <w:pStyle w:val="337"/>
              <w:rPr>
                <w:color w:val="auto"/>
                <w:lang w:val="en-US" w:eastAsia="zh-CN" w:bidi="en-US"/>
              </w:rPr>
            </w:pPr>
            <w:r>
              <w:rPr>
                <w:rFonts w:hint="eastAsia"/>
                <w:color w:val="auto"/>
                <w:lang w:val="en-US" w:eastAsia="zh-CN" w:bidi="en-US"/>
              </w:rPr>
              <w:t>0</w:t>
            </w:r>
          </w:p>
        </w:tc>
        <w:tc>
          <w:tcPr>
            <w:tcW w:w="2156" w:type="dxa"/>
            <w:vAlign w:val="center"/>
          </w:tcPr>
          <w:p w14:paraId="2B94F3DD">
            <w:pPr>
              <w:pStyle w:val="337"/>
              <w:rPr>
                <w:color w:val="auto"/>
                <w:lang w:val="en-US" w:eastAsia="en-US" w:bidi="en-US"/>
              </w:rPr>
            </w:pPr>
            <w:r>
              <w:rPr>
                <w:color w:val="auto"/>
                <w:lang w:val="en-US" w:eastAsia="en-US" w:bidi="en-US"/>
              </w:rPr>
              <w:t>0</w:t>
            </w:r>
          </w:p>
        </w:tc>
        <w:tc>
          <w:tcPr>
            <w:tcW w:w="1484" w:type="dxa"/>
          </w:tcPr>
          <w:p w14:paraId="5EC34A81">
            <w:pPr>
              <w:pStyle w:val="337"/>
              <w:rPr>
                <w:color w:val="auto"/>
                <w:lang w:val="en-US" w:eastAsia="zh-CN" w:bidi="en-US"/>
              </w:rPr>
            </w:pPr>
            <w:r>
              <w:rPr>
                <w:rFonts w:hint="eastAsia"/>
                <w:color w:val="auto"/>
                <w:lang w:val="en-US" w:eastAsia="zh-CN" w:bidi="en-US"/>
              </w:rPr>
              <w:t>0</w:t>
            </w:r>
          </w:p>
        </w:tc>
      </w:tr>
      <w:tr w14:paraId="61725A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82" w:type="dxa"/>
            <w:vMerge w:val="continue"/>
            <w:vAlign w:val="center"/>
          </w:tcPr>
          <w:p w14:paraId="6B3F5C7E">
            <w:pPr>
              <w:pStyle w:val="337"/>
              <w:rPr>
                <w:color w:val="auto"/>
                <w:lang w:val="en-US" w:eastAsia="en-US" w:bidi="en-US"/>
              </w:rPr>
            </w:pPr>
          </w:p>
        </w:tc>
        <w:tc>
          <w:tcPr>
            <w:tcW w:w="1701" w:type="dxa"/>
            <w:vAlign w:val="center"/>
          </w:tcPr>
          <w:p w14:paraId="4CECC006">
            <w:pPr>
              <w:pStyle w:val="337"/>
              <w:rPr>
                <w:color w:val="auto"/>
                <w:lang w:val="en-US" w:eastAsia="zh-CN" w:bidi="en-US"/>
              </w:rPr>
            </w:pPr>
            <w:r>
              <w:rPr>
                <w:color w:val="auto"/>
                <w:lang w:val="en-US" w:eastAsia="zh-CN" w:bidi="en-US"/>
              </w:rPr>
              <w:t>BOD</w:t>
            </w:r>
            <w:r>
              <w:rPr>
                <w:color w:val="auto"/>
                <w:vertAlign w:val="subscript"/>
                <w:lang w:val="en-US" w:eastAsia="zh-CN" w:bidi="en-US"/>
              </w:rPr>
              <w:t>5</w:t>
            </w:r>
          </w:p>
        </w:tc>
        <w:tc>
          <w:tcPr>
            <w:tcW w:w="1701" w:type="dxa"/>
            <w:vAlign w:val="center"/>
          </w:tcPr>
          <w:p w14:paraId="762D5AC6">
            <w:pPr>
              <w:pStyle w:val="337"/>
              <w:rPr>
                <w:color w:val="auto"/>
                <w:lang w:val="en-US" w:eastAsia="zh-CN" w:bidi="en-US"/>
              </w:rPr>
            </w:pPr>
            <w:r>
              <w:rPr>
                <w:rFonts w:hint="eastAsia"/>
                <w:color w:val="auto"/>
                <w:lang w:val="en-US" w:eastAsia="zh-CN" w:bidi="en-US"/>
              </w:rPr>
              <w:t>0</w:t>
            </w:r>
          </w:p>
        </w:tc>
        <w:tc>
          <w:tcPr>
            <w:tcW w:w="2156" w:type="dxa"/>
            <w:vAlign w:val="center"/>
          </w:tcPr>
          <w:p w14:paraId="50CBB9DD">
            <w:pPr>
              <w:pStyle w:val="337"/>
              <w:rPr>
                <w:color w:val="auto"/>
                <w:lang w:val="en-US" w:eastAsia="zh-CN" w:bidi="en-US"/>
              </w:rPr>
            </w:pPr>
            <w:r>
              <w:rPr>
                <w:color w:val="auto"/>
                <w:lang w:val="en-US" w:eastAsia="zh-CN" w:bidi="en-US"/>
              </w:rPr>
              <w:t>0</w:t>
            </w:r>
          </w:p>
        </w:tc>
        <w:tc>
          <w:tcPr>
            <w:tcW w:w="1484" w:type="dxa"/>
          </w:tcPr>
          <w:p w14:paraId="3F20EA1E">
            <w:pPr>
              <w:pStyle w:val="337"/>
              <w:rPr>
                <w:color w:val="auto"/>
                <w:lang w:val="en-US" w:eastAsia="zh-CN" w:bidi="en-US"/>
              </w:rPr>
            </w:pPr>
            <w:r>
              <w:rPr>
                <w:rFonts w:hint="eastAsia"/>
                <w:color w:val="auto"/>
                <w:lang w:val="en-US" w:eastAsia="zh-CN" w:bidi="en-US"/>
              </w:rPr>
              <w:t>0</w:t>
            </w:r>
          </w:p>
        </w:tc>
      </w:tr>
      <w:tr w14:paraId="03615D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82" w:type="dxa"/>
            <w:vMerge w:val="continue"/>
            <w:vAlign w:val="center"/>
          </w:tcPr>
          <w:p w14:paraId="16B996EC">
            <w:pPr>
              <w:pStyle w:val="337"/>
              <w:rPr>
                <w:color w:val="auto"/>
                <w:lang w:val="en-US" w:eastAsia="en-US" w:bidi="en-US"/>
              </w:rPr>
            </w:pPr>
          </w:p>
        </w:tc>
        <w:tc>
          <w:tcPr>
            <w:tcW w:w="1701" w:type="dxa"/>
            <w:vAlign w:val="center"/>
          </w:tcPr>
          <w:p w14:paraId="05EB17CC">
            <w:pPr>
              <w:pStyle w:val="337"/>
              <w:rPr>
                <w:color w:val="auto"/>
                <w:lang w:val="en-US" w:eastAsia="en-US" w:bidi="en-US"/>
              </w:rPr>
            </w:pPr>
            <w:r>
              <w:rPr>
                <w:color w:val="auto"/>
                <w:lang w:val="en-US" w:eastAsia="en-US" w:bidi="en-US"/>
              </w:rPr>
              <w:t>SS</w:t>
            </w:r>
          </w:p>
        </w:tc>
        <w:tc>
          <w:tcPr>
            <w:tcW w:w="1701" w:type="dxa"/>
            <w:vAlign w:val="center"/>
          </w:tcPr>
          <w:p w14:paraId="3E30FC06">
            <w:pPr>
              <w:pStyle w:val="337"/>
              <w:rPr>
                <w:color w:val="auto"/>
                <w:lang w:val="en-US" w:eastAsia="zh-CN" w:bidi="en-US"/>
              </w:rPr>
            </w:pPr>
            <w:r>
              <w:rPr>
                <w:rFonts w:hint="eastAsia"/>
                <w:color w:val="auto"/>
                <w:lang w:val="en-US" w:eastAsia="zh-CN" w:bidi="en-US"/>
              </w:rPr>
              <w:t>0</w:t>
            </w:r>
          </w:p>
        </w:tc>
        <w:tc>
          <w:tcPr>
            <w:tcW w:w="2156" w:type="dxa"/>
            <w:vAlign w:val="center"/>
          </w:tcPr>
          <w:p w14:paraId="45F3222A">
            <w:pPr>
              <w:pStyle w:val="337"/>
              <w:rPr>
                <w:color w:val="auto"/>
                <w:lang w:val="en-US" w:eastAsia="en-US" w:bidi="en-US"/>
              </w:rPr>
            </w:pPr>
            <w:r>
              <w:rPr>
                <w:color w:val="auto"/>
                <w:lang w:val="en-US" w:eastAsia="en-US" w:bidi="en-US"/>
              </w:rPr>
              <w:t>0</w:t>
            </w:r>
          </w:p>
        </w:tc>
        <w:tc>
          <w:tcPr>
            <w:tcW w:w="1484" w:type="dxa"/>
          </w:tcPr>
          <w:p w14:paraId="53EFA251">
            <w:pPr>
              <w:pStyle w:val="337"/>
              <w:rPr>
                <w:color w:val="auto"/>
                <w:lang w:val="en-US" w:eastAsia="zh-CN" w:bidi="en-US"/>
              </w:rPr>
            </w:pPr>
            <w:r>
              <w:rPr>
                <w:rFonts w:hint="eastAsia"/>
                <w:color w:val="auto"/>
                <w:lang w:val="en-US" w:eastAsia="zh-CN" w:bidi="en-US"/>
              </w:rPr>
              <w:t>0</w:t>
            </w:r>
          </w:p>
        </w:tc>
      </w:tr>
      <w:tr w14:paraId="3FD7B2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82" w:type="dxa"/>
            <w:vMerge w:val="continue"/>
            <w:vAlign w:val="center"/>
          </w:tcPr>
          <w:p w14:paraId="15C8B28E">
            <w:pPr>
              <w:pStyle w:val="337"/>
              <w:rPr>
                <w:color w:val="auto"/>
                <w:lang w:val="en-US" w:eastAsia="en-US" w:bidi="en-US"/>
              </w:rPr>
            </w:pPr>
          </w:p>
        </w:tc>
        <w:tc>
          <w:tcPr>
            <w:tcW w:w="1701" w:type="dxa"/>
            <w:vAlign w:val="center"/>
          </w:tcPr>
          <w:p w14:paraId="361633C5">
            <w:pPr>
              <w:pStyle w:val="337"/>
              <w:rPr>
                <w:color w:val="auto"/>
                <w:lang w:val="en-US" w:eastAsia="en-US" w:bidi="en-US"/>
              </w:rPr>
            </w:pPr>
            <w:r>
              <w:rPr>
                <w:color w:val="auto"/>
                <w:lang w:val="en-US" w:eastAsia="en-US" w:bidi="en-US"/>
              </w:rPr>
              <w:t>氨氮</w:t>
            </w:r>
          </w:p>
        </w:tc>
        <w:tc>
          <w:tcPr>
            <w:tcW w:w="1701" w:type="dxa"/>
            <w:vAlign w:val="center"/>
          </w:tcPr>
          <w:p w14:paraId="5BBB1E2D">
            <w:pPr>
              <w:pStyle w:val="337"/>
              <w:rPr>
                <w:color w:val="auto"/>
                <w:lang w:val="en-US" w:eastAsia="zh-CN" w:bidi="en-US"/>
              </w:rPr>
            </w:pPr>
            <w:r>
              <w:rPr>
                <w:rFonts w:hint="eastAsia"/>
                <w:color w:val="auto"/>
                <w:lang w:val="en-US" w:eastAsia="zh-CN" w:bidi="en-US"/>
              </w:rPr>
              <w:t>0</w:t>
            </w:r>
          </w:p>
        </w:tc>
        <w:tc>
          <w:tcPr>
            <w:tcW w:w="2156" w:type="dxa"/>
            <w:vAlign w:val="center"/>
          </w:tcPr>
          <w:p w14:paraId="08A063AF">
            <w:pPr>
              <w:pStyle w:val="337"/>
              <w:rPr>
                <w:color w:val="auto"/>
                <w:lang w:val="en-US" w:eastAsia="en-US" w:bidi="en-US"/>
              </w:rPr>
            </w:pPr>
            <w:r>
              <w:rPr>
                <w:color w:val="auto"/>
                <w:lang w:val="en-US" w:eastAsia="en-US" w:bidi="en-US"/>
              </w:rPr>
              <w:t>0</w:t>
            </w:r>
          </w:p>
        </w:tc>
        <w:tc>
          <w:tcPr>
            <w:tcW w:w="1484" w:type="dxa"/>
          </w:tcPr>
          <w:p w14:paraId="21411FB1">
            <w:pPr>
              <w:pStyle w:val="337"/>
              <w:rPr>
                <w:color w:val="auto"/>
                <w:lang w:val="en-US" w:eastAsia="zh-CN" w:bidi="en-US"/>
              </w:rPr>
            </w:pPr>
            <w:r>
              <w:rPr>
                <w:rFonts w:hint="eastAsia"/>
                <w:color w:val="auto"/>
                <w:lang w:val="en-US" w:eastAsia="zh-CN" w:bidi="en-US"/>
              </w:rPr>
              <w:t>0</w:t>
            </w:r>
          </w:p>
        </w:tc>
      </w:tr>
      <w:tr w14:paraId="31B536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82" w:type="dxa"/>
            <w:vMerge w:val="restart"/>
            <w:vAlign w:val="center"/>
          </w:tcPr>
          <w:p w14:paraId="23F19DCB">
            <w:pPr>
              <w:pStyle w:val="337"/>
              <w:rPr>
                <w:color w:val="auto"/>
                <w:lang w:val="en-US" w:eastAsia="en-US" w:bidi="en-US"/>
              </w:rPr>
            </w:pPr>
            <w:r>
              <w:rPr>
                <w:color w:val="auto"/>
                <w:lang w:val="en-US" w:eastAsia="en-US" w:bidi="en-US"/>
              </w:rPr>
              <w:t>固体废物</w:t>
            </w:r>
          </w:p>
        </w:tc>
        <w:tc>
          <w:tcPr>
            <w:tcW w:w="1701" w:type="dxa"/>
            <w:vAlign w:val="center"/>
          </w:tcPr>
          <w:p w14:paraId="3DCDFCF6">
            <w:pPr>
              <w:pStyle w:val="337"/>
              <w:rPr>
                <w:color w:val="auto"/>
                <w:lang w:val="en-US" w:eastAsia="en-US" w:bidi="en-US"/>
              </w:rPr>
            </w:pPr>
            <w:r>
              <w:rPr>
                <w:color w:val="auto"/>
                <w:lang w:val="en-US" w:eastAsia="en-US" w:bidi="en-US"/>
              </w:rPr>
              <w:t>油泥砂</w:t>
            </w:r>
          </w:p>
        </w:tc>
        <w:tc>
          <w:tcPr>
            <w:tcW w:w="1701" w:type="dxa"/>
            <w:vAlign w:val="center"/>
          </w:tcPr>
          <w:p w14:paraId="02D25094">
            <w:pPr>
              <w:pStyle w:val="337"/>
              <w:rPr>
                <w:color w:val="auto"/>
                <w:lang w:val="en-US" w:eastAsia="zh-CN" w:bidi="en-US"/>
              </w:rPr>
            </w:pPr>
            <w:r>
              <w:rPr>
                <w:rFonts w:hint="eastAsia"/>
                <w:color w:val="auto"/>
                <w:lang w:val="en-US" w:eastAsia="zh-CN" w:bidi="en-US"/>
              </w:rPr>
              <w:t>8.04</w:t>
            </w:r>
          </w:p>
        </w:tc>
        <w:tc>
          <w:tcPr>
            <w:tcW w:w="2156" w:type="dxa"/>
            <w:vAlign w:val="center"/>
          </w:tcPr>
          <w:p w14:paraId="2B159C43">
            <w:pPr>
              <w:pStyle w:val="337"/>
              <w:rPr>
                <w:color w:val="auto"/>
                <w:lang w:val="en-US" w:eastAsia="zh-CN" w:bidi="en-US"/>
              </w:rPr>
            </w:pPr>
            <w:r>
              <w:rPr>
                <w:rFonts w:hint="eastAsia"/>
                <w:color w:val="auto"/>
                <w:lang w:val="en-US" w:eastAsia="zh-CN" w:bidi="en-US"/>
              </w:rPr>
              <w:t>35.25</w:t>
            </w:r>
          </w:p>
        </w:tc>
        <w:tc>
          <w:tcPr>
            <w:tcW w:w="1484" w:type="dxa"/>
          </w:tcPr>
          <w:p w14:paraId="01E26074">
            <w:pPr>
              <w:pStyle w:val="337"/>
              <w:rPr>
                <w:color w:val="auto"/>
                <w:lang w:val="en-US" w:eastAsia="zh-CN" w:bidi="en-US"/>
              </w:rPr>
            </w:pPr>
            <w:r>
              <w:rPr>
                <w:rFonts w:hint="eastAsia"/>
                <w:color w:val="auto"/>
                <w:lang w:val="en-US" w:eastAsia="zh-CN" w:bidi="en-US"/>
              </w:rPr>
              <w:t>＋27.21</w:t>
            </w:r>
          </w:p>
        </w:tc>
      </w:tr>
      <w:tr w14:paraId="629ED8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82" w:type="dxa"/>
            <w:vMerge w:val="continue"/>
            <w:vAlign w:val="center"/>
          </w:tcPr>
          <w:p w14:paraId="790667F3">
            <w:pPr>
              <w:pStyle w:val="337"/>
              <w:rPr>
                <w:color w:val="auto"/>
                <w:lang w:val="en-US" w:eastAsia="en-US" w:bidi="en-US"/>
              </w:rPr>
            </w:pPr>
          </w:p>
        </w:tc>
        <w:tc>
          <w:tcPr>
            <w:tcW w:w="1701" w:type="dxa"/>
            <w:vAlign w:val="center"/>
          </w:tcPr>
          <w:p w14:paraId="7D233D3A">
            <w:pPr>
              <w:pStyle w:val="337"/>
              <w:rPr>
                <w:color w:val="auto"/>
                <w:lang w:val="en-US" w:eastAsia="en-US" w:bidi="en-US"/>
              </w:rPr>
            </w:pPr>
            <w:r>
              <w:rPr>
                <w:color w:val="auto"/>
                <w:lang w:val="en-US" w:eastAsia="en-US" w:bidi="en-US"/>
              </w:rPr>
              <w:t>落地油</w:t>
            </w:r>
          </w:p>
        </w:tc>
        <w:tc>
          <w:tcPr>
            <w:tcW w:w="1701" w:type="dxa"/>
            <w:vAlign w:val="center"/>
          </w:tcPr>
          <w:p w14:paraId="13A68F71">
            <w:pPr>
              <w:pStyle w:val="337"/>
              <w:rPr>
                <w:color w:val="auto"/>
                <w:lang w:val="en-US" w:eastAsia="zh-CN" w:bidi="en-US"/>
              </w:rPr>
            </w:pPr>
            <w:r>
              <w:rPr>
                <w:rFonts w:hint="eastAsia"/>
                <w:color w:val="auto"/>
                <w:lang w:val="en-US" w:eastAsia="zh-CN" w:bidi="en-US"/>
              </w:rPr>
              <w:t>2.5</w:t>
            </w:r>
          </w:p>
        </w:tc>
        <w:tc>
          <w:tcPr>
            <w:tcW w:w="2156" w:type="dxa"/>
            <w:vAlign w:val="center"/>
          </w:tcPr>
          <w:p w14:paraId="48DCDD6D">
            <w:pPr>
              <w:pStyle w:val="337"/>
              <w:rPr>
                <w:color w:val="auto"/>
                <w:lang w:val="en-US" w:eastAsia="zh-CN" w:bidi="en-US"/>
              </w:rPr>
            </w:pPr>
            <w:r>
              <w:rPr>
                <w:rFonts w:hint="eastAsia"/>
                <w:color w:val="auto"/>
                <w:lang w:val="en-US" w:eastAsia="zh-CN" w:bidi="en-US"/>
              </w:rPr>
              <w:t>2.655</w:t>
            </w:r>
          </w:p>
        </w:tc>
        <w:tc>
          <w:tcPr>
            <w:tcW w:w="1484" w:type="dxa"/>
          </w:tcPr>
          <w:p w14:paraId="034E3BCC">
            <w:pPr>
              <w:pStyle w:val="337"/>
              <w:rPr>
                <w:color w:val="auto"/>
                <w:lang w:val="en-US" w:eastAsia="zh-CN" w:bidi="en-US"/>
              </w:rPr>
            </w:pPr>
            <w:r>
              <w:rPr>
                <w:rFonts w:hint="eastAsia"/>
                <w:color w:val="auto"/>
                <w:lang w:val="en-US" w:eastAsia="zh-CN" w:bidi="en-US"/>
              </w:rPr>
              <w:t>＋0.155</w:t>
            </w:r>
          </w:p>
        </w:tc>
      </w:tr>
      <w:tr w14:paraId="4CB869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82" w:type="dxa"/>
            <w:vMerge w:val="continue"/>
            <w:vAlign w:val="center"/>
          </w:tcPr>
          <w:p w14:paraId="15ABBE6A">
            <w:pPr>
              <w:pStyle w:val="337"/>
              <w:rPr>
                <w:color w:val="auto"/>
                <w:lang w:val="en-US" w:eastAsia="en-US" w:bidi="en-US"/>
              </w:rPr>
            </w:pPr>
          </w:p>
        </w:tc>
        <w:tc>
          <w:tcPr>
            <w:tcW w:w="1701" w:type="dxa"/>
            <w:vAlign w:val="center"/>
          </w:tcPr>
          <w:p w14:paraId="4E8DA097">
            <w:pPr>
              <w:pStyle w:val="337"/>
              <w:rPr>
                <w:color w:val="auto"/>
                <w:lang w:val="en-US" w:eastAsia="en-US" w:bidi="en-US"/>
              </w:rPr>
            </w:pPr>
            <w:r>
              <w:rPr>
                <w:color w:val="auto"/>
                <w:lang w:val="en-US" w:eastAsia="en-US" w:bidi="en-US"/>
              </w:rPr>
              <w:t>生活垃圾</w:t>
            </w:r>
          </w:p>
        </w:tc>
        <w:tc>
          <w:tcPr>
            <w:tcW w:w="1701" w:type="dxa"/>
            <w:vAlign w:val="center"/>
          </w:tcPr>
          <w:p w14:paraId="0AC4D349">
            <w:pPr>
              <w:pStyle w:val="337"/>
              <w:rPr>
                <w:color w:val="auto"/>
                <w:lang w:val="en-US" w:eastAsia="zh-CN" w:bidi="en-US"/>
              </w:rPr>
            </w:pPr>
            <w:r>
              <w:rPr>
                <w:rFonts w:hint="eastAsia"/>
                <w:color w:val="auto"/>
                <w:lang w:val="en-US" w:eastAsia="zh-CN" w:bidi="en-US"/>
              </w:rPr>
              <w:t>14.6</w:t>
            </w:r>
          </w:p>
        </w:tc>
        <w:tc>
          <w:tcPr>
            <w:tcW w:w="2156" w:type="dxa"/>
            <w:vAlign w:val="center"/>
          </w:tcPr>
          <w:p w14:paraId="3412B614">
            <w:pPr>
              <w:pStyle w:val="337"/>
              <w:rPr>
                <w:color w:val="auto"/>
                <w:lang w:val="en-US" w:eastAsia="zh-CN" w:bidi="en-US"/>
              </w:rPr>
            </w:pPr>
            <w:r>
              <w:rPr>
                <w:rFonts w:hint="eastAsia"/>
                <w:color w:val="auto"/>
                <w:lang w:val="en-US" w:eastAsia="zh-CN" w:bidi="en-US"/>
              </w:rPr>
              <w:t>23.0</w:t>
            </w:r>
          </w:p>
        </w:tc>
        <w:tc>
          <w:tcPr>
            <w:tcW w:w="1484" w:type="dxa"/>
          </w:tcPr>
          <w:p w14:paraId="01BE57E1">
            <w:pPr>
              <w:pStyle w:val="337"/>
              <w:rPr>
                <w:color w:val="auto"/>
                <w:lang w:val="en-US" w:eastAsia="zh-CN" w:bidi="en-US"/>
              </w:rPr>
            </w:pPr>
            <w:r>
              <w:rPr>
                <w:rFonts w:hint="eastAsia"/>
                <w:color w:val="auto"/>
                <w:lang w:val="en-US" w:eastAsia="zh-CN" w:bidi="en-US"/>
              </w:rPr>
              <w:t>＋8.40</w:t>
            </w:r>
          </w:p>
        </w:tc>
      </w:tr>
    </w:tbl>
    <w:p w14:paraId="1EDC5BB3">
      <w:pPr>
        <w:ind w:firstLine="480"/>
        <w:rPr>
          <w:rFonts w:asciiTheme="minorEastAsia" w:hAnsiTheme="minorEastAsia" w:eastAsiaTheme="minorEastAsia"/>
          <w:lang w:eastAsia="zh-CN"/>
        </w:rPr>
      </w:pPr>
    </w:p>
    <w:p w14:paraId="128075CF">
      <w:pPr>
        <w:ind w:firstLine="480"/>
        <w:rPr>
          <w:rFonts w:asciiTheme="minorEastAsia" w:hAnsiTheme="minorEastAsia" w:eastAsiaTheme="minorEastAsia"/>
          <w:lang w:eastAsia="zh-CN"/>
        </w:rPr>
      </w:pPr>
    </w:p>
    <w:p w14:paraId="265F19E5">
      <w:pPr>
        <w:ind w:firstLine="480"/>
        <w:rPr>
          <w:rFonts w:asciiTheme="minorEastAsia" w:hAnsiTheme="minorEastAsia" w:eastAsiaTheme="minorEastAsia"/>
          <w:lang w:eastAsia="zh-CN"/>
        </w:rPr>
      </w:pPr>
    </w:p>
    <w:p w14:paraId="21D5E675">
      <w:pPr>
        <w:ind w:firstLine="480"/>
        <w:rPr>
          <w:rFonts w:asciiTheme="minorEastAsia" w:hAnsiTheme="minorEastAsia" w:eastAsiaTheme="minorEastAsia"/>
          <w:lang w:eastAsia="zh-CN"/>
        </w:rPr>
      </w:pPr>
    </w:p>
    <w:p w14:paraId="1008A216">
      <w:pPr>
        <w:ind w:firstLine="480"/>
        <w:rPr>
          <w:rFonts w:asciiTheme="minorEastAsia" w:hAnsiTheme="minorEastAsia" w:eastAsiaTheme="minorEastAsia"/>
          <w:lang w:eastAsia="zh-CN"/>
        </w:rPr>
      </w:pPr>
    </w:p>
    <w:p w14:paraId="14590119">
      <w:pPr>
        <w:ind w:firstLine="480"/>
        <w:rPr>
          <w:rFonts w:asciiTheme="minorEastAsia" w:hAnsiTheme="minorEastAsia" w:eastAsiaTheme="minorEastAsia"/>
          <w:lang w:eastAsia="zh-CN"/>
        </w:rPr>
      </w:pPr>
    </w:p>
    <w:p w14:paraId="3D5F4B7B">
      <w:pPr>
        <w:ind w:firstLine="480"/>
        <w:rPr>
          <w:rFonts w:asciiTheme="minorEastAsia" w:hAnsiTheme="minorEastAsia" w:eastAsiaTheme="minorEastAsia"/>
          <w:lang w:eastAsia="zh-CN"/>
        </w:rPr>
      </w:pPr>
    </w:p>
    <w:p w14:paraId="3F1C757A">
      <w:pPr>
        <w:ind w:firstLine="480"/>
        <w:rPr>
          <w:rFonts w:asciiTheme="minorEastAsia" w:hAnsiTheme="minorEastAsia" w:eastAsiaTheme="minorEastAsia"/>
          <w:lang w:eastAsia="zh-CN"/>
        </w:rPr>
      </w:pPr>
    </w:p>
    <w:p w14:paraId="4DFBFF96">
      <w:pPr>
        <w:ind w:firstLine="480"/>
        <w:rPr>
          <w:rFonts w:asciiTheme="minorEastAsia" w:hAnsiTheme="minorEastAsia" w:eastAsiaTheme="minorEastAsia"/>
          <w:lang w:eastAsia="zh-CN"/>
        </w:rPr>
      </w:pPr>
    </w:p>
    <w:p w14:paraId="71007A88">
      <w:pPr>
        <w:ind w:firstLine="480"/>
        <w:rPr>
          <w:rFonts w:asciiTheme="minorEastAsia" w:hAnsiTheme="minorEastAsia" w:eastAsiaTheme="minorEastAsia"/>
          <w:lang w:eastAsia="zh-CN"/>
        </w:rPr>
      </w:pPr>
    </w:p>
    <w:p w14:paraId="7B3D99EF">
      <w:pPr>
        <w:ind w:firstLine="480"/>
        <w:rPr>
          <w:rFonts w:asciiTheme="minorEastAsia" w:hAnsiTheme="minorEastAsia" w:eastAsiaTheme="minorEastAsia"/>
          <w:lang w:eastAsia="zh-CN"/>
        </w:rPr>
      </w:pPr>
    </w:p>
    <w:p w14:paraId="084D9D72">
      <w:pPr>
        <w:ind w:firstLine="480"/>
        <w:rPr>
          <w:rFonts w:asciiTheme="minorEastAsia" w:hAnsiTheme="minorEastAsia" w:eastAsiaTheme="minorEastAsia"/>
          <w:lang w:eastAsia="zh-CN"/>
        </w:rPr>
      </w:pPr>
    </w:p>
    <w:p w14:paraId="6AB52FAD">
      <w:pPr>
        <w:ind w:firstLine="480"/>
        <w:rPr>
          <w:rFonts w:asciiTheme="minorEastAsia" w:hAnsiTheme="minorEastAsia" w:eastAsiaTheme="minorEastAsia"/>
          <w:lang w:eastAsia="zh-CN"/>
        </w:rPr>
      </w:pPr>
    </w:p>
    <w:p w14:paraId="4A703E9D">
      <w:pPr>
        <w:ind w:firstLine="480"/>
        <w:rPr>
          <w:rFonts w:asciiTheme="minorEastAsia" w:hAnsiTheme="minorEastAsia" w:eastAsiaTheme="minorEastAsia"/>
          <w:lang w:eastAsia="zh-CN"/>
        </w:rPr>
      </w:pPr>
    </w:p>
    <w:p w14:paraId="0BCB1115">
      <w:pPr>
        <w:ind w:firstLine="480"/>
        <w:rPr>
          <w:rFonts w:asciiTheme="minorEastAsia" w:hAnsiTheme="minorEastAsia" w:eastAsiaTheme="minorEastAsia"/>
          <w:lang w:eastAsia="zh-CN"/>
        </w:rPr>
      </w:pPr>
    </w:p>
    <w:p w14:paraId="288432AD">
      <w:pPr>
        <w:ind w:firstLine="480"/>
        <w:rPr>
          <w:rFonts w:asciiTheme="minorEastAsia" w:hAnsiTheme="minorEastAsia" w:eastAsiaTheme="minorEastAsia"/>
          <w:lang w:eastAsia="zh-CN"/>
        </w:rPr>
      </w:pPr>
    </w:p>
    <w:p w14:paraId="2E3521F6">
      <w:pPr>
        <w:ind w:firstLine="480"/>
        <w:rPr>
          <w:rFonts w:asciiTheme="minorEastAsia" w:hAnsiTheme="minorEastAsia" w:eastAsiaTheme="minorEastAsia"/>
          <w:lang w:eastAsia="zh-CN"/>
        </w:rPr>
      </w:pPr>
    </w:p>
    <w:p w14:paraId="75FD3D7D">
      <w:pPr>
        <w:ind w:firstLine="480"/>
        <w:rPr>
          <w:rFonts w:asciiTheme="minorEastAsia" w:hAnsiTheme="minorEastAsia" w:eastAsiaTheme="minorEastAsia"/>
          <w:lang w:eastAsia="zh-CN"/>
        </w:rPr>
      </w:pPr>
    </w:p>
    <w:p w14:paraId="20DCE151">
      <w:pPr>
        <w:ind w:firstLine="480"/>
        <w:rPr>
          <w:rFonts w:asciiTheme="minorEastAsia" w:hAnsiTheme="minorEastAsia" w:eastAsiaTheme="minorEastAsia"/>
          <w:lang w:eastAsia="zh-CN"/>
        </w:rPr>
      </w:pPr>
    </w:p>
    <w:bookmarkEnd w:id="214"/>
    <w:bookmarkEnd w:id="215"/>
    <w:bookmarkEnd w:id="216"/>
    <w:bookmarkEnd w:id="217"/>
    <w:p w14:paraId="427AE0DB">
      <w:pPr>
        <w:pStyle w:val="380"/>
        <w:spacing w:before="0" w:after="0"/>
        <w:rPr>
          <w:rFonts w:cs="Times New Roman"/>
          <w:lang w:eastAsia="zh-CN"/>
        </w:rPr>
      </w:pPr>
      <w:bookmarkStart w:id="219" w:name="_Toc76543027"/>
      <w:bookmarkStart w:id="220" w:name="_Toc16591785"/>
      <w:bookmarkStart w:id="221" w:name="_Toc189535398"/>
      <w:bookmarkStart w:id="222" w:name="_Toc80103909"/>
      <w:bookmarkStart w:id="223" w:name="_Toc89160763"/>
      <w:bookmarkStart w:id="224" w:name="_Toc44672488"/>
      <w:r>
        <w:rPr>
          <w:rFonts w:cs="Times New Roman"/>
          <w:lang w:eastAsia="zh-CN"/>
        </w:rPr>
        <w:fldChar w:fldCharType="begin"/>
      </w:r>
      <w:r>
        <w:rPr>
          <w:rFonts w:cs="Times New Roman"/>
          <w:lang w:eastAsia="zh-CN"/>
        </w:rPr>
        <w:instrText xml:space="preserve"> HYPERLINK \l "_Toc189535397" </w:instrText>
      </w:r>
      <w:r>
        <w:rPr>
          <w:rFonts w:cs="Times New Roman"/>
          <w:lang w:eastAsia="zh-CN"/>
        </w:rPr>
        <w:fldChar w:fldCharType="separate"/>
      </w:r>
      <w:bookmarkStart w:id="225" w:name="_Toc248649407"/>
      <w:bookmarkStart w:id="226" w:name="_Toc408413955"/>
      <w:r>
        <w:rPr>
          <w:rFonts w:cs="Times New Roman"/>
          <w:lang w:eastAsia="zh-CN"/>
        </w:rPr>
        <w:t>4环境概况</w:t>
      </w:r>
      <w:bookmarkEnd w:id="225"/>
      <w:bookmarkEnd w:id="226"/>
      <w:r>
        <w:rPr>
          <w:rFonts w:cs="Times New Roman"/>
          <w:lang w:eastAsia="zh-CN"/>
        </w:rPr>
        <w:fldChar w:fldCharType="end"/>
      </w:r>
    </w:p>
    <w:p w14:paraId="5DFD3582">
      <w:pPr>
        <w:pStyle w:val="3"/>
        <w:rPr>
          <w:lang w:eastAsia="zh-CN"/>
        </w:rPr>
      </w:pPr>
      <w:bookmarkStart w:id="227" w:name="_Toc408413956"/>
      <w:r>
        <w:rPr>
          <w:lang w:eastAsia="zh-CN"/>
        </w:rPr>
        <w:t>4.1自然环境概况</w:t>
      </w:r>
      <w:bookmarkEnd w:id="227"/>
    </w:p>
    <w:p w14:paraId="5E831227">
      <w:pPr>
        <w:pStyle w:val="4"/>
        <w:rPr>
          <w:lang w:eastAsia="zh-CN"/>
        </w:rPr>
      </w:pPr>
      <w:bookmarkStart w:id="228" w:name="_Toc408413957"/>
      <w:r>
        <w:rPr>
          <w:lang w:eastAsia="zh-CN"/>
        </w:rPr>
        <w:t>4.1.1地理位置</w:t>
      </w:r>
      <w:bookmarkEnd w:id="228"/>
    </w:p>
    <w:p w14:paraId="3335907B">
      <w:pPr>
        <w:ind w:firstLine="480"/>
        <w:rPr>
          <w:rFonts w:asciiTheme="minorEastAsia" w:hAnsiTheme="minorEastAsia" w:eastAsiaTheme="minorEastAsia"/>
          <w:snapToGrid w:val="0"/>
          <w:lang w:eastAsia="zh-CN"/>
        </w:rPr>
      </w:pPr>
      <w:r>
        <w:rPr>
          <w:rFonts w:asciiTheme="minorEastAsia" w:hAnsiTheme="minorEastAsia" w:eastAsiaTheme="minorEastAsia"/>
          <w:snapToGrid w:val="0"/>
          <w:lang w:eastAsia="zh-CN"/>
        </w:rPr>
        <w:t>东乌旗位于内蒙古自治区锡林郭勒盟东北部，东接通辽市的霍林郭勒市、扎鲁特旗和兴安盟的科右中旗、科右前旗，南邻西乌珠穆沁旗和锡林浩特市，西连阿巴嘎旗，北邻蒙古国，国境线长527.6公里。</w:t>
      </w:r>
    </w:p>
    <w:p w14:paraId="434E32C5">
      <w:pPr>
        <w:ind w:firstLine="480"/>
        <w:rPr>
          <w:rFonts w:asciiTheme="minorEastAsia" w:hAnsiTheme="minorEastAsia" w:eastAsiaTheme="minorEastAsia"/>
          <w:snapToGrid w:val="0"/>
          <w:lang w:eastAsia="zh-CN"/>
        </w:rPr>
      </w:pPr>
      <w:r>
        <w:rPr>
          <w:rFonts w:hint="eastAsia" w:asciiTheme="minorEastAsia" w:hAnsiTheme="minorEastAsia" w:eastAsiaTheme="minorEastAsia"/>
          <w:snapToGrid w:val="0"/>
          <w:lang w:eastAsia="zh-CN"/>
        </w:rPr>
        <w:t>乌里雅斯太</w:t>
      </w:r>
      <w:r>
        <w:rPr>
          <w:rFonts w:asciiTheme="minorEastAsia" w:hAnsiTheme="minorEastAsia" w:eastAsiaTheme="minorEastAsia"/>
          <w:snapToGrid w:val="0"/>
          <w:lang w:eastAsia="zh-CN"/>
        </w:rPr>
        <w:t>油田位于东乌珠穆沁旗</w:t>
      </w:r>
      <w:r>
        <w:rPr>
          <w:rFonts w:hint="eastAsia" w:asciiTheme="minorEastAsia" w:hAnsiTheme="minorEastAsia" w:eastAsiaTheme="minorEastAsia"/>
          <w:snapToGrid w:val="0"/>
          <w:lang w:eastAsia="zh-CN"/>
        </w:rPr>
        <w:t>乌里雅斯太镇境内</w:t>
      </w:r>
      <w:r>
        <w:rPr>
          <w:rFonts w:asciiTheme="minorEastAsia" w:hAnsiTheme="minorEastAsia" w:eastAsiaTheme="minorEastAsia"/>
          <w:snapToGrid w:val="0"/>
          <w:lang w:eastAsia="zh-CN"/>
        </w:rPr>
        <w:t>，地理</w:t>
      </w:r>
      <w:r>
        <w:rPr>
          <w:rFonts w:hint="eastAsia" w:asciiTheme="minorEastAsia" w:hAnsiTheme="minorEastAsia" w:eastAsiaTheme="minorEastAsia"/>
          <w:snapToGrid w:val="0"/>
          <w:lang w:eastAsia="zh-CN"/>
        </w:rPr>
        <w:t>坐</w:t>
      </w:r>
      <w:r>
        <w:rPr>
          <w:rFonts w:asciiTheme="minorEastAsia" w:hAnsiTheme="minorEastAsia" w:eastAsiaTheme="minorEastAsia"/>
          <w:snapToGrid w:val="0"/>
          <w:lang w:eastAsia="zh-CN"/>
        </w:rPr>
        <w:t>标为东经</w:t>
      </w:r>
      <w:r>
        <w:rPr>
          <w:rFonts w:asciiTheme="minorEastAsia" w:hAnsiTheme="minorEastAsia" w:eastAsiaTheme="minorEastAsia"/>
          <w:bCs/>
          <w:kern w:val="2"/>
          <w:szCs w:val="24"/>
          <w:lang w:eastAsia="zh-CN" w:bidi="ar-SA"/>
        </w:rPr>
        <w:t>11</w:t>
      </w:r>
      <w:r>
        <w:rPr>
          <w:rFonts w:hint="eastAsia" w:asciiTheme="minorEastAsia" w:hAnsiTheme="minorEastAsia" w:eastAsiaTheme="minorEastAsia"/>
          <w:bCs/>
          <w:kern w:val="2"/>
          <w:szCs w:val="24"/>
          <w:lang w:eastAsia="zh-CN" w:bidi="ar-SA"/>
        </w:rPr>
        <w:t>6</w:t>
      </w:r>
      <w:r>
        <w:rPr>
          <w:rFonts w:asciiTheme="minorEastAsia" w:hAnsiTheme="minorEastAsia" w:eastAsiaTheme="minorEastAsia"/>
          <w:bCs/>
          <w:kern w:val="2"/>
          <w:szCs w:val="24"/>
          <w:lang w:eastAsia="zh-CN" w:bidi="ar-SA"/>
        </w:rPr>
        <w:t>º50'</w:t>
      </w:r>
      <w:r>
        <w:rPr>
          <w:rFonts w:hint="eastAsia" w:asciiTheme="minorEastAsia" w:hAnsiTheme="minorEastAsia" w:eastAsiaTheme="minorEastAsia"/>
          <w:bCs/>
          <w:kern w:val="2"/>
          <w:szCs w:val="24"/>
          <w:lang w:eastAsia="zh-CN" w:bidi="ar-SA"/>
        </w:rPr>
        <w:t>15</w:t>
      </w:r>
      <w:r>
        <w:rPr>
          <w:rFonts w:asciiTheme="minorEastAsia" w:hAnsiTheme="minorEastAsia" w:eastAsiaTheme="minorEastAsia"/>
          <w:bCs/>
          <w:kern w:val="2"/>
          <w:szCs w:val="24"/>
          <w:lang w:eastAsia="zh-CN" w:bidi="ar-SA"/>
        </w:rPr>
        <w:t>"—116º</w:t>
      </w:r>
      <w:r>
        <w:rPr>
          <w:rFonts w:hint="eastAsia" w:asciiTheme="minorEastAsia" w:hAnsiTheme="minorEastAsia" w:eastAsiaTheme="minorEastAsia"/>
          <w:bCs/>
          <w:kern w:val="2"/>
          <w:szCs w:val="24"/>
          <w:lang w:eastAsia="zh-CN" w:bidi="ar-SA"/>
        </w:rPr>
        <w:t>57</w:t>
      </w:r>
      <w:r>
        <w:rPr>
          <w:rFonts w:asciiTheme="minorEastAsia" w:hAnsiTheme="minorEastAsia" w:eastAsiaTheme="minorEastAsia"/>
          <w:bCs/>
          <w:kern w:val="2"/>
          <w:szCs w:val="24"/>
          <w:lang w:eastAsia="zh-CN" w:bidi="ar-SA"/>
        </w:rPr>
        <w:t>'</w:t>
      </w:r>
      <w:r>
        <w:rPr>
          <w:rFonts w:hint="eastAsia" w:asciiTheme="minorEastAsia" w:hAnsiTheme="minorEastAsia" w:eastAsiaTheme="minorEastAsia"/>
          <w:bCs/>
          <w:kern w:val="2"/>
          <w:szCs w:val="24"/>
          <w:lang w:eastAsia="zh-CN" w:bidi="ar-SA"/>
        </w:rPr>
        <w:t>15</w:t>
      </w:r>
      <w:r>
        <w:rPr>
          <w:rFonts w:asciiTheme="minorEastAsia" w:hAnsiTheme="minorEastAsia" w:eastAsiaTheme="minorEastAsia"/>
          <w:bCs/>
          <w:kern w:val="2"/>
          <w:szCs w:val="24"/>
          <w:lang w:eastAsia="zh-CN" w:bidi="ar-SA"/>
        </w:rPr>
        <w:t>"</w:t>
      </w:r>
      <w:r>
        <w:rPr>
          <w:rFonts w:hint="eastAsia" w:asciiTheme="minorEastAsia" w:hAnsiTheme="minorEastAsia" w:eastAsiaTheme="minorEastAsia"/>
          <w:bCs/>
          <w:kern w:val="2"/>
          <w:szCs w:val="24"/>
          <w:lang w:eastAsia="zh-CN" w:bidi="ar-SA"/>
        </w:rPr>
        <w:t>，</w:t>
      </w:r>
      <w:r>
        <w:rPr>
          <w:rFonts w:asciiTheme="minorEastAsia" w:hAnsiTheme="minorEastAsia" w:eastAsiaTheme="minorEastAsia"/>
          <w:bCs/>
          <w:kern w:val="2"/>
          <w:szCs w:val="24"/>
          <w:lang w:eastAsia="zh-CN" w:bidi="ar-SA"/>
        </w:rPr>
        <w:t>北纬4</w:t>
      </w:r>
      <w:r>
        <w:rPr>
          <w:rFonts w:hint="eastAsia" w:asciiTheme="minorEastAsia" w:hAnsiTheme="minorEastAsia" w:eastAsiaTheme="minorEastAsia"/>
          <w:bCs/>
          <w:kern w:val="2"/>
          <w:szCs w:val="24"/>
          <w:lang w:eastAsia="zh-CN" w:bidi="ar-SA"/>
        </w:rPr>
        <w:t>5</w:t>
      </w:r>
      <w:r>
        <w:rPr>
          <w:rFonts w:asciiTheme="minorEastAsia" w:hAnsiTheme="minorEastAsia" w:eastAsiaTheme="minorEastAsia"/>
          <w:bCs/>
          <w:kern w:val="2"/>
          <w:szCs w:val="24"/>
          <w:lang w:eastAsia="zh-CN" w:bidi="ar-SA"/>
        </w:rPr>
        <w:t>º</w:t>
      </w:r>
      <w:r>
        <w:rPr>
          <w:rFonts w:hint="eastAsia" w:asciiTheme="minorEastAsia" w:hAnsiTheme="minorEastAsia" w:eastAsiaTheme="minorEastAsia"/>
          <w:bCs/>
          <w:kern w:val="2"/>
          <w:szCs w:val="24"/>
          <w:lang w:eastAsia="zh-CN" w:bidi="ar-SA"/>
        </w:rPr>
        <w:t>32</w:t>
      </w:r>
      <w:r>
        <w:rPr>
          <w:rFonts w:asciiTheme="minorEastAsia" w:hAnsiTheme="minorEastAsia" w:eastAsiaTheme="minorEastAsia"/>
          <w:bCs/>
          <w:kern w:val="2"/>
          <w:szCs w:val="24"/>
          <w:lang w:eastAsia="zh-CN" w:bidi="ar-SA"/>
        </w:rPr>
        <w:t>'</w:t>
      </w:r>
      <w:r>
        <w:rPr>
          <w:rFonts w:hint="eastAsia" w:asciiTheme="minorEastAsia" w:hAnsiTheme="minorEastAsia" w:eastAsiaTheme="minorEastAsia"/>
          <w:bCs/>
          <w:kern w:val="2"/>
          <w:szCs w:val="24"/>
          <w:lang w:eastAsia="zh-CN" w:bidi="ar-SA"/>
        </w:rPr>
        <w:t>30</w:t>
      </w:r>
      <w:r>
        <w:rPr>
          <w:rFonts w:asciiTheme="minorEastAsia" w:hAnsiTheme="minorEastAsia" w:eastAsiaTheme="minorEastAsia"/>
          <w:bCs/>
          <w:kern w:val="2"/>
          <w:szCs w:val="24"/>
          <w:lang w:eastAsia="zh-CN" w:bidi="ar-SA"/>
        </w:rPr>
        <w:t>"—45º</w:t>
      </w:r>
      <w:r>
        <w:rPr>
          <w:rFonts w:hint="eastAsia" w:asciiTheme="minorEastAsia" w:hAnsiTheme="minorEastAsia" w:eastAsiaTheme="minorEastAsia"/>
          <w:bCs/>
          <w:kern w:val="2"/>
          <w:szCs w:val="24"/>
          <w:lang w:eastAsia="zh-CN" w:bidi="ar-SA"/>
        </w:rPr>
        <w:t>43</w:t>
      </w:r>
      <w:r>
        <w:rPr>
          <w:rFonts w:asciiTheme="minorEastAsia" w:hAnsiTheme="minorEastAsia" w:eastAsiaTheme="minorEastAsia"/>
          <w:bCs/>
          <w:kern w:val="2"/>
          <w:szCs w:val="24"/>
          <w:lang w:eastAsia="zh-CN" w:bidi="ar-SA"/>
        </w:rPr>
        <w:t>'</w:t>
      </w:r>
      <w:r>
        <w:rPr>
          <w:rFonts w:hint="eastAsia" w:asciiTheme="minorEastAsia" w:hAnsiTheme="minorEastAsia" w:eastAsiaTheme="minorEastAsia"/>
          <w:bCs/>
          <w:kern w:val="2"/>
          <w:szCs w:val="24"/>
          <w:lang w:eastAsia="zh-CN" w:bidi="ar-SA"/>
        </w:rPr>
        <w:t>00</w:t>
      </w:r>
      <w:r>
        <w:rPr>
          <w:rFonts w:asciiTheme="minorEastAsia" w:hAnsiTheme="minorEastAsia" w:eastAsiaTheme="minorEastAsia"/>
          <w:bCs/>
          <w:kern w:val="2"/>
          <w:szCs w:val="24"/>
          <w:lang w:eastAsia="zh-CN" w:bidi="ar-SA"/>
        </w:rPr>
        <w:t>"</w:t>
      </w:r>
      <w:r>
        <w:rPr>
          <w:rFonts w:asciiTheme="minorEastAsia" w:hAnsiTheme="minorEastAsia" w:eastAsiaTheme="minorEastAsia"/>
          <w:snapToGrid w:val="0"/>
          <w:lang w:eastAsia="zh-CN"/>
        </w:rPr>
        <w:t>之间。</w:t>
      </w:r>
    </w:p>
    <w:p w14:paraId="1497E272">
      <w:pPr>
        <w:pStyle w:val="4"/>
        <w:rPr>
          <w:lang w:eastAsia="zh-CN"/>
        </w:rPr>
      </w:pPr>
      <w:bookmarkStart w:id="229" w:name="_Toc408413958"/>
      <w:r>
        <w:rPr>
          <w:lang w:eastAsia="zh-CN"/>
        </w:rPr>
        <w:t>4.1.2地形、地貌</w:t>
      </w:r>
      <w:bookmarkEnd w:id="229"/>
    </w:p>
    <w:p w14:paraId="5579A462">
      <w:pPr>
        <w:ind w:firstLine="480"/>
        <w:rPr>
          <w:rFonts w:asciiTheme="minorEastAsia" w:hAnsiTheme="minorEastAsia" w:eastAsiaTheme="minorEastAsia"/>
          <w:snapToGrid w:val="0"/>
          <w:lang w:eastAsia="zh-CN"/>
        </w:rPr>
      </w:pPr>
      <w:r>
        <w:rPr>
          <w:rFonts w:asciiTheme="minorEastAsia" w:hAnsiTheme="minorEastAsia" w:eastAsiaTheme="minorEastAsia"/>
          <w:snapToGrid w:val="0"/>
          <w:lang w:eastAsia="zh-CN"/>
        </w:rPr>
        <w:t>东乌旗地处内蒙古高原东部，大兴安岭南段西北山麓，主体部分分为高平原，东部边缘为山地。高平原和山地分别属于两个不同的地质构造体系；北东走向的内陆新华夏沉陷带和北东走向的大兴安岭新华夏隆起带。东乌旗包括三大地貌类型：东部边沿为大兴安岭中山山地，北部为低山丘陵区，南部为大乌拉盖盆地。全旗地势东北向西南倾斜，海拔830</w:t>
      </w:r>
      <w:r>
        <w:rPr>
          <w:rFonts w:hint="eastAsia" w:asciiTheme="minorEastAsia" w:hAnsiTheme="minorEastAsia" w:eastAsiaTheme="minorEastAsia"/>
          <w:snapToGrid w:val="0"/>
          <w:lang w:eastAsia="zh-CN"/>
        </w:rPr>
        <w:t>～</w:t>
      </w:r>
      <w:r>
        <w:rPr>
          <w:rFonts w:asciiTheme="minorEastAsia" w:hAnsiTheme="minorEastAsia" w:eastAsiaTheme="minorEastAsia"/>
          <w:snapToGrid w:val="0"/>
          <w:lang w:eastAsia="zh-CN"/>
        </w:rPr>
        <w:t>1500m，最高峰宝格达山，海拔1504.5m，最低点阿尔塔拉，海拔770m。</w:t>
      </w:r>
    </w:p>
    <w:p w14:paraId="432B409B">
      <w:pPr>
        <w:ind w:firstLine="480"/>
        <w:rPr>
          <w:rFonts w:asciiTheme="minorEastAsia" w:hAnsiTheme="minorEastAsia" w:eastAsiaTheme="minorEastAsia"/>
          <w:snapToGrid w:val="0"/>
          <w:lang w:eastAsia="zh-CN"/>
        </w:rPr>
      </w:pPr>
      <w:r>
        <w:rPr>
          <w:rFonts w:asciiTheme="minorEastAsia" w:hAnsiTheme="minorEastAsia" w:eastAsiaTheme="minorEastAsia"/>
          <w:snapToGrid w:val="0"/>
          <w:lang w:eastAsia="zh-CN"/>
        </w:rPr>
        <w:t>乌里雅斯太油田所在区域海拔900</w:t>
      </w:r>
      <w:r>
        <w:rPr>
          <w:rFonts w:hint="eastAsia" w:asciiTheme="minorEastAsia" w:hAnsiTheme="minorEastAsia" w:eastAsiaTheme="minorEastAsia"/>
          <w:snapToGrid w:val="0"/>
          <w:lang w:eastAsia="zh-CN"/>
        </w:rPr>
        <w:t>～</w:t>
      </w:r>
      <w:r>
        <w:rPr>
          <w:rFonts w:asciiTheme="minorEastAsia" w:hAnsiTheme="minorEastAsia" w:eastAsiaTheme="minorEastAsia"/>
          <w:snapToGrid w:val="0"/>
          <w:lang w:eastAsia="zh-CN"/>
        </w:rPr>
        <w:t>1300m，属于内蒙古高原缓丘及平原微丘地貌，盆地、干河谷、低洼地交错排列，形成地面高差不大、微具起伏的波状高平原，其中</w:t>
      </w:r>
      <w:r>
        <w:rPr>
          <w:rFonts w:hint="eastAsia" w:asciiTheme="minorEastAsia" w:hAnsiTheme="minorEastAsia" w:eastAsiaTheme="minorEastAsia"/>
          <w:snapToGrid w:val="0"/>
          <w:lang w:eastAsia="zh-CN"/>
        </w:rPr>
        <w:t>发育有</w:t>
      </w:r>
      <w:r>
        <w:rPr>
          <w:rFonts w:asciiTheme="minorEastAsia" w:hAnsiTheme="minorEastAsia" w:eastAsiaTheme="minorEastAsia"/>
          <w:snapToGrid w:val="0"/>
          <w:lang w:eastAsia="zh-CN"/>
        </w:rPr>
        <w:t>宽谷洼地。</w:t>
      </w:r>
    </w:p>
    <w:p w14:paraId="3FC8A883">
      <w:pPr>
        <w:pStyle w:val="4"/>
        <w:rPr>
          <w:lang w:eastAsia="zh-CN"/>
        </w:rPr>
      </w:pPr>
      <w:bookmarkStart w:id="230" w:name="_Toc408413959"/>
      <w:r>
        <w:rPr>
          <w:lang w:eastAsia="zh-CN"/>
        </w:rPr>
        <w:t>4.1.3气象气候</w:t>
      </w:r>
      <w:bookmarkEnd w:id="230"/>
    </w:p>
    <w:p w14:paraId="1F0E2AA3">
      <w:pPr>
        <w:ind w:firstLine="480"/>
        <w:rPr>
          <w:rFonts w:asciiTheme="minorEastAsia" w:hAnsiTheme="minorEastAsia" w:eastAsiaTheme="minorEastAsia"/>
          <w:snapToGrid w:val="0"/>
          <w:lang w:eastAsia="zh-CN"/>
        </w:rPr>
      </w:pPr>
      <w:r>
        <w:rPr>
          <w:rFonts w:asciiTheme="minorEastAsia" w:hAnsiTheme="minorEastAsia" w:eastAsiaTheme="minorEastAsia"/>
          <w:snapToGrid w:val="0"/>
          <w:lang w:eastAsia="zh-CN"/>
        </w:rPr>
        <w:t>东乌珠穆沁旗乌里雅斯太镇属于干旱-半干旱大陆性气候，其特点为：冬季寒冷漫长，夏季炎热短暂，春秋两季干旱多风，一年四季气候多变。由于受地理位置控制，当地降水少而蒸发强烈。根据气象资料</w:t>
      </w:r>
      <w:r>
        <w:rPr>
          <w:rFonts w:hint="eastAsia" w:asciiTheme="minorEastAsia" w:hAnsiTheme="minorEastAsia" w:eastAsiaTheme="minorEastAsia"/>
          <w:snapToGrid w:val="0"/>
          <w:lang w:eastAsia="zh-CN"/>
        </w:rPr>
        <w:t>地区</w:t>
      </w:r>
      <w:r>
        <w:rPr>
          <w:rFonts w:asciiTheme="minorEastAsia" w:hAnsiTheme="minorEastAsia" w:eastAsiaTheme="minorEastAsia"/>
          <w:snapToGrid w:val="0"/>
          <w:lang w:eastAsia="zh-CN"/>
        </w:rPr>
        <w:t>平均降水量为</w:t>
      </w:r>
      <w:r>
        <w:rPr>
          <w:rFonts w:hint="eastAsia" w:asciiTheme="minorEastAsia" w:hAnsiTheme="minorEastAsia" w:eastAsiaTheme="minorEastAsia"/>
          <w:snapToGrid w:val="0"/>
          <w:lang w:eastAsia="zh-CN"/>
        </w:rPr>
        <w:t>250.7</w:t>
      </w:r>
      <w:r>
        <w:rPr>
          <w:rFonts w:asciiTheme="minorEastAsia" w:hAnsiTheme="minorEastAsia" w:eastAsiaTheme="minorEastAsia"/>
          <w:snapToGrid w:val="0"/>
          <w:lang w:eastAsia="zh-CN"/>
        </w:rPr>
        <w:t>mm，年均水面蒸发量高达</w:t>
      </w:r>
      <w:r>
        <w:rPr>
          <w:rFonts w:hint="eastAsia" w:asciiTheme="minorEastAsia" w:hAnsiTheme="minorEastAsia" w:eastAsiaTheme="minorEastAsia"/>
          <w:snapToGrid w:val="0"/>
          <w:lang w:eastAsia="zh-CN"/>
        </w:rPr>
        <w:t>1739.1</w:t>
      </w:r>
      <w:r>
        <w:rPr>
          <w:rFonts w:asciiTheme="minorEastAsia" w:hAnsiTheme="minorEastAsia" w:eastAsiaTheme="minorEastAsia"/>
          <w:snapToGrid w:val="0"/>
          <w:lang w:eastAsia="zh-CN"/>
        </w:rPr>
        <w:t>mm，多年平均气温</w:t>
      </w:r>
      <w:r>
        <w:rPr>
          <w:rFonts w:hint="eastAsia" w:asciiTheme="minorEastAsia" w:hAnsiTheme="minorEastAsia" w:eastAsiaTheme="minorEastAsia"/>
          <w:snapToGrid w:val="0"/>
          <w:lang w:eastAsia="zh-CN"/>
        </w:rPr>
        <w:t>1.9</w:t>
      </w:r>
      <w:r>
        <w:rPr>
          <w:rFonts w:asciiTheme="minorEastAsia" w:hAnsiTheme="minorEastAsia" w:eastAsiaTheme="minorEastAsia"/>
          <w:snapToGrid w:val="0"/>
          <w:lang w:eastAsia="zh-CN"/>
        </w:rPr>
        <w:t>℃，一月最冷，平均为-20.9℃；七月平均气温21.3℃。多年极端最高气温39.7℃（1972年7月2日），极端最低气温-40.5℃（1956年1月2日）。多年平均风速3.</w:t>
      </w:r>
      <w:r>
        <w:rPr>
          <w:rFonts w:hint="eastAsia" w:asciiTheme="minorEastAsia" w:hAnsiTheme="minorEastAsia" w:eastAsiaTheme="minorEastAsia"/>
          <w:snapToGrid w:val="0"/>
          <w:lang w:eastAsia="zh-CN"/>
        </w:rPr>
        <w:t>4</w:t>
      </w:r>
      <w:r>
        <w:rPr>
          <w:rFonts w:asciiTheme="minorEastAsia" w:hAnsiTheme="minorEastAsia" w:eastAsiaTheme="minorEastAsia"/>
          <w:snapToGrid w:val="0"/>
          <w:lang w:eastAsia="zh-CN"/>
        </w:rPr>
        <w:t>m/s，最大风速18m/s。多年相对湿度37.6%，12月份高达69.4%。年日照时数为30</w:t>
      </w:r>
      <w:r>
        <w:rPr>
          <w:rFonts w:hint="eastAsia" w:asciiTheme="minorEastAsia" w:hAnsiTheme="minorEastAsia" w:eastAsiaTheme="minorEastAsia"/>
          <w:snapToGrid w:val="0"/>
          <w:lang w:eastAsia="zh-CN"/>
        </w:rPr>
        <w:t>14.3</w:t>
      </w:r>
      <w:r>
        <w:rPr>
          <w:rFonts w:asciiTheme="minorEastAsia" w:hAnsiTheme="minorEastAsia" w:eastAsiaTheme="minorEastAsia"/>
          <w:snapToGrid w:val="0"/>
          <w:lang w:eastAsia="zh-CN"/>
        </w:rPr>
        <w:t>小时，年均无霜期为131天。</w:t>
      </w:r>
    </w:p>
    <w:p w14:paraId="4882742B">
      <w:pPr>
        <w:pStyle w:val="4"/>
        <w:rPr>
          <w:lang w:eastAsia="zh-CN"/>
        </w:rPr>
      </w:pPr>
      <w:bookmarkStart w:id="231" w:name="_Toc408413960"/>
      <w:r>
        <w:rPr>
          <w:lang w:eastAsia="zh-CN"/>
        </w:rPr>
        <w:t>4.1.4河流</w:t>
      </w:r>
      <w:bookmarkEnd w:id="231"/>
    </w:p>
    <w:p w14:paraId="2F4A5800">
      <w:pPr>
        <w:ind w:firstLine="480"/>
        <w:rPr>
          <w:rFonts w:asciiTheme="minorEastAsia" w:hAnsiTheme="minorEastAsia" w:eastAsiaTheme="minorEastAsia"/>
          <w:snapToGrid w:val="0"/>
          <w:lang w:eastAsia="zh-CN"/>
        </w:rPr>
      </w:pPr>
      <w:r>
        <w:rPr>
          <w:rFonts w:asciiTheme="minorEastAsia" w:hAnsiTheme="minorEastAsia" w:eastAsiaTheme="minorEastAsia"/>
          <w:snapToGrid w:val="0"/>
          <w:lang w:eastAsia="zh-CN"/>
        </w:rPr>
        <w:t>东乌旗境内大小河流共有14条，其中较大的有乌拉盖河、色也勒吉河和那仁河，其余为发育不良的小河或时令河。最主要河流乌拉盖河为内陆河，属乌拉盖水系。乌拉盖河干流发源于宝格达山南麓，由许多泉水汇集而成，水量稳定，全长360km，在胡硕庙与支流色也勒吉河汇合，向西流入乌拉盖戈壁，沿途地面广阔坦平、湖泊、沼泽较多，上游处于山地丘陵，河槽较窄，进入波状平原，河床平浅，消失在索林淖尔洼地。乌拉盖河为季节性河流，雨季有水，旱季断流，多注入草原湖泊中。乌里雅斯太油田区域内零星分布有小范围的汇水区域，多呈微小湖泊状，主要由风蚀形成。另有一些近东西向延伸的地势较低洼、易汇水条带状丘间缓谷。其水源补给主要靠降雨，地下水补给较少，因此每年发生着有规律的变化：当雨季来临时，水位上升，其它季节水位下降，小湖及小型汇水区域干涸。</w:t>
      </w:r>
    </w:p>
    <w:p w14:paraId="579762AA">
      <w:pPr>
        <w:pStyle w:val="4"/>
        <w:rPr>
          <w:lang w:eastAsia="zh-CN"/>
        </w:rPr>
      </w:pPr>
      <w:bookmarkStart w:id="232" w:name="_Toc408413961"/>
      <w:r>
        <w:rPr>
          <w:lang w:eastAsia="zh-CN"/>
        </w:rPr>
        <w:t>4.1.5地质地震</w:t>
      </w:r>
      <w:bookmarkEnd w:id="232"/>
    </w:p>
    <w:p w14:paraId="3F8E66F9">
      <w:pPr>
        <w:ind w:firstLine="480"/>
        <w:rPr>
          <w:rFonts w:asciiTheme="minorEastAsia" w:hAnsiTheme="minorEastAsia" w:eastAsiaTheme="minorEastAsia"/>
          <w:snapToGrid w:val="0"/>
          <w:lang w:eastAsia="zh-CN"/>
        </w:rPr>
      </w:pPr>
      <w:r>
        <w:rPr>
          <w:rFonts w:asciiTheme="minorEastAsia" w:hAnsiTheme="minorEastAsia" w:eastAsiaTheme="minorEastAsia"/>
          <w:snapToGrid w:val="0"/>
          <w:lang w:eastAsia="zh-CN"/>
        </w:rPr>
        <w:t>根据区域地质资料，区域内无大型活动断裂带存在，无地震历史记载。根据《中国地壳稳定性分区图》，该区域属于地壳稳定区，地震基本烈度为Ⅵ。管道沿线区域设计地震动峰值加速度不大于0.05g。</w:t>
      </w:r>
    </w:p>
    <w:p w14:paraId="1EC79EDE">
      <w:pPr>
        <w:pStyle w:val="3"/>
        <w:rPr>
          <w:lang w:eastAsia="zh-CN"/>
        </w:rPr>
      </w:pPr>
      <w:bookmarkStart w:id="233" w:name="_Toc408413962"/>
      <w:r>
        <w:rPr>
          <w:lang w:eastAsia="zh-CN"/>
        </w:rPr>
        <w:t>4.2 社会环境概况</w:t>
      </w:r>
      <w:bookmarkEnd w:id="233"/>
    </w:p>
    <w:p w14:paraId="1CA29288">
      <w:pPr>
        <w:pStyle w:val="4"/>
        <w:rPr>
          <w:lang w:eastAsia="zh-CN"/>
        </w:rPr>
      </w:pPr>
      <w:bookmarkStart w:id="234" w:name="_Toc408413963"/>
      <w:r>
        <w:rPr>
          <w:lang w:eastAsia="zh-CN"/>
        </w:rPr>
        <w:t>4.2.1区域环境</w:t>
      </w:r>
      <w:bookmarkEnd w:id="234"/>
    </w:p>
    <w:p w14:paraId="2F7560AA">
      <w:pPr>
        <w:ind w:firstLine="480"/>
        <w:rPr>
          <w:rFonts w:asciiTheme="minorEastAsia" w:hAnsiTheme="minorEastAsia" w:eastAsiaTheme="minorEastAsia"/>
          <w:snapToGrid w:val="0"/>
          <w:lang w:eastAsia="zh-CN"/>
        </w:rPr>
      </w:pPr>
      <w:r>
        <w:rPr>
          <w:rFonts w:asciiTheme="minorEastAsia" w:hAnsiTheme="minorEastAsia" w:eastAsiaTheme="minorEastAsia"/>
          <w:snapToGrid w:val="0"/>
          <w:lang w:eastAsia="zh-CN"/>
        </w:rPr>
        <w:t>东乌珠穆沁旗位于锡林郭勒盟东北部，东西长350公里，南北最宽149公里，总面积41559平方公里，为全盟面积最大的旗，约占全盟面积的五分之一。全旗现辖5个镇、2个苏木，57个牧业嘎查，1个国营林场。东乌旗是一个以多民族聚居的牧业旗。全旗总人口75714人，其中城镇人口45119万人，牧业人口30595万人，分别占总人口数的59.59％和40.41％。</w:t>
      </w:r>
      <w:r>
        <w:rPr>
          <w:rFonts w:hint="eastAsia" w:asciiTheme="minorEastAsia" w:hAnsiTheme="minorEastAsia" w:eastAsiaTheme="minorEastAsia"/>
          <w:snapToGrid w:val="0"/>
          <w:lang w:eastAsia="zh-CN"/>
        </w:rPr>
        <w:t>2013年，</w:t>
      </w:r>
      <w:r>
        <w:rPr>
          <w:rFonts w:asciiTheme="minorEastAsia" w:hAnsiTheme="minorEastAsia" w:eastAsiaTheme="minorEastAsia"/>
          <w:snapToGrid w:val="0"/>
          <w:lang w:eastAsia="zh-CN"/>
        </w:rPr>
        <w:t>地区生产总值为34.3亿元，第一、二、三产业产值比例为19：64：17。人均地区生产总值47695元，固定资产投资总额23.18亿元。</w:t>
      </w:r>
    </w:p>
    <w:p w14:paraId="2ACB3CF3">
      <w:pPr>
        <w:pStyle w:val="4"/>
        <w:rPr>
          <w:lang w:eastAsia="zh-CN"/>
        </w:rPr>
      </w:pPr>
      <w:bookmarkStart w:id="235" w:name="_Toc408413964"/>
      <w:r>
        <w:rPr>
          <w:lang w:eastAsia="zh-CN"/>
        </w:rPr>
        <w:t>4.2.2自然资源</w:t>
      </w:r>
      <w:bookmarkEnd w:id="235"/>
    </w:p>
    <w:p w14:paraId="3BED247F">
      <w:pPr>
        <w:ind w:firstLine="480"/>
        <w:rPr>
          <w:rFonts w:asciiTheme="minorEastAsia" w:hAnsiTheme="minorEastAsia" w:eastAsiaTheme="minorEastAsia"/>
          <w:snapToGrid w:val="0"/>
          <w:lang w:eastAsia="zh-CN"/>
        </w:rPr>
      </w:pPr>
      <w:r>
        <w:rPr>
          <w:rFonts w:asciiTheme="minorEastAsia" w:hAnsiTheme="minorEastAsia" w:eastAsiaTheme="minorEastAsia"/>
          <w:snapToGrid w:val="0"/>
          <w:lang w:eastAsia="zh-CN"/>
        </w:rPr>
        <w:t>1、草原、畜产资源</w:t>
      </w:r>
    </w:p>
    <w:p w14:paraId="4A36EF72">
      <w:pPr>
        <w:ind w:firstLine="480"/>
        <w:rPr>
          <w:rFonts w:asciiTheme="minorEastAsia" w:hAnsiTheme="minorEastAsia" w:eastAsiaTheme="minorEastAsia"/>
          <w:snapToGrid w:val="0"/>
          <w:lang w:eastAsia="zh-CN"/>
        </w:rPr>
      </w:pPr>
      <w:r>
        <w:rPr>
          <w:rFonts w:asciiTheme="minorEastAsia" w:hAnsiTheme="minorEastAsia" w:eastAsiaTheme="minorEastAsia"/>
          <w:snapToGrid w:val="0"/>
          <w:lang w:eastAsia="zh-CN"/>
        </w:rPr>
        <w:t>东乌旗草原地域辽阔，蕴蓄着丰富的物产资源。碧绿无垠的草原上生长有党参、芍药、黄芪、甘草、防风、知母等名贵药材，还盛产白蘑、黄花、蕨菜等食用绿色植物。东乌珠穆沁旗旗是国家的重要草原畜牧业基地，也是内蒙</w:t>
      </w:r>
      <w:r>
        <w:rPr>
          <w:rFonts w:hint="eastAsia" w:asciiTheme="minorEastAsia" w:hAnsiTheme="minorEastAsia" w:eastAsiaTheme="minorEastAsia"/>
          <w:snapToGrid w:val="0"/>
          <w:lang w:eastAsia="zh-CN"/>
        </w:rPr>
        <w:t>古</w:t>
      </w:r>
      <w:r>
        <w:rPr>
          <w:rFonts w:asciiTheme="minorEastAsia" w:hAnsiTheme="minorEastAsia" w:eastAsiaTheme="minorEastAsia"/>
          <w:snapToGrid w:val="0"/>
          <w:lang w:eastAsia="zh-CN"/>
        </w:rPr>
        <w:t>自治区地方良种乌珠穆沁羊、乌珠穆沁白绒山羊和乌珠穆沁牛、乌珠穆沁马的主要产区。</w:t>
      </w:r>
    </w:p>
    <w:p w14:paraId="4D04F26F">
      <w:pPr>
        <w:ind w:firstLine="480"/>
        <w:outlineLvl w:val="0"/>
        <w:rPr>
          <w:rFonts w:asciiTheme="minorEastAsia" w:hAnsiTheme="minorEastAsia" w:eastAsiaTheme="minorEastAsia"/>
          <w:snapToGrid w:val="0"/>
          <w:lang w:eastAsia="zh-CN"/>
        </w:rPr>
      </w:pPr>
      <w:r>
        <w:rPr>
          <w:rFonts w:asciiTheme="minorEastAsia" w:hAnsiTheme="minorEastAsia" w:eastAsiaTheme="minorEastAsia"/>
          <w:snapToGrid w:val="0"/>
          <w:lang w:eastAsia="zh-CN"/>
        </w:rPr>
        <w:t>2、矿产资源</w:t>
      </w:r>
    </w:p>
    <w:p w14:paraId="7E76B047">
      <w:pPr>
        <w:ind w:firstLine="480"/>
        <w:rPr>
          <w:rFonts w:asciiTheme="minorEastAsia" w:hAnsiTheme="minorEastAsia" w:eastAsiaTheme="minorEastAsia"/>
          <w:snapToGrid w:val="0"/>
          <w:lang w:eastAsia="zh-CN"/>
        </w:rPr>
      </w:pPr>
      <w:r>
        <w:rPr>
          <w:rFonts w:asciiTheme="minorEastAsia" w:hAnsiTheme="minorEastAsia" w:eastAsiaTheme="minorEastAsia"/>
          <w:snapToGrid w:val="0"/>
          <w:lang w:eastAsia="zh-CN"/>
        </w:rPr>
        <w:t>东乌旗矿产资源主要种类有煤、石油、铁、铜、金、银、锡、铋、锰、、盐、芒硝、水晶、玛瑙、萤石、石灰岩、泥灰岩、大理岩、花岗岩、蛇纹岩、膨胀珍珠岩、硅藻土等。东乌旗拥有形成于新生代的、具有高原特色的盐湖型盐类矿，如额吉淖尔盐池、芒硝等产地。东乌旗金属矿藏也相当丰富，现已探明三条有色金属成矿带。煤炭、石油等燃料矿产在本旗矿产资源中储量最多，石油储量达3724×10</w:t>
      </w:r>
      <w:r>
        <w:rPr>
          <w:rFonts w:asciiTheme="minorEastAsia" w:hAnsiTheme="minorEastAsia" w:eastAsiaTheme="minorEastAsia"/>
          <w:snapToGrid w:val="0"/>
          <w:vertAlign w:val="superscript"/>
          <w:lang w:eastAsia="zh-CN"/>
        </w:rPr>
        <w:t>4</w:t>
      </w:r>
      <w:r>
        <w:rPr>
          <w:rFonts w:asciiTheme="minorEastAsia" w:hAnsiTheme="minorEastAsia" w:eastAsiaTheme="minorEastAsia"/>
          <w:snapToGrid w:val="0"/>
          <w:lang w:eastAsia="zh-CN"/>
        </w:rPr>
        <w:t>t，褐煤有乌尼特煤田储量为60.95亿吨，额和宝力格煤田储量为43.22亿吨，巴彦都兰煤田储量为3.77亿吨，阿拉坦合力长焰煤储量为1.75亿吨。</w:t>
      </w:r>
    </w:p>
    <w:p w14:paraId="699EAB0B">
      <w:pPr>
        <w:ind w:firstLine="480"/>
        <w:rPr>
          <w:rFonts w:asciiTheme="minorEastAsia" w:hAnsiTheme="minorEastAsia" w:eastAsiaTheme="minorEastAsia"/>
          <w:snapToGrid w:val="0"/>
          <w:lang w:eastAsia="zh-CN"/>
        </w:rPr>
      </w:pPr>
      <w:r>
        <w:rPr>
          <w:rFonts w:asciiTheme="minorEastAsia" w:hAnsiTheme="minorEastAsia" w:eastAsiaTheme="minorEastAsia"/>
          <w:snapToGrid w:val="0"/>
          <w:lang w:eastAsia="zh-CN"/>
        </w:rPr>
        <w:t>多年以来，由于缺乏资金和交通运输的支持，矿产资源开发速度较慢、开采量尚小，不能把资源优势转变为经济优势，这些矿产有待更大规模的开发。</w:t>
      </w:r>
    </w:p>
    <w:p w14:paraId="374F013F">
      <w:pPr>
        <w:ind w:firstLine="480"/>
        <w:outlineLvl w:val="0"/>
        <w:rPr>
          <w:rFonts w:asciiTheme="minorEastAsia" w:hAnsiTheme="minorEastAsia" w:eastAsiaTheme="minorEastAsia"/>
          <w:snapToGrid w:val="0"/>
          <w:lang w:eastAsia="zh-CN"/>
        </w:rPr>
      </w:pPr>
      <w:r>
        <w:rPr>
          <w:rFonts w:asciiTheme="minorEastAsia" w:hAnsiTheme="minorEastAsia" w:eastAsiaTheme="minorEastAsia"/>
          <w:snapToGrid w:val="0"/>
          <w:lang w:eastAsia="zh-CN"/>
        </w:rPr>
        <w:t>3、旅游资源</w:t>
      </w:r>
    </w:p>
    <w:p w14:paraId="36B38858">
      <w:pPr>
        <w:ind w:firstLine="480"/>
        <w:rPr>
          <w:rFonts w:asciiTheme="minorEastAsia" w:hAnsiTheme="minorEastAsia" w:eastAsiaTheme="minorEastAsia"/>
          <w:snapToGrid w:val="0"/>
          <w:lang w:eastAsia="zh-CN"/>
        </w:rPr>
      </w:pPr>
      <w:r>
        <w:rPr>
          <w:rFonts w:asciiTheme="minorEastAsia" w:hAnsiTheme="minorEastAsia" w:eastAsiaTheme="minorEastAsia"/>
          <w:snapToGrid w:val="0"/>
          <w:lang w:eastAsia="zh-CN"/>
        </w:rPr>
        <w:t>东乌旗境内不仅有我国目前保存相对完好的天然草牧场，而且有著名的辽金古长城遗址、喇嘛峰岩画、冰臼坑、突厥部落所造的萨麦石人等著名景观。</w:t>
      </w:r>
    </w:p>
    <w:p w14:paraId="70F8E0AD">
      <w:pPr>
        <w:ind w:firstLine="480"/>
        <w:outlineLvl w:val="0"/>
        <w:rPr>
          <w:rFonts w:asciiTheme="minorEastAsia" w:hAnsiTheme="minorEastAsia" w:eastAsiaTheme="minorEastAsia"/>
          <w:snapToGrid w:val="0"/>
          <w:lang w:eastAsia="zh-CN"/>
        </w:rPr>
      </w:pPr>
      <w:r>
        <w:rPr>
          <w:rFonts w:asciiTheme="minorEastAsia" w:hAnsiTheme="minorEastAsia" w:eastAsiaTheme="minorEastAsia"/>
          <w:snapToGrid w:val="0"/>
          <w:lang w:eastAsia="zh-CN"/>
        </w:rPr>
        <w:t>4、口岸资源</w:t>
      </w:r>
    </w:p>
    <w:p w14:paraId="01354653">
      <w:pPr>
        <w:ind w:firstLine="480"/>
        <w:rPr>
          <w:rFonts w:asciiTheme="minorEastAsia" w:hAnsiTheme="minorEastAsia" w:eastAsiaTheme="minorEastAsia"/>
          <w:snapToGrid w:val="0"/>
          <w:lang w:eastAsia="zh-CN"/>
        </w:rPr>
      </w:pPr>
      <w:r>
        <w:rPr>
          <w:rFonts w:asciiTheme="minorEastAsia" w:hAnsiTheme="minorEastAsia" w:eastAsiaTheme="minorEastAsia"/>
          <w:snapToGrid w:val="0"/>
          <w:lang w:eastAsia="zh-CN"/>
        </w:rPr>
        <w:t>珠恩嘎达布其口岸位于东乌旗乌里雅斯太镇以北68公里处，与蒙古国苏赫巴托省毕其格图口岸对应，是国际性常年开放陆路口岸。</w:t>
      </w:r>
    </w:p>
    <w:p w14:paraId="308618CE">
      <w:pPr>
        <w:ind w:firstLine="480"/>
        <w:rPr>
          <w:rFonts w:asciiTheme="minorEastAsia" w:hAnsiTheme="minorEastAsia" w:eastAsiaTheme="minorEastAsia"/>
          <w:snapToGrid w:val="0"/>
          <w:lang w:eastAsia="zh-CN"/>
        </w:rPr>
      </w:pPr>
      <w:r>
        <w:rPr>
          <w:rFonts w:asciiTheme="minorEastAsia" w:hAnsiTheme="minorEastAsia" w:eastAsiaTheme="minorEastAsia"/>
          <w:snapToGrid w:val="0"/>
          <w:lang w:eastAsia="zh-CN"/>
        </w:rPr>
        <w:t>东乌旗北与蒙古国相连，有珠恩嘎达布其陆路口岸。该口岸为国际性常年开放一类口岸。珠恩嘎达布其陆路口岸2008年1月3日被国家批准为国际性常年开放一类口岸。据统计，20</w:t>
      </w:r>
      <w:r>
        <w:rPr>
          <w:rFonts w:hint="eastAsia" w:asciiTheme="minorEastAsia" w:hAnsiTheme="minorEastAsia" w:eastAsiaTheme="minorEastAsia"/>
          <w:snapToGrid w:val="0"/>
          <w:lang w:eastAsia="zh-CN"/>
        </w:rPr>
        <w:t>13</w:t>
      </w:r>
      <w:r>
        <w:rPr>
          <w:rFonts w:asciiTheme="minorEastAsia" w:hAnsiTheme="minorEastAsia" w:eastAsiaTheme="minorEastAsia"/>
          <w:snapToGrid w:val="0"/>
          <w:lang w:eastAsia="zh-CN"/>
        </w:rPr>
        <w:t>年进出口货物共28</w:t>
      </w:r>
      <w:r>
        <w:rPr>
          <w:rFonts w:hint="eastAsia" w:asciiTheme="minorEastAsia" w:hAnsiTheme="minorEastAsia" w:eastAsiaTheme="minorEastAsia"/>
          <w:snapToGrid w:val="0"/>
          <w:lang w:eastAsia="zh-CN"/>
        </w:rPr>
        <w:t>万吨</w:t>
      </w:r>
      <w:r>
        <w:rPr>
          <w:rFonts w:asciiTheme="minorEastAsia" w:hAnsiTheme="minorEastAsia" w:eastAsiaTheme="minorEastAsia"/>
          <w:snapToGrid w:val="0"/>
          <w:lang w:eastAsia="zh-CN"/>
        </w:rPr>
        <w:t>，同比增长56%；其中进口货物</w:t>
      </w:r>
      <w:r>
        <w:rPr>
          <w:rFonts w:hint="eastAsia" w:asciiTheme="minorEastAsia" w:hAnsiTheme="minorEastAsia" w:eastAsiaTheme="minorEastAsia"/>
          <w:snapToGrid w:val="0"/>
          <w:lang w:eastAsia="zh-CN"/>
        </w:rPr>
        <w:t>22万吨</w:t>
      </w:r>
      <w:r>
        <w:rPr>
          <w:rFonts w:asciiTheme="minorEastAsia" w:hAnsiTheme="minorEastAsia" w:eastAsiaTheme="minorEastAsia"/>
          <w:snapToGrid w:val="0"/>
          <w:lang w:eastAsia="zh-CN"/>
        </w:rPr>
        <w:t>，出口货物6</w:t>
      </w:r>
      <w:r>
        <w:rPr>
          <w:rFonts w:hint="eastAsia" w:asciiTheme="minorEastAsia" w:hAnsiTheme="minorEastAsia" w:eastAsiaTheme="minorEastAsia"/>
          <w:snapToGrid w:val="0"/>
          <w:lang w:eastAsia="zh-CN"/>
        </w:rPr>
        <w:t>万吨</w:t>
      </w:r>
      <w:r>
        <w:rPr>
          <w:rFonts w:asciiTheme="minorEastAsia" w:hAnsiTheme="minorEastAsia" w:eastAsiaTheme="minorEastAsia"/>
          <w:snapToGrid w:val="0"/>
          <w:lang w:eastAsia="zh-CN"/>
        </w:rPr>
        <w:t>。完成进出口贸易额109658万元，同比增长102%；其中进口贸易额75813万元，同比增长52%，出口贸易额33845万元，同比增长688%。出入境人员共5万人次，其中入境3万人次，出境2万人次。</w:t>
      </w:r>
    </w:p>
    <w:p w14:paraId="6CF56D74">
      <w:pPr>
        <w:pStyle w:val="4"/>
        <w:rPr>
          <w:lang w:eastAsia="zh-CN"/>
        </w:rPr>
      </w:pPr>
      <w:bookmarkStart w:id="236" w:name="_Toc408413965"/>
      <w:r>
        <w:rPr>
          <w:lang w:eastAsia="zh-CN"/>
        </w:rPr>
        <w:t>4.2.3社会经济发展</w:t>
      </w:r>
      <w:bookmarkEnd w:id="236"/>
    </w:p>
    <w:p w14:paraId="632D659F">
      <w:pPr>
        <w:ind w:firstLine="480"/>
        <w:rPr>
          <w:rFonts w:asciiTheme="minorEastAsia" w:hAnsiTheme="minorEastAsia" w:eastAsiaTheme="minorEastAsia"/>
          <w:snapToGrid w:val="0"/>
          <w:lang w:eastAsia="zh-CN"/>
        </w:rPr>
      </w:pPr>
      <w:r>
        <w:rPr>
          <w:rFonts w:asciiTheme="minorEastAsia" w:hAnsiTheme="minorEastAsia" w:eastAsiaTheme="minorEastAsia"/>
          <w:snapToGrid w:val="0"/>
          <w:lang w:eastAsia="zh-CN"/>
        </w:rPr>
        <w:t>东乌珠穆沁旗的产业结构以农业为主，其土壤、气候、水利、草场、自然条件具有牧、林、渔、农全面发展的优势，为高度集约化经营提供了有利的条件。东乌旗工业基础较为薄弱，改革开放以来，工业布局日益完善，基本上形成了以矿产品采选加工业、肉食品加工业、煤炭电力业、建材业四大支柱产业为主的工业产业格局。201</w:t>
      </w:r>
      <w:r>
        <w:rPr>
          <w:rFonts w:hint="eastAsia" w:asciiTheme="minorEastAsia" w:hAnsiTheme="minorEastAsia" w:eastAsiaTheme="minorEastAsia"/>
          <w:snapToGrid w:val="0"/>
          <w:lang w:eastAsia="zh-CN"/>
        </w:rPr>
        <w:t>3</w:t>
      </w:r>
      <w:r>
        <w:rPr>
          <w:rFonts w:asciiTheme="minorEastAsia" w:hAnsiTheme="minorEastAsia" w:eastAsiaTheme="minorEastAsia"/>
          <w:snapToGrid w:val="0"/>
          <w:lang w:eastAsia="zh-CN"/>
        </w:rPr>
        <w:t>年全旗工业实现快速增长，完成工业总产值54.2亿元。</w:t>
      </w:r>
    </w:p>
    <w:p w14:paraId="6696FF0E">
      <w:pPr>
        <w:ind w:firstLine="480"/>
        <w:rPr>
          <w:rFonts w:asciiTheme="minorEastAsia" w:hAnsiTheme="minorEastAsia" w:eastAsiaTheme="minorEastAsia"/>
          <w:snapToGrid w:val="0"/>
          <w:lang w:eastAsia="zh-CN"/>
        </w:rPr>
      </w:pPr>
      <w:r>
        <w:rPr>
          <w:rFonts w:asciiTheme="minorEastAsia" w:hAnsiTheme="minorEastAsia" w:eastAsiaTheme="minorEastAsia"/>
          <w:snapToGrid w:val="0"/>
          <w:lang w:eastAsia="zh-CN"/>
        </w:rPr>
        <w:t>东乌旗力争增强以矿产品深加工为主导的工业竞争力，加快额和宝利格、乌尼特、阿拉坦合力等煤田的开发，以煤炭、化工品加工等为主导产业，不断加快全旗工业发展。</w:t>
      </w:r>
    </w:p>
    <w:bookmarkEnd w:id="219"/>
    <w:bookmarkEnd w:id="220"/>
    <w:bookmarkEnd w:id="221"/>
    <w:bookmarkEnd w:id="222"/>
    <w:bookmarkEnd w:id="223"/>
    <w:bookmarkEnd w:id="224"/>
    <w:p w14:paraId="2E33C7E8">
      <w:pPr>
        <w:pStyle w:val="4"/>
        <w:rPr>
          <w:lang w:eastAsia="zh-CN"/>
        </w:rPr>
      </w:pPr>
      <w:bookmarkStart w:id="237" w:name="_Toc408413966"/>
      <w:bookmarkStart w:id="238" w:name="_Toc248649427"/>
      <w:r>
        <w:rPr>
          <w:lang w:eastAsia="zh-CN"/>
        </w:rPr>
        <w:t>4.2.4对外交通</w:t>
      </w:r>
      <w:bookmarkEnd w:id="237"/>
    </w:p>
    <w:p w14:paraId="73311E6D">
      <w:pPr>
        <w:ind w:firstLine="480"/>
        <w:rPr>
          <w:rFonts w:asciiTheme="minorEastAsia" w:hAnsiTheme="minorEastAsia" w:eastAsiaTheme="minorEastAsia"/>
          <w:snapToGrid w:val="0"/>
          <w:lang w:eastAsia="zh-CN"/>
        </w:rPr>
      </w:pPr>
      <w:r>
        <w:rPr>
          <w:rFonts w:asciiTheme="minorEastAsia" w:hAnsiTheme="minorEastAsia" w:eastAsiaTheme="minorEastAsia"/>
          <w:snapToGrid w:val="0"/>
          <w:lang w:eastAsia="zh-CN"/>
        </w:rPr>
        <w:t>到201</w:t>
      </w:r>
      <w:r>
        <w:rPr>
          <w:rFonts w:hint="eastAsia" w:asciiTheme="minorEastAsia" w:hAnsiTheme="minorEastAsia" w:eastAsiaTheme="minorEastAsia"/>
          <w:snapToGrid w:val="0"/>
          <w:lang w:eastAsia="zh-CN"/>
        </w:rPr>
        <w:t>3</w:t>
      </w:r>
      <w:r>
        <w:rPr>
          <w:rFonts w:asciiTheme="minorEastAsia" w:hAnsiTheme="minorEastAsia" w:eastAsiaTheme="minorEastAsia"/>
          <w:snapToGrid w:val="0"/>
          <w:lang w:eastAsia="zh-CN"/>
        </w:rPr>
        <w:t>年全旗公路总里程达1896公里，新建公路578公里，按技术等级分类：二级公路700公里、三级公路519公里、四级公路677公里。</w:t>
      </w:r>
    </w:p>
    <w:p w14:paraId="4EE10431">
      <w:pPr>
        <w:ind w:firstLine="480"/>
        <w:rPr>
          <w:rFonts w:asciiTheme="minorEastAsia" w:hAnsiTheme="minorEastAsia" w:eastAsiaTheme="minorEastAsia"/>
          <w:snapToGrid w:val="0"/>
          <w:lang w:eastAsia="zh-CN"/>
        </w:rPr>
      </w:pPr>
      <w:r>
        <w:rPr>
          <w:rFonts w:hint="eastAsia" w:asciiTheme="minorEastAsia" w:hAnsiTheme="minorEastAsia" w:eastAsiaTheme="minorEastAsia"/>
          <w:snapToGrid w:val="0"/>
          <w:lang w:eastAsia="zh-CN"/>
        </w:rPr>
        <w:t>乌里雅斯太油田位于东乌珠穆沁旗乌里雅斯太镇北15.0公里，由乌-萨公路与油田连接，油田至乌萨公路为柏油路面。</w:t>
      </w:r>
    </w:p>
    <w:p w14:paraId="5D17450E">
      <w:pPr>
        <w:pStyle w:val="380"/>
        <w:spacing w:before="0" w:after="0"/>
        <w:rPr>
          <w:lang w:eastAsia="zh-CN"/>
        </w:rPr>
      </w:pPr>
      <w:r>
        <w:rPr>
          <w:rFonts w:asciiTheme="minorEastAsia" w:hAnsiTheme="minorEastAsia" w:eastAsiaTheme="minorEastAsia"/>
          <w:snapToGrid w:val="0"/>
          <w:lang w:eastAsia="zh-CN"/>
        </w:rPr>
        <w:br w:type="page"/>
      </w:r>
      <w:bookmarkStart w:id="239" w:name="_Toc408413967"/>
      <w:r>
        <w:rPr>
          <w:rFonts w:cs="Times New Roman"/>
          <w:lang w:eastAsia="zh-CN"/>
        </w:rPr>
        <w:t>5</w:t>
      </w:r>
      <w:bookmarkEnd w:id="238"/>
      <w:r>
        <w:rPr>
          <w:rFonts w:cs="Times New Roman"/>
          <w:lang w:eastAsia="zh-CN"/>
        </w:rPr>
        <w:t>大气环境影响评价</w:t>
      </w:r>
      <w:bookmarkEnd w:id="239"/>
    </w:p>
    <w:p w14:paraId="097C32BF">
      <w:pPr>
        <w:pStyle w:val="3"/>
        <w:rPr>
          <w:lang w:eastAsia="zh-CN"/>
        </w:rPr>
      </w:pPr>
      <w:bookmarkStart w:id="240" w:name="_Toc408413968"/>
      <w:bookmarkStart w:id="241" w:name="_Toc248649428"/>
      <w:r>
        <w:rPr>
          <w:lang w:eastAsia="zh-CN"/>
        </w:rPr>
        <w:t>5.1环境空气现状与评价</w:t>
      </w:r>
      <w:bookmarkEnd w:id="240"/>
      <w:bookmarkEnd w:id="241"/>
      <w:bookmarkStart w:id="242" w:name="_Toc109127992"/>
      <w:bookmarkStart w:id="243" w:name="_Toc189535399"/>
    </w:p>
    <w:bookmarkEnd w:id="242"/>
    <w:bookmarkEnd w:id="243"/>
    <w:p w14:paraId="0FC2A809">
      <w:pPr>
        <w:pStyle w:val="4"/>
        <w:rPr>
          <w:lang w:eastAsia="zh-CN"/>
        </w:rPr>
      </w:pPr>
      <w:bookmarkStart w:id="244" w:name="_Toc408413969"/>
      <w:bookmarkStart w:id="245" w:name="_Toc78775014"/>
      <w:bookmarkStart w:id="246" w:name="_Toc77923747"/>
      <w:r>
        <w:rPr>
          <w:lang w:eastAsia="zh-CN"/>
        </w:rPr>
        <w:t>5.1.1环境空气</w:t>
      </w:r>
      <w:r>
        <w:rPr>
          <w:rFonts w:hint="eastAsia"/>
          <w:lang w:eastAsia="zh-CN"/>
        </w:rPr>
        <w:t>污染源调查</w:t>
      </w:r>
      <w:bookmarkEnd w:id="244"/>
    </w:p>
    <w:p w14:paraId="121ABAA9">
      <w:pPr>
        <w:ind w:firstLine="480"/>
        <w:rPr>
          <w:rFonts w:asciiTheme="minorEastAsia" w:hAnsiTheme="minorEastAsia" w:eastAsiaTheme="minorEastAsia"/>
          <w:snapToGrid w:val="0"/>
          <w:lang w:eastAsia="zh-CN"/>
        </w:rPr>
      </w:pPr>
      <w:r>
        <w:rPr>
          <w:rFonts w:hint="eastAsia" w:asciiTheme="minorEastAsia" w:hAnsiTheme="minorEastAsia" w:eastAsiaTheme="minorEastAsia"/>
          <w:snapToGrid w:val="0"/>
          <w:lang w:eastAsia="zh-CN"/>
        </w:rPr>
        <w:t>乌里雅斯太油田地面产能开发建设项目属于改扩建项目，项目</w:t>
      </w:r>
      <w:r>
        <w:rPr>
          <w:rFonts w:asciiTheme="minorEastAsia" w:hAnsiTheme="minorEastAsia" w:eastAsiaTheme="minorEastAsia"/>
          <w:snapToGrid w:val="0"/>
          <w:lang w:eastAsia="zh-CN"/>
        </w:rPr>
        <w:t>评价区主要环境空气污染源为</w:t>
      </w:r>
      <w:r>
        <w:rPr>
          <w:rFonts w:hint="eastAsia" w:asciiTheme="minorEastAsia" w:hAnsiTheme="minorEastAsia" w:eastAsiaTheme="minorEastAsia"/>
          <w:snapToGrid w:val="0"/>
          <w:lang w:eastAsia="zh-CN"/>
        </w:rPr>
        <w:t>现有雅—站的燃气锅炉及燃气发电机组排放的烟气，采油</w:t>
      </w:r>
      <w:r>
        <w:rPr>
          <w:rFonts w:asciiTheme="minorEastAsia" w:hAnsiTheme="minorEastAsia" w:eastAsiaTheme="minorEastAsia"/>
          <w:snapToGrid w:val="0"/>
          <w:lang w:eastAsia="zh-CN"/>
        </w:rPr>
        <w:t>生产、运输时产生的粉尘</w:t>
      </w:r>
      <w:r>
        <w:rPr>
          <w:rFonts w:hint="eastAsia" w:asciiTheme="minorEastAsia" w:hAnsiTheme="minorEastAsia" w:eastAsiaTheme="minorEastAsia"/>
          <w:snapToGrid w:val="0"/>
          <w:lang w:eastAsia="zh-CN"/>
        </w:rPr>
        <w:t>。</w:t>
      </w:r>
    </w:p>
    <w:p w14:paraId="31CAAE8E">
      <w:pPr>
        <w:pStyle w:val="4"/>
        <w:rPr>
          <w:lang w:eastAsia="zh-CN"/>
        </w:rPr>
      </w:pPr>
      <w:bookmarkStart w:id="247" w:name="_Toc408413970"/>
      <w:r>
        <w:rPr>
          <w:lang w:eastAsia="zh-CN"/>
        </w:rPr>
        <w:t>5.1.</w:t>
      </w:r>
      <w:r>
        <w:rPr>
          <w:rFonts w:hint="eastAsia"/>
          <w:lang w:eastAsia="zh-CN"/>
        </w:rPr>
        <w:t>2</w:t>
      </w:r>
      <w:r>
        <w:rPr>
          <w:lang w:eastAsia="zh-CN"/>
        </w:rPr>
        <w:t>环境空气质量现状监测</w:t>
      </w:r>
      <w:bookmarkEnd w:id="247"/>
    </w:p>
    <w:p w14:paraId="038D6AD7">
      <w:pPr>
        <w:ind w:firstLine="480"/>
        <w:rPr>
          <w:rFonts w:asciiTheme="minorEastAsia" w:hAnsiTheme="minorEastAsia" w:eastAsiaTheme="minorEastAsia"/>
          <w:lang w:eastAsia="zh-CN"/>
        </w:rPr>
      </w:pPr>
      <w:r>
        <w:rPr>
          <w:rFonts w:asciiTheme="minorEastAsia" w:hAnsiTheme="minorEastAsia" w:eastAsiaTheme="minorEastAsia"/>
          <w:lang w:eastAsia="zh-CN"/>
        </w:rPr>
        <w:t>本项目环境空气质量现状监测由</w:t>
      </w:r>
      <w:r>
        <w:rPr>
          <w:rFonts w:hint="eastAsia" w:asciiTheme="minorEastAsia" w:hAnsiTheme="minorEastAsia" w:eastAsiaTheme="minorEastAsia"/>
          <w:lang w:eastAsia="zh-CN"/>
        </w:rPr>
        <w:t>正蓝旗</w:t>
      </w:r>
      <w:r>
        <w:rPr>
          <w:rFonts w:asciiTheme="minorEastAsia" w:hAnsiTheme="minorEastAsia" w:eastAsiaTheme="minorEastAsia"/>
          <w:lang w:eastAsia="zh-CN"/>
        </w:rPr>
        <w:t>环境保护监测站于201</w:t>
      </w:r>
      <w:r>
        <w:rPr>
          <w:rFonts w:hint="eastAsia" w:asciiTheme="minorEastAsia" w:hAnsiTheme="minorEastAsia" w:eastAsiaTheme="minorEastAsia"/>
          <w:lang w:eastAsia="zh-CN"/>
        </w:rPr>
        <w:t>4</w:t>
      </w:r>
      <w:r>
        <w:rPr>
          <w:rFonts w:asciiTheme="minorEastAsia" w:hAnsiTheme="minorEastAsia" w:eastAsiaTheme="minorEastAsia"/>
          <w:lang w:eastAsia="zh-CN"/>
        </w:rPr>
        <w:t>年</w:t>
      </w:r>
      <w:r>
        <w:rPr>
          <w:rFonts w:hint="eastAsia" w:asciiTheme="minorEastAsia" w:hAnsiTheme="minorEastAsia" w:eastAsiaTheme="minorEastAsia"/>
          <w:lang w:eastAsia="zh-CN"/>
        </w:rPr>
        <w:t>11</w:t>
      </w:r>
      <w:r>
        <w:rPr>
          <w:rFonts w:asciiTheme="minorEastAsia" w:hAnsiTheme="minorEastAsia" w:eastAsiaTheme="minorEastAsia"/>
          <w:lang w:eastAsia="zh-CN"/>
        </w:rPr>
        <w:t>月2</w:t>
      </w:r>
      <w:r>
        <w:rPr>
          <w:rFonts w:hint="eastAsia" w:asciiTheme="minorEastAsia" w:hAnsiTheme="minorEastAsia" w:eastAsiaTheme="minorEastAsia"/>
          <w:lang w:eastAsia="zh-CN"/>
        </w:rPr>
        <w:t>0</w:t>
      </w:r>
      <w:r>
        <w:rPr>
          <w:rFonts w:asciiTheme="minorEastAsia" w:hAnsiTheme="minorEastAsia" w:eastAsiaTheme="minorEastAsia"/>
          <w:lang w:eastAsia="zh-CN"/>
        </w:rPr>
        <w:t>日</w:t>
      </w:r>
      <w:r>
        <w:rPr>
          <w:rFonts w:hint="eastAsia" w:asciiTheme="minorEastAsia" w:hAnsiTheme="minorEastAsia" w:eastAsiaTheme="minorEastAsia"/>
          <w:lang w:eastAsia="zh-CN"/>
        </w:rPr>
        <w:t>～11</w:t>
      </w:r>
      <w:r>
        <w:rPr>
          <w:rFonts w:asciiTheme="minorEastAsia" w:hAnsiTheme="minorEastAsia" w:eastAsiaTheme="minorEastAsia"/>
          <w:lang w:eastAsia="zh-CN"/>
        </w:rPr>
        <w:t>月</w:t>
      </w:r>
      <w:r>
        <w:rPr>
          <w:rFonts w:hint="eastAsia" w:asciiTheme="minorEastAsia" w:hAnsiTheme="minorEastAsia" w:eastAsiaTheme="minorEastAsia"/>
          <w:lang w:eastAsia="zh-CN"/>
        </w:rPr>
        <w:t>26</w:t>
      </w:r>
      <w:r>
        <w:rPr>
          <w:rFonts w:asciiTheme="minorEastAsia" w:hAnsiTheme="minorEastAsia" w:eastAsiaTheme="minorEastAsia"/>
          <w:lang w:eastAsia="zh-CN"/>
        </w:rPr>
        <w:t>日进行监测。</w:t>
      </w:r>
    </w:p>
    <w:p w14:paraId="0F26306C">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1、监测点布设及监测项目</w:t>
      </w:r>
    </w:p>
    <w:p w14:paraId="093C270C">
      <w:pPr>
        <w:ind w:firstLine="480"/>
        <w:rPr>
          <w:rFonts w:asciiTheme="minorEastAsia" w:hAnsiTheme="minorEastAsia" w:eastAsiaTheme="minorEastAsia"/>
          <w:lang w:eastAsia="zh-CN"/>
        </w:rPr>
      </w:pPr>
      <w:r>
        <w:rPr>
          <w:rFonts w:asciiTheme="minorEastAsia" w:hAnsiTheme="minorEastAsia" w:eastAsiaTheme="minorEastAsia"/>
          <w:lang w:eastAsia="zh-CN"/>
        </w:rPr>
        <w:t>监测布点：根据项目区的主导风向及项目所在的位置，本次共布设</w:t>
      </w:r>
      <w:r>
        <w:rPr>
          <w:rFonts w:hint="eastAsia" w:asciiTheme="minorEastAsia" w:hAnsiTheme="minorEastAsia" w:eastAsiaTheme="minorEastAsia"/>
          <w:lang w:eastAsia="zh-CN"/>
        </w:rPr>
        <w:t>4</w:t>
      </w:r>
      <w:r>
        <w:rPr>
          <w:rFonts w:asciiTheme="minorEastAsia" w:hAnsiTheme="minorEastAsia" w:eastAsiaTheme="minorEastAsia"/>
          <w:lang w:eastAsia="zh-CN"/>
        </w:rPr>
        <w:t>个</w:t>
      </w:r>
      <w:r>
        <w:rPr>
          <w:rFonts w:hint="eastAsia" w:asciiTheme="minorEastAsia" w:hAnsiTheme="minorEastAsia" w:eastAsiaTheme="minorEastAsia"/>
          <w:lang w:eastAsia="zh-CN"/>
        </w:rPr>
        <w:t>监测点位</w:t>
      </w:r>
      <w:r>
        <w:rPr>
          <w:rFonts w:asciiTheme="minorEastAsia" w:hAnsiTheme="minorEastAsia" w:eastAsiaTheme="minorEastAsia"/>
          <w:lang w:eastAsia="zh-CN"/>
        </w:rPr>
        <w:t>，监测项目：PM</w:t>
      </w:r>
      <w:r>
        <w:rPr>
          <w:rFonts w:asciiTheme="minorEastAsia" w:hAnsiTheme="minorEastAsia" w:eastAsiaTheme="minorEastAsia"/>
          <w:vertAlign w:val="subscript"/>
          <w:lang w:eastAsia="zh-CN"/>
        </w:rPr>
        <w:t>10</w:t>
      </w:r>
      <w:r>
        <w:rPr>
          <w:rFonts w:asciiTheme="minorEastAsia" w:hAnsiTheme="minorEastAsia" w:eastAsiaTheme="minorEastAsia"/>
          <w:lang w:eastAsia="zh-CN"/>
        </w:rPr>
        <w:t>、TSP、NO</w:t>
      </w:r>
      <w:r>
        <w:rPr>
          <w:rFonts w:asciiTheme="minorEastAsia" w:hAnsiTheme="minorEastAsia" w:eastAsiaTheme="minorEastAsia"/>
          <w:vertAlign w:val="subscript"/>
          <w:lang w:eastAsia="zh-CN"/>
        </w:rPr>
        <w:t>2</w:t>
      </w:r>
      <w:r>
        <w:rPr>
          <w:rFonts w:asciiTheme="minorEastAsia" w:hAnsiTheme="minorEastAsia" w:eastAsiaTheme="minorEastAsia"/>
          <w:lang w:eastAsia="zh-CN"/>
        </w:rPr>
        <w:t>、SO</w:t>
      </w:r>
      <w:r>
        <w:rPr>
          <w:rFonts w:asciiTheme="minorEastAsia" w:hAnsiTheme="minorEastAsia" w:eastAsiaTheme="minorEastAsia"/>
          <w:vertAlign w:val="subscript"/>
          <w:lang w:eastAsia="zh-CN"/>
        </w:rPr>
        <w:t>2</w:t>
      </w:r>
      <w:r>
        <w:rPr>
          <w:rFonts w:asciiTheme="minorEastAsia" w:hAnsiTheme="minorEastAsia" w:eastAsiaTheme="minorEastAsia"/>
          <w:lang w:eastAsia="zh-CN"/>
        </w:rPr>
        <w:t>。</w:t>
      </w:r>
      <w:r>
        <w:rPr>
          <w:rFonts w:hint="eastAsia" w:asciiTheme="minorEastAsia" w:hAnsiTheme="minorEastAsia" w:eastAsiaTheme="minorEastAsia"/>
          <w:lang w:eastAsia="zh-CN"/>
        </w:rPr>
        <w:t>大气环境现状监测点位</w:t>
      </w:r>
      <w:r>
        <w:rPr>
          <w:rFonts w:asciiTheme="minorEastAsia" w:hAnsiTheme="minorEastAsia" w:eastAsiaTheme="minorEastAsia"/>
          <w:lang w:eastAsia="zh-CN"/>
        </w:rPr>
        <w:t>见表5.1-1</w:t>
      </w:r>
      <w:r>
        <w:rPr>
          <w:rFonts w:hint="eastAsia" w:asciiTheme="minorEastAsia" w:hAnsiTheme="minorEastAsia" w:eastAsiaTheme="minorEastAsia"/>
          <w:lang w:eastAsia="zh-CN"/>
        </w:rPr>
        <w:t>，监测点位图见，</w:t>
      </w:r>
      <w:r>
        <w:rPr>
          <w:rFonts w:asciiTheme="minorEastAsia" w:hAnsiTheme="minorEastAsia" w:eastAsiaTheme="minorEastAsia"/>
          <w:lang w:eastAsia="zh-CN"/>
        </w:rPr>
        <w:t>图</w:t>
      </w:r>
      <w:r>
        <w:rPr>
          <w:rFonts w:hint="eastAsia" w:asciiTheme="minorEastAsia" w:hAnsiTheme="minorEastAsia" w:eastAsiaTheme="minorEastAsia"/>
          <w:lang w:eastAsia="zh-CN"/>
        </w:rPr>
        <w:t>5.1-1环境现状监测点位图</w:t>
      </w:r>
      <w:r>
        <w:rPr>
          <w:rFonts w:asciiTheme="minorEastAsia" w:hAnsiTheme="minorEastAsia" w:eastAsiaTheme="minorEastAsia"/>
          <w:lang w:eastAsia="zh-CN"/>
        </w:rPr>
        <w:t>。</w:t>
      </w:r>
      <w:r>
        <w:rPr>
          <w:rFonts w:hint="eastAsia" w:asciiTheme="minorEastAsia" w:hAnsiTheme="minorEastAsia" w:eastAsiaTheme="minorEastAsia"/>
          <w:lang w:eastAsia="zh-CN"/>
        </w:rPr>
        <w:t xml:space="preserve"> </w:t>
      </w:r>
    </w:p>
    <w:p w14:paraId="058BD6AD">
      <w:pPr>
        <w:spacing w:line="240" w:lineRule="auto"/>
        <w:ind w:firstLine="436" w:firstLineChars="181"/>
        <w:rPr>
          <w:b/>
          <w:snapToGrid w:val="0"/>
          <w:lang w:eastAsia="zh-CN"/>
        </w:rPr>
      </w:pPr>
      <w:r>
        <w:rPr>
          <w:b/>
          <w:snapToGrid w:val="0"/>
          <w:lang w:eastAsia="zh-CN"/>
        </w:rPr>
        <w:t xml:space="preserve">表5.1-1  </w:t>
      </w:r>
      <w:r>
        <w:rPr>
          <w:rFonts w:hint="eastAsia"/>
          <w:b/>
          <w:snapToGrid w:val="0"/>
          <w:lang w:eastAsia="zh-CN"/>
        </w:rPr>
        <w:t xml:space="preserve">        大气</w:t>
      </w:r>
      <w:r>
        <w:rPr>
          <w:b/>
          <w:snapToGrid w:val="0"/>
          <w:lang w:eastAsia="zh-CN"/>
        </w:rPr>
        <w:t>环境现状监测点位</w:t>
      </w:r>
      <w:r>
        <w:rPr>
          <w:rFonts w:hint="eastAsia"/>
          <w:b/>
          <w:snapToGrid w:val="0"/>
          <w:lang w:eastAsia="zh-CN"/>
        </w:rPr>
        <w:t>表</w:t>
      </w:r>
    </w:p>
    <w:tbl>
      <w:tblPr>
        <w:tblStyle w:val="76"/>
        <w:tblW w:w="0" w:type="auto"/>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76"/>
        <w:gridCol w:w="2410"/>
        <w:gridCol w:w="2551"/>
        <w:gridCol w:w="2184"/>
      </w:tblGrid>
      <w:tr w14:paraId="572788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3" w:hRule="atLeast"/>
        </w:trPr>
        <w:tc>
          <w:tcPr>
            <w:tcW w:w="1276" w:type="dxa"/>
            <w:vAlign w:val="center"/>
          </w:tcPr>
          <w:p w14:paraId="29773A39">
            <w:pPr>
              <w:pStyle w:val="518"/>
              <w:rPr>
                <w:rFonts w:asciiTheme="minorEastAsia" w:hAnsiTheme="minorEastAsia" w:eastAsiaTheme="minorEastAsia"/>
                <w:szCs w:val="21"/>
              </w:rPr>
            </w:pPr>
            <w:r>
              <w:rPr>
                <w:rFonts w:hint="eastAsia" w:asciiTheme="minorEastAsia" w:hAnsiTheme="minorEastAsia" w:eastAsiaTheme="minorEastAsia"/>
                <w:szCs w:val="21"/>
                <w:lang w:eastAsia="zh-CN"/>
              </w:rPr>
              <w:t>监测点位</w:t>
            </w:r>
          </w:p>
        </w:tc>
        <w:tc>
          <w:tcPr>
            <w:tcW w:w="2410" w:type="dxa"/>
            <w:vAlign w:val="center"/>
          </w:tcPr>
          <w:p w14:paraId="6DDF209D">
            <w:pPr>
              <w:pStyle w:val="518"/>
              <w:rPr>
                <w:rFonts w:asciiTheme="minorEastAsia" w:hAnsiTheme="minorEastAsia" w:eastAsiaTheme="minorEastAsia"/>
                <w:szCs w:val="21"/>
              </w:rPr>
            </w:pPr>
            <w:r>
              <w:rPr>
                <w:rFonts w:hint="eastAsia" w:asciiTheme="minorEastAsia" w:hAnsiTheme="minorEastAsia" w:eastAsiaTheme="minorEastAsia"/>
                <w:szCs w:val="21"/>
                <w:lang w:eastAsia="zh-CN"/>
              </w:rPr>
              <w:t>采样位置</w:t>
            </w:r>
          </w:p>
        </w:tc>
        <w:tc>
          <w:tcPr>
            <w:tcW w:w="2551" w:type="dxa"/>
            <w:tcBorders>
              <w:right w:val="single" w:color="auto" w:sz="4" w:space="0"/>
            </w:tcBorders>
            <w:vAlign w:val="center"/>
          </w:tcPr>
          <w:p w14:paraId="11346391">
            <w:pPr>
              <w:pStyle w:val="518"/>
              <w:rPr>
                <w:rFonts w:asciiTheme="minorEastAsia" w:hAnsiTheme="minorEastAsia" w:eastAsiaTheme="minorEastAsia"/>
                <w:szCs w:val="21"/>
                <w:lang w:eastAsia="zh-CN"/>
              </w:rPr>
            </w:pPr>
            <w:r>
              <w:rPr>
                <w:rFonts w:hint="eastAsia" w:asciiTheme="minorEastAsia" w:hAnsiTheme="minorEastAsia" w:eastAsiaTheme="minorEastAsia"/>
                <w:szCs w:val="21"/>
                <w:lang w:eastAsia="zh-CN"/>
              </w:rPr>
              <w:t>相对于雅斯联合站方位</w:t>
            </w:r>
          </w:p>
        </w:tc>
        <w:tc>
          <w:tcPr>
            <w:tcW w:w="2184" w:type="dxa"/>
            <w:tcBorders>
              <w:left w:val="single" w:color="auto" w:sz="4" w:space="0"/>
            </w:tcBorders>
            <w:vAlign w:val="center"/>
          </w:tcPr>
          <w:p w14:paraId="1B6C2E0A">
            <w:pPr>
              <w:pStyle w:val="518"/>
              <w:rPr>
                <w:rFonts w:asciiTheme="minorEastAsia" w:hAnsiTheme="minorEastAsia" w:eastAsiaTheme="minorEastAsia"/>
                <w:szCs w:val="21"/>
                <w:lang w:eastAsia="zh-CN"/>
              </w:rPr>
            </w:pPr>
            <w:r>
              <w:rPr>
                <w:rFonts w:hint="eastAsia" w:asciiTheme="minorEastAsia" w:hAnsiTheme="minorEastAsia" w:eastAsiaTheme="minorEastAsia"/>
                <w:szCs w:val="21"/>
                <w:lang w:eastAsia="zh-CN"/>
              </w:rPr>
              <w:t>相对于雅斯联合站距离</w:t>
            </w:r>
          </w:p>
        </w:tc>
      </w:tr>
      <w:tr w14:paraId="6FCE6E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trPr>
        <w:tc>
          <w:tcPr>
            <w:tcW w:w="1276" w:type="dxa"/>
            <w:vAlign w:val="center"/>
          </w:tcPr>
          <w:p w14:paraId="742DB247">
            <w:pPr>
              <w:spacing w:line="320" w:lineRule="exact"/>
              <w:ind w:left="113" w:right="113"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1</w:t>
            </w:r>
            <w:r>
              <w:rPr>
                <w:rFonts w:hint="eastAsia" w:asciiTheme="minorEastAsia" w:hAnsiTheme="minorEastAsia" w:eastAsiaTheme="minorEastAsia"/>
                <w:sz w:val="21"/>
                <w:szCs w:val="21"/>
              </w:rPr>
              <w:t>#</w:t>
            </w:r>
          </w:p>
        </w:tc>
        <w:tc>
          <w:tcPr>
            <w:tcW w:w="2410" w:type="dxa"/>
            <w:vAlign w:val="center"/>
          </w:tcPr>
          <w:p w14:paraId="393DB837">
            <w:pPr>
              <w:spacing w:line="320" w:lineRule="exact"/>
              <w:ind w:firstLine="0" w:firstLineChars="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距离雅斯联合站最近</w:t>
            </w:r>
          </w:p>
          <w:p w14:paraId="4104CEC3">
            <w:pPr>
              <w:spacing w:line="320" w:lineRule="exact"/>
              <w:ind w:firstLine="0" w:firstLineChars="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牧民家</w:t>
            </w:r>
          </w:p>
        </w:tc>
        <w:tc>
          <w:tcPr>
            <w:tcW w:w="2551" w:type="dxa"/>
            <w:tcBorders>
              <w:right w:val="single" w:color="auto" w:sz="4" w:space="0"/>
            </w:tcBorders>
            <w:vAlign w:val="center"/>
          </w:tcPr>
          <w:p w14:paraId="1098AEA6">
            <w:pPr>
              <w:pStyle w:val="518"/>
              <w:rPr>
                <w:rFonts w:asciiTheme="minorEastAsia" w:hAnsiTheme="minorEastAsia" w:eastAsiaTheme="minorEastAsia"/>
                <w:szCs w:val="21"/>
                <w:lang w:eastAsia="zh-CN"/>
              </w:rPr>
            </w:pPr>
            <w:r>
              <w:rPr>
                <w:rFonts w:hint="eastAsia" w:ascii="宋体" w:hAnsi="宋体"/>
                <w:szCs w:val="21"/>
                <w:lang w:eastAsia="zh-CN"/>
              </w:rPr>
              <w:t>EN</w:t>
            </w:r>
          </w:p>
        </w:tc>
        <w:tc>
          <w:tcPr>
            <w:tcW w:w="2184" w:type="dxa"/>
            <w:tcBorders>
              <w:left w:val="single" w:color="auto" w:sz="4" w:space="0"/>
            </w:tcBorders>
            <w:vAlign w:val="center"/>
          </w:tcPr>
          <w:p w14:paraId="557BC389">
            <w:pPr>
              <w:pStyle w:val="518"/>
              <w:rPr>
                <w:rFonts w:asciiTheme="minorEastAsia" w:hAnsiTheme="minorEastAsia" w:eastAsiaTheme="minorEastAsia"/>
                <w:szCs w:val="21"/>
                <w:lang w:eastAsia="zh-CN"/>
              </w:rPr>
            </w:pPr>
            <w:r>
              <w:rPr>
                <w:rFonts w:hint="eastAsia" w:asciiTheme="minorEastAsia" w:hAnsiTheme="minorEastAsia" w:eastAsiaTheme="minorEastAsia"/>
                <w:szCs w:val="21"/>
                <w:lang w:eastAsia="zh-CN"/>
              </w:rPr>
              <w:t>1000m</w:t>
            </w:r>
          </w:p>
        </w:tc>
      </w:tr>
      <w:tr w14:paraId="72E60E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trPr>
        <w:tc>
          <w:tcPr>
            <w:tcW w:w="1276" w:type="dxa"/>
            <w:vAlign w:val="center"/>
          </w:tcPr>
          <w:p w14:paraId="666C7279">
            <w:pPr>
              <w:spacing w:line="320" w:lineRule="exact"/>
              <w:ind w:left="113" w:right="113"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2410" w:type="dxa"/>
            <w:vAlign w:val="center"/>
          </w:tcPr>
          <w:p w14:paraId="09B1FE00">
            <w:pPr>
              <w:spacing w:line="320" w:lineRule="exact"/>
              <w:ind w:firstLine="199" w:firstLineChars="95"/>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背景值</w:t>
            </w:r>
          </w:p>
        </w:tc>
        <w:tc>
          <w:tcPr>
            <w:tcW w:w="2551" w:type="dxa"/>
            <w:tcBorders>
              <w:right w:val="single" w:color="auto" w:sz="4" w:space="0"/>
            </w:tcBorders>
            <w:vAlign w:val="center"/>
          </w:tcPr>
          <w:p w14:paraId="49E60429">
            <w:pPr>
              <w:pStyle w:val="518"/>
              <w:rPr>
                <w:rFonts w:asciiTheme="minorEastAsia" w:hAnsiTheme="minorEastAsia" w:eastAsiaTheme="minorEastAsia"/>
                <w:szCs w:val="21"/>
                <w:lang w:eastAsia="zh-CN"/>
              </w:rPr>
            </w:pPr>
            <w:r>
              <w:rPr>
                <w:rFonts w:hint="eastAsia" w:ascii="宋体" w:hAnsi="宋体"/>
                <w:szCs w:val="21"/>
              </w:rPr>
              <w:t>上风向，矿界外</w:t>
            </w:r>
          </w:p>
        </w:tc>
        <w:tc>
          <w:tcPr>
            <w:tcW w:w="2184" w:type="dxa"/>
            <w:tcBorders>
              <w:left w:val="single" w:color="auto" w:sz="4" w:space="0"/>
            </w:tcBorders>
            <w:vAlign w:val="center"/>
          </w:tcPr>
          <w:p w14:paraId="6C8D66C5">
            <w:pPr>
              <w:pStyle w:val="518"/>
              <w:rPr>
                <w:rFonts w:asciiTheme="minorEastAsia" w:hAnsiTheme="minorEastAsia" w:eastAsiaTheme="minorEastAsia"/>
                <w:szCs w:val="21"/>
                <w:lang w:eastAsia="zh-CN"/>
              </w:rPr>
            </w:pPr>
            <w:r>
              <w:rPr>
                <w:rFonts w:hint="eastAsia" w:asciiTheme="minorEastAsia" w:hAnsiTheme="minorEastAsia" w:eastAsiaTheme="minorEastAsia"/>
                <w:szCs w:val="21"/>
                <w:lang w:eastAsia="zh-CN"/>
              </w:rPr>
              <w:t>1m</w:t>
            </w:r>
          </w:p>
        </w:tc>
      </w:tr>
      <w:tr w14:paraId="7B5106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trPr>
        <w:tc>
          <w:tcPr>
            <w:tcW w:w="1276" w:type="dxa"/>
            <w:vAlign w:val="center"/>
          </w:tcPr>
          <w:p w14:paraId="43E4698D">
            <w:pPr>
              <w:spacing w:line="320" w:lineRule="exact"/>
              <w:ind w:left="113" w:right="113"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w:t>
            </w:r>
          </w:p>
        </w:tc>
        <w:tc>
          <w:tcPr>
            <w:tcW w:w="2410" w:type="dxa"/>
            <w:vAlign w:val="center"/>
          </w:tcPr>
          <w:p w14:paraId="161824EB">
            <w:pPr>
              <w:spacing w:line="320" w:lineRule="exact"/>
              <w:ind w:firstLine="199" w:firstLineChars="95"/>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雅思联站厂界</w:t>
            </w:r>
          </w:p>
        </w:tc>
        <w:tc>
          <w:tcPr>
            <w:tcW w:w="2551" w:type="dxa"/>
            <w:tcBorders>
              <w:right w:val="single" w:color="auto" w:sz="4" w:space="0"/>
            </w:tcBorders>
            <w:vAlign w:val="center"/>
          </w:tcPr>
          <w:p w14:paraId="0EFE9DFA">
            <w:pPr>
              <w:pStyle w:val="518"/>
              <w:rPr>
                <w:rFonts w:asciiTheme="minorEastAsia" w:hAnsiTheme="minorEastAsia" w:eastAsiaTheme="minorEastAsia"/>
                <w:szCs w:val="21"/>
                <w:lang w:eastAsia="zh-CN"/>
              </w:rPr>
            </w:pPr>
            <w:r>
              <w:rPr>
                <w:rFonts w:hint="eastAsia" w:ascii="宋体" w:hAnsi="宋体"/>
                <w:szCs w:val="21"/>
                <w:lang w:eastAsia="zh-CN"/>
              </w:rPr>
              <w:t>上</w:t>
            </w:r>
            <w:r>
              <w:rPr>
                <w:rFonts w:hint="eastAsia" w:ascii="宋体" w:hAnsi="宋体"/>
                <w:szCs w:val="21"/>
              </w:rPr>
              <w:t>风向</w:t>
            </w:r>
          </w:p>
        </w:tc>
        <w:tc>
          <w:tcPr>
            <w:tcW w:w="2184" w:type="dxa"/>
            <w:tcBorders>
              <w:left w:val="single" w:color="auto" w:sz="4" w:space="0"/>
            </w:tcBorders>
            <w:vAlign w:val="center"/>
          </w:tcPr>
          <w:p w14:paraId="37DDF249">
            <w:pPr>
              <w:pStyle w:val="518"/>
              <w:rPr>
                <w:rFonts w:asciiTheme="minorEastAsia" w:hAnsiTheme="minorEastAsia" w:eastAsiaTheme="minorEastAsia"/>
                <w:szCs w:val="21"/>
                <w:lang w:eastAsia="zh-CN"/>
              </w:rPr>
            </w:pPr>
            <w:r>
              <w:rPr>
                <w:rFonts w:hint="eastAsia" w:asciiTheme="minorEastAsia" w:hAnsiTheme="minorEastAsia" w:eastAsiaTheme="minorEastAsia"/>
                <w:szCs w:val="21"/>
                <w:lang w:eastAsia="zh-CN"/>
              </w:rPr>
              <w:t>10m</w:t>
            </w:r>
          </w:p>
        </w:tc>
      </w:tr>
      <w:tr w14:paraId="1C9FC5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 w:hRule="atLeast"/>
        </w:trPr>
        <w:tc>
          <w:tcPr>
            <w:tcW w:w="1276" w:type="dxa"/>
            <w:vAlign w:val="center"/>
          </w:tcPr>
          <w:p w14:paraId="771E4FE7">
            <w:pPr>
              <w:spacing w:line="320" w:lineRule="exact"/>
              <w:ind w:left="113" w:right="113" w:firstLine="0" w:firstLineChars="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w:t>
            </w:r>
          </w:p>
        </w:tc>
        <w:tc>
          <w:tcPr>
            <w:tcW w:w="2410" w:type="dxa"/>
            <w:vAlign w:val="center"/>
          </w:tcPr>
          <w:p w14:paraId="4142DBFF">
            <w:pPr>
              <w:spacing w:line="320" w:lineRule="exact"/>
              <w:ind w:firstLine="199" w:firstLineChars="95"/>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雅思联站厂界</w:t>
            </w:r>
          </w:p>
        </w:tc>
        <w:tc>
          <w:tcPr>
            <w:tcW w:w="2551" w:type="dxa"/>
            <w:tcBorders>
              <w:right w:val="single" w:color="auto" w:sz="4" w:space="0"/>
            </w:tcBorders>
            <w:vAlign w:val="center"/>
          </w:tcPr>
          <w:p w14:paraId="07709A7B">
            <w:pPr>
              <w:pStyle w:val="518"/>
              <w:rPr>
                <w:rFonts w:asciiTheme="minorEastAsia" w:hAnsiTheme="minorEastAsia" w:eastAsiaTheme="minorEastAsia"/>
                <w:szCs w:val="21"/>
                <w:lang w:eastAsia="zh-CN"/>
              </w:rPr>
            </w:pPr>
            <w:r>
              <w:rPr>
                <w:rFonts w:hint="eastAsia" w:ascii="宋体" w:hAnsi="宋体"/>
                <w:szCs w:val="21"/>
              </w:rPr>
              <w:t>下风向</w:t>
            </w:r>
          </w:p>
        </w:tc>
        <w:tc>
          <w:tcPr>
            <w:tcW w:w="2184" w:type="dxa"/>
            <w:tcBorders>
              <w:left w:val="single" w:color="auto" w:sz="4" w:space="0"/>
            </w:tcBorders>
            <w:vAlign w:val="center"/>
          </w:tcPr>
          <w:p w14:paraId="0ED93F31">
            <w:pPr>
              <w:pStyle w:val="518"/>
              <w:rPr>
                <w:rFonts w:asciiTheme="minorEastAsia" w:hAnsiTheme="minorEastAsia" w:eastAsiaTheme="minorEastAsia"/>
                <w:szCs w:val="21"/>
                <w:lang w:eastAsia="zh-CN"/>
              </w:rPr>
            </w:pPr>
            <w:r>
              <w:rPr>
                <w:rFonts w:hint="eastAsia" w:asciiTheme="minorEastAsia" w:hAnsiTheme="minorEastAsia" w:eastAsiaTheme="minorEastAsia"/>
                <w:szCs w:val="21"/>
                <w:lang w:eastAsia="zh-CN"/>
              </w:rPr>
              <w:t>10m</w:t>
            </w:r>
          </w:p>
        </w:tc>
      </w:tr>
    </w:tbl>
    <w:p w14:paraId="726F67B0">
      <w:pPr>
        <w:ind w:firstLine="480"/>
        <w:rPr>
          <w:rFonts w:asciiTheme="minorEastAsia" w:hAnsiTheme="minorEastAsia" w:eastAsiaTheme="minorEastAsia"/>
          <w:lang w:eastAsia="zh-CN"/>
        </w:rPr>
      </w:pPr>
      <w:r>
        <w:rPr>
          <w:rFonts w:asciiTheme="minorEastAsia" w:hAnsiTheme="minorEastAsia" w:eastAsiaTheme="minorEastAsia"/>
          <w:lang w:eastAsia="zh-CN"/>
        </w:rPr>
        <w:t>2、监测周期及频率</w:t>
      </w:r>
    </w:p>
    <w:p w14:paraId="46431AA8">
      <w:pPr>
        <w:ind w:firstLine="480"/>
        <w:rPr>
          <w:rFonts w:asciiTheme="minorEastAsia" w:hAnsiTheme="minorEastAsia" w:eastAsiaTheme="minorEastAsia"/>
          <w:lang w:eastAsia="zh-CN"/>
        </w:rPr>
      </w:pPr>
      <w:r>
        <w:rPr>
          <w:rFonts w:asciiTheme="minorEastAsia" w:hAnsiTheme="minorEastAsia" w:eastAsiaTheme="minorEastAsia"/>
          <w:lang w:eastAsia="zh-CN"/>
        </w:rPr>
        <w:t>监测时间：201</w:t>
      </w:r>
      <w:r>
        <w:rPr>
          <w:rFonts w:hint="eastAsia" w:asciiTheme="minorEastAsia" w:hAnsiTheme="minorEastAsia" w:eastAsiaTheme="minorEastAsia"/>
          <w:lang w:eastAsia="zh-CN"/>
        </w:rPr>
        <w:t>4</w:t>
      </w:r>
      <w:r>
        <w:rPr>
          <w:rFonts w:asciiTheme="minorEastAsia" w:hAnsiTheme="minorEastAsia" w:eastAsiaTheme="minorEastAsia"/>
          <w:lang w:eastAsia="zh-CN"/>
        </w:rPr>
        <w:t>年</w:t>
      </w:r>
      <w:r>
        <w:rPr>
          <w:rFonts w:hint="eastAsia" w:asciiTheme="minorEastAsia" w:hAnsiTheme="minorEastAsia" w:eastAsiaTheme="minorEastAsia"/>
          <w:lang w:eastAsia="zh-CN"/>
        </w:rPr>
        <w:t>11</w:t>
      </w:r>
      <w:r>
        <w:rPr>
          <w:rFonts w:asciiTheme="minorEastAsia" w:hAnsiTheme="minorEastAsia" w:eastAsiaTheme="minorEastAsia"/>
          <w:lang w:eastAsia="zh-CN"/>
        </w:rPr>
        <w:t>月</w:t>
      </w:r>
      <w:r>
        <w:rPr>
          <w:rFonts w:hint="eastAsia" w:asciiTheme="minorEastAsia" w:hAnsiTheme="minorEastAsia" w:eastAsiaTheme="minorEastAsia"/>
          <w:lang w:eastAsia="zh-CN"/>
        </w:rPr>
        <w:t>20</w:t>
      </w:r>
      <w:r>
        <w:rPr>
          <w:rFonts w:asciiTheme="minorEastAsia" w:hAnsiTheme="minorEastAsia" w:eastAsiaTheme="minorEastAsia"/>
          <w:lang w:eastAsia="zh-CN"/>
        </w:rPr>
        <w:t>日至</w:t>
      </w:r>
      <w:r>
        <w:rPr>
          <w:rFonts w:hint="eastAsia" w:asciiTheme="minorEastAsia" w:hAnsiTheme="minorEastAsia" w:eastAsiaTheme="minorEastAsia"/>
          <w:lang w:eastAsia="zh-CN"/>
        </w:rPr>
        <w:t>11</w:t>
      </w:r>
      <w:r>
        <w:rPr>
          <w:rFonts w:asciiTheme="minorEastAsia" w:hAnsiTheme="minorEastAsia" w:eastAsiaTheme="minorEastAsia"/>
          <w:lang w:eastAsia="zh-CN"/>
        </w:rPr>
        <w:t>月</w:t>
      </w:r>
      <w:r>
        <w:rPr>
          <w:rFonts w:hint="eastAsia" w:asciiTheme="minorEastAsia" w:hAnsiTheme="minorEastAsia" w:eastAsiaTheme="minorEastAsia"/>
          <w:lang w:eastAsia="zh-CN"/>
        </w:rPr>
        <w:t>26</w:t>
      </w:r>
      <w:r>
        <w:rPr>
          <w:rFonts w:asciiTheme="minorEastAsia" w:hAnsiTheme="minorEastAsia" w:eastAsiaTheme="minorEastAsia"/>
          <w:lang w:eastAsia="zh-CN"/>
        </w:rPr>
        <w:t>日</w:t>
      </w:r>
      <w:bookmarkStart w:id="248" w:name="_Toc82483107"/>
      <w:bookmarkStart w:id="249" w:name="_Toc82610990"/>
      <w:r>
        <w:rPr>
          <w:rFonts w:hint="eastAsia" w:asciiTheme="minorEastAsia" w:hAnsiTheme="minorEastAsia" w:eastAsiaTheme="minorEastAsia"/>
          <w:lang w:eastAsia="zh-CN"/>
        </w:rPr>
        <w:t>，连续监测7天。</w:t>
      </w:r>
    </w:p>
    <w:p w14:paraId="47DB0542">
      <w:pPr>
        <w:ind w:firstLine="480"/>
        <w:rPr>
          <w:rFonts w:asciiTheme="minorEastAsia" w:hAnsiTheme="minorEastAsia" w:eastAsiaTheme="minorEastAsia"/>
          <w:lang w:eastAsia="zh-CN"/>
        </w:rPr>
      </w:pPr>
      <w:r>
        <w:rPr>
          <w:rFonts w:asciiTheme="minorEastAsia" w:hAnsiTheme="minorEastAsia" w:eastAsiaTheme="minorEastAsia"/>
          <w:lang w:eastAsia="zh-CN"/>
        </w:rPr>
        <w:t>监测频次：NO2、SO2监测日均浓度和小时浓度，TSP、PM</w:t>
      </w:r>
      <w:r>
        <w:rPr>
          <w:rFonts w:asciiTheme="minorEastAsia" w:hAnsiTheme="minorEastAsia" w:eastAsiaTheme="minorEastAsia"/>
          <w:vertAlign w:val="subscript"/>
          <w:lang w:eastAsia="zh-CN"/>
        </w:rPr>
        <w:t>10</w:t>
      </w:r>
      <w:r>
        <w:rPr>
          <w:rFonts w:asciiTheme="minorEastAsia" w:hAnsiTheme="minorEastAsia" w:eastAsiaTheme="minorEastAsia"/>
          <w:lang w:eastAsia="zh-CN"/>
        </w:rPr>
        <w:t>监测日均浓度。SO</w:t>
      </w:r>
      <w:r>
        <w:rPr>
          <w:rFonts w:asciiTheme="minorEastAsia" w:hAnsiTheme="minorEastAsia" w:eastAsiaTheme="minorEastAsia"/>
          <w:vertAlign w:val="subscript"/>
          <w:lang w:eastAsia="zh-CN"/>
        </w:rPr>
        <w:t>2</w:t>
      </w:r>
      <w:r>
        <w:rPr>
          <w:rFonts w:asciiTheme="minorEastAsia" w:hAnsiTheme="minorEastAsia" w:eastAsiaTheme="minorEastAsia"/>
          <w:lang w:eastAsia="zh-CN"/>
        </w:rPr>
        <w:t>小时浓度每天监测4次，分别为北京时间02时、08时、14时、20时，每次采样</w:t>
      </w:r>
      <w:r>
        <w:rPr>
          <w:rFonts w:hint="eastAsia" w:asciiTheme="minorEastAsia" w:hAnsiTheme="minorEastAsia" w:eastAsiaTheme="minorEastAsia"/>
          <w:lang w:eastAsia="zh-CN"/>
        </w:rPr>
        <w:t>不小于45min；</w:t>
      </w:r>
      <w:r>
        <w:rPr>
          <w:rFonts w:asciiTheme="minorEastAsia" w:hAnsiTheme="minorEastAsia" w:eastAsiaTheme="minorEastAsia"/>
          <w:lang w:eastAsia="zh-CN"/>
        </w:rPr>
        <w:t>TSP、NO</w:t>
      </w:r>
      <w:r>
        <w:rPr>
          <w:rFonts w:asciiTheme="minorEastAsia" w:hAnsiTheme="minorEastAsia" w:eastAsiaTheme="minorEastAsia"/>
          <w:vertAlign w:val="subscript"/>
          <w:lang w:eastAsia="zh-CN"/>
        </w:rPr>
        <w:t>2</w:t>
      </w:r>
      <w:r>
        <w:rPr>
          <w:rFonts w:asciiTheme="minorEastAsia" w:hAnsiTheme="minorEastAsia" w:eastAsiaTheme="minorEastAsia"/>
          <w:lang w:eastAsia="zh-CN"/>
        </w:rPr>
        <w:t>日均浓度每天连续采样不少于12h，SO</w:t>
      </w:r>
      <w:r>
        <w:rPr>
          <w:rFonts w:asciiTheme="minorEastAsia" w:hAnsiTheme="minorEastAsia" w:eastAsiaTheme="minorEastAsia"/>
          <w:vertAlign w:val="subscript"/>
          <w:lang w:eastAsia="zh-CN"/>
        </w:rPr>
        <w:t>2</w:t>
      </w:r>
      <w:r>
        <w:rPr>
          <w:rFonts w:asciiTheme="minorEastAsia" w:hAnsiTheme="minorEastAsia" w:eastAsiaTheme="minorEastAsia"/>
          <w:lang w:eastAsia="zh-CN"/>
        </w:rPr>
        <w:t>日均浓度每天连续采样不少于18h。PM</w:t>
      </w:r>
      <w:r>
        <w:rPr>
          <w:rFonts w:asciiTheme="minorEastAsia" w:hAnsiTheme="minorEastAsia" w:eastAsiaTheme="minorEastAsia"/>
          <w:vertAlign w:val="subscript"/>
          <w:lang w:eastAsia="zh-CN"/>
        </w:rPr>
        <w:t>10</w:t>
      </w:r>
      <w:r>
        <w:rPr>
          <w:rFonts w:asciiTheme="minorEastAsia" w:hAnsiTheme="minorEastAsia" w:eastAsiaTheme="minorEastAsia"/>
          <w:lang w:eastAsia="zh-CN"/>
        </w:rPr>
        <w:t>一天连续取样时间不少于12h。</w:t>
      </w:r>
    </w:p>
    <w:p w14:paraId="48067E5D">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3、采样和分析方法</w:t>
      </w:r>
      <w:bookmarkEnd w:id="248"/>
      <w:bookmarkEnd w:id="249"/>
    </w:p>
    <w:p w14:paraId="2216D6D5">
      <w:pPr>
        <w:ind w:firstLine="480"/>
        <w:rPr>
          <w:rFonts w:asciiTheme="minorEastAsia" w:hAnsiTheme="minorEastAsia" w:eastAsiaTheme="minorEastAsia"/>
          <w:lang w:eastAsia="zh-CN"/>
        </w:rPr>
      </w:pPr>
      <w:r>
        <w:rPr>
          <w:rFonts w:asciiTheme="minorEastAsia" w:hAnsiTheme="minorEastAsia" w:eastAsiaTheme="minorEastAsia"/>
          <w:lang w:eastAsia="zh-CN"/>
        </w:rPr>
        <w:t>采样监测分析方法按国家《环境监测技术规范》执行，环境空气质量监测分析方法见表5.1-2。</w:t>
      </w:r>
    </w:p>
    <w:p w14:paraId="6C829B0B">
      <w:pPr>
        <w:ind w:firstLine="480"/>
        <w:rPr>
          <w:rFonts w:asciiTheme="minorEastAsia" w:hAnsiTheme="minorEastAsia" w:eastAsiaTheme="minorEastAsia"/>
          <w:lang w:eastAsia="zh-CN"/>
        </w:rPr>
      </w:pPr>
    </w:p>
    <w:p w14:paraId="53F2FEC4">
      <w:pPr>
        <w:adjustRightInd w:val="0"/>
        <w:snapToGrid w:val="0"/>
        <w:spacing w:line="240" w:lineRule="auto"/>
        <w:ind w:firstLine="600" w:firstLineChars="249"/>
        <w:rPr>
          <w:b/>
          <w:snapToGrid w:val="0"/>
          <w:lang w:eastAsia="zh-CN"/>
        </w:rPr>
      </w:pPr>
      <w:r>
        <w:rPr>
          <w:b/>
          <w:snapToGrid w:val="0"/>
          <w:lang w:eastAsia="zh-CN"/>
        </w:rPr>
        <w:t>表5.1-2　　</w:t>
      </w:r>
      <w:r>
        <w:rPr>
          <w:rFonts w:hint="eastAsia"/>
          <w:b/>
          <w:snapToGrid w:val="0"/>
          <w:lang w:eastAsia="zh-CN"/>
        </w:rPr>
        <w:t xml:space="preserve">   </w:t>
      </w:r>
      <w:r>
        <w:rPr>
          <w:b/>
          <w:snapToGrid w:val="0"/>
          <w:lang w:eastAsia="zh-CN"/>
        </w:rPr>
        <w:t>空气环境质量现状监测项目分析方法</w:t>
      </w:r>
    </w:p>
    <w:tbl>
      <w:tblPr>
        <w:tblStyle w:val="7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92"/>
        <w:gridCol w:w="2311"/>
        <w:gridCol w:w="2393"/>
        <w:gridCol w:w="2383"/>
      </w:tblGrid>
      <w:tr w14:paraId="64397B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192" w:type="dxa"/>
            <w:vAlign w:val="center"/>
          </w:tcPr>
          <w:p w14:paraId="6CFB1ABA">
            <w:pPr>
              <w:pStyle w:val="518"/>
              <w:rPr>
                <w:szCs w:val="21"/>
              </w:rPr>
            </w:pPr>
            <w:r>
              <w:rPr>
                <w:szCs w:val="21"/>
              </w:rPr>
              <w:t>监测项目</w:t>
            </w:r>
          </w:p>
        </w:tc>
        <w:tc>
          <w:tcPr>
            <w:tcW w:w="2311" w:type="dxa"/>
            <w:vAlign w:val="center"/>
          </w:tcPr>
          <w:p w14:paraId="7F516C76">
            <w:pPr>
              <w:pStyle w:val="518"/>
              <w:rPr>
                <w:szCs w:val="21"/>
              </w:rPr>
            </w:pPr>
            <w:r>
              <w:rPr>
                <w:szCs w:val="21"/>
              </w:rPr>
              <w:t>分析方法</w:t>
            </w:r>
          </w:p>
        </w:tc>
        <w:tc>
          <w:tcPr>
            <w:tcW w:w="2393" w:type="dxa"/>
            <w:vAlign w:val="center"/>
          </w:tcPr>
          <w:p w14:paraId="635BCC0A">
            <w:pPr>
              <w:pStyle w:val="518"/>
              <w:rPr>
                <w:szCs w:val="21"/>
                <w:lang w:eastAsia="zh-CN"/>
              </w:rPr>
            </w:pPr>
            <w:r>
              <w:rPr>
                <w:szCs w:val="21"/>
                <w:lang w:eastAsia="zh-CN"/>
              </w:rPr>
              <w:t>分析方法标准号或来源</w:t>
            </w:r>
          </w:p>
        </w:tc>
        <w:tc>
          <w:tcPr>
            <w:tcW w:w="2383" w:type="dxa"/>
            <w:vAlign w:val="center"/>
          </w:tcPr>
          <w:p w14:paraId="7EBE100F">
            <w:pPr>
              <w:pStyle w:val="518"/>
              <w:rPr>
                <w:szCs w:val="21"/>
              </w:rPr>
            </w:pPr>
            <w:r>
              <w:rPr>
                <w:szCs w:val="21"/>
              </w:rPr>
              <w:t>最低检出限</w:t>
            </w:r>
          </w:p>
        </w:tc>
      </w:tr>
      <w:tr w14:paraId="0ADB35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192" w:type="dxa"/>
            <w:vAlign w:val="center"/>
          </w:tcPr>
          <w:p w14:paraId="48FE3134">
            <w:pPr>
              <w:pStyle w:val="518"/>
              <w:rPr>
                <w:szCs w:val="21"/>
              </w:rPr>
            </w:pPr>
            <w:r>
              <w:rPr>
                <w:szCs w:val="21"/>
              </w:rPr>
              <w:t>TSP</w:t>
            </w:r>
          </w:p>
        </w:tc>
        <w:tc>
          <w:tcPr>
            <w:tcW w:w="2311" w:type="dxa"/>
            <w:vAlign w:val="center"/>
          </w:tcPr>
          <w:p w14:paraId="72A4F48A">
            <w:pPr>
              <w:pStyle w:val="518"/>
              <w:rPr>
                <w:szCs w:val="21"/>
              </w:rPr>
            </w:pPr>
            <w:r>
              <w:rPr>
                <w:szCs w:val="21"/>
              </w:rPr>
              <w:t>重量法</w:t>
            </w:r>
          </w:p>
        </w:tc>
        <w:tc>
          <w:tcPr>
            <w:tcW w:w="2393" w:type="dxa"/>
            <w:vAlign w:val="center"/>
          </w:tcPr>
          <w:p w14:paraId="14CACAA3">
            <w:pPr>
              <w:pStyle w:val="518"/>
              <w:rPr>
                <w:szCs w:val="21"/>
              </w:rPr>
            </w:pPr>
            <w:r>
              <w:rPr>
                <w:szCs w:val="21"/>
              </w:rPr>
              <w:t>GB/T15432-1995</w:t>
            </w:r>
          </w:p>
        </w:tc>
        <w:tc>
          <w:tcPr>
            <w:tcW w:w="2383" w:type="dxa"/>
            <w:vAlign w:val="center"/>
          </w:tcPr>
          <w:p w14:paraId="7535130B">
            <w:pPr>
              <w:pStyle w:val="518"/>
              <w:rPr>
                <w:szCs w:val="21"/>
              </w:rPr>
            </w:pPr>
            <w:r>
              <w:rPr>
                <w:szCs w:val="21"/>
              </w:rPr>
              <w:t>0.001mg/m</w:t>
            </w:r>
            <w:r>
              <w:rPr>
                <w:szCs w:val="21"/>
                <w:vertAlign w:val="superscript"/>
              </w:rPr>
              <w:t>3</w:t>
            </w:r>
          </w:p>
        </w:tc>
      </w:tr>
      <w:tr w14:paraId="084B25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192" w:type="dxa"/>
            <w:vAlign w:val="center"/>
          </w:tcPr>
          <w:p w14:paraId="4E2F4FBD">
            <w:pPr>
              <w:pStyle w:val="518"/>
              <w:rPr>
                <w:szCs w:val="21"/>
              </w:rPr>
            </w:pPr>
            <w:r>
              <w:rPr>
                <w:szCs w:val="21"/>
              </w:rPr>
              <w:t>PM</w:t>
            </w:r>
            <w:r>
              <w:rPr>
                <w:szCs w:val="21"/>
                <w:vertAlign w:val="subscript"/>
              </w:rPr>
              <w:t>10</w:t>
            </w:r>
          </w:p>
        </w:tc>
        <w:tc>
          <w:tcPr>
            <w:tcW w:w="2311" w:type="dxa"/>
            <w:vAlign w:val="center"/>
          </w:tcPr>
          <w:p w14:paraId="020CDC1E">
            <w:pPr>
              <w:pStyle w:val="518"/>
              <w:rPr>
                <w:szCs w:val="21"/>
              </w:rPr>
            </w:pPr>
            <w:r>
              <w:rPr>
                <w:szCs w:val="21"/>
              </w:rPr>
              <w:t>重量法</w:t>
            </w:r>
          </w:p>
        </w:tc>
        <w:tc>
          <w:tcPr>
            <w:tcW w:w="2393" w:type="dxa"/>
            <w:vAlign w:val="center"/>
          </w:tcPr>
          <w:p w14:paraId="7A4459D0">
            <w:pPr>
              <w:pStyle w:val="518"/>
              <w:rPr>
                <w:szCs w:val="21"/>
                <w:lang w:eastAsia="zh-CN"/>
              </w:rPr>
            </w:pPr>
            <w:r>
              <w:rPr>
                <w:szCs w:val="21"/>
                <w:lang w:eastAsia="zh-CN"/>
              </w:rPr>
              <w:t>空气和废气监测分析方法（第四版增补版）</w:t>
            </w:r>
          </w:p>
        </w:tc>
        <w:tc>
          <w:tcPr>
            <w:tcW w:w="2383" w:type="dxa"/>
            <w:vAlign w:val="center"/>
          </w:tcPr>
          <w:p w14:paraId="6F9DEF3F">
            <w:pPr>
              <w:pStyle w:val="518"/>
              <w:rPr>
                <w:szCs w:val="21"/>
              </w:rPr>
            </w:pPr>
            <w:r>
              <w:rPr>
                <w:szCs w:val="21"/>
              </w:rPr>
              <w:t>0.001mg/m</w:t>
            </w:r>
            <w:r>
              <w:rPr>
                <w:szCs w:val="21"/>
                <w:vertAlign w:val="superscript"/>
              </w:rPr>
              <w:t>3</w:t>
            </w:r>
          </w:p>
        </w:tc>
      </w:tr>
      <w:tr w14:paraId="3E6BE8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192" w:type="dxa"/>
            <w:vMerge w:val="restart"/>
            <w:vAlign w:val="center"/>
          </w:tcPr>
          <w:p w14:paraId="0A0A579F">
            <w:pPr>
              <w:pStyle w:val="518"/>
              <w:rPr>
                <w:szCs w:val="21"/>
              </w:rPr>
            </w:pPr>
            <w:r>
              <w:rPr>
                <w:szCs w:val="21"/>
              </w:rPr>
              <w:t>SO</w:t>
            </w:r>
            <w:r>
              <w:rPr>
                <w:szCs w:val="21"/>
                <w:vertAlign w:val="subscript"/>
              </w:rPr>
              <w:t>2</w:t>
            </w:r>
          </w:p>
        </w:tc>
        <w:tc>
          <w:tcPr>
            <w:tcW w:w="2311" w:type="dxa"/>
            <w:vMerge w:val="restart"/>
            <w:vAlign w:val="center"/>
          </w:tcPr>
          <w:p w14:paraId="439562BE">
            <w:pPr>
              <w:pStyle w:val="518"/>
              <w:rPr>
                <w:szCs w:val="21"/>
                <w:lang w:eastAsia="zh-CN"/>
              </w:rPr>
            </w:pPr>
            <w:r>
              <w:rPr>
                <w:szCs w:val="21"/>
                <w:lang w:eastAsia="zh-CN"/>
              </w:rPr>
              <w:t>盐酸副玫瑰苯胺分光光度法</w:t>
            </w:r>
          </w:p>
        </w:tc>
        <w:tc>
          <w:tcPr>
            <w:tcW w:w="2393" w:type="dxa"/>
            <w:vMerge w:val="restart"/>
            <w:vAlign w:val="center"/>
          </w:tcPr>
          <w:p w14:paraId="7CD20909">
            <w:pPr>
              <w:pStyle w:val="518"/>
              <w:rPr>
                <w:szCs w:val="21"/>
              </w:rPr>
            </w:pPr>
            <w:r>
              <w:rPr>
                <w:szCs w:val="21"/>
              </w:rPr>
              <w:t>GB/T15262-1994</w:t>
            </w:r>
          </w:p>
        </w:tc>
        <w:tc>
          <w:tcPr>
            <w:tcW w:w="2383" w:type="dxa"/>
            <w:vAlign w:val="center"/>
          </w:tcPr>
          <w:p w14:paraId="4E8F7F34">
            <w:pPr>
              <w:pStyle w:val="518"/>
              <w:rPr>
                <w:szCs w:val="21"/>
              </w:rPr>
            </w:pPr>
            <w:r>
              <w:rPr>
                <w:szCs w:val="21"/>
              </w:rPr>
              <w:t>小时值0.007mg/m</w:t>
            </w:r>
            <w:r>
              <w:rPr>
                <w:szCs w:val="21"/>
                <w:vertAlign w:val="superscript"/>
              </w:rPr>
              <w:t>3</w:t>
            </w:r>
          </w:p>
        </w:tc>
      </w:tr>
      <w:tr w14:paraId="54F04F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192" w:type="dxa"/>
            <w:vMerge w:val="continue"/>
            <w:vAlign w:val="center"/>
          </w:tcPr>
          <w:p w14:paraId="516BBD93">
            <w:pPr>
              <w:pStyle w:val="518"/>
              <w:rPr>
                <w:szCs w:val="21"/>
              </w:rPr>
            </w:pPr>
          </w:p>
        </w:tc>
        <w:tc>
          <w:tcPr>
            <w:tcW w:w="2311" w:type="dxa"/>
            <w:vMerge w:val="continue"/>
            <w:vAlign w:val="center"/>
          </w:tcPr>
          <w:p w14:paraId="6B998259">
            <w:pPr>
              <w:pStyle w:val="518"/>
              <w:rPr>
                <w:szCs w:val="21"/>
              </w:rPr>
            </w:pPr>
          </w:p>
        </w:tc>
        <w:tc>
          <w:tcPr>
            <w:tcW w:w="2393" w:type="dxa"/>
            <w:vMerge w:val="continue"/>
            <w:vAlign w:val="center"/>
          </w:tcPr>
          <w:p w14:paraId="1FEE6369">
            <w:pPr>
              <w:pStyle w:val="518"/>
              <w:rPr>
                <w:szCs w:val="21"/>
              </w:rPr>
            </w:pPr>
          </w:p>
        </w:tc>
        <w:tc>
          <w:tcPr>
            <w:tcW w:w="2383" w:type="dxa"/>
            <w:vAlign w:val="center"/>
          </w:tcPr>
          <w:p w14:paraId="6428A0AB">
            <w:pPr>
              <w:pStyle w:val="518"/>
              <w:rPr>
                <w:szCs w:val="21"/>
              </w:rPr>
            </w:pPr>
            <w:r>
              <w:rPr>
                <w:szCs w:val="21"/>
              </w:rPr>
              <w:t>日均值0.003 mg/m</w:t>
            </w:r>
            <w:r>
              <w:rPr>
                <w:szCs w:val="21"/>
                <w:vertAlign w:val="superscript"/>
              </w:rPr>
              <w:t>3</w:t>
            </w:r>
          </w:p>
        </w:tc>
      </w:tr>
      <w:tr w14:paraId="42B573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192" w:type="dxa"/>
            <w:vMerge w:val="restart"/>
            <w:vAlign w:val="center"/>
          </w:tcPr>
          <w:p w14:paraId="5D2668AD">
            <w:pPr>
              <w:pStyle w:val="518"/>
              <w:rPr>
                <w:szCs w:val="21"/>
              </w:rPr>
            </w:pPr>
            <w:r>
              <w:rPr>
                <w:szCs w:val="21"/>
              </w:rPr>
              <w:t>NO</w:t>
            </w:r>
            <w:r>
              <w:rPr>
                <w:szCs w:val="21"/>
                <w:vertAlign w:val="subscript"/>
              </w:rPr>
              <w:t>2</w:t>
            </w:r>
          </w:p>
        </w:tc>
        <w:tc>
          <w:tcPr>
            <w:tcW w:w="2311" w:type="dxa"/>
            <w:vMerge w:val="restart"/>
            <w:vAlign w:val="center"/>
          </w:tcPr>
          <w:p w14:paraId="5E65866E">
            <w:pPr>
              <w:pStyle w:val="518"/>
              <w:rPr>
                <w:szCs w:val="21"/>
                <w:lang w:eastAsia="zh-CN"/>
              </w:rPr>
            </w:pPr>
            <w:r>
              <w:rPr>
                <w:szCs w:val="21"/>
                <w:lang w:eastAsia="zh-CN"/>
              </w:rPr>
              <w:t>盐酸萘乙二铵分光光度法</w:t>
            </w:r>
          </w:p>
        </w:tc>
        <w:tc>
          <w:tcPr>
            <w:tcW w:w="2393" w:type="dxa"/>
            <w:vMerge w:val="restart"/>
            <w:vAlign w:val="center"/>
          </w:tcPr>
          <w:p w14:paraId="7FFEC0EB">
            <w:pPr>
              <w:pStyle w:val="518"/>
              <w:rPr>
                <w:szCs w:val="21"/>
              </w:rPr>
            </w:pPr>
            <w:r>
              <w:rPr>
                <w:szCs w:val="21"/>
              </w:rPr>
              <w:t>GB/T15436-1995</w:t>
            </w:r>
          </w:p>
        </w:tc>
        <w:tc>
          <w:tcPr>
            <w:tcW w:w="2383" w:type="dxa"/>
            <w:vAlign w:val="center"/>
          </w:tcPr>
          <w:p w14:paraId="68256018">
            <w:pPr>
              <w:pStyle w:val="518"/>
              <w:rPr>
                <w:szCs w:val="21"/>
              </w:rPr>
            </w:pPr>
            <w:r>
              <w:rPr>
                <w:szCs w:val="21"/>
              </w:rPr>
              <w:t>小时值0.003 mg/m</w:t>
            </w:r>
            <w:r>
              <w:rPr>
                <w:szCs w:val="21"/>
                <w:vertAlign w:val="superscript"/>
              </w:rPr>
              <w:t>3</w:t>
            </w:r>
          </w:p>
        </w:tc>
      </w:tr>
      <w:tr w14:paraId="6A6EFE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1192" w:type="dxa"/>
            <w:vMerge w:val="continue"/>
            <w:vAlign w:val="center"/>
          </w:tcPr>
          <w:p w14:paraId="4A6C7A67">
            <w:pPr>
              <w:pStyle w:val="518"/>
              <w:rPr>
                <w:szCs w:val="21"/>
              </w:rPr>
            </w:pPr>
          </w:p>
        </w:tc>
        <w:tc>
          <w:tcPr>
            <w:tcW w:w="2311" w:type="dxa"/>
            <w:vMerge w:val="continue"/>
            <w:vAlign w:val="center"/>
          </w:tcPr>
          <w:p w14:paraId="07610090">
            <w:pPr>
              <w:pStyle w:val="518"/>
              <w:rPr>
                <w:szCs w:val="21"/>
              </w:rPr>
            </w:pPr>
          </w:p>
        </w:tc>
        <w:tc>
          <w:tcPr>
            <w:tcW w:w="2393" w:type="dxa"/>
            <w:vMerge w:val="continue"/>
            <w:vAlign w:val="center"/>
          </w:tcPr>
          <w:p w14:paraId="34BE3598">
            <w:pPr>
              <w:pStyle w:val="518"/>
              <w:rPr>
                <w:szCs w:val="21"/>
              </w:rPr>
            </w:pPr>
          </w:p>
        </w:tc>
        <w:tc>
          <w:tcPr>
            <w:tcW w:w="2383" w:type="dxa"/>
            <w:vAlign w:val="center"/>
          </w:tcPr>
          <w:p w14:paraId="5338B4D0">
            <w:pPr>
              <w:pStyle w:val="518"/>
              <w:rPr>
                <w:szCs w:val="21"/>
              </w:rPr>
            </w:pPr>
            <w:r>
              <w:rPr>
                <w:szCs w:val="21"/>
              </w:rPr>
              <w:t>日均值0.003 mg/m</w:t>
            </w:r>
            <w:r>
              <w:rPr>
                <w:szCs w:val="21"/>
                <w:vertAlign w:val="superscript"/>
              </w:rPr>
              <w:t>3</w:t>
            </w:r>
          </w:p>
        </w:tc>
      </w:tr>
    </w:tbl>
    <w:p w14:paraId="614E473D">
      <w:pPr>
        <w:ind w:firstLine="480"/>
        <w:rPr>
          <w:rFonts w:asciiTheme="minorEastAsia" w:hAnsiTheme="minorEastAsia" w:eastAsiaTheme="minorEastAsia"/>
          <w:lang w:eastAsia="zh-CN"/>
        </w:rPr>
      </w:pPr>
      <w:r>
        <w:rPr>
          <w:rFonts w:asciiTheme="minorEastAsia" w:hAnsiTheme="minorEastAsia" w:eastAsiaTheme="minorEastAsia"/>
          <w:lang w:eastAsia="zh-CN"/>
        </w:rPr>
        <w:t>4、监测结果</w:t>
      </w:r>
      <w:bookmarkEnd w:id="245"/>
      <w:bookmarkEnd w:id="246"/>
    </w:p>
    <w:p w14:paraId="11A5135F">
      <w:pPr>
        <w:ind w:firstLine="480"/>
        <w:rPr>
          <w:rFonts w:asciiTheme="minorEastAsia" w:hAnsiTheme="minorEastAsia" w:eastAsiaTheme="minorEastAsia"/>
          <w:lang w:eastAsia="zh-CN"/>
        </w:rPr>
      </w:pPr>
      <w:r>
        <w:rPr>
          <w:rFonts w:asciiTheme="minorEastAsia" w:hAnsiTheme="minorEastAsia" w:eastAsiaTheme="minorEastAsia"/>
          <w:lang w:eastAsia="zh-CN"/>
        </w:rPr>
        <w:t>监测结果见表5.1-</w:t>
      </w:r>
      <w:r>
        <w:rPr>
          <w:rFonts w:hint="eastAsia" w:asciiTheme="minorEastAsia" w:hAnsiTheme="minorEastAsia" w:eastAsiaTheme="minorEastAsia"/>
          <w:lang w:eastAsia="zh-CN"/>
        </w:rPr>
        <w:t>4</w:t>
      </w:r>
      <w:r>
        <w:rPr>
          <w:rFonts w:asciiTheme="minorEastAsia" w:hAnsiTheme="minorEastAsia" w:eastAsiaTheme="minorEastAsia"/>
          <w:lang w:eastAsia="zh-CN"/>
        </w:rPr>
        <w:t>。</w:t>
      </w:r>
    </w:p>
    <w:p w14:paraId="67DE1CCF">
      <w:pPr>
        <w:pStyle w:val="4"/>
        <w:rPr>
          <w:lang w:eastAsia="zh-CN"/>
        </w:rPr>
      </w:pPr>
      <w:bookmarkStart w:id="250" w:name="_Toc408413971"/>
      <w:r>
        <w:rPr>
          <w:lang w:eastAsia="zh-CN"/>
        </w:rPr>
        <w:t>5.1.</w:t>
      </w:r>
      <w:r>
        <w:rPr>
          <w:rFonts w:hint="eastAsia"/>
          <w:lang w:eastAsia="zh-CN"/>
        </w:rPr>
        <w:t>3</w:t>
      </w:r>
      <w:r>
        <w:rPr>
          <w:lang w:eastAsia="zh-CN"/>
        </w:rPr>
        <w:t>环境空气现状评价</w:t>
      </w:r>
      <w:bookmarkEnd w:id="250"/>
    </w:p>
    <w:p w14:paraId="33F73247">
      <w:pPr>
        <w:ind w:firstLine="480"/>
        <w:rPr>
          <w:rFonts w:asciiTheme="minorEastAsia" w:hAnsiTheme="minorEastAsia" w:eastAsiaTheme="minorEastAsia"/>
          <w:lang w:eastAsia="zh-CN"/>
        </w:rPr>
      </w:pPr>
      <w:r>
        <w:rPr>
          <w:rFonts w:asciiTheme="minorEastAsia" w:hAnsiTheme="minorEastAsia" w:eastAsiaTheme="minorEastAsia"/>
          <w:lang w:eastAsia="zh-CN"/>
        </w:rPr>
        <w:t>1、评价方法</w:t>
      </w:r>
    </w:p>
    <w:p w14:paraId="71550B86">
      <w:pPr>
        <w:ind w:firstLine="480"/>
        <w:rPr>
          <w:rFonts w:asciiTheme="minorEastAsia" w:hAnsiTheme="minorEastAsia" w:eastAsiaTheme="minorEastAsia"/>
          <w:lang w:eastAsia="zh-CN"/>
        </w:rPr>
      </w:pPr>
      <w:r>
        <w:rPr>
          <w:rFonts w:asciiTheme="minorEastAsia" w:hAnsiTheme="minorEastAsia" w:eastAsiaTheme="minorEastAsia"/>
          <w:lang w:eastAsia="zh-CN"/>
        </w:rPr>
        <w:t>采用单因子污染指数法进行评价，模式如下：</w:t>
      </w:r>
    </w:p>
    <w:p w14:paraId="0E2BA889">
      <w:pPr>
        <w:ind w:firstLine="480"/>
        <w:rPr>
          <w:rFonts w:asciiTheme="minorEastAsia" w:hAnsiTheme="minorEastAsia" w:eastAsiaTheme="minorEastAsia"/>
          <w:lang w:eastAsia="zh-CN"/>
        </w:rPr>
      </w:pPr>
      <w:r>
        <w:rPr>
          <w:rFonts w:asciiTheme="minorEastAsia" w:hAnsiTheme="minorEastAsia"/>
          <w:lang w:eastAsia="zh-CN" w:bidi="ar-SA"/>
        </w:rPr>
        <w:drawing>
          <wp:anchor distT="0" distB="0" distL="114300" distR="114300" simplePos="0" relativeHeight="251668480" behindDoc="0" locked="0" layoutInCell="1" allowOverlap="1">
            <wp:simplePos x="0" y="0"/>
            <wp:positionH relativeFrom="column">
              <wp:posOffset>828675</wp:posOffset>
            </wp:positionH>
            <wp:positionV relativeFrom="paragraph">
              <wp:posOffset>142240</wp:posOffset>
            </wp:positionV>
            <wp:extent cx="531495" cy="432435"/>
            <wp:effectExtent l="0" t="0" r="0" b="0"/>
            <wp:wrapTopAndBottom/>
            <wp:docPr id="296" name="图片 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895"/>
                    <pic:cNvPicPr>
                      <a:picLocks noChangeAspect="1" noChangeArrowheads="1"/>
                    </pic:cNvPicPr>
                  </pic:nvPicPr>
                  <pic:blipFill>
                    <a:blip r:embed="rId36"/>
                    <a:srcRect/>
                    <a:stretch>
                      <a:fillRect/>
                    </a:stretch>
                  </pic:blipFill>
                  <pic:spPr>
                    <a:xfrm>
                      <a:off x="0" y="0"/>
                      <a:ext cx="531495" cy="432435"/>
                    </a:xfrm>
                    <a:prstGeom prst="rect">
                      <a:avLst/>
                    </a:prstGeom>
                    <a:noFill/>
                    <a:ln w="9525">
                      <a:noFill/>
                      <a:miter lim="800000"/>
                      <a:headEnd/>
                      <a:tailEnd/>
                    </a:ln>
                  </pic:spPr>
                </pic:pic>
              </a:graphicData>
            </a:graphic>
          </wp:anchor>
        </w:drawing>
      </w:r>
      <w:r>
        <w:rPr>
          <w:rFonts w:asciiTheme="minorEastAsia" w:hAnsiTheme="minorEastAsia" w:eastAsiaTheme="minorEastAsia"/>
          <w:lang w:eastAsia="zh-CN"/>
        </w:rPr>
        <w:t>式中： Ci：某种污染因子不同取样时间的浓度预测值，mg/m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w:t>
      </w:r>
    </w:p>
    <w:p w14:paraId="30DB522F">
      <w:pPr>
        <w:ind w:firstLine="480"/>
        <w:rPr>
          <w:rFonts w:asciiTheme="minorEastAsia" w:hAnsiTheme="minorEastAsia" w:eastAsiaTheme="minorEastAsia"/>
          <w:lang w:eastAsia="zh-CN"/>
        </w:rPr>
      </w:pPr>
      <w:r>
        <w:rPr>
          <w:rFonts w:asciiTheme="minorEastAsia" w:hAnsiTheme="minorEastAsia" w:eastAsiaTheme="minorEastAsia"/>
          <w:lang w:eastAsia="zh-CN"/>
        </w:rPr>
        <w:t xml:space="preserve">           C0i：某种污染因子对应的环境空气质量标准，mg/m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w:t>
      </w:r>
    </w:p>
    <w:p w14:paraId="78FCA71F">
      <w:pPr>
        <w:ind w:firstLine="480"/>
        <w:rPr>
          <w:rFonts w:asciiTheme="minorEastAsia" w:hAnsiTheme="minorEastAsia" w:eastAsiaTheme="minorEastAsia"/>
          <w:lang w:eastAsia="zh-CN"/>
        </w:rPr>
      </w:pPr>
      <w:r>
        <w:rPr>
          <w:rFonts w:asciiTheme="minorEastAsia" w:hAnsiTheme="minorEastAsia" w:eastAsiaTheme="minorEastAsia"/>
          <w:lang w:eastAsia="zh-CN"/>
        </w:rPr>
        <w:t xml:space="preserve">    </w:t>
      </w:r>
      <w:r>
        <w:rPr>
          <w:rFonts w:hint="eastAsia" w:asciiTheme="minorEastAsia" w:hAnsiTheme="minorEastAsia" w:eastAsiaTheme="minorEastAsia"/>
          <w:lang w:eastAsia="zh-CN"/>
        </w:rPr>
        <w:t xml:space="preserve">       </w:t>
      </w:r>
      <w:r>
        <w:rPr>
          <w:rFonts w:asciiTheme="minorEastAsia" w:hAnsiTheme="minorEastAsia" w:eastAsiaTheme="minorEastAsia"/>
          <w:lang w:eastAsia="zh-CN"/>
        </w:rPr>
        <w:t>Ii ≥ 1为超标，否则为未超标。</w:t>
      </w:r>
    </w:p>
    <w:p w14:paraId="10F189B5">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2、评价标准</w:t>
      </w:r>
    </w:p>
    <w:p w14:paraId="2643FFF5">
      <w:pPr>
        <w:ind w:firstLine="480"/>
        <w:rPr>
          <w:rFonts w:asciiTheme="minorEastAsia" w:hAnsiTheme="minorEastAsia" w:eastAsiaTheme="minorEastAsia"/>
          <w:lang w:eastAsia="zh-CN"/>
        </w:rPr>
      </w:pPr>
      <w:r>
        <w:rPr>
          <w:rFonts w:asciiTheme="minorEastAsia" w:hAnsiTheme="minorEastAsia" w:eastAsiaTheme="minorEastAsia"/>
          <w:lang w:eastAsia="zh-CN"/>
        </w:rPr>
        <w:t>大气环境质量现状评价标准采用《环境空气质量标准》</w:t>
      </w:r>
      <w:r>
        <w:rPr>
          <w:rFonts w:hint="eastAsia" w:asciiTheme="minorEastAsia" w:hAnsiTheme="minorEastAsia" w:eastAsiaTheme="minorEastAsia"/>
          <w:lang w:eastAsia="zh-CN"/>
        </w:rPr>
        <w:t>（</w:t>
      </w:r>
      <w:r>
        <w:rPr>
          <w:rFonts w:asciiTheme="minorEastAsia" w:hAnsiTheme="minorEastAsia" w:eastAsiaTheme="minorEastAsia"/>
          <w:lang w:eastAsia="zh-CN"/>
        </w:rPr>
        <w:t>GB3095-1996</w:t>
      </w:r>
      <w:r>
        <w:rPr>
          <w:rFonts w:hint="eastAsia" w:asciiTheme="minorEastAsia" w:hAnsiTheme="minorEastAsia" w:eastAsiaTheme="minorEastAsia"/>
          <w:lang w:eastAsia="zh-CN"/>
        </w:rPr>
        <w:t>）及修改单</w:t>
      </w:r>
      <w:r>
        <w:rPr>
          <w:rFonts w:asciiTheme="minorEastAsia" w:hAnsiTheme="minorEastAsia" w:eastAsiaTheme="minorEastAsia"/>
          <w:lang w:eastAsia="zh-CN"/>
        </w:rPr>
        <w:t>二级标准，具体标准值见表</w:t>
      </w:r>
      <w:r>
        <w:rPr>
          <w:rFonts w:hint="eastAsia" w:asciiTheme="minorEastAsia" w:hAnsiTheme="minorEastAsia" w:eastAsiaTheme="minorEastAsia"/>
          <w:lang w:eastAsia="zh-CN"/>
        </w:rPr>
        <w:t>5</w:t>
      </w:r>
      <w:r>
        <w:rPr>
          <w:rFonts w:asciiTheme="minorEastAsia" w:hAnsiTheme="minorEastAsia" w:eastAsiaTheme="minorEastAsia"/>
          <w:lang w:eastAsia="zh-CN"/>
        </w:rPr>
        <w:t>.1-</w:t>
      </w:r>
      <w:r>
        <w:rPr>
          <w:rFonts w:hint="eastAsia" w:asciiTheme="minorEastAsia" w:hAnsiTheme="minorEastAsia" w:eastAsiaTheme="minorEastAsia"/>
          <w:lang w:eastAsia="zh-CN"/>
        </w:rPr>
        <w:t>3</w:t>
      </w:r>
      <w:r>
        <w:rPr>
          <w:rFonts w:asciiTheme="minorEastAsia" w:hAnsiTheme="minorEastAsia" w:eastAsiaTheme="minorEastAsia"/>
          <w:lang w:eastAsia="zh-CN"/>
        </w:rPr>
        <w:t xml:space="preserve">。 </w:t>
      </w:r>
    </w:p>
    <w:p w14:paraId="39879FB1">
      <w:pPr>
        <w:spacing w:line="480" w:lineRule="exact"/>
        <w:ind w:firstLine="1190" w:firstLineChars="494"/>
        <w:rPr>
          <w:b/>
          <w:lang w:eastAsia="zh-CN"/>
        </w:rPr>
      </w:pPr>
      <w:r>
        <w:rPr>
          <w:rFonts w:hint="eastAsia"/>
          <w:b/>
          <w:lang w:eastAsia="zh-CN"/>
        </w:rPr>
        <w:t>表5.1-3       环境空气质量评价标准（</w:t>
      </w:r>
      <w:r>
        <w:rPr>
          <w:rFonts w:hint="eastAsia"/>
          <w:b/>
          <w:sz w:val="21"/>
          <w:szCs w:val="21"/>
          <w:lang w:eastAsia="zh-CN"/>
        </w:rPr>
        <w:t>单位：</w:t>
      </w:r>
      <w:r>
        <w:rPr>
          <w:b/>
          <w:sz w:val="21"/>
          <w:szCs w:val="21"/>
          <w:lang w:eastAsia="zh-CN"/>
        </w:rPr>
        <w:t>mg/Nm</w:t>
      </w:r>
      <w:r>
        <w:rPr>
          <w:b/>
          <w:sz w:val="21"/>
          <w:szCs w:val="21"/>
          <w:vertAlign w:val="superscript"/>
          <w:lang w:eastAsia="zh-CN"/>
        </w:rPr>
        <w:t>3</w:t>
      </w:r>
      <w:r>
        <w:rPr>
          <w:rFonts w:hint="eastAsia"/>
          <w:b/>
          <w:lang w:eastAsia="zh-CN"/>
        </w:rPr>
        <w:t>）</w:t>
      </w:r>
    </w:p>
    <w:tbl>
      <w:tblPr>
        <w:tblStyle w:val="76"/>
        <w:tblW w:w="4226" w:type="pct"/>
        <w:jc w:val="center"/>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955"/>
        <w:gridCol w:w="1321"/>
        <w:gridCol w:w="1417"/>
        <w:gridCol w:w="1276"/>
        <w:gridCol w:w="1240"/>
      </w:tblGrid>
      <w:tr w14:paraId="0DF7645E">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PrEx>
        <w:trPr>
          <w:trHeight w:val="340" w:hRule="atLeast"/>
          <w:jc w:val="center"/>
        </w:trPr>
        <w:tc>
          <w:tcPr>
            <w:tcW w:w="1356" w:type="pct"/>
            <w:tcBorders>
              <w:left w:val="single" w:color="auto" w:sz="12" w:space="0"/>
            </w:tcBorders>
            <w:vAlign w:val="center"/>
          </w:tcPr>
          <w:p w14:paraId="49EFF42E">
            <w:pPr>
              <w:pStyle w:val="38"/>
              <w:ind w:firstLine="420"/>
              <w:jc w:val="center"/>
              <w:rPr>
                <w:rFonts w:ascii="Times New Roman" w:hAnsi="Times New Roman"/>
              </w:rPr>
            </w:pPr>
            <w:r>
              <w:rPr>
                <w:rFonts w:hint="eastAsia" w:ascii="Times New Roman" w:hAnsi="Times New Roman"/>
              </w:rPr>
              <w:t>污染物</w:t>
            </w:r>
          </w:p>
        </w:tc>
        <w:tc>
          <w:tcPr>
            <w:tcW w:w="916" w:type="pct"/>
            <w:vAlign w:val="center"/>
          </w:tcPr>
          <w:p w14:paraId="1F95075E">
            <w:pPr>
              <w:pStyle w:val="38"/>
              <w:ind w:firstLine="422"/>
              <w:jc w:val="center"/>
              <w:rPr>
                <w:rFonts w:ascii="Times New Roman" w:hAnsi="Times New Roman"/>
                <w:b/>
              </w:rPr>
            </w:pPr>
            <w:r>
              <w:rPr>
                <w:rFonts w:ascii="Times New Roman" w:hAnsi="Times New Roman"/>
                <w:b/>
              </w:rPr>
              <w:t>TSP</w:t>
            </w:r>
          </w:p>
        </w:tc>
        <w:tc>
          <w:tcPr>
            <w:tcW w:w="983" w:type="pct"/>
            <w:tcBorders>
              <w:right w:val="single" w:color="auto" w:sz="4" w:space="0"/>
            </w:tcBorders>
            <w:vAlign w:val="center"/>
          </w:tcPr>
          <w:p w14:paraId="04E1B955">
            <w:pPr>
              <w:pStyle w:val="38"/>
              <w:ind w:firstLine="422"/>
              <w:jc w:val="center"/>
              <w:rPr>
                <w:rFonts w:ascii="Times New Roman" w:hAnsi="Times New Roman"/>
                <w:b/>
              </w:rPr>
            </w:pPr>
            <w:r>
              <w:rPr>
                <w:rFonts w:hint="eastAsia" w:ascii="Times New Roman" w:hAnsi="Times New Roman"/>
                <w:b/>
              </w:rPr>
              <w:t>PM</w:t>
            </w:r>
            <w:r>
              <w:rPr>
                <w:rFonts w:hint="eastAsia" w:ascii="Times New Roman" w:hAnsi="Times New Roman"/>
                <w:b/>
                <w:vertAlign w:val="subscript"/>
              </w:rPr>
              <w:t>10</w:t>
            </w:r>
          </w:p>
        </w:tc>
        <w:tc>
          <w:tcPr>
            <w:tcW w:w="885" w:type="pct"/>
            <w:tcBorders>
              <w:left w:val="single" w:color="auto" w:sz="4" w:space="0"/>
              <w:right w:val="single" w:color="auto" w:sz="4" w:space="0"/>
            </w:tcBorders>
            <w:vAlign w:val="center"/>
          </w:tcPr>
          <w:p w14:paraId="52A0529D">
            <w:pPr>
              <w:pStyle w:val="38"/>
              <w:ind w:firstLine="0" w:firstLineChars="0"/>
              <w:jc w:val="center"/>
              <w:rPr>
                <w:rFonts w:ascii="Times New Roman" w:hAnsi="Times New Roman"/>
                <w:b/>
              </w:rPr>
            </w:pPr>
            <w:r>
              <w:rPr>
                <w:b/>
                <w:snapToGrid w:val="0"/>
              </w:rPr>
              <w:t>SO</w:t>
            </w:r>
            <w:r>
              <w:rPr>
                <w:b/>
                <w:snapToGrid w:val="0"/>
                <w:vertAlign w:val="subscript"/>
              </w:rPr>
              <w:t>2</w:t>
            </w:r>
          </w:p>
        </w:tc>
        <w:tc>
          <w:tcPr>
            <w:tcW w:w="860" w:type="pct"/>
            <w:tcBorders>
              <w:left w:val="single" w:color="auto" w:sz="4" w:space="0"/>
              <w:right w:val="single" w:color="auto" w:sz="12" w:space="0"/>
            </w:tcBorders>
            <w:vAlign w:val="center"/>
          </w:tcPr>
          <w:p w14:paraId="08EF0D84">
            <w:pPr>
              <w:pStyle w:val="38"/>
              <w:ind w:firstLine="0" w:firstLineChars="0"/>
              <w:jc w:val="center"/>
              <w:rPr>
                <w:rFonts w:ascii="Times New Roman" w:hAnsi="Times New Roman"/>
                <w:b/>
              </w:rPr>
            </w:pPr>
            <w:r>
              <w:rPr>
                <w:b/>
                <w:snapToGrid w:val="0"/>
              </w:rPr>
              <w:t>NO</w:t>
            </w:r>
            <w:r>
              <w:rPr>
                <w:rFonts w:hint="eastAsia"/>
                <w:b/>
                <w:snapToGrid w:val="0"/>
                <w:vertAlign w:val="subscript"/>
              </w:rPr>
              <w:t>2</w:t>
            </w:r>
          </w:p>
        </w:tc>
      </w:tr>
      <w:tr w14:paraId="41081C7E">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56" w:type="pct"/>
            <w:tcBorders>
              <w:left w:val="single" w:color="auto" w:sz="12" w:space="0"/>
            </w:tcBorders>
            <w:vAlign w:val="center"/>
          </w:tcPr>
          <w:p w14:paraId="0B6590FC">
            <w:pPr>
              <w:pStyle w:val="38"/>
              <w:ind w:firstLine="420"/>
              <w:jc w:val="center"/>
              <w:rPr>
                <w:rFonts w:ascii="Times New Roman" w:hAnsi="Times New Roman"/>
              </w:rPr>
            </w:pPr>
            <w:r>
              <w:rPr>
                <w:rFonts w:hint="eastAsia" w:ascii="Times New Roman" w:hAnsi="Times New Roman"/>
              </w:rPr>
              <w:t>日均浓度</w:t>
            </w:r>
          </w:p>
        </w:tc>
        <w:tc>
          <w:tcPr>
            <w:tcW w:w="916" w:type="pct"/>
            <w:vAlign w:val="center"/>
          </w:tcPr>
          <w:p w14:paraId="158C6AD0">
            <w:pPr>
              <w:pStyle w:val="38"/>
              <w:ind w:firstLine="420"/>
              <w:jc w:val="center"/>
              <w:rPr>
                <w:rFonts w:ascii="Times New Roman" w:hAnsi="Times New Roman"/>
              </w:rPr>
            </w:pPr>
            <w:r>
              <w:rPr>
                <w:rFonts w:hint="eastAsia" w:ascii="Times New Roman" w:hAnsi="Times New Roman"/>
              </w:rPr>
              <w:t>0.30</w:t>
            </w:r>
          </w:p>
        </w:tc>
        <w:tc>
          <w:tcPr>
            <w:tcW w:w="983" w:type="pct"/>
            <w:tcBorders>
              <w:right w:val="single" w:color="auto" w:sz="4" w:space="0"/>
            </w:tcBorders>
            <w:vAlign w:val="center"/>
          </w:tcPr>
          <w:p w14:paraId="00927785">
            <w:pPr>
              <w:pStyle w:val="38"/>
              <w:ind w:firstLine="420"/>
              <w:jc w:val="center"/>
              <w:rPr>
                <w:rFonts w:ascii="Times New Roman" w:hAnsi="Times New Roman"/>
              </w:rPr>
            </w:pPr>
            <w:r>
              <w:rPr>
                <w:rFonts w:hint="eastAsia" w:ascii="Times New Roman" w:hAnsi="Times New Roman"/>
              </w:rPr>
              <w:t>0.15</w:t>
            </w:r>
          </w:p>
        </w:tc>
        <w:tc>
          <w:tcPr>
            <w:tcW w:w="885" w:type="pct"/>
            <w:tcBorders>
              <w:left w:val="single" w:color="auto" w:sz="4" w:space="0"/>
              <w:right w:val="single" w:color="auto" w:sz="4" w:space="0"/>
            </w:tcBorders>
            <w:vAlign w:val="center"/>
          </w:tcPr>
          <w:p w14:paraId="47BB8979">
            <w:pPr>
              <w:pStyle w:val="38"/>
              <w:ind w:firstLine="0" w:firstLineChars="0"/>
              <w:jc w:val="center"/>
              <w:rPr>
                <w:rFonts w:ascii="Times New Roman" w:hAnsi="Times New Roman"/>
              </w:rPr>
            </w:pPr>
            <w:r>
              <w:rPr>
                <w:rFonts w:hint="eastAsia" w:ascii="Times New Roman" w:hAnsi="Times New Roman"/>
              </w:rPr>
              <w:t>0.15</w:t>
            </w:r>
          </w:p>
        </w:tc>
        <w:tc>
          <w:tcPr>
            <w:tcW w:w="860" w:type="pct"/>
            <w:tcBorders>
              <w:left w:val="single" w:color="auto" w:sz="4" w:space="0"/>
              <w:right w:val="single" w:color="auto" w:sz="12" w:space="0"/>
            </w:tcBorders>
            <w:vAlign w:val="center"/>
          </w:tcPr>
          <w:p w14:paraId="1872BD92">
            <w:pPr>
              <w:pStyle w:val="38"/>
              <w:ind w:firstLine="0" w:firstLineChars="0"/>
              <w:jc w:val="center"/>
              <w:rPr>
                <w:rFonts w:ascii="Times New Roman" w:hAnsi="Times New Roman"/>
              </w:rPr>
            </w:pPr>
            <w:r>
              <w:rPr>
                <w:rFonts w:hint="eastAsia" w:ascii="Times New Roman" w:hAnsi="Times New Roman"/>
              </w:rPr>
              <w:t>0.12</w:t>
            </w:r>
          </w:p>
        </w:tc>
      </w:tr>
      <w:tr w14:paraId="469FF38E">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56" w:type="pct"/>
            <w:tcBorders>
              <w:left w:val="single" w:color="auto" w:sz="12" w:space="0"/>
            </w:tcBorders>
            <w:vAlign w:val="center"/>
          </w:tcPr>
          <w:p w14:paraId="20D971C6">
            <w:pPr>
              <w:pStyle w:val="38"/>
              <w:ind w:firstLine="420"/>
              <w:jc w:val="center"/>
              <w:rPr>
                <w:rFonts w:ascii="Times New Roman" w:hAnsi="Times New Roman"/>
              </w:rPr>
            </w:pPr>
            <w:r>
              <w:rPr>
                <w:rFonts w:hint="eastAsia" w:hAnsi="宋体"/>
              </w:rPr>
              <w:t>小时浓度</w:t>
            </w:r>
          </w:p>
        </w:tc>
        <w:tc>
          <w:tcPr>
            <w:tcW w:w="916" w:type="pct"/>
            <w:vAlign w:val="center"/>
          </w:tcPr>
          <w:p w14:paraId="10A60396">
            <w:pPr>
              <w:pStyle w:val="38"/>
              <w:ind w:firstLine="420"/>
              <w:jc w:val="center"/>
              <w:rPr>
                <w:rFonts w:ascii="Times New Roman" w:hAnsi="Times New Roman"/>
              </w:rPr>
            </w:pPr>
            <w:r>
              <w:rPr>
                <w:rFonts w:hint="eastAsia" w:hAnsi="宋体"/>
              </w:rPr>
              <w:t>——</w:t>
            </w:r>
          </w:p>
        </w:tc>
        <w:tc>
          <w:tcPr>
            <w:tcW w:w="983" w:type="pct"/>
            <w:tcBorders>
              <w:right w:val="single" w:color="auto" w:sz="4" w:space="0"/>
            </w:tcBorders>
            <w:vAlign w:val="center"/>
          </w:tcPr>
          <w:p w14:paraId="46E639B2">
            <w:pPr>
              <w:pStyle w:val="38"/>
              <w:ind w:firstLine="420"/>
              <w:jc w:val="center"/>
              <w:rPr>
                <w:rFonts w:ascii="Times New Roman" w:hAnsi="Times New Roman"/>
              </w:rPr>
            </w:pPr>
            <w:r>
              <w:rPr>
                <w:rFonts w:hint="eastAsia" w:hAnsi="宋体"/>
              </w:rPr>
              <w:t>——</w:t>
            </w:r>
          </w:p>
        </w:tc>
        <w:tc>
          <w:tcPr>
            <w:tcW w:w="885" w:type="pct"/>
            <w:tcBorders>
              <w:left w:val="single" w:color="auto" w:sz="4" w:space="0"/>
              <w:right w:val="single" w:color="auto" w:sz="4" w:space="0"/>
            </w:tcBorders>
            <w:vAlign w:val="center"/>
          </w:tcPr>
          <w:p w14:paraId="251A6B39">
            <w:pPr>
              <w:pStyle w:val="38"/>
              <w:ind w:firstLine="0" w:firstLineChars="0"/>
              <w:jc w:val="center"/>
              <w:rPr>
                <w:rFonts w:ascii="Times New Roman" w:hAnsi="Times New Roman"/>
              </w:rPr>
            </w:pPr>
            <w:r>
              <w:rPr>
                <w:rFonts w:hint="eastAsia" w:ascii="Times New Roman" w:hAnsi="Times New Roman"/>
              </w:rPr>
              <w:t>0.50</w:t>
            </w:r>
          </w:p>
        </w:tc>
        <w:tc>
          <w:tcPr>
            <w:tcW w:w="860" w:type="pct"/>
            <w:tcBorders>
              <w:left w:val="single" w:color="auto" w:sz="4" w:space="0"/>
              <w:right w:val="single" w:color="auto" w:sz="12" w:space="0"/>
            </w:tcBorders>
            <w:vAlign w:val="center"/>
          </w:tcPr>
          <w:p w14:paraId="194B6289">
            <w:pPr>
              <w:pStyle w:val="38"/>
              <w:ind w:firstLine="0" w:firstLineChars="0"/>
              <w:jc w:val="center"/>
              <w:rPr>
                <w:rFonts w:ascii="Times New Roman" w:hAnsi="Times New Roman"/>
              </w:rPr>
            </w:pPr>
            <w:r>
              <w:rPr>
                <w:rFonts w:hint="eastAsia" w:ascii="Times New Roman" w:hAnsi="Times New Roman"/>
              </w:rPr>
              <w:t>0.24</w:t>
            </w:r>
          </w:p>
        </w:tc>
      </w:tr>
    </w:tbl>
    <w:p w14:paraId="3EDBE159">
      <w:pPr>
        <w:ind w:firstLine="480"/>
        <w:rPr>
          <w:rFonts w:asciiTheme="minorEastAsia" w:hAnsiTheme="minorEastAsia" w:eastAsiaTheme="minorEastAsia"/>
          <w:lang w:eastAsia="zh-CN"/>
        </w:rPr>
      </w:pPr>
      <w:r>
        <w:rPr>
          <w:rFonts w:asciiTheme="minorEastAsia" w:hAnsiTheme="minorEastAsia" w:eastAsiaTheme="minorEastAsia"/>
          <w:lang w:eastAsia="zh-CN"/>
        </w:rPr>
        <w:t>4、评价结果</w:t>
      </w:r>
    </w:p>
    <w:p w14:paraId="581B2ABF">
      <w:pPr>
        <w:ind w:firstLine="480"/>
        <w:rPr>
          <w:rFonts w:asciiTheme="minorEastAsia" w:hAnsiTheme="minorEastAsia" w:eastAsiaTheme="minorEastAsia"/>
          <w:lang w:eastAsia="zh-CN"/>
        </w:rPr>
      </w:pPr>
      <w:r>
        <w:rPr>
          <w:rFonts w:asciiTheme="minorEastAsia" w:hAnsiTheme="minorEastAsia" w:eastAsiaTheme="minorEastAsia"/>
          <w:lang w:eastAsia="zh-CN"/>
        </w:rPr>
        <w:t>评价区大气环境质量现状评价结果见表</w:t>
      </w:r>
      <w:r>
        <w:rPr>
          <w:rFonts w:hint="eastAsia" w:asciiTheme="minorEastAsia" w:hAnsiTheme="minorEastAsia" w:eastAsiaTheme="minorEastAsia"/>
          <w:lang w:eastAsia="zh-CN"/>
        </w:rPr>
        <w:t>5</w:t>
      </w:r>
      <w:r>
        <w:rPr>
          <w:rFonts w:asciiTheme="minorEastAsia" w:hAnsiTheme="minorEastAsia" w:eastAsiaTheme="minorEastAsia"/>
          <w:lang w:eastAsia="zh-CN"/>
        </w:rPr>
        <w:t>.1-</w:t>
      </w:r>
      <w:r>
        <w:rPr>
          <w:rFonts w:hint="eastAsia" w:asciiTheme="minorEastAsia" w:hAnsiTheme="minorEastAsia" w:eastAsiaTheme="minorEastAsia"/>
          <w:lang w:eastAsia="zh-CN"/>
        </w:rPr>
        <w:t>4</w:t>
      </w:r>
      <w:r>
        <w:rPr>
          <w:rFonts w:asciiTheme="minorEastAsia" w:hAnsiTheme="minorEastAsia" w:eastAsiaTheme="minorEastAsia"/>
          <w:lang w:eastAsia="zh-CN"/>
        </w:rPr>
        <w:t>。</w:t>
      </w:r>
    </w:p>
    <w:p w14:paraId="3BFA292B">
      <w:pPr>
        <w:ind w:firstLine="480"/>
        <w:rPr>
          <w:rFonts w:asciiTheme="minorEastAsia" w:hAnsiTheme="minorEastAsia" w:eastAsiaTheme="minorEastAsia"/>
          <w:lang w:eastAsia="zh-CN"/>
        </w:rPr>
      </w:pPr>
    </w:p>
    <w:p w14:paraId="65568FD3">
      <w:pPr>
        <w:ind w:firstLine="480"/>
        <w:rPr>
          <w:rFonts w:asciiTheme="minorEastAsia" w:hAnsiTheme="minorEastAsia" w:eastAsiaTheme="minorEastAsia"/>
          <w:lang w:eastAsia="zh-CN"/>
        </w:rPr>
      </w:pPr>
    </w:p>
    <w:p w14:paraId="72CF1861">
      <w:pPr>
        <w:ind w:firstLine="480"/>
        <w:rPr>
          <w:rFonts w:asciiTheme="minorEastAsia" w:hAnsiTheme="minorEastAsia" w:eastAsiaTheme="minorEastAsia"/>
          <w:lang w:eastAsia="zh-CN"/>
        </w:rPr>
      </w:pPr>
    </w:p>
    <w:p w14:paraId="0F1187A0">
      <w:pPr>
        <w:ind w:firstLine="480"/>
        <w:rPr>
          <w:rFonts w:asciiTheme="minorEastAsia" w:hAnsiTheme="minorEastAsia" w:eastAsiaTheme="minorEastAsia"/>
          <w:lang w:eastAsia="zh-CN"/>
        </w:rPr>
      </w:pPr>
    </w:p>
    <w:p w14:paraId="6118B27B">
      <w:pPr>
        <w:ind w:firstLine="480"/>
        <w:rPr>
          <w:rFonts w:asciiTheme="minorEastAsia" w:hAnsiTheme="minorEastAsia" w:eastAsiaTheme="minorEastAsia"/>
          <w:lang w:eastAsia="zh-CN"/>
        </w:rPr>
      </w:pPr>
    </w:p>
    <w:p w14:paraId="590C5890">
      <w:pPr>
        <w:tabs>
          <w:tab w:val="left" w:pos="420"/>
        </w:tabs>
        <w:adjustRightInd w:val="0"/>
        <w:snapToGrid w:val="0"/>
        <w:spacing w:line="240" w:lineRule="auto"/>
        <w:ind w:firstLine="602" w:firstLineChars="250"/>
        <w:rPr>
          <w:b/>
          <w:bCs/>
          <w:snapToGrid w:val="0"/>
          <w:vertAlign w:val="superscript"/>
          <w:lang w:eastAsia="zh-CN"/>
        </w:rPr>
      </w:pPr>
      <w:r>
        <w:rPr>
          <w:b/>
          <w:bCs/>
          <w:snapToGrid w:val="0"/>
          <w:lang w:eastAsia="zh-CN"/>
        </w:rPr>
        <w:t>表</w:t>
      </w:r>
      <w:r>
        <w:rPr>
          <w:b/>
          <w:snapToGrid w:val="0"/>
          <w:lang w:eastAsia="zh-CN"/>
        </w:rPr>
        <w:t>5.1-</w:t>
      </w:r>
      <w:r>
        <w:rPr>
          <w:rFonts w:hint="eastAsia"/>
          <w:b/>
          <w:snapToGrid w:val="0"/>
          <w:lang w:eastAsia="zh-CN"/>
        </w:rPr>
        <w:t>4</w:t>
      </w:r>
      <w:r>
        <w:rPr>
          <w:b/>
          <w:snapToGrid w:val="0"/>
          <w:lang w:eastAsia="zh-CN"/>
        </w:rPr>
        <w:t xml:space="preserve"> </w:t>
      </w:r>
      <w:r>
        <w:rPr>
          <w:rFonts w:hint="eastAsia"/>
          <w:b/>
          <w:snapToGrid w:val="0"/>
          <w:lang w:eastAsia="zh-CN"/>
        </w:rPr>
        <w:t xml:space="preserve">  </w:t>
      </w:r>
      <w:r>
        <w:rPr>
          <w:b/>
          <w:snapToGrid w:val="0"/>
          <w:lang w:eastAsia="zh-CN"/>
        </w:rPr>
        <w:t xml:space="preserve"> 空气环境现状监测统计结果     </w:t>
      </w:r>
      <w:r>
        <w:rPr>
          <w:b/>
          <w:bCs/>
          <w:snapToGrid w:val="0"/>
          <w:lang w:eastAsia="zh-CN"/>
        </w:rPr>
        <w:t>单位：mg/m</w:t>
      </w:r>
      <w:r>
        <w:rPr>
          <w:b/>
          <w:bCs/>
          <w:snapToGrid w:val="0"/>
          <w:vertAlign w:val="superscript"/>
          <w:lang w:eastAsia="zh-CN"/>
        </w:rPr>
        <w:t>3</w:t>
      </w:r>
    </w:p>
    <w:tbl>
      <w:tblPr>
        <w:tblStyle w:val="7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4"/>
        <w:gridCol w:w="1818"/>
        <w:gridCol w:w="2146"/>
        <w:gridCol w:w="2078"/>
        <w:gridCol w:w="1673"/>
      </w:tblGrid>
      <w:tr w14:paraId="356520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4" w:type="dxa"/>
            <w:vMerge w:val="restart"/>
            <w:vAlign w:val="center"/>
          </w:tcPr>
          <w:p w14:paraId="77DD45CC">
            <w:pPr>
              <w:pStyle w:val="518"/>
              <w:rPr>
                <w:szCs w:val="21"/>
              </w:rPr>
            </w:pPr>
            <w:r>
              <w:rPr>
                <w:szCs w:val="21"/>
              </w:rPr>
              <w:t>监测</w:t>
            </w:r>
          </w:p>
          <w:p w14:paraId="0D6FCDA8">
            <w:pPr>
              <w:pStyle w:val="518"/>
              <w:rPr>
                <w:szCs w:val="21"/>
              </w:rPr>
            </w:pPr>
            <w:r>
              <w:rPr>
                <w:szCs w:val="21"/>
              </w:rPr>
              <w:t>因子</w:t>
            </w:r>
          </w:p>
        </w:tc>
        <w:tc>
          <w:tcPr>
            <w:tcW w:w="1818" w:type="dxa"/>
            <w:vMerge w:val="restart"/>
            <w:vAlign w:val="center"/>
          </w:tcPr>
          <w:p w14:paraId="31C4EEF0">
            <w:pPr>
              <w:pStyle w:val="518"/>
              <w:rPr>
                <w:szCs w:val="21"/>
              </w:rPr>
            </w:pPr>
            <w:r>
              <w:rPr>
                <w:szCs w:val="21"/>
              </w:rPr>
              <w:t>监测点名称</w:t>
            </w:r>
          </w:p>
        </w:tc>
        <w:tc>
          <w:tcPr>
            <w:tcW w:w="5897" w:type="dxa"/>
            <w:gridSpan w:val="3"/>
            <w:vAlign w:val="center"/>
          </w:tcPr>
          <w:p w14:paraId="1E4520AB">
            <w:pPr>
              <w:pStyle w:val="518"/>
              <w:rPr>
                <w:szCs w:val="21"/>
              </w:rPr>
            </w:pPr>
            <w:r>
              <w:rPr>
                <w:szCs w:val="21"/>
              </w:rPr>
              <w:t>日均值统计结果</w:t>
            </w:r>
          </w:p>
        </w:tc>
      </w:tr>
      <w:tr w14:paraId="0B5DF3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4" w:type="dxa"/>
            <w:vMerge w:val="continue"/>
            <w:vAlign w:val="center"/>
          </w:tcPr>
          <w:p w14:paraId="0E166ADA">
            <w:pPr>
              <w:pStyle w:val="518"/>
              <w:rPr>
                <w:szCs w:val="21"/>
              </w:rPr>
            </w:pPr>
          </w:p>
        </w:tc>
        <w:tc>
          <w:tcPr>
            <w:tcW w:w="1818" w:type="dxa"/>
            <w:vMerge w:val="continue"/>
            <w:vAlign w:val="center"/>
          </w:tcPr>
          <w:p w14:paraId="58B62306">
            <w:pPr>
              <w:pStyle w:val="518"/>
              <w:rPr>
                <w:szCs w:val="21"/>
              </w:rPr>
            </w:pPr>
          </w:p>
        </w:tc>
        <w:tc>
          <w:tcPr>
            <w:tcW w:w="2146" w:type="dxa"/>
            <w:vAlign w:val="center"/>
          </w:tcPr>
          <w:p w14:paraId="796BA375">
            <w:pPr>
              <w:pStyle w:val="518"/>
              <w:rPr>
                <w:szCs w:val="21"/>
              </w:rPr>
            </w:pPr>
            <w:r>
              <w:rPr>
                <w:rFonts w:hint="eastAsia"/>
                <w:szCs w:val="21"/>
                <w:lang w:eastAsia="zh-CN"/>
              </w:rPr>
              <w:t>平均</w:t>
            </w:r>
            <w:r>
              <w:rPr>
                <w:szCs w:val="21"/>
              </w:rPr>
              <w:t>浓度 (mg/m</w:t>
            </w:r>
            <w:r>
              <w:rPr>
                <w:szCs w:val="21"/>
                <w:vertAlign w:val="superscript"/>
              </w:rPr>
              <w:t>3</w:t>
            </w:r>
            <w:r>
              <w:rPr>
                <w:szCs w:val="21"/>
              </w:rPr>
              <w:t>)</w:t>
            </w:r>
          </w:p>
        </w:tc>
        <w:tc>
          <w:tcPr>
            <w:tcW w:w="2078" w:type="dxa"/>
            <w:vAlign w:val="center"/>
          </w:tcPr>
          <w:p w14:paraId="1B55AF63">
            <w:pPr>
              <w:pStyle w:val="518"/>
              <w:rPr>
                <w:szCs w:val="21"/>
              </w:rPr>
            </w:pPr>
            <w:r>
              <w:rPr>
                <w:szCs w:val="21"/>
                <w:lang w:val="zh-CN"/>
              </w:rPr>
              <w:t>单因子评价指数</w:t>
            </w:r>
          </w:p>
        </w:tc>
        <w:tc>
          <w:tcPr>
            <w:tcW w:w="1673" w:type="dxa"/>
            <w:vAlign w:val="center"/>
          </w:tcPr>
          <w:p w14:paraId="6F4D400F">
            <w:pPr>
              <w:pStyle w:val="518"/>
              <w:rPr>
                <w:szCs w:val="21"/>
              </w:rPr>
            </w:pPr>
            <w:r>
              <w:rPr>
                <w:szCs w:val="21"/>
                <w:lang w:val="zh-CN"/>
              </w:rPr>
              <w:t>超标率(%)</w:t>
            </w:r>
          </w:p>
        </w:tc>
      </w:tr>
      <w:tr w14:paraId="239072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4" w:type="dxa"/>
            <w:vMerge w:val="restart"/>
            <w:vAlign w:val="center"/>
          </w:tcPr>
          <w:p w14:paraId="34D9410C">
            <w:pPr>
              <w:pStyle w:val="518"/>
              <w:rPr>
                <w:szCs w:val="21"/>
              </w:rPr>
            </w:pPr>
            <w:bookmarkStart w:id="251" w:name="OLE_LINK1" w:colFirst="2" w:colLast="2"/>
            <w:r>
              <w:rPr>
                <w:szCs w:val="21"/>
              </w:rPr>
              <w:t>TSP</w:t>
            </w:r>
          </w:p>
        </w:tc>
        <w:tc>
          <w:tcPr>
            <w:tcW w:w="1818" w:type="dxa"/>
          </w:tcPr>
          <w:p w14:paraId="4B11B73A">
            <w:pPr>
              <w:pStyle w:val="518"/>
              <w:rPr>
                <w:szCs w:val="21"/>
                <w:lang w:eastAsia="zh-CN"/>
              </w:rPr>
            </w:pPr>
            <w:r>
              <w:rPr>
                <w:rFonts w:hint="eastAsia"/>
                <w:szCs w:val="21"/>
                <w:lang w:eastAsia="zh-CN"/>
              </w:rPr>
              <w:t>1#</w:t>
            </w:r>
          </w:p>
        </w:tc>
        <w:tc>
          <w:tcPr>
            <w:tcW w:w="2146" w:type="dxa"/>
            <w:vAlign w:val="center"/>
          </w:tcPr>
          <w:p w14:paraId="276938C3">
            <w:pPr>
              <w:pStyle w:val="518"/>
              <w:rPr>
                <w:szCs w:val="21"/>
                <w:lang w:eastAsia="zh-CN"/>
              </w:rPr>
            </w:pPr>
            <w:r>
              <w:rPr>
                <w:rFonts w:hint="eastAsia"/>
                <w:szCs w:val="21"/>
                <w:lang w:eastAsia="zh-CN"/>
              </w:rPr>
              <w:t>0.096</w:t>
            </w:r>
            <w:r>
              <w:rPr>
                <w:szCs w:val="21"/>
              </w:rPr>
              <w:t>～</w:t>
            </w:r>
            <w:r>
              <w:rPr>
                <w:rFonts w:hint="eastAsia"/>
                <w:szCs w:val="21"/>
                <w:lang w:eastAsia="zh-CN"/>
              </w:rPr>
              <w:t>0.162</w:t>
            </w:r>
          </w:p>
        </w:tc>
        <w:tc>
          <w:tcPr>
            <w:tcW w:w="2078" w:type="dxa"/>
            <w:vAlign w:val="center"/>
          </w:tcPr>
          <w:p w14:paraId="6C74D6FF">
            <w:pPr>
              <w:pStyle w:val="518"/>
              <w:rPr>
                <w:szCs w:val="21"/>
                <w:lang w:eastAsia="zh-CN"/>
              </w:rPr>
            </w:pPr>
            <w:r>
              <w:rPr>
                <w:rFonts w:hint="eastAsia"/>
                <w:szCs w:val="21"/>
                <w:lang w:eastAsia="zh-CN"/>
              </w:rPr>
              <w:t>0.32</w:t>
            </w:r>
            <w:r>
              <w:rPr>
                <w:szCs w:val="21"/>
              </w:rPr>
              <w:t>～</w:t>
            </w:r>
            <w:r>
              <w:rPr>
                <w:rFonts w:hint="eastAsia"/>
                <w:szCs w:val="21"/>
                <w:lang w:eastAsia="zh-CN"/>
              </w:rPr>
              <w:t>0.54</w:t>
            </w:r>
          </w:p>
        </w:tc>
        <w:tc>
          <w:tcPr>
            <w:tcW w:w="1673" w:type="dxa"/>
            <w:vAlign w:val="center"/>
          </w:tcPr>
          <w:p w14:paraId="4C689428">
            <w:pPr>
              <w:pStyle w:val="518"/>
              <w:rPr>
                <w:szCs w:val="21"/>
              </w:rPr>
            </w:pPr>
            <w:r>
              <w:rPr>
                <w:szCs w:val="21"/>
              </w:rPr>
              <w:t>0</w:t>
            </w:r>
          </w:p>
        </w:tc>
      </w:tr>
      <w:tr w14:paraId="43804F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4" w:type="dxa"/>
            <w:vMerge w:val="continue"/>
            <w:vAlign w:val="center"/>
          </w:tcPr>
          <w:p w14:paraId="523D5171">
            <w:pPr>
              <w:pStyle w:val="518"/>
              <w:rPr>
                <w:szCs w:val="21"/>
              </w:rPr>
            </w:pPr>
          </w:p>
        </w:tc>
        <w:tc>
          <w:tcPr>
            <w:tcW w:w="1818" w:type="dxa"/>
          </w:tcPr>
          <w:p w14:paraId="5AAEE348">
            <w:pPr>
              <w:pStyle w:val="518"/>
              <w:rPr>
                <w:szCs w:val="21"/>
                <w:lang w:eastAsia="zh-CN"/>
              </w:rPr>
            </w:pPr>
            <w:r>
              <w:rPr>
                <w:rFonts w:hint="eastAsia"/>
                <w:szCs w:val="21"/>
                <w:lang w:eastAsia="zh-CN"/>
              </w:rPr>
              <w:t>2#</w:t>
            </w:r>
          </w:p>
        </w:tc>
        <w:tc>
          <w:tcPr>
            <w:tcW w:w="2146" w:type="dxa"/>
            <w:vAlign w:val="center"/>
          </w:tcPr>
          <w:p w14:paraId="1A5553DA">
            <w:pPr>
              <w:pStyle w:val="518"/>
              <w:rPr>
                <w:szCs w:val="21"/>
                <w:lang w:eastAsia="zh-CN"/>
              </w:rPr>
            </w:pPr>
            <w:r>
              <w:rPr>
                <w:rFonts w:hint="eastAsia"/>
                <w:szCs w:val="21"/>
                <w:lang w:eastAsia="zh-CN"/>
              </w:rPr>
              <w:t>0.085</w:t>
            </w:r>
            <w:r>
              <w:rPr>
                <w:szCs w:val="21"/>
              </w:rPr>
              <w:t>～</w:t>
            </w:r>
            <w:r>
              <w:rPr>
                <w:rFonts w:hint="eastAsia"/>
                <w:szCs w:val="21"/>
                <w:lang w:eastAsia="zh-CN"/>
              </w:rPr>
              <w:t>0.167</w:t>
            </w:r>
          </w:p>
        </w:tc>
        <w:tc>
          <w:tcPr>
            <w:tcW w:w="2078" w:type="dxa"/>
            <w:vAlign w:val="center"/>
          </w:tcPr>
          <w:p w14:paraId="5ED4D090">
            <w:pPr>
              <w:pStyle w:val="518"/>
              <w:rPr>
                <w:szCs w:val="21"/>
                <w:lang w:eastAsia="zh-CN"/>
              </w:rPr>
            </w:pPr>
            <w:r>
              <w:rPr>
                <w:rFonts w:hint="eastAsia"/>
                <w:szCs w:val="21"/>
                <w:lang w:eastAsia="zh-CN"/>
              </w:rPr>
              <w:t>0.28</w:t>
            </w:r>
            <w:r>
              <w:rPr>
                <w:szCs w:val="21"/>
              </w:rPr>
              <w:t>～</w:t>
            </w:r>
            <w:r>
              <w:rPr>
                <w:rFonts w:hint="eastAsia"/>
                <w:szCs w:val="21"/>
                <w:lang w:eastAsia="zh-CN"/>
              </w:rPr>
              <w:t>0.56</w:t>
            </w:r>
          </w:p>
        </w:tc>
        <w:tc>
          <w:tcPr>
            <w:tcW w:w="1673" w:type="dxa"/>
            <w:vAlign w:val="center"/>
          </w:tcPr>
          <w:p w14:paraId="1325C3BD">
            <w:pPr>
              <w:pStyle w:val="518"/>
              <w:rPr>
                <w:szCs w:val="21"/>
              </w:rPr>
            </w:pPr>
            <w:r>
              <w:rPr>
                <w:szCs w:val="21"/>
              </w:rPr>
              <w:t>0</w:t>
            </w:r>
          </w:p>
        </w:tc>
      </w:tr>
      <w:tr w14:paraId="16841C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4" w:type="dxa"/>
            <w:vMerge w:val="continue"/>
            <w:vAlign w:val="center"/>
          </w:tcPr>
          <w:p w14:paraId="43A5B285">
            <w:pPr>
              <w:pStyle w:val="518"/>
              <w:rPr>
                <w:szCs w:val="21"/>
              </w:rPr>
            </w:pPr>
          </w:p>
        </w:tc>
        <w:tc>
          <w:tcPr>
            <w:tcW w:w="1818" w:type="dxa"/>
          </w:tcPr>
          <w:p w14:paraId="66A05ECC">
            <w:pPr>
              <w:pStyle w:val="518"/>
              <w:rPr>
                <w:szCs w:val="21"/>
                <w:lang w:eastAsia="zh-CN"/>
              </w:rPr>
            </w:pPr>
            <w:r>
              <w:rPr>
                <w:rFonts w:hint="eastAsia"/>
                <w:szCs w:val="21"/>
                <w:lang w:eastAsia="zh-CN"/>
              </w:rPr>
              <w:t>3#</w:t>
            </w:r>
          </w:p>
        </w:tc>
        <w:tc>
          <w:tcPr>
            <w:tcW w:w="2146" w:type="dxa"/>
            <w:vAlign w:val="center"/>
          </w:tcPr>
          <w:p w14:paraId="29CA9FC9">
            <w:pPr>
              <w:pStyle w:val="518"/>
              <w:rPr>
                <w:szCs w:val="21"/>
                <w:lang w:eastAsia="zh-CN"/>
              </w:rPr>
            </w:pPr>
            <w:r>
              <w:rPr>
                <w:rFonts w:hint="eastAsia"/>
                <w:szCs w:val="21"/>
                <w:lang w:eastAsia="zh-CN"/>
              </w:rPr>
              <w:t>0. 174</w:t>
            </w:r>
            <w:r>
              <w:rPr>
                <w:szCs w:val="21"/>
              </w:rPr>
              <w:t>～</w:t>
            </w:r>
            <w:r>
              <w:rPr>
                <w:rFonts w:hint="eastAsia"/>
                <w:szCs w:val="21"/>
                <w:lang w:eastAsia="zh-CN"/>
              </w:rPr>
              <w:t>0.230</w:t>
            </w:r>
          </w:p>
        </w:tc>
        <w:tc>
          <w:tcPr>
            <w:tcW w:w="2078" w:type="dxa"/>
            <w:vAlign w:val="center"/>
          </w:tcPr>
          <w:p w14:paraId="64E1A1B7">
            <w:pPr>
              <w:pStyle w:val="518"/>
              <w:rPr>
                <w:szCs w:val="21"/>
                <w:lang w:eastAsia="zh-CN"/>
              </w:rPr>
            </w:pPr>
            <w:r>
              <w:rPr>
                <w:rFonts w:hint="eastAsia"/>
                <w:szCs w:val="21"/>
                <w:lang w:eastAsia="zh-CN"/>
              </w:rPr>
              <w:t>0.58</w:t>
            </w:r>
            <w:r>
              <w:rPr>
                <w:szCs w:val="21"/>
              </w:rPr>
              <w:t>～</w:t>
            </w:r>
            <w:r>
              <w:rPr>
                <w:rFonts w:hint="eastAsia"/>
                <w:szCs w:val="21"/>
                <w:lang w:eastAsia="zh-CN"/>
              </w:rPr>
              <w:t>0.77</w:t>
            </w:r>
          </w:p>
        </w:tc>
        <w:tc>
          <w:tcPr>
            <w:tcW w:w="1673" w:type="dxa"/>
            <w:vAlign w:val="center"/>
          </w:tcPr>
          <w:p w14:paraId="06789A13">
            <w:pPr>
              <w:pStyle w:val="518"/>
              <w:rPr>
                <w:szCs w:val="21"/>
              </w:rPr>
            </w:pPr>
            <w:r>
              <w:rPr>
                <w:szCs w:val="21"/>
              </w:rPr>
              <w:t>0</w:t>
            </w:r>
          </w:p>
        </w:tc>
      </w:tr>
      <w:tr w14:paraId="705DD4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4" w:type="dxa"/>
            <w:vMerge w:val="continue"/>
            <w:vAlign w:val="center"/>
          </w:tcPr>
          <w:p w14:paraId="0276DD11">
            <w:pPr>
              <w:pStyle w:val="518"/>
              <w:rPr>
                <w:szCs w:val="21"/>
              </w:rPr>
            </w:pPr>
          </w:p>
        </w:tc>
        <w:tc>
          <w:tcPr>
            <w:tcW w:w="1818" w:type="dxa"/>
          </w:tcPr>
          <w:p w14:paraId="08092D86">
            <w:pPr>
              <w:pStyle w:val="518"/>
              <w:rPr>
                <w:szCs w:val="21"/>
                <w:lang w:eastAsia="zh-CN"/>
              </w:rPr>
            </w:pPr>
            <w:r>
              <w:rPr>
                <w:rFonts w:hint="eastAsia"/>
                <w:szCs w:val="21"/>
                <w:lang w:eastAsia="zh-CN"/>
              </w:rPr>
              <w:t>4#</w:t>
            </w:r>
          </w:p>
        </w:tc>
        <w:tc>
          <w:tcPr>
            <w:tcW w:w="2146" w:type="dxa"/>
            <w:vAlign w:val="center"/>
          </w:tcPr>
          <w:p w14:paraId="5762ECF1">
            <w:pPr>
              <w:pStyle w:val="518"/>
              <w:rPr>
                <w:szCs w:val="21"/>
                <w:lang w:eastAsia="zh-CN"/>
              </w:rPr>
            </w:pPr>
            <w:r>
              <w:rPr>
                <w:rFonts w:hint="eastAsia"/>
                <w:szCs w:val="21"/>
                <w:lang w:eastAsia="zh-CN"/>
              </w:rPr>
              <w:t>0.104</w:t>
            </w:r>
            <w:r>
              <w:rPr>
                <w:szCs w:val="21"/>
              </w:rPr>
              <w:t>～</w:t>
            </w:r>
            <w:r>
              <w:rPr>
                <w:rFonts w:hint="eastAsia"/>
                <w:szCs w:val="21"/>
                <w:lang w:eastAsia="zh-CN"/>
              </w:rPr>
              <w:t>0.189</w:t>
            </w:r>
          </w:p>
        </w:tc>
        <w:tc>
          <w:tcPr>
            <w:tcW w:w="2078" w:type="dxa"/>
            <w:vAlign w:val="center"/>
          </w:tcPr>
          <w:p w14:paraId="5A6EBE8A">
            <w:pPr>
              <w:pStyle w:val="518"/>
              <w:rPr>
                <w:szCs w:val="21"/>
                <w:lang w:eastAsia="zh-CN"/>
              </w:rPr>
            </w:pPr>
            <w:r>
              <w:rPr>
                <w:rFonts w:hint="eastAsia"/>
                <w:szCs w:val="21"/>
                <w:lang w:eastAsia="zh-CN"/>
              </w:rPr>
              <w:t>0.35</w:t>
            </w:r>
            <w:r>
              <w:rPr>
                <w:szCs w:val="21"/>
              </w:rPr>
              <w:t>～</w:t>
            </w:r>
            <w:r>
              <w:rPr>
                <w:rFonts w:hint="eastAsia"/>
                <w:szCs w:val="21"/>
                <w:lang w:eastAsia="zh-CN"/>
              </w:rPr>
              <w:t>0.63</w:t>
            </w:r>
          </w:p>
        </w:tc>
        <w:tc>
          <w:tcPr>
            <w:tcW w:w="1673" w:type="dxa"/>
            <w:vAlign w:val="center"/>
          </w:tcPr>
          <w:p w14:paraId="07F8FF9B">
            <w:pPr>
              <w:pStyle w:val="518"/>
              <w:rPr>
                <w:szCs w:val="21"/>
                <w:lang w:eastAsia="zh-CN"/>
              </w:rPr>
            </w:pPr>
            <w:r>
              <w:rPr>
                <w:rFonts w:hint="eastAsia"/>
                <w:szCs w:val="21"/>
                <w:lang w:eastAsia="zh-CN"/>
              </w:rPr>
              <w:t>0</w:t>
            </w:r>
          </w:p>
        </w:tc>
      </w:tr>
      <w:bookmarkEnd w:id="251"/>
      <w:tr w14:paraId="160A40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4" w:type="dxa"/>
            <w:vMerge w:val="restart"/>
            <w:vAlign w:val="center"/>
          </w:tcPr>
          <w:p w14:paraId="58B85CFF">
            <w:pPr>
              <w:pStyle w:val="518"/>
              <w:rPr>
                <w:szCs w:val="21"/>
              </w:rPr>
            </w:pPr>
            <w:r>
              <w:rPr>
                <w:szCs w:val="21"/>
              </w:rPr>
              <w:t>PM</w:t>
            </w:r>
            <w:r>
              <w:rPr>
                <w:szCs w:val="21"/>
                <w:vertAlign w:val="subscript"/>
              </w:rPr>
              <w:t>10</w:t>
            </w:r>
          </w:p>
        </w:tc>
        <w:tc>
          <w:tcPr>
            <w:tcW w:w="1818" w:type="dxa"/>
          </w:tcPr>
          <w:p w14:paraId="70C92E65">
            <w:pPr>
              <w:pStyle w:val="518"/>
              <w:rPr>
                <w:szCs w:val="21"/>
                <w:lang w:eastAsia="zh-CN"/>
              </w:rPr>
            </w:pPr>
            <w:r>
              <w:rPr>
                <w:rFonts w:hint="eastAsia"/>
                <w:szCs w:val="21"/>
                <w:lang w:eastAsia="zh-CN"/>
              </w:rPr>
              <w:t>1#</w:t>
            </w:r>
          </w:p>
        </w:tc>
        <w:tc>
          <w:tcPr>
            <w:tcW w:w="2146" w:type="dxa"/>
            <w:vAlign w:val="center"/>
          </w:tcPr>
          <w:p w14:paraId="00F471C2">
            <w:pPr>
              <w:pStyle w:val="518"/>
              <w:rPr>
                <w:szCs w:val="21"/>
                <w:lang w:eastAsia="zh-CN"/>
              </w:rPr>
            </w:pPr>
            <w:r>
              <w:rPr>
                <w:szCs w:val="21"/>
                <w:lang w:eastAsia="zh-CN"/>
              </w:rPr>
              <w:t>0.05</w:t>
            </w:r>
            <w:r>
              <w:rPr>
                <w:rFonts w:hint="eastAsia"/>
                <w:szCs w:val="21"/>
                <w:lang w:eastAsia="zh-CN"/>
              </w:rPr>
              <w:t>2</w:t>
            </w:r>
            <w:r>
              <w:rPr>
                <w:szCs w:val="21"/>
              </w:rPr>
              <w:t>～0.</w:t>
            </w:r>
            <w:r>
              <w:rPr>
                <w:szCs w:val="21"/>
                <w:lang w:eastAsia="zh-CN"/>
              </w:rPr>
              <w:t>0</w:t>
            </w:r>
            <w:r>
              <w:rPr>
                <w:rFonts w:hint="eastAsia"/>
                <w:szCs w:val="21"/>
                <w:lang w:eastAsia="zh-CN"/>
              </w:rPr>
              <w:t>89</w:t>
            </w:r>
          </w:p>
        </w:tc>
        <w:tc>
          <w:tcPr>
            <w:tcW w:w="2078" w:type="dxa"/>
            <w:vAlign w:val="center"/>
          </w:tcPr>
          <w:p w14:paraId="351069A1">
            <w:pPr>
              <w:pStyle w:val="518"/>
              <w:rPr>
                <w:szCs w:val="21"/>
                <w:lang w:eastAsia="zh-CN"/>
              </w:rPr>
            </w:pPr>
            <w:r>
              <w:rPr>
                <w:rFonts w:hint="eastAsia"/>
                <w:szCs w:val="21"/>
                <w:lang w:eastAsia="zh-CN"/>
              </w:rPr>
              <w:t>0.35</w:t>
            </w:r>
            <w:r>
              <w:rPr>
                <w:szCs w:val="21"/>
              </w:rPr>
              <w:t>～</w:t>
            </w:r>
            <w:r>
              <w:rPr>
                <w:rFonts w:hint="eastAsia"/>
                <w:szCs w:val="21"/>
                <w:lang w:eastAsia="zh-CN"/>
              </w:rPr>
              <w:t>0.59</w:t>
            </w:r>
          </w:p>
        </w:tc>
        <w:tc>
          <w:tcPr>
            <w:tcW w:w="1673" w:type="dxa"/>
            <w:vAlign w:val="center"/>
          </w:tcPr>
          <w:p w14:paraId="081AE1E9">
            <w:pPr>
              <w:pStyle w:val="518"/>
              <w:rPr>
                <w:szCs w:val="21"/>
              </w:rPr>
            </w:pPr>
            <w:r>
              <w:rPr>
                <w:szCs w:val="21"/>
              </w:rPr>
              <w:t>0</w:t>
            </w:r>
          </w:p>
        </w:tc>
      </w:tr>
      <w:tr w14:paraId="792122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4" w:type="dxa"/>
            <w:vMerge w:val="continue"/>
            <w:vAlign w:val="center"/>
          </w:tcPr>
          <w:p w14:paraId="66D167F9">
            <w:pPr>
              <w:pStyle w:val="518"/>
              <w:rPr>
                <w:szCs w:val="21"/>
              </w:rPr>
            </w:pPr>
          </w:p>
        </w:tc>
        <w:tc>
          <w:tcPr>
            <w:tcW w:w="1818" w:type="dxa"/>
          </w:tcPr>
          <w:p w14:paraId="2868EA7A">
            <w:pPr>
              <w:pStyle w:val="518"/>
              <w:rPr>
                <w:szCs w:val="21"/>
                <w:lang w:eastAsia="zh-CN"/>
              </w:rPr>
            </w:pPr>
            <w:r>
              <w:rPr>
                <w:rFonts w:hint="eastAsia"/>
                <w:szCs w:val="21"/>
                <w:lang w:eastAsia="zh-CN"/>
              </w:rPr>
              <w:t>2#</w:t>
            </w:r>
          </w:p>
        </w:tc>
        <w:tc>
          <w:tcPr>
            <w:tcW w:w="2146" w:type="dxa"/>
            <w:vAlign w:val="center"/>
          </w:tcPr>
          <w:p w14:paraId="74B2BC5C">
            <w:pPr>
              <w:pStyle w:val="518"/>
              <w:rPr>
                <w:szCs w:val="21"/>
                <w:lang w:eastAsia="zh-CN"/>
              </w:rPr>
            </w:pPr>
            <w:r>
              <w:rPr>
                <w:szCs w:val="21"/>
                <w:lang w:eastAsia="zh-CN"/>
              </w:rPr>
              <w:t>0.0</w:t>
            </w:r>
            <w:r>
              <w:rPr>
                <w:rFonts w:hint="eastAsia"/>
                <w:szCs w:val="21"/>
                <w:lang w:eastAsia="zh-CN"/>
              </w:rPr>
              <w:t>52</w:t>
            </w:r>
            <w:r>
              <w:rPr>
                <w:szCs w:val="21"/>
              </w:rPr>
              <w:t>～</w:t>
            </w:r>
            <w:r>
              <w:rPr>
                <w:szCs w:val="21"/>
                <w:lang w:eastAsia="zh-CN"/>
              </w:rPr>
              <w:t>0.0</w:t>
            </w:r>
            <w:r>
              <w:rPr>
                <w:rFonts w:hint="eastAsia"/>
                <w:szCs w:val="21"/>
                <w:lang w:eastAsia="zh-CN"/>
              </w:rPr>
              <w:t>97</w:t>
            </w:r>
          </w:p>
        </w:tc>
        <w:tc>
          <w:tcPr>
            <w:tcW w:w="2078" w:type="dxa"/>
            <w:vAlign w:val="center"/>
          </w:tcPr>
          <w:p w14:paraId="6C24E8EE">
            <w:pPr>
              <w:pStyle w:val="518"/>
              <w:rPr>
                <w:szCs w:val="21"/>
                <w:lang w:eastAsia="zh-CN"/>
              </w:rPr>
            </w:pPr>
            <w:r>
              <w:rPr>
                <w:rFonts w:hint="eastAsia"/>
                <w:szCs w:val="21"/>
                <w:lang w:eastAsia="zh-CN"/>
              </w:rPr>
              <w:t>0.35</w:t>
            </w:r>
            <w:r>
              <w:rPr>
                <w:szCs w:val="21"/>
              </w:rPr>
              <w:t>～</w:t>
            </w:r>
            <w:r>
              <w:rPr>
                <w:rFonts w:hint="eastAsia"/>
                <w:szCs w:val="21"/>
                <w:lang w:eastAsia="zh-CN"/>
              </w:rPr>
              <w:t>0.65</w:t>
            </w:r>
          </w:p>
        </w:tc>
        <w:tc>
          <w:tcPr>
            <w:tcW w:w="1673" w:type="dxa"/>
            <w:vAlign w:val="center"/>
          </w:tcPr>
          <w:p w14:paraId="76C13029">
            <w:pPr>
              <w:pStyle w:val="518"/>
              <w:rPr>
                <w:szCs w:val="21"/>
              </w:rPr>
            </w:pPr>
            <w:r>
              <w:rPr>
                <w:szCs w:val="21"/>
              </w:rPr>
              <w:t>0</w:t>
            </w:r>
          </w:p>
        </w:tc>
      </w:tr>
      <w:tr w14:paraId="5E8A56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4" w:type="dxa"/>
            <w:vMerge w:val="continue"/>
            <w:vAlign w:val="center"/>
          </w:tcPr>
          <w:p w14:paraId="4FF063D8">
            <w:pPr>
              <w:pStyle w:val="518"/>
              <w:rPr>
                <w:szCs w:val="21"/>
              </w:rPr>
            </w:pPr>
          </w:p>
        </w:tc>
        <w:tc>
          <w:tcPr>
            <w:tcW w:w="1818" w:type="dxa"/>
          </w:tcPr>
          <w:p w14:paraId="5CDD3DA3">
            <w:pPr>
              <w:pStyle w:val="518"/>
              <w:rPr>
                <w:szCs w:val="21"/>
                <w:lang w:eastAsia="zh-CN"/>
              </w:rPr>
            </w:pPr>
            <w:r>
              <w:rPr>
                <w:rFonts w:hint="eastAsia"/>
                <w:szCs w:val="21"/>
                <w:lang w:eastAsia="zh-CN"/>
              </w:rPr>
              <w:t>3#</w:t>
            </w:r>
          </w:p>
        </w:tc>
        <w:tc>
          <w:tcPr>
            <w:tcW w:w="2146" w:type="dxa"/>
            <w:vAlign w:val="center"/>
          </w:tcPr>
          <w:p w14:paraId="0B1E38FB">
            <w:pPr>
              <w:pStyle w:val="518"/>
              <w:rPr>
                <w:szCs w:val="21"/>
                <w:lang w:eastAsia="zh-CN"/>
              </w:rPr>
            </w:pPr>
            <w:r>
              <w:rPr>
                <w:szCs w:val="21"/>
                <w:lang w:eastAsia="zh-CN"/>
              </w:rPr>
              <w:t>0.0</w:t>
            </w:r>
            <w:r>
              <w:rPr>
                <w:rFonts w:hint="eastAsia"/>
                <w:szCs w:val="21"/>
                <w:lang w:eastAsia="zh-CN"/>
              </w:rPr>
              <w:t>94</w:t>
            </w:r>
            <w:r>
              <w:rPr>
                <w:szCs w:val="21"/>
              </w:rPr>
              <w:t>～0.</w:t>
            </w:r>
            <w:r>
              <w:rPr>
                <w:rFonts w:hint="eastAsia"/>
                <w:szCs w:val="21"/>
                <w:lang w:eastAsia="zh-CN"/>
              </w:rPr>
              <w:t>118</w:t>
            </w:r>
          </w:p>
        </w:tc>
        <w:tc>
          <w:tcPr>
            <w:tcW w:w="2078" w:type="dxa"/>
            <w:vAlign w:val="center"/>
          </w:tcPr>
          <w:p w14:paraId="6EB300F4">
            <w:pPr>
              <w:pStyle w:val="518"/>
              <w:rPr>
                <w:szCs w:val="21"/>
                <w:lang w:eastAsia="zh-CN"/>
              </w:rPr>
            </w:pPr>
            <w:r>
              <w:rPr>
                <w:rFonts w:hint="eastAsia"/>
                <w:szCs w:val="21"/>
                <w:lang w:eastAsia="zh-CN"/>
              </w:rPr>
              <w:t>0.63</w:t>
            </w:r>
            <w:r>
              <w:rPr>
                <w:szCs w:val="21"/>
              </w:rPr>
              <w:t>～</w:t>
            </w:r>
            <w:r>
              <w:rPr>
                <w:rFonts w:hint="eastAsia"/>
                <w:szCs w:val="21"/>
                <w:lang w:eastAsia="zh-CN"/>
              </w:rPr>
              <w:t>0.79</w:t>
            </w:r>
          </w:p>
        </w:tc>
        <w:tc>
          <w:tcPr>
            <w:tcW w:w="1673" w:type="dxa"/>
            <w:vAlign w:val="center"/>
          </w:tcPr>
          <w:p w14:paraId="1EF2C378">
            <w:pPr>
              <w:pStyle w:val="518"/>
              <w:rPr>
                <w:szCs w:val="21"/>
              </w:rPr>
            </w:pPr>
            <w:r>
              <w:rPr>
                <w:szCs w:val="21"/>
              </w:rPr>
              <w:t>0</w:t>
            </w:r>
          </w:p>
        </w:tc>
      </w:tr>
      <w:tr w14:paraId="7B3477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4" w:type="dxa"/>
            <w:vMerge w:val="continue"/>
            <w:vAlign w:val="center"/>
          </w:tcPr>
          <w:p w14:paraId="0DC7631E">
            <w:pPr>
              <w:pStyle w:val="518"/>
              <w:rPr>
                <w:szCs w:val="21"/>
              </w:rPr>
            </w:pPr>
          </w:p>
        </w:tc>
        <w:tc>
          <w:tcPr>
            <w:tcW w:w="1818" w:type="dxa"/>
          </w:tcPr>
          <w:p w14:paraId="36B3F311">
            <w:pPr>
              <w:pStyle w:val="518"/>
              <w:rPr>
                <w:szCs w:val="21"/>
                <w:lang w:eastAsia="zh-CN"/>
              </w:rPr>
            </w:pPr>
            <w:r>
              <w:rPr>
                <w:rFonts w:hint="eastAsia"/>
                <w:szCs w:val="21"/>
                <w:lang w:eastAsia="zh-CN"/>
              </w:rPr>
              <w:t>4#</w:t>
            </w:r>
          </w:p>
        </w:tc>
        <w:tc>
          <w:tcPr>
            <w:tcW w:w="2146" w:type="dxa"/>
            <w:vAlign w:val="center"/>
          </w:tcPr>
          <w:p w14:paraId="70F17442">
            <w:pPr>
              <w:pStyle w:val="518"/>
              <w:rPr>
                <w:szCs w:val="21"/>
                <w:lang w:eastAsia="zh-CN"/>
              </w:rPr>
            </w:pPr>
            <w:r>
              <w:rPr>
                <w:rFonts w:hint="eastAsia"/>
                <w:szCs w:val="21"/>
                <w:lang w:eastAsia="zh-CN"/>
              </w:rPr>
              <w:t>0.068</w:t>
            </w:r>
            <w:r>
              <w:rPr>
                <w:szCs w:val="21"/>
              </w:rPr>
              <w:t>～</w:t>
            </w:r>
            <w:r>
              <w:rPr>
                <w:rFonts w:hint="eastAsia"/>
                <w:szCs w:val="21"/>
                <w:lang w:eastAsia="zh-CN"/>
              </w:rPr>
              <w:t>0.113</w:t>
            </w:r>
          </w:p>
        </w:tc>
        <w:tc>
          <w:tcPr>
            <w:tcW w:w="2078" w:type="dxa"/>
            <w:vAlign w:val="center"/>
          </w:tcPr>
          <w:p w14:paraId="179A2E87">
            <w:pPr>
              <w:pStyle w:val="518"/>
              <w:rPr>
                <w:szCs w:val="21"/>
                <w:lang w:eastAsia="zh-CN"/>
              </w:rPr>
            </w:pPr>
            <w:r>
              <w:rPr>
                <w:rFonts w:hint="eastAsia"/>
                <w:szCs w:val="21"/>
                <w:lang w:eastAsia="zh-CN"/>
              </w:rPr>
              <w:t>0.45</w:t>
            </w:r>
            <w:r>
              <w:rPr>
                <w:szCs w:val="21"/>
              </w:rPr>
              <w:t>～</w:t>
            </w:r>
            <w:r>
              <w:rPr>
                <w:rFonts w:hint="eastAsia"/>
                <w:szCs w:val="21"/>
                <w:lang w:eastAsia="zh-CN"/>
              </w:rPr>
              <w:t>0.75</w:t>
            </w:r>
          </w:p>
        </w:tc>
        <w:tc>
          <w:tcPr>
            <w:tcW w:w="1673" w:type="dxa"/>
            <w:vAlign w:val="center"/>
          </w:tcPr>
          <w:p w14:paraId="1639A83E">
            <w:pPr>
              <w:pStyle w:val="518"/>
              <w:rPr>
                <w:szCs w:val="21"/>
                <w:lang w:eastAsia="zh-CN"/>
              </w:rPr>
            </w:pPr>
            <w:r>
              <w:rPr>
                <w:rFonts w:hint="eastAsia"/>
                <w:szCs w:val="21"/>
                <w:lang w:eastAsia="zh-CN"/>
              </w:rPr>
              <w:t>0</w:t>
            </w:r>
          </w:p>
        </w:tc>
      </w:tr>
      <w:tr w14:paraId="3CBB9B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4" w:type="dxa"/>
            <w:vMerge w:val="restart"/>
            <w:vAlign w:val="center"/>
          </w:tcPr>
          <w:p w14:paraId="6C3F1D02">
            <w:pPr>
              <w:pStyle w:val="518"/>
              <w:rPr>
                <w:szCs w:val="21"/>
              </w:rPr>
            </w:pPr>
            <w:r>
              <w:rPr>
                <w:spacing w:val="20"/>
                <w:szCs w:val="21"/>
              </w:rPr>
              <w:t>SO</w:t>
            </w:r>
            <w:r>
              <w:rPr>
                <w:spacing w:val="20"/>
                <w:szCs w:val="21"/>
                <w:vertAlign w:val="subscript"/>
              </w:rPr>
              <w:t>2</w:t>
            </w:r>
          </w:p>
        </w:tc>
        <w:tc>
          <w:tcPr>
            <w:tcW w:w="1818" w:type="dxa"/>
            <w:vMerge w:val="restart"/>
            <w:vAlign w:val="center"/>
          </w:tcPr>
          <w:p w14:paraId="5EAF4E98">
            <w:pPr>
              <w:pStyle w:val="518"/>
              <w:rPr>
                <w:szCs w:val="21"/>
                <w:lang w:eastAsia="zh-CN"/>
              </w:rPr>
            </w:pPr>
            <w:r>
              <w:rPr>
                <w:rFonts w:hint="eastAsia"/>
                <w:szCs w:val="21"/>
                <w:lang w:eastAsia="zh-CN"/>
              </w:rPr>
              <w:t>1#</w:t>
            </w:r>
          </w:p>
        </w:tc>
        <w:tc>
          <w:tcPr>
            <w:tcW w:w="5897" w:type="dxa"/>
            <w:gridSpan w:val="3"/>
            <w:vAlign w:val="center"/>
          </w:tcPr>
          <w:p w14:paraId="73BCEA6E">
            <w:pPr>
              <w:pStyle w:val="518"/>
              <w:rPr>
                <w:szCs w:val="21"/>
              </w:rPr>
            </w:pPr>
            <w:r>
              <w:rPr>
                <w:szCs w:val="21"/>
              </w:rPr>
              <w:t>日均值统计结果</w:t>
            </w:r>
          </w:p>
        </w:tc>
      </w:tr>
      <w:tr w14:paraId="09B35F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4" w:type="dxa"/>
            <w:vMerge w:val="continue"/>
            <w:vAlign w:val="center"/>
          </w:tcPr>
          <w:p w14:paraId="02B9D0B8">
            <w:pPr>
              <w:pStyle w:val="518"/>
              <w:rPr>
                <w:szCs w:val="21"/>
              </w:rPr>
            </w:pPr>
          </w:p>
        </w:tc>
        <w:tc>
          <w:tcPr>
            <w:tcW w:w="1818" w:type="dxa"/>
            <w:vMerge w:val="continue"/>
            <w:vAlign w:val="center"/>
          </w:tcPr>
          <w:p w14:paraId="0106DE57">
            <w:pPr>
              <w:pStyle w:val="518"/>
              <w:rPr>
                <w:szCs w:val="21"/>
              </w:rPr>
            </w:pPr>
          </w:p>
        </w:tc>
        <w:tc>
          <w:tcPr>
            <w:tcW w:w="2146" w:type="dxa"/>
            <w:vAlign w:val="center"/>
          </w:tcPr>
          <w:p w14:paraId="373D485C">
            <w:pPr>
              <w:pStyle w:val="518"/>
              <w:rPr>
                <w:szCs w:val="21"/>
                <w:lang w:eastAsia="zh-CN"/>
              </w:rPr>
            </w:pPr>
            <w:r>
              <w:rPr>
                <w:rFonts w:hint="eastAsia"/>
                <w:szCs w:val="21"/>
                <w:lang w:eastAsia="zh-CN"/>
              </w:rPr>
              <w:t>0.012</w:t>
            </w:r>
            <w:r>
              <w:rPr>
                <w:szCs w:val="21"/>
              </w:rPr>
              <w:t>～</w:t>
            </w:r>
            <w:r>
              <w:rPr>
                <w:rFonts w:hint="eastAsia"/>
                <w:szCs w:val="21"/>
                <w:lang w:eastAsia="zh-CN"/>
              </w:rPr>
              <w:t>0.021</w:t>
            </w:r>
          </w:p>
        </w:tc>
        <w:tc>
          <w:tcPr>
            <w:tcW w:w="2078" w:type="dxa"/>
            <w:vAlign w:val="center"/>
          </w:tcPr>
          <w:p w14:paraId="06A86845">
            <w:pPr>
              <w:pStyle w:val="518"/>
              <w:rPr>
                <w:szCs w:val="21"/>
                <w:lang w:eastAsia="zh-CN"/>
              </w:rPr>
            </w:pPr>
            <w:r>
              <w:rPr>
                <w:rFonts w:hint="eastAsia"/>
                <w:szCs w:val="21"/>
                <w:lang w:eastAsia="zh-CN"/>
              </w:rPr>
              <w:t>0.08</w:t>
            </w:r>
            <w:r>
              <w:rPr>
                <w:szCs w:val="21"/>
              </w:rPr>
              <w:t>～</w:t>
            </w:r>
            <w:r>
              <w:rPr>
                <w:rFonts w:hint="eastAsia"/>
                <w:szCs w:val="21"/>
                <w:lang w:eastAsia="zh-CN"/>
              </w:rPr>
              <w:t>0.14</w:t>
            </w:r>
          </w:p>
        </w:tc>
        <w:tc>
          <w:tcPr>
            <w:tcW w:w="1673" w:type="dxa"/>
            <w:vAlign w:val="center"/>
          </w:tcPr>
          <w:p w14:paraId="17C9A2A9">
            <w:pPr>
              <w:pStyle w:val="518"/>
              <w:rPr>
                <w:szCs w:val="21"/>
              </w:rPr>
            </w:pPr>
            <w:r>
              <w:rPr>
                <w:szCs w:val="21"/>
              </w:rPr>
              <w:t>0</w:t>
            </w:r>
          </w:p>
        </w:tc>
      </w:tr>
      <w:tr w14:paraId="57CE71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4" w:type="dxa"/>
            <w:vMerge w:val="continue"/>
            <w:vAlign w:val="center"/>
          </w:tcPr>
          <w:p w14:paraId="5A0F152B">
            <w:pPr>
              <w:pStyle w:val="518"/>
              <w:rPr>
                <w:szCs w:val="21"/>
              </w:rPr>
            </w:pPr>
          </w:p>
        </w:tc>
        <w:tc>
          <w:tcPr>
            <w:tcW w:w="1818" w:type="dxa"/>
            <w:vMerge w:val="continue"/>
            <w:vAlign w:val="center"/>
          </w:tcPr>
          <w:p w14:paraId="2B1EE82B">
            <w:pPr>
              <w:pStyle w:val="518"/>
              <w:rPr>
                <w:szCs w:val="21"/>
              </w:rPr>
            </w:pPr>
          </w:p>
        </w:tc>
        <w:tc>
          <w:tcPr>
            <w:tcW w:w="5897" w:type="dxa"/>
            <w:gridSpan w:val="3"/>
            <w:vAlign w:val="center"/>
          </w:tcPr>
          <w:p w14:paraId="0A3664BE">
            <w:pPr>
              <w:pStyle w:val="518"/>
              <w:rPr>
                <w:szCs w:val="21"/>
              </w:rPr>
            </w:pPr>
            <w:r>
              <w:rPr>
                <w:szCs w:val="21"/>
              </w:rPr>
              <w:t>小时均值统计结果</w:t>
            </w:r>
          </w:p>
        </w:tc>
      </w:tr>
      <w:tr w14:paraId="6149EB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4" w:type="dxa"/>
            <w:vMerge w:val="continue"/>
            <w:vAlign w:val="center"/>
          </w:tcPr>
          <w:p w14:paraId="2381A060">
            <w:pPr>
              <w:pStyle w:val="518"/>
              <w:rPr>
                <w:szCs w:val="21"/>
              </w:rPr>
            </w:pPr>
          </w:p>
        </w:tc>
        <w:tc>
          <w:tcPr>
            <w:tcW w:w="1818" w:type="dxa"/>
            <w:vMerge w:val="continue"/>
            <w:vAlign w:val="center"/>
          </w:tcPr>
          <w:p w14:paraId="15FD82AD">
            <w:pPr>
              <w:pStyle w:val="518"/>
              <w:rPr>
                <w:szCs w:val="21"/>
              </w:rPr>
            </w:pPr>
          </w:p>
        </w:tc>
        <w:tc>
          <w:tcPr>
            <w:tcW w:w="2146" w:type="dxa"/>
            <w:vAlign w:val="center"/>
          </w:tcPr>
          <w:p w14:paraId="18FF8524">
            <w:pPr>
              <w:pStyle w:val="518"/>
              <w:rPr>
                <w:szCs w:val="21"/>
                <w:lang w:eastAsia="zh-CN"/>
              </w:rPr>
            </w:pPr>
            <w:r>
              <w:rPr>
                <w:szCs w:val="21"/>
              </w:rPr>
              <w:t>0.007L～</w:t>
            </w:r>
            <w:r>
              <w:rPr>
                <w:rFonts w:hint="eastAsia"/>
                <w:szCs w:val="21"/>
                <w:lang w:eastAsia="zh-CN"/>
              </w:rPr>
              <w:t>0.019</w:t>
            </w:r>
          </w:p>
        </w:tc>
        <w:tc>
          <w:tcPr>
            <w:tcW w:w="2078" w:type="dxa"/>
            <w:vAlign w:val="center"/>
          </w:tcPr>
          <w:p w14:paraId="267E1990">
            <w:pPr>
              <w:pStyle w:val="518"/>
              <w:rPr>
                <w:szCs w:val="21"/>
                <w:lang w:eastAsia="zh-CN"/>
              </w:rPr>
            </w:pPr>
            <w:r>
              <w:rPr>
                <w:rFonts w:hint="eastAsia"/>
                <w:szCs w:val="21"/>
                <w:lang w:eastAsia="zh-CN"/>
              </w:rPr>
              <w:t>0.007</w:t>
            </w:r>
            <w:r>
              <w:rPr>
                <w:szCs w:val="21"/>
              </w:rPr>
              <w:t>～</w:t>
            </w:r>
            <w:r>
              <w:rPr>
                <w:rFonts w:hint="eastAsia"/>
                <w:szCs w:val="21"/>
                <w:lang w:eastAsia="zh-CN"/>
              </w:rPr>
              <w:t>0.038</w:t>
            </w:r>
          </w:p>
        </w:tc>
        <w:tc>
          <w:tcPr>
            <w:tcW w:w="1673" w:type="dxa"/>
            <w:vAlign w:val="center"/>
          </w:tcPr>
          <w:p w14:paraId="5CA5ECA5">
            <w:pPr>
              <w:pStyle w:val="518"/>
              <w:rPr>
                <w:szCs w:val="21"/>
              </w:rPr>
            </w:pPr>
            <w:r>
              <w:rPr>
                <w:szCs w:val="21"/>
              </w:rPr>
              <w:t>0</w:t>
            </w:r>
          </w:p>
        </w:tc>
      </w:tr>
      <w:tr w14:paraId="2EE6F4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4" w:type="dxa"/>
            <w:vMerge w:val="continue"/>
            <w:vAlign w:val="center"/>
          </w:tcPr>
          <w:p w14:paraId="3A339987">
            <w:pPr>
              <w:pStyle w:val="518"/>
              <w:rPr>
                <w:szCs w:val="21"/>
              </w:rPr>
            </w:pPr>
          </w:p>
        </w:tc>
        <w:tc>
          <w:tcPr>
            <w:tcW w:w="1818" w:type="dxa"/>
            <w:vMerge w:val="restart"/>
            <w:vAlign w:val="center"/>
          </w:tcPr>
          <w:p w14:paraId="45358529">
            <w:pPr>
              <w:pStyle w:val="518"/>
              <w:rPr>
                <w:szCs w:val="21"/>
                <w:lang w:eastAsia="zh-CN"/>
              </w:rPr>
            </w:pPr>
            <w:r>
              <w:rPr>
                <w:rFonts w:hint="eastAsia"/>
                <w:szCs w:val="21"/>
                <w:lang w:eastAsia="zh-CN"/>
              </w:rPr>
              <w:t>2#</w:t>
            </w:r>
          </w:p>
        </w:tc>
        <w:tc>
          <w:tcPr>
            <w:tcW w:w="5897" w:type="dxa"/>
            <w:gridSpan w:val="3"/>
            <w:vAlign w:val="center"/>
          </w:tcPr>
          <w:p w14:paraId="292B8B79">
            <w:pPr>
              <w:pStyle w:val="518"/>
              <w:rPr>
                <w:szCs w:val="21"/>
              </w:rPr>
            </w:pPr>
            <w:r>
              <w:rPr>
                <w:szCs w:val="21"/>
              </w:rPr>
              <w:t>日均值统计结果</w:t>
            </w:r>
          </w:p>
        </w:tc>
      </w:tr>
      <w:tr w14:paraId="1608EC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4" w:type="dxa"/>
            <w:vMerge w:val="continue"/>
            <w:vAlign w:val="center"/>
          </w:tcPr>
          <w:p w14:paraId="1CE050F4">
            <w:pPr>
              <w:pStyle w:val="518"/>
              <w:rPr>
                <w:szCs w:val="21"/>
              </w:rPr>
            </w:pPr>
          </w:p>
        </w:tc>
        <w:tc>
          <w:tcPr>
            <w:tcW w:w="1818" w:type="dxa"/>
            <w:vMerge w:val="continue"/>
            <w:vAlign w:val="center"/>
          </w:tcPr>
          <w:p w14:paraId="7F131905">
            <w:pPr>
              <w:pStyle w:val="518"/>
              <w:rPr>
                <w:szCs w:val="21"/>
              </w:rPr>
            </w:pPr>
          </w:p>
        </w:tc>
        <w:tc>
          <w:tcPr>
            <w:tcW w:w="2146" w:type="dxa"/>
            <w:vAlign w:val="center"/>
          </w:tcPr>
          <w:p w14:paraId="57A08F50">
            <w:pPr>
              <w:pStyle w:val="518"/>
              <w:rPr>
                <w:szCs w:val="21"/>
                <w:lang w:eastAsia="zh-CN"/>
              </w:rPr>
            </w:pPr>
            <w:r>
              <w:rPr>
                <w:rFonts w:hint="eastAsia"/>
                <w:szCs w:val="21"/>
                <w:lang w:eastAsia="zh-CN"/>
              </w:rPr>
              <w:t>0.007</w:t>
            </w:r>
            <w:r>
              <w:rPr>
                <w:szCs w:val="21"/>
              </w:rPr>
              <w:t>～</w:t>
            </w:r>
            <w:r>
              <w:rPr>
                <w:rFonts w:hint="eastAsia"/>
                <w:szCs w:val="21"/>
                <w:lang w:eastAsia="zh-CN"/>
              </w:rPr>
              <w:t>0.011</w:t>
            </w:r>
          </w:p>
        </w:tc>
        <w:tc>
          <w:tcPr>
            <w:tcW w:w="2078" w:type="dxa"/>
            <w:vAlign w:val="center"/>
          </w:tcPr>
          <w:p w14:paraId="426B273C">
            <w:pPr>
              <w:pStyle w:val="518"/>
              <w:rPr>
                <w:szCs w:val="21"/>
                <w:lang w:eastAsia="zh-CN"/>
              </w:rPr>
            </w:pPr>
            <w:r>
              <w:rPr>
                <w:rFonts w:hint="eastAsia"/>
                <w:szCs w:val="21"/>
                <w:lang w:eastAsia="zh-CN"/>
              </w:rPr>
              <w:t>0.047</w:t>
            </w:r>
            <w:r>
              <w:rPr>
                <w:szCs w:val="21"/>
              </w:rPr>
              <w:t>～</w:t>
            </w:r>
            <w:r>
              <w:rPr>
                <w:rFonts w:hint="eastAsia"/>
                <w:szCs w:val="21"/>
                <w:lang w:eastAsia="zh-CN"/>
              </w:rPr>
              <w:t>0.073</w:t>
            </w:r>
          </w:p>
        </w:tc>
        <w:tc>
          <w:tcPr>
            <w:tcW w:w="1673" w:type="dxa"/>
            <w:vAlign w:val="center"/>
          </w:tcPr>
          <w:p w14:paraId="4F1C3D65">
            <w:pPr>
              <w:pStyle w:val="518"/>
              <w:rPr>
                <w:szCs w:val="21"/>
              </w:rPr>
            </w:pPr>
            <w:r>
              <w:rPr>
                <w:szCs w:val="21"/>
              </w:rPr>
              <w:t>0</w:t>
            </w:r>
          </w:p>
        </w:tc>
      </w:tr>
      <w:tr w14:paraId="5EE9AC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4" w:type="dxa"/>
            <w:vMerge w:val="continue"/>
            <w:vAlign w:val="center"/>
          </w:tcPr>
          <w:p w14:paraId="1439B6B6">
            <w:pPr>
              <w:pStyle w:val="518"/>
              <w:rPr>
                <w:szCs w:val="21"/>
              </w:rPr>
            </w:pPr>
          </w:p>
        </w:tc>
        <w:tc>
          <w:tcPr>
            <w:tcW w:w="1818" w:type="dxa"/>
            <w:vMerge w:val="continue"/>
            <w:vAlign w:val="center"/>
          </w:tcPr>
          <w:p w14:paraId="57C97152">
            <w:pPr>
              <w:pStyle w:val="518"/>
              <w:rPr>
                <w:szCs w:val="21"/>
              </w:rPr>
            </w:pPr>
          </w:p>
        </w:tc>
        <w:tc>
          <w:tcPr>
            <w:tcW w:w="5897" w:type="dxa"/>
            <w:gridSpan w:val="3"/>
            <w:vAlign w:val="center"/>
          </w:tcPr>
          <w:p w14:paraId="6B8C5FFB">
            <w:pPr>
              <w:pStyle w:val="518"/>
              <w:rPr>
                <w:szCs w:val="21"/>
              </w:rPr>
            </w:pPr>
            <w:r>
              <w:rPr>
                <w:szCs w:val="21"/>
              </w:rPr>
              <w:t>小时均值统计结果</w:t>
            </w:r>
          </w:p>
        </w:tc>
      </w:tr>
      <w:tr w14:paraId="50B5C2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4" w:type="dxa"/>
            <w:vMerge w:val="continue"/>
            <w:vAlign w:val="center"/>
          </w:tcPr>
          <w:p w14:paraId="6203EB47">
            <w:pPr>
              <w:pStyle w:val="518"/>
              <w:rPr>
                <w:szCs w:val="21"/>
              </w:rPr>
            </w:pPr>
          </w:p>
        </w:tc>
        <w:tc>
          <w:tcPr>
            <w:tcW w:w="1818" w:type="dxa"/>
            <w:vMerge w:val="continue"/>
            <w:vAlign w:val="center"/>
          </w:tcPr>
          <w:p w14:paraId="365E3E7D">
            <w:pPr>
              <w:pStyle w:val="518"/>
              <w:rPr>
                <w:szCs w:val="21"/>
              </w:rPr>
            </w:pPr>
          </w:p>
        </w:tc>
        <w:tc>
          <w:tcPr>
            <w:tcW w:w="2146" w:type="dxa"/>
            <w:vAlign w:val="center"/>
          </w:tcPr>
          <w:p w14:paraId="24B32A12">
            <w:pPr>
              <w:pStyle w:val="518"/>
              <w:rPr>
                <w:szCs w:val="21"/>
              </w:rPr>
            </w:pPr>
            <w:r>
              <w:rPr>
                <w:szCs w:val="21"/>
              </w:rPr>
              <w:t>0.007L～</w:t>
            </w:r>
            <w:r>
              <w:rPr>
                <w:rFonts w:hint="eastAsia"/>
                <w:szCs w:val="21"/>
                <w:lang w:eastAsia="zh-CN"/>
              </w:rPr>
              <w:t>0.009</w:t>
            </w:r>
          </w:p>
        </w:tc>
        <w:tc>
          <w:tcPr>
            <w:tcW w:w="2078" w:type="dxa"/>
            <w:vAlign w:val="center"/>
          </w:tcPr>
          <w:p w14:paraId="42C4126A">
            <w:pPr>
              <w:pStyle w:val="518"/>
              <w:rPr>
                <w:szCs w:val="21"/>
                <w:lang w:eastAsia="zh-CN"/>
              </w:rPr>
            </w:pPr>
            <w:r>
              <w:rPr>
                <w:rFonts w:hint="eastAsia"/>
                <w:szCs w:val="21"/>
                <w:lang w:eastAsia="zh-CN"/>
              </w:rPr>
              <w:t>0.007</w:t>
            </w:r>
            <w:r>
              <w:rPr>
                <w:szCs w:val="21"/>
              </w:rPr>
              <w:t>～</w:t>
            </w:r>
            <w:r>
              <w:rPr>
                <w:rFonts w:hint="eastAsia"/>
                <w:szCs w:val="21"/>
                <w:lang w:eastAsia="zh-CN"/>
              </w:rPr>
              <w:t>0.018</w:t>
            </w:r>
          </w:p>
        </w:tc>
        <w:tc>
          <w:tcPr>
            <w:tcW w:w="1673" w:type="dxa"/>
            <w:vAlign w:val="center"/>
          </w:tcPr>
          <w:p w14:paraId="775575D6">
            <w:pPr>
              <w:pStyle w:val="518"/>
              <w:rPr>
                <w:szCs w:val="21"/>
              </w:rPr>
            </w:pPr>
            <w:r>
              <w:rPr>
                <w:szCs w:val="21"/>
              </w:rPr>
              <w:t>0</w:t>
            </w:r>
          </w:p>
        </w:tc>
      </w:tr>
      <w:tr w14:paraId="19E046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4" w:type="dxa"/>
            <w:vMerge w:val="continue"/>
            <w:vAlign w:val="center"/>
          </w:tcPr>
          <w:p w14:paraId="71271376">
            <w:pPr>
              <w:pStyle w:val="518"/>
              <w:rPr>
                <w:szCs w:val="21"/>
              </w:rPr>
            </w:pPr>
          </w:p>
        </w:tc>
        <w:tc>
          <w:tcPr>
            <w:tcW w:w="1818" w:type="dxa"/>
            <w:vMerge w:val="restart"/>
            <w:vAlign w:val="center"/>
          </w:tcPr>
          <w:p w14:paraId="2D1080A0">
            <w:pPr>
              <w:pStyle w:val="518"/>
              <w:rPr>
                <w:szCs w:val="21"/>
                <w:lang w:eastAsia="zh-CN"/>
              </w:rPr>
            </w:pPr>
            <w:r>
              <w:rPr>
                <w:rFonts w:hint="eastAsia"/>
                <w:szCs w:val="21"/>
                <w:lang w:eastAsia="zh-CN"/>
              </w:rPr>
              <w:t>3#</w:t>
            </w:r>
          </w:p>
        </w:tc>
        <w:tc>
          <w:tcPr>
            <w:tcW w:w="5897" w:type="dxa"/>
            <w:gridSpan w:val="3"/>
            <w:vAlign w:val="center"/>
          </w:tcPr>
          <w:p w14:paraId="36DED002">
            <w:pPr>
              <w:pStyle w:val="518"/>
              <w:rPr>
                <w:szCs w:val="21"/>
              </w:rPr>
            </w:pPr>
            <w:r>
              <w:rPr>
                <w:szCs w:val="21"/>
              </w:rPr>
              <w:t>日均值统计结果</w:t>
            </w:r>
          </w:p>
        </w:tc>
      </w:tr>
      <w:tr w14:paraId="77BF28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4" w:type="dxa"/>
            <w:vMerge w:val="continue"/>
            <w:vAlign w:val="center"/>
          </w:tcPr>
          <w:p w14:paraId="7213A756">
            <w:pPr>
              <w:pStyle w:val="518"/>
              <w:rPr>
                <w:szCs w:val="21"/>
              </w:rPr>
            </w:pPr>
          </w:p>
        </w:tc>
        <w:tc>
          <w:tcPr>
            <w:tcW w:w="1818" w:type="dxa"/>
            <w:vMerge w:val="continue"/>
            <w:vAlign w:val="center"/>
          </w:tcPr>
          <w:p w14:paraId="7D9A214C">
            <w:pPr>
              <w:pStyle w:val="518"/>
              <w:rPr>
                <w:szCs w:val="21"/>
              </w:rPr>
            </w:pPr>
          </w:p>
        </w:tc>
        <w:tc>
          <w:tcPr>
            <w:tcW w:w="2146" w:type="dxa"/>
            <w:vAlign w:val="center"/>
          </w:tcPr>
          <w:p w14:paraId="11382185">
            <w:pPr>
              <w:pStyle w:val="518"/>
              <w:rPr>
                <w:szCs w:val="21"/>
                <w:lang w:eastAsia="zh-CN"/>
              </w:rPr>
            </w:pPr>
            <w:r>
              <w:rPr>
                <w:rFonts w:hint="eastAsia"/>
                <w:szCs w:val="21"/>
                <w:lang w:eastAsia="zh-CN"/>
              </w:rPr>
              <w:t>0.014</w:t>
            </w:r>
            <w:r>
              <w:rPr>
                <w:szCs w:val="21"/>
              </w:rPr>
              <w:t>～</w:t>
            </w:r>
            <w:r>
              <w:rPr>
                <w:rFonts w:hint="eastAsia"/>
                <w:szCs w:val="21"/>
                <w:lang w:eastAsia="zh-CN"/>
              </w:rPr>
              <w:t>0.030</w:t>
            </w:r>
          </w:p>
        </w:tc>
        <w:tc>
          <w:tcPr>
            <w:tcW w:w="2078" w:type="dxa"/>
            <w:vAlign w:val="center"/>
          </w:tcPr>
          <w:p w14:paraId="5BA946B4">
            <w:pPr>
              <w:pStyle w:val="518"/>
              <w:rPr>
                <w:szCs w:val="21"/>
                <w:lang w:eastAsia="zh-CN"/>
              </w:rPr>
            </w:pPr>
            <w:r>
              <w:rPr>
                <w:rFonts w:hint="eastAsia"/>
                <w:szCs w:val="21"/>
                <w:lang w:eastAsia="zh-CN"/>
              </w:rPr>
              <w:t>0.093</w:t>
            </w:r>
            <w:r>
              <w:rPr>
                <w:szCs w:val="21"/>
              </w:rPr>
              <w:t>～</w:t>
            </w:r>
            <w:r>
              <w:rPr>
                <w:rFonts w:hint="eastAsia"/>
                <w:szCs w:val="21"/>
                <w:lang w:eastAsia="zh-CN"/>
              </w:rPr>
              <w:t>0.20</w:t>
            </w:r>
          </w:p>
        </w:tc>
        <w:tc>
          <w:tcPr>
            <w:tcW w:w="1673" w:type="dxa"/>
            <w:vAlign w:val="center"/>
          </w:tcPr>
          <w:p w14:paraId="4E01B12B">
            <w:pPr>
              <w:pStyle w:val="518"/>
              <w:rPr>
                <w:szCs w:val="21"/>
              </w:rPr>
            </w:pPr>
            <w:r>
              <w:rPr>
                <w:szCs w:val="21"/>
              </w:rPr>
              <w:t>0</w:t>
            </w:r>
          </w:p>
        </w:tc>
      </w:tr>
      <w:tr w14:paraId="0BAF94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4" w:type="dxa"/>
            <w:vMerge w:val="continue"/>
            <w:vAlign w:val="center"/>
          </w:tcPr>
          <w:p w14:paraId="64699F19">
            <w:pPr>
              <w:pStyle w:val="518"/>
              <w:rPr>
                <w:szCs w:val="21"/>
              </w:rPr>
            </w:pPr>
          </w:p>
        </w:tc>
        <w:tc>
          <w:tcPr>
            <w:tcW w:w="1818" w:type="dxa"/>
            <w:vMerge w:val="continue"/>
            <w:vAlign w:val="center"/>
          </w:tcPr>
          <w:p w14:paraId="71F4E4BB">
            <w:pPr>
              <w:pStyle w:val="518"/>
              <w:rPr>
                <w:szCs w:val="21"/>
              </w:rPr>
            </w:pPr>
          </w:p>
        </w:tc>
        <w:tc>
          <w:tcPr>
            <w:tcW w:w="5897" w:type="dxa"/>
            <w:gridSpan w:val="3"/>
            <w:vAlign w:val="center"/>
          </w:tcPr>
          <w:p w14:paraId="62697B6B">
            <w:pPr>
              <w:pStyle w:val="518"/>
              <w:rPr>
                <w:szCs w:val="21"/>
              </w:rPr>
            </w:pPr>
            <w:r>
              <w:rPr>
                <w:szCs w:val="21"/>
              </w:rPr>
              <w:t>小时均值统计结果</w:t>
            </w:r>
          </w:p>
        </w:tc>
      </w:tr>
      <w:tr w14:paraId="061A19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4" w:type="dxa"/>
            <w:vMerge w:val="continue"/>
            <w:vAlign w:val="center"/>
          </w:tcPr>
          <w:p w14:paraId="7F890081">
            <w:pPr>
              <w:pStyle w:val="518"/>
              <w:rPr>
                <w:szCs w:val="21"/>
              </w:rPr>
            </w:pPr>
          </w:p>
        </w:tc>
        <w:tc>
          <w:tcPr>
            <w:tcW w:w="1818" w:type="dxa"/>
            <w:vMerge w:val="continue"/>
            <w:vAlign w:val="center"/>
          </w:tcPr>
          <w:p w14:paraId="345B3E9A">
            <w:pPr>
              <w:pStyle w:val="518"/>
              <w:rPr>
                <w:szCs w:val="21"/>
              </w:rPr>
            </w:pPr>
          </w:p>
        </w:tc>
        <w:tc>
          <w:tcPr>
            <w:tcW w:w="2146" w:type="dxa"/>
            <w:vAlign w:val="center"/>
          </w:tcPr>
          <w:p w14:paraId="2347CDC1">
            <w:pPr>
              <w:pStyle w:val="518"/>
              <w:rPr>
                <w:szCs w:val="21"/>
                <w:lang w:eastAsia="zh-CN"/>
              </w:rPr>
            </w:pPr>
            <w:r>
              <w:rPr>
                <w:szCs w:val="21"/>
              </w:rPr>
              <w:t>0.007L～</w:t>
            </w:r>
            <w:r>
              <w:rPr>
                <w:rFonts w:hint="eastAsia"/>
                <w:szCs w:val="21"/>
                <w:lang w:eastAsia="zh-CN"/>
              </w:rPr>
              <w:t>0.021</w:t>
            </w:r>
          </w:p>
        </w:tc>
        <w:tc>
          <w:tcPr>
            <w:tcW w:w="2078" w:type="dxa"/>
            <w:vAlign w:val="center"/>
          </w:tcPr>
          <w:p w14:paraId="4BE01EE4">
            <w:pPr>
              <w:pStyle w:val="518"/>
              <w:rPr>
                <w:szCs w:val="21"/>
                <w:lang w:eastAsia="zh-CN"/>
              </w:rPr>
            </w:pPr>
            <w:r>
              <w:rPr>
                <w:rFonts w:hint="eastAsia"/>
                <w:szCs w:val="21"/>
                <w:lang w:eastAsia="zh-CN"/>
              </w:rPr>
              <w:t>0.007</w:t>
            </w:r>
            <w:r>
              <w:rPr>
                <w:szCs w:val="21"/>
              </w:rPr>
              <w:t>～</w:t>
            </w:r>
            <w:r>
              <w:rPr>
                <w:rFonts w:hint="eastAsia"/>
                <w:szCs w:val="21"/>
                <w:lang w:eastAsia="zh-CN"/>
              </w:rPr>
              <w:t>0.042</w:t>
            </w:r>
          </w:p>
        </w:tc>
        <w:tc>
          <w:tcPr>
            <w:tcW w:w="1673" w:type="dxa"/>
            <w:vAlign w:val="center"/>
          </w:tcPr>
          <w:p w14:paraId="455CA863">
            <w:pPr>
              <w:pStyle w:val="518"/>
              <w:rPr>
                <w:szCs w:val="21"/>
              </w:rPr>
            </w:pPr>
            <w:r>
              <w:rPr>
                <w:szCs w:val="21"/>
              </w:rPr>
              <w:t>0</w:t>
            </w:r>
          </w:p>
        </w:tc>
      </w:tr>
      <w:tr w14:paraId="052F8D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4" w:type="dxa"/>
            <w:vMerge w:val="continue"/>
            <w:vAlign w:val="center"/>
          </w:tcPr>
          <w:p w14:paraId="42C8DCBE">
            <w:pPr>
              <w:pStyle w:val="518"/>
              <w:rPr>
                <w:szCs w:val="21"/>
              </w:rPr>
            </w:pPr>
          </w:p>
        </w:tc>
        <w:tc>
          <w:tcPr>
            <w:tcW w:w="1818" w:type="dxa"/>
            <w:vMerge w:val="restart"/>
            <w:vAlign w:val="center"/>
          </w:tcPr>
          <w:p w14:paraId="6754D66E">
            <w:pPr>
              <w:pStyle w:val="518"/>
              <w:rPr>
                <w:szCs w:val="21"/>
                <w:lang w:eastAsia="zh-CN"/>
              </w:rPr>
            </w:pPr>
            <w:r>
              <w:rPr>
                <w:rFonts w:hint="eastAsia"/>
                <w:szCs w:val="21"/>
                <w:lang w:eastAsia="zh-CN"/>
              </w:rPr>
              <w:t>4#</w:t>
            </w:r>
          </w:p>
        </w:tc>
        <w:tc>
          <w:tcPr>
            <w:tcW w:w="5897" w:type="dxa"/>
            <w:gridSpan w:val="3"/>
            <w:vAlign w:val="center"/>
          </w:tcPr>
          <w:p w14:paraId="5870FA0A">
            <w:pPr>
              <w:pStyle w:val="518"/>
              <w:rPr>
                <w:szCs w:val="21"/>
              </w:rPr>
            </w:pPr>
            <w:r>
              <w:rPr>
                <w:szCs w:val="21"/>
              </w:rPr>
              <w:t>日均值统计结果</w:t>
            </w:r>
          </w:p>
        </w:tc>
      </w:tr>
      <w:tr w14:paraId="7CDDAD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4" w:type="dxa"/>
            <w:vMerge w:val="continue"/>
            <w:vAlign w:val="center"/>
          </w:tcPr>
          <w:p w14:paraId="23F30413">
            <w:pPr>
              <w:pStyle w:val="518"/>
              <w:rPr>
                <w:szCs w:val="21"/>
              </w:rPr>
            </w:pPr>
          </w:p>
        </w:tc>
        <w:tc>
          <w:tcPr>
            <w:tcW w:w="1818" w:type="dxa"/>
            <w:vMerge w:val="continue"/>
            <w:vAlign w:val="center"/>
          </w:tcPr>
          <w:p w14:paraId="6C845A7E">
            <w:pPr>
              <w:pStyle w:val="518"/>
              <w:rPr>
                <w:szCs w:val="21"/>
              </w:rPr>
            </w:pPr>
          </w:p>
        </w:tc>
        <w:tc>
          <w:tcPr>
            <w:tcW w:w="2146" w:type="dxa"/>
            <w:vAlign w:val="center"/>
          </w:tcPr>
          <w:p w14:paraId="776D61A4">
            <w:pPr>
              <w:pStyle w:val="518"/>
              <w:rPr>
                <w:szCs w:val="21"/>
                <w:lang w:eastAsia="zh-CN"/>
              </w:rPr>
            </w:pPr>
            <w:r>
              <w:rPr>
                <w:rFonts w:hint="eastAsia"/>
                <w:szCs w:val="21"/>
                <w:lang w:eastAsia="zh-CN"/>
              </w:rPr>
              <w:t>0.008</w:t>
            </w:r>
            <w:r>
              <w:rPr>
                <w:szCs w:val="21"/>
              </w:rPr>
              <w:t>～</w:t>
            </w:r>
            <w:r>
              <w:rPr>
                <w:rFonts w:hint="eastAsia"/>
                <w:szCs w:val="21"/>
                <w:lang w:eastAsia="zh-CN"/>
              </w:rPr>
              <w:t>0.020</w:t>
            </w:r>
          </w:p>
        </w:tc>
        <w:tc>
          <w:tcPr>
            <w:tcW w:w="2078" w:type="dxa"/>
            <w:vAlign w:val="center"/>
          </w:tcPr>
          <w:p w14:paraId="4990920A">
            <w:pPr>
              <w:pStyle w:val="518"/>
              <w:rPr>
                <w:szCs w:val="21"/>
                <w:lang w:eastAsia="zh-CN"/>
              </w:rPr>
            </w:pPr>
            <w:r>
              <w:rPr>
                <w:rFonts w:hint="eastAsia"/>
                <w:szCs w:val="21"/>
                <w:lang w:eastAsia="zh-CN"/>
              </w:rPr>
              <w:t>0.053</w:t>
            </w:r>
            <w:r>
              <w:rPr>
                <w:szCs w:val="21"/>
              </w:rPr>
              <w:t>～</w:t>
            </w:r>
            <w:r>
              <w:rPr>
                <w:rFonts w:hint="eastAsia"/>
                <w:szCs w:val="21"/>
                <w:lang w:eastAsia="zh-CN"/>
              </w:rPr>
              <w:t>0.13</w:t>
            </w:r>
          </w:p>
        </w:tc>
        <w:tc>
          <w:tcPr>
            <w:tcW w:w="1673" w:type="dxa"/>
            <w:vAlign w:val="center"/>
          </w:tcPr>
          <w:p w14:paraId="272C383C">
            <w:pPr>
              <w:pStyle w:val="518"/>
              <w:rPr>
                <w:szCs w:val="21"/>
                <w:lang w:eastAsia="zh-CN"/>
              </w:rPr>
            </w:pPr>
            <w:r>
              <w:rPr>
                <w:rFonts w:hint="eastAsia"/>
                <w:szCs w:val="21"/>
                <w:lang w:eastAsia="zh-CN"/>
              </w:rPr>
              <w:t>0</w:t>
            </w:r>
          </w:p>
        </w:tc>
      </w:tr>
      <w:tr w14:paraId="51A862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4" w:type="dxa"/>
            <w:vMerge w:val="continue"/>
            <w:vAlign w:val="center"/>
          </w:tcPr>
          <w:p w14:paraId="64DE4A43">
            <w:pPr>
              <w:pStyle w:val="518"/>
              <w:rPr>
                <w:szCs w:val="21"/>
              </w:rPr>
            </w:pPr>
          </w:p>
        </w:tc>
        <w:tc>
          <w:tcPr>
            <w:tcW w:w="1818" w:type="dxa"/>
            <w:vMerge w:val="continue"/>
            <w:vAlign w:val="center"/>
          </w:tcPr>
          <w:p w14:paraId="7B1BC2BE">
            <w:pPr>
              <w:pStyle w:val="518"/>
              <w:rPr>
                <w:szCs w:val="21"/>
              </w:rPr>
            </w:pPr>
          </w:p>
        </w:tc>
        <w:tc>
          <w:tcPr>
            <w:tcW w:w="5897" w:type="dxa"/>
            <w:gridSpan w:val="3"/>
            <w:vAlign w:val="center"/>
          </w:tcPr>
          <w:p w14:paraId="7544EF4D">
            <w:pPr>
              <w:pStyle w:val="518"/>
              <w:rPr>
                <w:szCs w:val="21"/>
              </w:rPr>
            </w:pPr>
            <w:r>
              <w:rPr>
                <w:szCs w:val="21"/>
              </w:rPr>
              <w:t>小时均值统计结果</w:t>
            </w:r>
          </w:p>
        </w:tc>
      </w:tr>
      <w:tr w14:paraId="4D57E1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4" w:type="dxa"/>
            <w:vMerge w:val="continue"/>
            <w:vAlign w:val="center"/>
          </w:tcPr>
          <w:p w14:paraId="7A5B5662">
            <w:pPr>
              <w:pStyle w:val="518"/>
              <w:rPr>
                <w:szCs w:val="21"/>
              </w:rPr>
            </w:pPr>
          </w:p>
        </w:tc>
        <w:tc>
          <w:tcPr>
            <w:tcW w:w="1818" w:type="dxa"/>
            <w:vMerge w:val="continue"/>
            <w:vAlign w:val="center"/>
          </w:tcPr>
          <w:p w14:paraId="46DC8850">
            <w:pPr>
              <w:pStyle w:val="518"/>
              <w:rPr>
                <w:szCs w:val="21"/>
              </w:rPr>
            </w:pPr>
          </w:p>
        </w:tc>
        <w:tc>
          <w:tcPr>
            <w:tcW w:w="2146" w:type="dxa"/>
            <w:vAlign w:val="center"/>
          </w:tcPr>
          <w:p w14:paraId="1FD5164E">
            <w:pPr>
              <w:pStyle w:val="518"/>
              <w:rPr>
                <w:szCs w:val="21"/>
                <w:lang w:eastAsia="zh-CN"/>
              </w:rPr>
            </w:pPr>
            <w:r>
              <w:rPr>
                <w:szCs w:val="21"/>
              </w:rPr>
              <w:t>0.007L～</w:t>
            </w:r>
            <w:r>
              <w:rPr>
                <w:rFonts w:hint="eastAsia"/>
                <w:szCs w:val="21"/>
                <w:lang w:eastAsia="zh-CN"/>
              </w:rPr>
              <w:t>0.009</w:t>
            </w:r>
          </w:p>
        </w:tc>
        <w:tc>
          <w:tcPr>
            <w:tcW w:w="2078" w:type="dxa"/>
            <w:vAlign w:val="center"/>
          </w:tcPr>
          <w:p w14:paraId="0B2EF112">
            <w:pPr>
              <w:pStyle w:val="518"/>
              <w:rPr>
                <w:szCs w:val="21"/>
                <w:lang w:eastAsia="zh-CN"/>
              </w:rPr>
            </w:pPr>
            <w:r>
              <w:rPr>
                <w:rFonts w:hint="eastAsia"/>
                <w:szCs w:val="21"/>
                <w:lang w:eastAsia="zh-CN"/>
              </w:rPr>
              <w:t>0.007</w:t>
            </w:r>
            <w:r>
              <w:rPr>
                <w:szCs w:val="21"/>
              </w:rPr>
              <w:t>～</w:t>
            </w:r>
            <w:r>
              <w:rPr>
                <w:rFonts w:hint="eastAsia"/>
                <w:szCs w:val="21"/>
                <w:lang w:eastAsia="zh-CN"/>
              </w:rPr>
              <w:t>0.018</w:t>
            </w:r>
          </w:p>
        </w:tc>
        <w:tc>
          <w:tcPr>
            <w:tcW w:w="1673" w:type="dxa"/>
            <w:vAlign w:val="center"/>
          </w:tcPr>
          <w:p w14:paraId="142FB750">
            <w:pPr>
              <w:pStyle w:val="518"/>
              <w:rPr>
                <w:szCs w:val="21"/>
              </w:rPr>
            </w:pPr>
            <w:r>
              <w:rPr>
                <w:szCs w:val="21"/>
              </w:rPr>
              <w:t>0</w:t>
            </w:r>
          </w:p>
        </w:tc>
      </w:tr>
      <w:tr w14:paraId="3B3897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4" w:type="dxa"/>
            <w:vMerge w:val="restart"/>
            <w:vAlign w:val="center"/>
          </w:tcPr>
          <w:p w14:paraId="63503A66">
            <w:pPr>
              <w:pStyle w:val="518"/>
              <w:rPr>
                <w:szCs w:val="21"/>
              </w:rPr>
            </w:pPr>
            <w:r>
              <w:rPr>
                <w:snapToGrid w:val="0"/>
                <w:kern w:val="32"/>
                <w:szCs w:val="21"/>
              </w:rPr>
              <w:t>NO</w:t>
            </w:r>
            <w:r>
              <w:rPr>
                <w:snapToGrid w:val="0"/>
                <w:kern w:val="32"/>
                <w:szCs w:val="21"/>
                <w:vertAlign w:val="subscript"/>
              </w:rPr>
              <w:t>2</w:t>
            </w:r>
          </w:p>
        </w:tc>
        <w:tc>
          <w:tcPr>
            <w:tcW w:w="1818" w:type="dxa"/>
            <w:vMerge w:val="restart"/>
            <w:vAlign w:val="center"/>
          </w:tcPr>
          <w:p w14:paraId="6875A703">
            <w:pPr>
              <w:pStyle w:val="518"/>
              <w:rPr>
                <w:szCs w:val="21"/>
                <w:lang w:eastAsia="zh-CN"/>
              </w:rPr>
            </w:pPr>
            <w:r>
              <w:rPr>
                <w:rFonts w:hint="eastAsia"/>
                <w:szCs w:val="21"/>
                <w:lang w:eastAsia="zh-CN"/>
              </w:rPr>
              <w:t>1#</w:t>
            </w:r>
          </w:p>
        </w:tc>
        <w:tc>
          <w:tcPr>
            <w:tcW w:w="5897" w:type="dxa"/>
            <w:gridSpan w:val="3"/>
            <w:vAlign w:val="center"/>
          </w:tcPr>
          <w:p w14:paraId="3D674EC5">
            <w:pPr>
              <w:pStyle w:val="518"/>
              <w:rPr>
                <w:szCs w:val="21"/>
              </w:rPr>
            </w:pPr>
            <w:r>
              <w:rPr>
                <w:szCs w:val="21"/>
              </w:rPr>
              <w:t>日均值统计结果</w:t>
            </w:r>
          </w:p>
        </w:tc>
      </w:tr>
      <w:tr w14:paraId="419D69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4" w:type="dxa"/>
            <w:vMerge w:val="continue"/>
            <w:vAlign w:val="center"/>
          </w:tcPr>
          <w:p w14:paraId="255EAA0D">
            <w:pPr>
              <w:pStyle w:val="518"/>
              <w:rPr>
                <w:szCs w:val="21"/>
              </w:rPr>
            </w:pPr>
          </w:p>
        </w:tc>
        <w:tc>
          <w:tcPr>
            <w:tcW w:w="1818" w:type="dxa"/>
            <w:vMerge w:val="continue"/>
            <w:vAlign w:val="center"/>
          </w:tcPr>
          <w:p w14:paraId="5AD189B5">
            <w:pPr>
              <w:pStyle w:val="518"/>
              <w:rPr>
                <w:szCs w:val="21"/>
              </w:rPr>
            </w:pPr>
          </w:p>
        </w:tc>
        <w:tc>
          <w:tcPr>
            <w:tcW w:w="2146" w:type="dxa"/>
            <w:vAlign w:val="center"/>
          </w:tcPr>
          <w:p w14:paraId="19122A40">
            <w:pPr>
              <w:pStyle w:val="518"/>
              <w:rPr>
                <w:szCs w:val="21"/>
                <w:lang w:eastAsia="zh-CN"/>
              </w:rPr>
            </w:pPr>
            <w:r>
              <w:rPr>
                <w:rFonts w:hint="eastAsia"/>
                <w:szCs w:val="21"/>
                <w:lang w:eastAsia="zh-CN"/>
              </w:rPr>
              <w:t>0.007</w:t>
            </w:r>
            <w:r>
              <w:rPr>
                <w:szCs w:val="21"/>
              </w:rPr>
              <w:t>～</w:t>
            </w:r>
            <w:r>
              <w:rPr>
                <w:rFonts w:hint="eastAsia"/>
                <w:szCs w:val="21"/>
                <w:lang w:eastAsia="zh-CN"/>
              </w:rPr>
              <w:t>0.013</w:t>
            </w:r>
          </w:p>
        </w:tc>
        <w:tc>
          <w:tcPr>
            <w:tcW w:w="2078" w:type="dxa"/>
            <w:vAlign w:val="center"/>
          </w:tcPr>
          <w:p w14:paraId="54797519">
            <w:pPr>
              <w:pStyle w:val="518"/>
              <w:rPr>
                <w:szCs w:val="21"/>
                <w:lang w:eastAsia="zh-CN"/>
              </w:rPr>
            </w:pPr>
            <w:r>
              <w:rPr>
                <w:rFonts w:hint="eastAsia"/>
                <w:szCs w:val="21"/>
                <w:lang w:eastAsia="zh-CN"/>
              </w:rPr>
              <w:t>0.058</w:t>
            </w:r>
            <w:r>
              <w:rPr>
                <w:szCs w:val="21"/>
              </w:rPr>
              <w:t>～</w:t>
            </w:r>
            <w:r>
              <w:rPr>
                <w:rFonts w:hint="eastAsia"/>
                <w:szCs w:val="21"/>
                <w:lang w:eastAsia="zh-CN"/>
              </w:rPr>
              <w:t>0.11</w:t>
            </w:r>
          </w:p>
        </w:tc>
        <w:tc>
          <w:tcPr>
            <w:tcW w:w="1673" w:type="dxa"/>
            <w:vAlign w:val="center"/>
          </w:tcPr>
          <w:p w14:paraId="33B41BA4">
            <w:pPr>
              <w:pStyle w:val="518"/>
              <w:rPr>
                <w:szCs w:val="21"/>
              </w:rPr>
            </w:pPr>
            <w:r>
              <w:rPr>
                <w:szCs w:val="21"/>
              </w:rPr>
              <w:t>0</w:t>
            </w:r>
          </w:p>
        </w:tc>
      </w:tr>
      <w:tr w14:paraId="004ADD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4" w:type="dxa"/>
            <w:vMerge w:val="continue"/>
            <w:vAlign w:val="center"/>
          </w:tcPr>
          <w:p w14:paraId="5FC625ED">
            <w:pPr>
              <w:pStyle w:val="518"/>
              <w:rPr>
                <w:szCs w:val="21"/>
              </w:rPr>
            </w:pPr>
          </w:p>
        </w:tc>
        <w:tc>
          <w:tcPr>
            <w:tcW w:w="1818" w:type="dxa"/>
            <w:vMerge w:val="continue"/>
            <w:vAlign w:val="center"/>
          </w:tcPr>
          <w:p w14:paraId="6B545B6B">
            <w:pPr>
              <w:pStyle w:val="518"/>
              <w:rPr>
                <w:szCs w:val="21"/>
              </w:rPr>
            </w:pPr>
          </w:p>
        </w:tc>
        <w:tc>
          <w:tcPr>
            <w:tcW w:w="5897" w:type="dxa"/>
            <w:gridSpan w:val="3"/>
            <w:vAlign w:val="center"/>
          </w:tcPr>
          <w:p w14:paraId="11E0DA44">
            <w:pPr>
              <w:pStyle w:val="518"/>
              <w:rPr>
                <w:szCs w:val="21"/>
              </w:rPr>
            </w:pPr>
            <w:r>
              <w:rPr>
                <w:szCs w:val="21"/>
              </w:rPr>
              <w:t>小时均值统计结果</w:t>
            </w:r>
          </w:p>
        </w:tc>
      </w:tr>
      <w:tr w14:paraId="2A0563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4" w:type="dxa"/>
            <w:vMerge w:val="continue"/>
            <w:vAlign w:val="center"/>
          </w:tcPr>
          <w:p w14:paraId="16A3A1F1">
            <w:pPr>
              <w:pStyle w:val="518"/>
              <w:rPr>
                <w:szCs w:val="21"/>
              </w:rPr>
            </w:pPr>
          </w:p>
        </w:tc>
        <w:tc>
          <w:tcPr>
            <w:tcW w:w="1818" w:type="dxa"/>
            <w:vMerge w:val="continue"/>
            <w:vAlign w:val="center"/>
          </w:tcPr>
          <w:p w14:paraId="6F8B408F">
            <w:pPr>
              <w:pStyle w:val="518"/>
              <w:rPr>
                <w:szCs w:val="21"/>
              </w:rPr>
            </w:pPr>
          </w:p>
        </w:tc>
        <w:tc>
          <w:tcPr>
            <w:tcW w:w="2146" w:type="dxa"/>
            <w:vAlign w:val="center"/>
          </w:tcPr>
          <w:p w14:paraId="2026C1DC">
            <w:pPr>
              <w:pStyle w:val="518"/>
              <w:rPr>
                <w:szCs w:val="21"/>
                <w:lang w:eastAsia="zh-CN"/>
              </w:rPr>
            </w:pPr>
            <w:r>
              <w:rPr>
                <w:szCs w:val="21"/>
              </w:rPr>
              <w:t>0.00</w:t>
            </w:r>
            <w:r>
              <w:rPr>
                <w:rFonts w:hint="eastAsia"/>
                <w:szCs w:val="21"/>
                <w:lang w:eastAsia="zh-CN"/>
              </w:rPr>
              <w:t>5</w:t>
            </w:r>
            <w:r>
              <w:rPr>
                <w:szCs w:val="21"/>
              </w:rPr>
              <w:t>L～</w:t>
            </w:r>
            <w:r>
              <w:rPr>
                <w:rFonts w:hint="eastAsia"/>
                <w:szCs w:val="21"/>
                <w:lang w:eastAsia="zh-CN"/>
              </w:rPr>
              <w:t>0.016</w:t>
            </w:r>
          </w:p>
        </w:tc>
        <w:tc>
          <w:tcPr>
            <w:tcW w:w="2078" w:type="dxa"/>
            <w:vAlign w:val="center"/>
          </w:tcPr>
          <w:p w14:paraId="14AA0C87">
            <w:pPr>
              <w:pStyle w:val="518"/>
              <w:rPr>
                <w:szCs w:val="21"/>
                <w:lang w:eastAsia="zh-CN"/>
              </w:rPr>
            </w:pPr>
            <w:r>
              <w:rPr>
                <w:szCs w:val="21"/>
                <w:lang w:eastAsia="zh-CN"/>
              </w:rPr>
              <w:t>0.0</w:t>
            </w:r>
            <w:r>
              <w:rPr>
                <w:rFonts w:hint="eastAsia"/>
                <w:szCs w:val="21"/>
                <w:lang w:eastAsia="zh-CN"/>
              </w:rPr>
              <w:t>10</w:t>
            </w:r>
            <w:r>
              <w:rPr>
                <w:szCs w:val="21"/>
              </w:rPr>
              <w:t>～</w:t>
            </w:r>
            <w:r>
              <w:rPr>
                <w:rFonts w:hint="eastAsia"/>
                <w:szCs w:val="21"/>
                <w:lang w:eastAsia="zh-CN"/>
              </w:rPr>
              <w:t>0.067</w:t>
            </w:r>
          </w:p>
        </w:tc>
        <w:tc>
          <w:tcPr>
            <w:tcW w:w="1673" w:type="dxa"/>
            <w:vAlign w:val="center"/>
          </w:tcPr>
          <w:p w14:paraId="193B7673">
            <w:pPr>
              <w:pStyle w:val="518"/>
              <w:rPr>
                <w:szCs w:val="21"/>
              </w:rPr>
            </w:pPr>
            <w:r>
              <w:rPr>
                <w:szCs w:val="21"/>
              </w:rPr>
              <w:t>0</w:t>
            </w:r>
          </w:p>
        </w:tc>
      </w:tr>
      <w:tr w14:paraId="316370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4" w:type="dxa"/>
            <w:vMerge w:val="continue"/>
            <w:vAlign w:val="center"/>
          </w:tcPr>
          <w:p w14:paraId="710C6AB7">
            <w:pPr>
              <w:pStyle w:val="518"/>
              <w:rPr>
                <w:szCs w:val="21"/>
              </w:rPr>
            </w:pPr>
          </w:p>
        </w:tc>
        <w:tc>
          <w:tcPr>
            <w:tcW w:w="1818" w:type="dxa"/>
            <w:vMerge w:val="restart"/>
            <w:vAlign w:val="center"/>
          </w:tcPr>
          <w:p w14:paraId="4C78FF92">
            <w:pPr>
              <w:pStyle w:val="518"/>
              <w:rPr>
                <w:szCs w:val="21"/>
                <w:lang w:eastAsia="zh-CN"/>
              </w:rPr>
            </w:pPr>
            <w:r>
              <w:rPr>
                <w:rFonts w:hint="eastAsia"/>
                <w:szCs w:val="21"/>
                <w:lang w:eastAsia="zh-CN"/>
              </w:rPr>
              <w:t>2#</w:t>
            </w:r>
          </w:p>
        </w:tc>
        <w:tc>
          <w:tcPr>
            <w:tcW w:w="5897" w:type="dxa"/>
            <w:gridSpan w:val="3"/>
            <w:vAlign w:val="center"/>
          </w:tcPr>
          <w:p w14:paraId="4F79DBA4">
            <w:pPr>
              <w:pStyle w:val="518"/>
              <w:rPr>
                <w:szCs w:val="21"/>
              </w:rPr>
            </w:pPr>
            <w:r>
              <w:rPr>
                <w:szCs w:val="21"/>
              </w:rPr>
              <w:t>日均值统计结果</w:t>
            </w:r>
          </w:p>
        </w:tc>
      </w:tr>
      <w:tr w14:paraId="5EC187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4" w:type="dxa"/>
            <w:vMerge w:val="continue"/>
            <w:vAlign w:val="center"/>
          </w:tcPr>
          <w:p w14:paraId="4F4824B0">
            <w:pPr>
              <w:pStyle w:val="518"/>
              <w:rPr>
                <w:szCs w:val="21"/>
              </w:rPr>
            </w:pPr>
          </w:p>
        </w:tc>
        <w:tc>
          <w:tcPr>
            <w:tcW w:w="1818" w:type="dxa"/>
            <w:vMerge w:val="continue"/>
            <w:vAlign w:val="center"/>
          </w:tcPr>
          <w:p w14:paraId="413A2474">
            <w:pPr>
              <w:pStyle w:val="518"/>
              <w:rPr>
                <w:szCs w:val="21"/>
              </w:rPr>
            </w:pPr>
          </w:p>
        </w:tc>
        <w:tc>
          <w:tcPr>
            <w:tcW w:w="2146" w:type="dxa"/>
            <w:vAlign w:val="center"/>
          </w:tcPr>
          <w:p w14:paraId="563692A1">
            <w:pPr>
              <w:pStyle w:val="518"/>
              <w:rPr>
                <w:szCs w:val="21"/>
                <w:lang w:eastAsia="zh-CN"/>
              </w:rPr>
            </w:pPr>
            <w:r>
              <w:rPr>
                <w:szCs w:val="21"/>
              </w:rPr>
              <w:t>0.003L～</w:t>
            </w:r>
            <w:r>
              <w:rPr>
                <w:rFonts w:hint="eastAsia"/>
                <w:szCs w:val="21"/>
                <w:lang w:eastAsia="zh-CN"/>
              </w:rPr>
              <w:t>0.006</w:t>
            </w:r>
          </w:p>
        </w:tc>
        <w:tc>
          <w:tcPr>
            <w:tcW w:w="2078" w:type="dxa"/>
            <w:vAlign w:val="center"/>
          </w:tcPr>
          <w:p w14:paraId="7BB0A19C">
            <w:pPr>
              <w:pStyle w:val="518"/>
              <w:rPr>
                <w:szCs w:val="21"/>
                <w:lang w:eastAsia="zh-CN"/>
              </w:rPr>
            </w:pPr>
            <w:r>
              <w:rPr>
                <w:rFonts w:hint="eastAsia"/>
                <w:szCs w:val="21"/>
                <w:lang w:eastAsia="zh-CN"/>
              </w:rPr>
              <w:t>0.013</w:t>
            </w:r>
            <w:r>
              <w:rPr>
                <w:szCs w:val="21"/>
              </w:rPr>
              <w:t>～</w:t>
            </w:r>
            <w:r>
              <w:rPr>
                <w:rFonts w:hint="eastAsia"/>
                <w:szCs w:val="21"/>
                <w:lang w:eastAsia="zh-CN"/>
              </w:rPr>
              <w:t>0.05</w:t>
            </w:r>
          </w:p>
        </w:tc>
        <w:tc>
          <w:tcPr>
            <w:tcW w:w="1673" w:type="dxa"/>
            <w:vAlign w:val="center"/>
          </w:tcPr>
          <w:p w14:paraId="784B8788">
            <w:pPr>
              <w:pStyle w:val="518"/>
              <w:rPr>
                <w:szCs w:val="21"/>
              </w:rPr>
            </w:pPr>
            <w:r>
              <w:rPr>
                <w:szCs w:val="21"/>
              </w:rPr>
              <w:t>0</w:t>
            </w:r>
          </w:p>
        </w:tc>
      </w:tr>
      <w:tr w14:paraId="5781BB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4" w:type="dxa"/>
            <w:vMerge w:val="continue"/>
            <w:vAlign w:val="center"/>
          </w:tcPr>
          <w:p w14:paraId="2AB59943">
            <w:pPr>
              <w:pStyle w:val="518"/>
              <w:rPr>
                <w:szCs w:val="21"/>
              </w:rPr>
            </w:pPr>
          </w:p>
        </w:tc>
        <w:tc>
          <w:tcPr>
            <w:tcW w:w="1818" w:type="dxa"/>
            <w:vMerge w:val="continue"/>
            <w:vAlign w:val="center"/>
          </w:tcPr>
          <w:p w14:paraId="510E7512">
            <w:pPr>
              <w:pStyle w:val="518"/>
              <w:rPr>
                <w:szCs w:val="21"/>
              </w:rPr>
            </w:pPr>
          </w:p>
        </w:tc>
        <w:tc>
          <w:tcPr>
            <w:tcW w:w="5897" w:type="dxa"/>
            <w:gridSpan w:val="3"/>
            <w:vAlign w:val="center"/>
          </w:tcPr>
          <w:p w14:paraId="1C8F0A87">
            <w:pPr>
              <w:pStyle w:val="518"/>
              <w:rPr>
                <w:szCs w:val="21"/>
              </w:rPr>
            </w:pPr>
            <w:r>
              <w:rPr>
                <w:szCs w:val="21"/>
              </w:rPr>
              <w:t>小时均值统计结果</w:t>
            </w:r>
          </w:p>
        </w:tc>
      </w:tr>
      <w:tr w14:paraId="45A663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4" w:type="dxa"/>
            <w:vMerge w:val="continue"/>
            <w:vAlign w:val="center"/>
          </w:tcPr>
          <w:p w14:paraId="299E458E">
            <w:pPr>
              <w:pStyle w:val="518"/>
              <w:rPr>
                <w:szCs w:val="21"/>
              </w:rPr>
            </w:pPr>
          </w:p>
        </w:tc>
        <w:tc>
          <w:tcPr>
            <w:tcW w:w="1818" w:type="dxa"/>
            <w:vMerge w:val="continue"/>
            <w:vAlign w:val="center"/>
          </w:tcPr>
          <w:p w14:paraId="559CBE09">
            <w:pPr>
              <w:pStyle w:val="518"/>
              <w:rPr>
                <w:szCs w:val="21"/>
              </w:rPr>
            </w:pPr>
          </w:p>
        </w:tc>
        <w:tc>
          <w:tcPr>
            <w:tcW w:w="2146" w:type="dxa"/>
            <w:vAlign w:val="center"/>
          </w:tcPr>
          <w:p w14:paraId="66B9950F">
            <w:pPr>
              <w:pStyle w:val="518"/>
              <w:rPr>
                <w:szCs w:val="21"/>
              </w:rPr>
            </w:pPr>
            <w:r>
              <w:rPr>
                <w:szCs w:val="21"/>
              </w:rPr>
              <w:t>0.00</w:t>
            </w:r>
            <w:r>
              <w:rPr>
                <w:rFonts w:hint="eastAsia"/>
                <w:szCs w:val="21"/>
                <w:lang w:eastAsia="zh-CN"/>
              </w:rPr>
              <w:t>5</w:t>
            </w:r>
            <w:r>
              <w:rPr>
                <w:szCs w:val="21"/>
              </w:rPr>
              <w:t>L</w:t>
            </w:r>
          </w:p>
        </w:tc>
        <w:tc>
          <w:tcPr>
            <w:tcW w:w="2078" w:type="dxa"/>
            <w:vAlign w:val="center"/>
          </w:tcPr>
          <w:p w14:paraId="1894EF40">
            <w:pPr>
              <w:pStyle w:val="518"/>
              <w:rPr>
                <w:szCs w:val="21"/>
                <w:lang w:eastAsia="zh-CN"/>
              </w:rPr>
            </w:pPr>
            <w:r>
              <w:rPr>
                <w:rFonts w:hint="eastAsia"/>
                <w:szCs w:val="21"/>
                <w:lang w:eastAsia="zh-CN"/>
              </w:rPr>
              <w:t>0.010</w:t>
            </w:r>
          </w:p>
        </w:tc>
        <w:tc>
          <w:tcPr>
            <w:tcW w:w="1673" w:type="dxa"/>
            <w:vAlign w:val="center"/>
          </w:tcPr>
          <w:p w14:paraId="38322E7A">
            <w:pPr>
              <w:pStyle w:val="518"/>
              <w:rPr>
                <w:szCs w:val="21"/>
              </w:rPr>
            </w:pPr>
            <w:r>
              <w:rPr>
                <w:szCs w:val="21"/>
              </w:rPr>
              <w:t>0</w:t>
            </w:r>
          </w:p>
        </w:tc>
      </w:tr>
      <w:tr w14:paraId="19B31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4" w:type="dxa"/>
            <w:vMerge w:val="continue"/>
            <w:vAlign w:val="center"/>
          </w:tcPr>
          <w:p w14:paraId="50705CD6">
            <w:pPr>
              <w:pStyle w:val="518"/>
              <w:rPr>
                <w:szCs w:val="21"/>
              </w:rPr>
            </w:pPr>
          </w:p>
        </w:tc>
        <w:tc>
          <w:tcPr>
            <w:tcW w:w="1818" w:type="dxa"/>
            <w:vMerge w:val="restart"/>
            <w:vAlign w:val="center"/>
          </w:tcPr>
          <w:p w14:paraId="2F8A8EA8">
            <w:pPr>
              <w:pStyle w:val="518"/>
              <w:rPr>
                <w:szCs w:val="21"/>
                <w:lang w:eastAsia="zh-CN"/>
              </w:rPr>
            </w:pPr>
            <w:r>
              <w:rPr>
                <w:rFonts w:hint="eastAsia"/>
                <w:szCs w:val="21"/>
                <w:lang w:eastAsia="zh-CN"/>
              </w:rPr>
              <w:t>3#</w:t>
            </w:r>
          </w:p>
        </w:tc>
        <w:tc>
          <w:tcPr>
            <w:tcW w:w="5897" w:type="dxa"/>
            <w:gridSpan w:val="3"/>
            <w:vAlign w:val="center"/>
          </w:tcPr>
          <w:p w14:paraId="2A8BE19D">
            <w:pPr>
              <w:pStyle w:val="518"/>
              <w:rPr>
                <w:szCs w:val="21"/>
              </w:rPr>
            </w:pPr>
            <w:r>
              <w:rPr>
                <w:szCs w:val="21"/>
              </w:rPr>
              <w:t>日均值统计结果</w:t>
            </w:r>
          </w:p>
        </w:tc>
      </w:tr>
      <w:tr w14:paraId="51CFBB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4" w:type="dxa"/>
            <w:vMerge w:val="continue"/>
            <w:vAlign w:val="center"/>
          </w:tcPr>
          <w:p w14:paraId="0EF467C2">
            <w:pPr>
              <w:pStyle w:val="518"/>
              <w:rPr>
                <w:szCs w:val="21"/>
              </w:rPr>
            </w:pPr>
          </w:p>
        </w:tc>
        <w:tc>
          <w:tcPr>
            <w:tcW w:w="1818" w:type="dxa"/>
            <w:vMerge w:val="continue"/>
            <w:vAlign w:val="center"/>
          </w:tcPr>
          <w:p w14:paraId="38E1BEE1">
            <w:pPr>
              <w:pStyle w:val="518"/>
              <w:rPr>
                <w:szCs w:val="21"/>
              </w:rPr>
            </w:pPr>
          </w:p>
        </w:tc>
        <w:tc>
          <w:tcPr>
            <w:tcW w:w="2146" w:type="dxa"/>
            <w:vAlign w:val="center"/>
          </w:tcPr>
          <w:p w14:paraId="42567E07">
            <w:pPr>
              <w:pStyle w:val="518"/>
              <w:rPr>
                <w:szCs w:val="21"/>
                <w:lang w:eastAsia="zh-CN"/>
              </w:rPr>
            </w:pPr>
            <w:r>
              <w:rPr>
                <w:szCs w:val="21"/>
              </w:rPr>
              <w:t>0.003L～</w:t>
            </w:r>
            <w:r>
              <w:rPr>
                <w:rFonts w:hint="eastAsia"/>
                <w:szCs w:val="21"/>
                <w:lang w:eastAsia="zh-CN"/>
              </w:rPr>
              <w:t>0.012</w:t>
            </w:r>
          </w:p>
        </w:tc>
        <w:tc>
          <w:tcPr>
            <w:tcW w:w="2078" w:type="dxa"/>
            <w:vAlign w:val="center"/>
          </w:tcPr>
          <w:p w14:paraId="2898C77B">
            <w:pPr>
              <w:pStyle w:val="518"/>
              <w:rPr>
                <w:szCs w:val="21"/>
                <w:lang w:eastAsia="zh-CN"/>
              </w:rPr>
            </w:pPr>
            <w:r>
              <w:rPr>
                <w:rFonts w:hint="eastAsia"/>
                <w:szCs w:val="21"/>
                <w:lang w:eastAsia="zh-CN"/>
              </w:rPr>
              <w:t>0.013</w:t>
            </w:r>
            <w:r>
              <w:rPr>
                <w:szCs w:val="21"/>
              </w:rPr>
              <w:t>～</w:t>
            </w:r>
            <w:r>
              <w:rPr>
                <w:rFonts w:hint="eastAsia"/>
                <w:szCs w:val="21"/>
                <w:lang w:eastAsia="zh-CN"/>
              </w:rPr>
              <w:t>0.10</w:t>
            </w:r>
          </w:p>
        </w:tc>
        <w:tc>
          <w:tcPr>
            <w:tcW w:w="1673" w:type="dxa"/>
            <w:vAlign w:val="center"/>
          </w:tcPr>
          <w:p w14:paraId="1E176839">
            <w:pPr>
              <w:pStyle w:val="518"/>
              <w:rPr>
                <w:szCs w:val="21"/>
              </w:rPr>
            </w:pPr>
            <w:r>
              <w:rPr>
                <w:szCs w:val="21"/>
              </w:rPr>
              <w:t>0</w:t>
            </w:r>
          </w:p>
        </w:tc>
      </w:tr>
      <w:tr w14:paraId="7D78D6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4" w:type="dxa"/>
            <w:vMerge w:val="continue"/>
            <w:vAlign w:val="center"/>
          </w:tcPr>
          <w:p w14:paraId="1DE6F255">
            <w:pPr>
              <w:pStyle w:val="518"/>
              <w:rPr>
                <w:szCs w:val="21"/>
              </w:rPr>
            </w:pPr>
          </w:p>
        </w:tc>
        <w:tc>
          <w:tcPr>
            <w:tcW w:w="1818" w:type="dxa"/>
            <w:vMerge w:val="continue"/>
            <w:vAlign w:val="center"/>
          </w:tcPr>
          <w:p w14:paraId="7065AB31">
            <w:pPr>
              <w:pStyle w:val="518"/>
              <w:rPr>
                <w:szCs w:val="21"/>
              </w:rPr>
            </w:pPr>
          </w:p>
        </w:tc>
        <w:tc>
          <w:tcPr>
            <w:tcW w:w="5897" w:type="dxa"/>
            <w:gridSpan w:val="3"/>
            <w:vAlign w:val="center"/>
          </w:tcPr>
          <w:p w14:paraId="3E6E378F">
            <w:pPr>
              <w:pStyle w:val="518"/>
              <w:rPr>
                <w:szCs w:val="21"/>
              </w:rPr>
            </w:pPr>
            <w:r>
              <w:rPr>
                <w:szCs w:val="21"/>
              </w:rPr>
              <w:t>小时均值统计结果</w:t>
            </w:r>
          </w:p>
        </w:tc>
      </w:tr>
      <w:tr w14:paraId="507163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4" w:type="dxa"/>
            <w:vMerge w:val="continue"/>
            <w:vAlign w:val="center"/>
          </w:tcPr>
          <w:p w14:paraId="123E0F8B">
            <w:pPr>
              <w:pStyle w:val="518"/>
              <w:rPr>
                <w:szCs w:val="21"/>
              </w:rPr>
            </w:pPr>
          </w:p>
        </w:tc>
        <w:tc>
          <w:tcPr>
            <w:tcW w:w="1818" w:type="dxa"/>
            <w:vMerge w:val="continue"/>
            <w:vAlign w:val="center"/>
          </w:tcPr>
          <w:p w14:paraId="129AEE25">
            <w:pPr>
              <w:pStyle w:val="518"/>
              <w:rPr>
                <w:szCs w:val="21"/>
              </w:rPr>
            </w:pPr>
          </w:p>
        </w:tc>
        <w:tc>
          <w:tcPr>
            <w:tcW w:w="2146" w:type="dxa"/>
            <w:vAlign w:val="center"/>
          </w:tcPr>
          <w:p w14:paraId="68103994">
            <w:pPr>
              <w:pStyle w:val="518"/>
              <w:rPr>
                <w:szCs w:val="21"/>
                <w:lang w:eastAsia="zh-CN"/>
              </w:rPr>
            </w:pPr>
            <w:r>
              <w:rPr>
                <w:szCs w:val="21"/>
              </w:rPr>
              <w:t>0.00</w:t>
            </w:r>
            <w:r>
              <w:rPr>
                <w:rFonts w:hint="eastAsia"/>
                <w:szCs w:val="21"/>
                <w:lang w:eastAsia="zh-CN"/>
              </w:rPr>
              <w:t>5</w:t>
            </w:r>
            <w:r>
              <w:rPr>
                <w:szCs w:val="21"/>
              </w:rPr>
              <w:t>L～</w:t>
            </w:r>
            <w:r>
              <w:rPr>
                <w:rFonts w:hint="eastAsia"/>
                <w:szCs w:val="21"/>
                <w:lang w:eastAsia="zh-CN"/>
              </w:rPr>
              <w:t>0.021</w:t>
            </w:r>
          </w:p>
        </w:tc>
        <w:tc>
          <w:tcPr>
            <w:tcW w:w="2078" w:type="dxa"/>
            <w:vAlign w:val="center"/>
          </w:tcPr>
          <w:p w14:paraId="0B637FB7">
            <w:pPr>
              <w:pStyle w:val="518"/>
              <w:rPr>
                <w:szCs w:val="21"/>
                <w:lang w:eastAsia="zh-CN"/>
              </w:rPr>
            </w:pPr>
            <w:r>
              <w:rPr>
                <w:rFonts w:hint="eastAsia"/>
                <w:szCs w:val="21"/>
                <w:lang w:eastAsia="zh-CN"/>
              </w:rPr>
              <w:t>0.010</w:t>
            </w:r>
            <w:r>
              <w:rPr>
                <w:szCs w:val="21"/>
              </w:rPr>
              <w:t>～</w:t>
            </w:r>
            <w:r>
              <w:rPr>
                <w:rFonts w:hint="eastAsia"/>
                <w:szCs w:val="21"/>
                <w:lang w:eastAsia="zh-CN"/>
              </w:rPr>
              <w:t>0.088</w:t>
            </w:r>
          </w:p>
        </w:tc>
        <w:tc>
          <w:tcPr>
            <w:tcW w:w="1673" w:type="dxa"/>
            <w:vAlign w:val="center"/>
          </w:tcPr>
          <w:p w14:paraId="48306AE3">
            <w:pPr>
              <w:pStyle w:val="518"/>
              <w:rPr>
                <w:szCs w:val="21"/>
              </w:rPr>
            </w:pPr>
            <w:r>
              <w:rPr>
                <w:szCs w:val="21"/>
              </w:rPr>
              <w:t>0</w:t>
            </w:r>
          </w:p>
        </w:tc>
      </w:tr>
      <w:tr w14:paraId="4BC4A9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4" w:type="dxa"/>
            <w:vMerge w:val="continue"/>
            <w:vAlign w:val="center"/>
          </w:tcPr>
          <w:p w14:paraId="41F518FD">
            <w:pPr>
              <w:pStyle w:val="518"/>
              <w:rPr>
                <w:szCs w:val="21"/>
              </w:rPr>
            </w:pPr>
          </w:p>
        </w:tc>
        <w:tc>
          <w:tcPr>
            <w:tcW w:w="1818" w:type="dxa"/>
            <w:vMerge w:val="restart"/>
            <w:vAlign w:val="center"/>
          </w:tcPr>
          <w:p w14:paraId="060E0D58">
            <w:pPr>
              <w:pStyle w:val="518"/>
              <w:rPr>
                <w:szCs w:val="21"/>
                <w:lang w:eastAsia="zh-CN"/>
              </w:rPr>
            </w:pPr>
            <w:r>
              <w:rPr>
                <w:rFonts w:hint="eastAsia"/>
                <w:szCs w:val="21"/>
                <w:lang w:eastAsia="zh-CN"/>
              </w:rPr>
              <w:t>4#</w:t>
            </w:r>
          </w:p>
        </w:tc>
        <w:tc>
          <w:tcPr>
            <w:tcW w:w="5897" w:type="dxa"/>
            <w:gridSpan w:val="3"/>
            <w:vAlign w:val="center"/>
          </w:tcPr>
          <w:p w14:paraId="37CC85F2">
            <w:pPr>
              <w:pStyle w:val="518"/>
              <w:rPr>
                <w:szCs w:val="21"/>
              </w:rPr>
            </w:pPr>
            <w:r>
              <w:rPr>
                <w:szCs w:val="21"/>
              </w:rPr>
              <w:t>日均值统计结果</w:t>
            </w:r>
          </w:p>
        </w:tc>
      </w:tr>
      <w:tr w14:paraId="2CA60C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4" w:type="dxa"/>
            <w:vMerge w:val="continue"/>
            <w:vAlign w:val="center"/>
          </w:tcPr>
          <w:p w14:paraId="75B641D6">
            <w:pPr>
              <w:pStyle w:val="518"/>
              <w:rPr>
                <w:szCs w:val="21"/>
              </w:rPr>
            </w:pPr>
          </w:p>
        </w:tc>
        <w:tc>
          <w:tcPr>
            <w:tcW w:w="1818" w:type="dxa"/>
            <w:vMerge w:val="continue"/>
            <w:vAlign w:val="center"/>
          </w:tcPr>
          <w:p w14:paraId="43CFDD9C">
            <w:pPr>
              <w:pStyle w:val="518"/>
              <w:rPr>
                <w:szCs w:val="21"/>
              </w:rPr>
            </w:pPr>
          </w:p>
        </w:tc>
        <w:tc>
          <w:tcPr>
            <w:tcW w:w="2146" w:type="dxa"/>
            <w:vAlign w:val="center"/>
          </w:tcPr>
          <w:p w14:paraId="286C4822">
            <w:pPr>
              <w:pStyle w:val="518"/>
              <w:rPr>
                <w:szCs w:val="21"/>
                <w:lang w:eastAsia="zh-CN"/>
              </w:rPr>
            </w:pPr>
            <w:r>
              <w:rPr>
                <w:szCs w:val="21"/>
              </w:rPr>
              <w:t>0.003L～</w:t>
            </w:r>
            <w:r>
              <w:rPr>
                <w:rFonts w:hint="eastAsia"/>
                <w:szCs w:val="21"/>
                <w:lang w:eastAsia="zh-CN"/>
              </w:rPr>
              <w:t>0.010</w:t>
            </w:r>
          </w:p>
        </w:tc>
        <w:tc>
          <w:tcPr>
            <w:tcW w:w="2078" w:type="dxa"/>
            <w:vAlign w:val="center"/>
          </w:tcPr>
          <w:p w14:paraId="482F52A1">
            <w:pPr>
              <w:pStyle w:val="518"/>
              <w:rPr>
                <w:szCs w:val="21"/>
              </w:rPr>
            </w:pPr>
            <w:r>
              <w:rPr>
                <w:szCs w:val="21"/>
              </w:rPr>
              <w:t>～</w:t>
            </w:r>
          </w:p>
        </w:tc>
        <w:tc>
          <w:tcPr>
            <w:tcW w:w="1673" w:type="dxa"/>
            <w:vAlign w:val="center"/>
          </w:tcPr>
          <w:p w14:paraId="23786F03">
            <w:pPr>
              <w:pStyle w:val="518"/>
              <w:rPr>
                <w:szCs w:val="21"/>
                <w:lang w:eastAsia="zh-CN"/>
              </w:rPr>
            </w:pPr>
            <w:r>
              <w:rPr>
                <w:rFonts w:hint="eastAsia"/>
                <w:szCs w:val="21"/>
                <w:lang w:eastAsia="zh-CN"/>
              </w:rPr>
              <w:t>0</w:t>
            </w:r>
          </w:p>
        </w:tc>
      </w:tr>
      <w:tr w14:paraId="34F823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4" w:type="dxa"/>
            <w:vMerge w:val="continue"/>
            <w:vAlign w:val="center"/>
          </w:tcPr>
          <w:p w14:paraId="1FE05563">
            <w:pPr>
              <w:pStyle w:val="518"/>
              <w:rPr>
                <w:szCs w:val="21"/>
              </w:rPr>
            </w:pPr>
          </w:p>
        </w:tc>
        <w:tc>
          <w:tcPr>
            <w:tcW w:w="1818" w:type="dxa"/>
            <w:vMerge w:val="continue"/>
            <w:vAlign w:val="center"/>
          </w:tcPr>
          <w:p w14:paraId="520297E0">
            <w:pPr>
              <w:pStyle w:val="518"/>
              <w:rPr>
                <w:szCs w:val="21"/>
              </w:rPr>
            </w:pPr>
          </w:p>
        </w:tc>
        <w:tc>
          <w:tcPr>
            <w:tcW w:w="5897" w:type="dxa"/>
            <w:gridSpan w:val="3"/>
            <w:vAlign w:val="center"/>
          </w:tcPr>
          <w:p w14:paraId="4D6538B8">
            <w:pPr>
              <w:pStyle w:val="518"/>
              <w:rPr>
                <w:szCs w:val="21"/>
              </w:rPr>
            </w:pPr>
            <w:r>
              <w:rPr>
                <w:szCs w:val="21"/>
              </w:rPr>
              <w:t>小时均值统计结果</w:t>
            </w:r>
          </w:p>
        </w:tc>
      </w:tr>
      <w:tr w14:paraId="2D64C5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814" w:type="dxa"/>
            <w:vMerge w:val="continue"/>
            <w:vAlign w:val="center"/>
          </w:tcPr>
          <w:p w14:paraId="0F69E74E">
            <w:pPr>
              <w:pStyle w:val="518"/>
              <w:rPr>
                <w:szCs w:val="21"/>
              </w:rPr>
            </w:pPr>
          </w:p>
        </w:tc>
        <w:tc>
          <w:tcPr>
            <w:tcW w:w="1818" w:type="dxa"/>
            <w:vMerge w:val="continue"/>
            <w:vAlign w:val="center"/>
          </w:tcPr>
          <w:p w14:paraId="15CCE72E">
            <w:pPr>
              <w:pStyle w:val="518"/>
              <w:rPr>
                <w:szCs w:val="21"/>
              </w:rPr>
            </w:pPr>
          </w:p>
        </w:tc>
        <w:tc>
          <w:tcPr>
            <w:tcW w:w="2146" w:type="dxa"/>
            <w:vAlign w:val="center"/>
          </w:tcPr>
          <w:p w14:paraId="5F4F3460">
            <w:pPr>
              <w:pStyle w:val="518"/>
              <w:rPr>
                <w:szCs w:val="21"/>
                <w:lang w:eastAsia="zh-CN"/>
              </w:rPr>
            </w:pPr>
            <w:r>
              <w:rPr>
                <w:szCs w:val="21"/>
              </w:rPr>
              <w:t>0.00</w:t>
            </w:r>
            <w:r>
              <w:rPr>
                <w:rFonts w:hint="eastAsia"/>
                <w:szCs w:val="21"/>
                <w:lang w:eastAsia="zh-CN"/>
              </w:rPr>
              <w:t>5</w:t>
            </w:r>
            <w:r>
              <w:rPr>
                <w:szCs w:val="21"/>
              </w:rPr>
              <w:t>L～</w:t>
            </w:r>
            <w:r>
              <w:rPr>
                <w:rFonts w:hint="eastAsia"/>
                <w:szCs w:val="21"/>
                <w:lang w:eastAsia="zh-CN"/>
              </w:rPr>
              <w:t>0.010</w:t>
            </w:r>
          </w:p>
        </w:tc>
        <w:tc>
          <w:tcPr>
            <w:tcW w:w="2078" w:type="dxa"/>
            <w:vAlign w:val="center"/>
          </w:tcPr>
          <w:p w14:paraId="4B876367">
            <w:pPr>
              <w:pStyle w:val="518"/>
              <w:rPr>
                <w:szCs w:val="21"/>
                <w:lang w:eastAsia="zh-CN"/>
              </w:rPr>
            </w:pPr>
            <w:r>
              <w:rPr>
                <w:rFonts w:hint="eastAsia"/>
                <w:szCs w:val="21"/>
                <w:lang w:eastAsia="zh-CN"/>
              </w:rPr>
              <w:t>0.010</w:t>
            </w:r>
            <w:r>
              <w:rPr>
                <w:szCs w:val="21"/>
              </w:rPr>
              <w:t>～</w:t>
            </w:r>
            <w:r>
              <w:rPr>
                <w:rFonts w:hint="eastAsia"/>
                <w:szCs w:val="21"/>
                <w:lang w:eastAsia="zh-CN"/>
              </w:rPr>
              <w:t>0.042</w:t>
            </w:r>
          </w:p>
        </w:tc>
        <w:tc>
          <w:tcPr>
            <w:tcW w:w="1673" w:type="dxa"/>
            <w:vAlign w:val="center"/>
          </w:tcPr>
          <w:p w14:paraId="3B325AF2">
            <w:pPr>
              <w:pStyle w:val="518"/>
              <w:rPr>
                <w:szCs w:val="21"/>
                <w:lang w:eastAsia="zh-CN"/>
              </w:rPr>
            </w:pPr>
            <w:r>
              <w:rPr>
                <w:rFonts w:hint="eastAsia"/>
                <w:szCs w:val="21"/>
                <w:lang w:eastAsia="zh-CN"/>
              </w:rPr>
              <w:t>0</w:t>
            </w:r>
          </w:p>
        </w:tc>
      </w:tr>
    </w:tbl>
    <w:p w14:paraId="11A2CE09">
      <w:pPr>
        <w:ind w:firstLine="480"/>
        <w:rPr>
          <w:rFonts w:asciiTheme="minorEastAsia" w:hAnsiTheme="minorEastAsia" w:eastAsiaTheme="minorEastAsia"/>
          <w:lang w:eastAsia="zh-CN"/>
        </w:rPr>
      </w:pPr>
      <w:bookmarkStart w:id="252" w:name="_Toc338663535"/>
      <w:r>
        <w:rPr>
          <w:rFonts w:asciiTheme="minorEastAsia" w:hAnsiTheme="minorEastAsia" w:eastAsiaTheme="minorEastAsia"/>
          <w:lang w:eastAsia="zh-CN"/>
        </w:rPr>
        <w:t>由</w:t>
      </w:r>
      <w:r>
        <w:rPr>
          <w:rFonts w:hint="eastAsia" w:asciiTheme="minorEastAsia" w:hAnsiTheme="minorEastAsia" w:eastAsiaTheme="minorEastAsia"/>
          <w:lang w:eastAsia="zh-CN"/>
        </w:rPr>
        <w:t>表5.1-3现状监测结果及</w:t>
      </w:r>
      <w:r>
        <w:rPr>
          <w:rFonts w:asciiTheme="minorEastAsia" w:hAnsiTheme="minorEastAsia" w:eastAsiaTheme="minorEastAsia"/>
          <w:lang w:eastAsia="zh-CN"/>
        </w:rPr>
        <w:t>评价结果可知，评价区域内SO</w:t>
      </w:r>
      <w:r>
        <w:rPr>
          <w:rFonts w:asciiTheme="minorEastAsia" w:hAnsiTheme="minorEastAsia" w:eastAsiaTheme="minorEastAsia"/>
          <w:vertAlign w:val="subscript"/>
          <w:lang w:eastAsia="zh-CN"/>
        </w:rPr>
        <w:t>2</w:t>
      </w:r>
      <w:r>
        <w:rPr>
          <w:rFonts w:asciiTheme="minorEastAsia" w:hAnsiTheme="minorEastAsia" w:eastAsiaTheme="minorEastAsia"/>
          <w:lang w:eastAsia="zh-CN"/>
        </w:rPr>
        <w:t>、NO</w:t>
      </w:r>
      <w:r>
        <w:rPr>
          <w:rFonts w:hint="eastAsia" w:asciiTheme="minorEastAsia" w:hAnsiTheme="minorEastAsia" w:eastAsiaTheme="minorEastAsia"/>
          <w:vertAlign w:val="subscript"/>
          <w:lang w:eastAsia="zh-CN"/>
        </w:rPr>
        <w:t>2</w:t>
      </w:r>
      <w:r>
        <w:rPr>
          <w:rFonts w:asciiTheme="minorEastAsia" w:hAnsiTheme="minorEastAsia" w:eastAsiaTheme="minorEastAsia"/>
          <w:lang w:eastAsia="zh-CN"/>
        </w:rPr>
        <w:t>、PM</w:t>
      </w:r>
      <w:r>
        <w:rPr>
          <w:rFonts w:asciiTheme="minorEastAsia" w:hAnsiTheme="minorEastAsia" w:eastAsiaTheme="minorEastAsia"/>
          <w:vertAlign w:val="subscript"/>
          <w:lang w:eastAsia="zh-CN"/>
        </w:rPr>
        <w:t>10</w:t>
      </w:r>
      <w:r>
        <w:rPr>
          <w:rFonts w:asciiTheme="minorEastAsia" w:hAnsiTheme="minorEastAsia" w:eastAsiaTheme="minorEastAsia"/>
          <w:lang w:eastAsia="zh-CN"/>
        </w:rPr>
        <w:t>、TSP日均浓度值</w:t>
      </w:r>
      <w:r>
        <w:rPr>
          <w:rFonts w:hint="eastAsia" w:asciiTheme="minorEastAsia" w:hAnsiTheme="minorEastAsia" w:eastAsiaTheme="minorEastAsia"/>
          <w:lang w:eastAsia="zh-CN"/>
        </w:rPr>
        <w:t>及</w:t>
      </w:r>
      <w:r>
        <w:rPr>
          <w:rFonts w:asciiTheme="minorEastAsia" w:hAnsiTheme="minorEastAsia" w:eastAsiaTheme="minorEastAsia"/>
          <w:lang w:eastAsia="zh-CN"/>
        </w:rPr>
        <w:t>SO</w:t>
      </w:r>
      <w:r>
        <w:rPr>
          <w:rFonts w:asciiTheme="minorEastAsia" w:hAnsiTheme="minorEastAsia" w:eastAsiaTheme="minorEastAsia"/>
          <w:vertAlign w:val="subscript"/>
          <w:lang w:eastAsia="zh-CN"/>
        </w:rPr>
        <w:t>2</w:t>
      </w:r>
      <w:r>
        <w:rPr>
          <w:rFonts w:asciiTheme="minorEastAsia" w:hAnsiTheme="minorEastAsia" w:eastAsiaTheme="minorEastAsia"/>
          <w:lang w:eastAsia="zh-CN"/>
        </w:rPr>
        <w:t>、NO</w:t>
      </w:r>
      <w:r>
        <w:rPr>
          <w:rFonts w:hint="eastAsia" w:asciiTheme="minorEastAsia" w:hAnsiTheme="minorEastAsia" w:eastAsiaTheme="minorEastAsia"/>
          <w:vertAlign w:val="subscript"/>
          <w:lang w:eastAsia="zh-CN"/>
        </w:rPr>
        <w:t>2</w:t>
      </w:r>
      <w:r>
        <w:rPr>
          <w:rFonts w:hint="eastAsia" w:asciiTheme="minorEastAsia" w:hAnsiTheme="minorEastAsia" w:eastAsiaTheme="minorEastAsia"/>
          <w:lang w:eastAsia="zh-CN"/>
        </w:rPr>
        <w:t>小时浓度值</w:t>
      </w:r>
      <w:r>
        <w:rPr>
          <w:rFonts w:asciiTheme="minorEastAsia" w:hAnsiTheme="minorEastAsia" w:eastAsiaTheme="minorEastAsia"/>
          <w:lang w:eastAsia="zh-CN"/>
        </w:rPr>
        <w:t>均未超过相应的标准限值，评价指数小于1。评价区域内环境空气质量能够满足国家《环境空气质量标准》（GB3095-96）二级标准的要求。</w:t>
      </w:r>
    </w:p>
    <w:p w14:paraId="0E269CA4">
      <w:pPr>
        <w:pStyle w:val="3"/>
        <w:rPr>
          <w:lang w:eastAsia="zh-CN"/>
        </w:rPr>
      </w:pPr>
      <w:bookmarkStart w:id="253" w:name="_Toc408413972"/>
      <w:r>
        <w:rPr>
          <w:lang w:eastAsia="zh-CN"/>
        </w:rPr>
        <w:t>5.2施工期大气环境影响分析</w:t>
      </w:r>
      <w:bookmarkEnd w:id="252"/>
      <w:r>
        <w:rPr>
          <w:lang w:eastAsia="zh-CN"/>
        </w:rPr>
        <w:t>与防治措施</w:t>
      </w:r>
      <w:bookmarkEnd w:id="253"/>
    </w:p>
    <w:p w14:paraId="3815125C">
      <w:pPr>
        <w:pStyle w:val="4"/>
        <w:rPr>
          <w:lang w:eastAsia="zh-CN"/>
        </w:rPr>
      </w:pPr>
      <w:bookmarkStart w:id="254" w:name="_Toc408413973"/>
      <w:r>
        <w:rPr>
          <w:lang w:eastAsia="zh-CN"/>
        </w:rPr>
        <w:t>5.2.1施工期环境影响分析</w:t>
      </w:r>
      <w:bookmarkEnd w:id="254"/>
    </w:p>
    <w:p w14:paraId="5777DE23">
      <w:pPr>
        <w:ind w:firstLine="480"/>
        <w:rPr>
          <w:rFonts w:asciiTheme="minorEastAsia" w:hAnsiTheme="minorEastAsia" w:eastAsiaTheme="minorEastAsia"/>
          <w:lang w:eastAsia="zh-CN"/>
        </w:rPr>
      </w:pPr>
      <w:r>
        <w:rPr>
          <w:rFonts w:asciiTheme="minorEastAsia" w:hAnsiTheme="minorEastAsia" w:eastAsiaTheme="minorEastAsia"/>
          <w:lang w:eastAsia="zh-CN"/>
        </w:rPr>
        <w:t>乌里雅斯太油田</w:t>
      </w:r>
      <w:r>
        <w:rPr>
          <w:rFonts w:hint="eastAsia" w:asciiTheme="minorEastAsia" w:hAnsiTheme="minorEastAsia" w:eastAsiaTheme="minorEastAsia"/>
          <w:lang w:eastAsia="zh-CN"/>
        </w:rPr>
        <w:t>雅斯联合站基础设施已基本建成，施工期大气环境影响主要包括</w:t>
      </w:r>
      <w:r>
        <w:rPr>
          <w:rFonts w:asciiTheme="minorEastAsia" w:hAnsiTheme="minorEastAsia" w:eastAsiaTheme="minorEastAsia"/>
          <w:lang w:eastAsia="zh-CN"/>
        </w:rPr>
        <w:t>钻井过程中的机械设备运转废气、道路运输过程产生的车辆尾气及运输扬尘。</w:t>
      </w:r>
    </w:p>
    <w:p w14:paraId="24C59E07">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1、钻井过程</w:t>
      </w:r>
    </w:p>
    <w:p w14:paraId="4B2242F1">
      <w:pPr>
        <w:ind w:firstLine="480"/>
        <w:rPr>
          <w:rFonts w:asciiTheme="minorEastAsia" w:hAnsiTheme="minorEastAsia" w:eastAsiaTheme="minorEastAsia"/>
          <w:lang w:eastAsia="zh-CN"/>
        </w:rPr>
      </w:pPr>
      <w:r>
        <w:rPr>
          <w:rFonts w:asciiTheme="minorEastAsia" w:hAnsiTheme="minorEastAsia" w:eastAsiaTheme="minorEastAsia"/>
          <w:lang w:eastAsia="zh-CN"/>
        </w:rPr>
        <w:t>油田钻井施工过程中产生的烟气主要来自使用的动力机械（如钻机、柴油机）、供电设施（如柴油发电机）运转时排放的烟气，其主要污染物是</w:t>
      </w:r>
      <w:r>
        <w:rPr>
          <w:rFonts w:hint="eastAsia" w:asciiTheme="minorEastAsia" w:hAnsiTheme="minorEastAsia" w:eastAsiaTheme="minorEastAsia"/>
          <w:lang w:eastAsia="zh-CN"/>
        </w:rPr>
        <w:t>非甲烷</w:t>
      </w:r>
      <w:r>
        <w:rPr>
          <w:rFonts w:asciiTheme="minorEastAsia" w:hAnsiTheme="minorEastAsia" w:eastAsiaTheme="minorEastAsia"/>
          <w:lang w:eastAsia="zh-CN"/>
        </w:rPr>
        <w:t>烃类、CO 、SO</w:t>
      </w:r>
      <w:r>
        <w:rPr>
          <w:rFonts w:asciiTheme="minorEastAsia" w:hAnsiTheme="minorEastAsia" w:eastAsiaTheme="minorEastAsia"/>
          <w:vertAlign w:val="subscript"/>
          <w:lang w:eastAsia="zh-CN"/>
        </w:rPr>
        <w:t>2</w:t>
      </w:r>
      <w:r>
        <w:rPr>
          <w:rFonts w:asciiTheme="minorEastAsia" w:hAnsiTheme="minorEastAsia" w:eastAsiaTheme="minorEastAsia"/>
          <w:lang w:eastAsia="zh-CN"/>
        </w:rPr>
        <w:t>、NOx等。</w:t>
      </w:r>
    </w:p>
    <w:p w14:paraId="0C4DC984">
      <w:pPr>
        <w:ind w:firstLine="480"/>
        <w:rPr>
          <w:rFonts w:asciiTheme="minorEastAsia" w:hAnsiTheme="minorEastAsia" w:eastAsiaTheme="minorEastAsia"/>
          <w:lang w:eastAsia="zh-CN"/>
        </w:rPr>
      </w:pPr>
      <w:r>
        <w:rPr>
          <w:rFonts w:asciiTheme="minorEastAsia" w:hAnsiTheme="minorEastAsia" w:eastAsiaTheme="minorEastAsia"/>
          <w:lang w:eastAsia="zh-CN"/>
        </w:rPr>
        <w:t>本油田在滚动开发过程中，单井钻井工期较短（40d左右），钻井过程中柴油机烟气排放造成的大气污染是局部的，且其影响的持续时间较短。随着钻井施工的结束，所产生的污染也随之消失，且整个油田范围内人员稀少，因此项目钻井期不会对大气环境产生明显的影响。</w:t>
      </w:r>
    </w:p>
    <w:p w14:paraId="19808C8B">
      <w:pPr>
        <w:ind w:firstLine="480"/>
        <w:outlineLvl w:val="0"/>
        <w:rPr>
          <w:rFonts w:asciiTheme="minorEastAsia" w:hAnsiTheme="minorEastAsia" w:eastAsiaTheme="minorEastAsia"/>
          <w:lang w:eastAsia="zh-CN"/>
        </w:rPr>
      </w:pPr>
      <w:r>
        <w:rPr>
          <w:rFonts w:hint="eastAsia" w:asciiTheme="minorEastAsia" w:hAnsiTheme="minorEastAsia" w:eastAsiaTheme="minorEastAsia"/>
          <w:lang w:eastAsia="zh-CN"/>
        </w:rPr>
        <w:t>2</w:t>
      </w:r>
      <w:r>
        <w:rPr>
          <w:rFonts w:asciiTheme="minorEastAsia" w:hAnsiTheme="minorEastAsia" w:eastAsiaTheme="minorEastAsia"/>
          <w:lang w:eastAsia="zh-CN"/>
        </w:rPr>
        <w:t>、交通运输及车辆的影响</w:t>
      </w:r>
    </w:p>
    <w:p w14:paraId="2E59886A">
      <w:pPr>
        <w:ind w:firstLine="480"/>
        <w:rPr>
          <w:rFonts w:asciiTheme="minorEastAsia" w:hAnsiTheme="minorEastAsia" w:eastAsiaTheme="minorEastAsia"/>
          <w:lang w:eastAsia="zh-CN"/>
        </w:rPr>
      </w:pPr>
      <w:r>
        <w:rPr>
          <w:rFonts w:asciiTheme="minorEastAsia" w:hAnsiTheme="minorEastAsia" w:eastAsiaTheme="minorEastAsia"/>
          <w:lang w:eastAsia="zh-CN"/>
        </w:rPr>
        <w:t>项目施工期间的运输扬尘和车辆尾气对周围大气环境也有一定的影响。通过类似油田开发建设经验，施工交通运输引起的道路扬尘</w:t>
      </w:r>
      <w:r>
        <w:rPr>
          <w:rFonts w:hint="eastAsia" w:asciiTheme="minorEastAsia" w:hAnsiTheme="minorEastAsia" w:eastAsiaTheme="minorEastAsia"/>
          <w:lang w:eastAsia="zh-CN"/>
        </w:rPr>
        <w:t>是</w:t>
      </w:r>
      <w:r>
        <w:rPr>
          <w:rFonts w:asciiTheme="minorEastAsia" w:hAnsiTheme="minorEastAsia" w:eastAsiaTheme="minorEastAsia"/>
          <w:lang w:eastAsia="zh-CN"/>
        </w:rPr>
        <w:t>油田开发施工扬尘</w:t>
      </w:r>
      <w:r>
        <w:rPr>
          <w:rFonts w:hint="eastAsia" w:asciiTheme="minorEastAsia" w:hAnsiTheme="minorEastAsia" w:eastAsiaTheme="minorEastAsia"/>
          <w:lang w:eastAsia="zh-CN"/>
        </w:rPr>
        <w:t>的主要来源之一</w:t>
      </w:r>
      <w:r>
        <w:rPr>
          <w:rFonts w:asciiTheme="minorEastAsia" w:hAnsiTheme="minorEastAsia" w:eastAsiaTheme="minorEastAsia"/>
          <w:lang w:eastAsia="zh-CN"/>
        </w:rPr>
        <w:t>。道路扬尘量的大小与车速、车型、车流量、风速、道路表面积尘量等多种因素有关。由于联络道路为土路面，汽车驶过会带起大量的扬尘弥漫于空气中，使得道路两边一定范围短时间内扬尘污染较为严重。另外运输车辆行驶还会造成道路路面及周围表层土地的松动，增加了风蚀起尘的可能性。</w:t>
      </w:r>
    </w:p>
    <w:p w14:paraId="3F4061BF">
      <w:pPr>
        <w:ind w:firstLine="480"/>
        <w:rPr>
          <w:rFonts w:asciiTheme="minorEastAsia" w:hAnsiTheme="minorEastAsia" w:eastAsiaTheme="minorEastAsia"/>
          <w:lang w:eastAsia="zh-CN"/>
        </w:rPr>
      </w:pPr>
      <w:r>
        <w:rPr>
          <w:rFonts w:asciiTheme="minorEastAsia" w:hAnsiTheme="minorEastAsia" w:eastAsiaTheme="minorEastAsia"/>
          <w:lang w:eastAsia="zh-CN"/>
        </w:rPr>
        <w:t>由于本项目施工现场位于野外，运输车辆尾气等污染物对大气环境造成的影响极小。</w:t>
      </w:r>
    </w:p>
    <w:p w14:paraId="40A1A886">
      <w:pPr>
        <w:pStyle w:val="4"/>
        <w:rPr>
          <w:lang w:eastAsia="zh-CN"/>
        </w:rPr>
      </w:pPr>
      <w:bookmarkStart w:id="255" w:name="_Toc408413974"/>
      <w:bookmarkStart w:id="256" w:name="_Toc481547599"/>
      <w:bookmarkStart w:id="257" w:name="_Toc182140988"/>
      <w:bookmarkStart w:id="258" w:name="_Toc338663544"/>
      <w:bookmarkStart w:id="259" w:name="_Toc280020157"/>
      <w:bookmarkStart w:id="260" w:name="_Toc279676758"/>
      <w:r>
        <w:rPr>
          <w:lang w:eastAsia="zh-CN"/>
        </w:rPr>
        <w:t>5.2.2施工期大气环境污染防治措施</w:t>
      </w:r>
      <w:bookmarkEnd w:id="255"/>
      <w:bookmarkEnd w:id="256"/>
      <w:bookmarkEnd w:id="257"/>
      <w:bookmarkEnd w:id="258"/>
      <w:bookmarkEnd w:id="259"/>
      <w:bookmarkEnd w:id="260"/>
    </w:p>
    <w:p w14:paraId="1A268514">
      <w:pPr>
        <w:ind w:firstLine="480"/>
        <w:rPr>
          <w:rFonts w:asciiTheme="minorEastAsia" w:hAnsiTheme="minorEastAsia" w:eastAsiaTheme="minorEastAsia"/>
          <w:lang w:eastAsia="zh-CN"/>
        </w:rPr>
      </w:pPr>
      <w:r>
        <w:rPr>
          <w:rFonts w:asciiTheme="minorEastAsia" w:hAnsiTheme="minorEastAsia" w:eastAsiaTheme="minorEastAsia"/>
          <w:lang w:eastAsia="zh-CN"/>
        </w:rPr>
        <w:t>为了减少乌里雅斯太油田地面建设在施工活动中对大气环境的影响，采取了如下措施：</w:t>
      </w:r>
    </w:p>
    <w:p w14:paraId="18229D4B">
      <w:pPr>
        <w:ind w:firstLine="480"/>
        <w:rPr>
          <w:rFonts w:asciiTheme="minorEastAsia" w:hAnsiTheme="minorEastAsia" w:eastAsiaTheme="minorEastAsia"/>
          <w:lang w:eastAsia="zh-CN"/>
        </w:rPr>
      </w:pPr>
      <w:r>
        <w:rPr>
          <w:rFonts w:asciiTheme="minorEastAsia" w:hAnsiTheme="minorEastAsia" w:eastAsiaTheme="minorEastAsia"/>
          <w:lang w:eastAsia="zh-CN"/>
        </w:rPr>
        <w:t>1、在钻井作业区施工场地设置连续、密闭围挡，对部分扬尘较多的施工现场实施篷布遮盖措施。钻井期间对柴油发电机进行定期检修维护，使其稳定运转，最大限度减轻机械燃油烟气所产生的污染。</w:t>
      </w:r>
    </w:p>
    <w:p w14:paraId="7BCE7C8D">
      <w:pPr>
        <w:ind w:firstLine="480"/>
        <w:rPr>
          <w:rFonts w:asciiTheme="minorEastAsia" w:hAnsiTheme="minorEastAsia" w:eastAsiaTheme="minorEastAsia"/>
          <w:lang w:eastAsia="zh-CN"/>
        </w:rPr>
      </w:pPr>
      <w:r>
        <w:rPr>
          <w:rFonts w:asciiTheme="minorEastAsia" w:hAnsiTheme="minorEastAsia" w:eastAsiaTheme="minorEastAsia"/>
          <w:lang w:eastAsia="zh-CN"/>
        </w:rPr>
        <w:t>2、施工过程中使用的水泥和其他细颗粒散装原料，都贮存于库房内或密闭存放，避免露天堆放，若露天堆放都加以覆盖。</w:t>
      </w:r>
    </w:p>
    <w:p w14:paraId="3910B828">
      <w:pPr>
        <w:ind w:firstLine="480"/>
        <w:rPr>
          <w:rFonts w:asciiTheme="minorEastAsia" w:hAnsiTheme="minorEastAsia" w:eastAsiaTheme="minorEastAsia"/>
          <w:lang w:eastAsia="zh-CN"/>
        </w:rPr>
      </w:pPr>
      <w:r>
        <w:rPr>
          <w:rFonts w:asciiTheme="minorEastAsia" w:hAnsiTheme="minorEastAsia" w:eastAsiaTheme="minorEastAsia"/>
          <w:lang w:eastAsia="zh-CN"/>
        </w:rPr>
        <w:t>3、细烟尘料运输都尽量采取了遮盖、密闭措施，减少沿途抛洒，装卸时采取措施减少扬尘量。</w:t>
      </w:r>
    </w:p>
    <w:p w14:paraId="5628B584">
      <w:pPr>
        <w:ind w:firstLine="480"/>
        <w:rPr>
          <w:rFonts w:asciiTheme="minorEastAsia" w:hAnsiTheme="minorEastAsia" w:eastAsiaTheme="minorEastAsia"/>
          <w:lang w:eastAsia="zh-CN"/>
        </w:rPr>
      </w:pPr>
      <w:r>
        <w:rPr>
          <w:rFonts w:asciiTheme="minorEastAsia" w:hAnsiTheme="minorEastAsia" w:eastAsiaTheme="minorEastAsia"/>
          <w:lang w:eastAsia="zh-CN"/>
        </w:rPr>
        <w:t>4、在施工工作面，制定了洒水降尘制度，配套洒水设备，专人负责，定期洒水，在大风日要加大洒水量和洒水次数。</w:t>
      </w:r>
    </w:p>
    <w:p w14:paraId="5068A40D">
      <w:pPr>
        <w:ind w:firstLine="480"/>
        <w:rPr>
          <w:rFonts w:asciiTheme="minorEastAsia" w:hAnsiTheme="minorEastAsia" w:eastAsiaTheme="minorEastAsia"/>
          <w:lang w:eastAsia="zh-CN"/>
        </w:rPr>
      </w:pPr>
      <w:r>
        <w:rPr>
          <w:rFonts w:asciiTheme="minorEastAsia" w:hAnsiTheme="minorEastAsia" w:eastAsiaTheme="minorEastAsia"/>
          <w:lang w:eastAsia="zh-CN"/>
        </w:rPr>
        <w:t>5、开挖的土石方应及时回填或运到指定地点，减少扬尘影响；施工场地、施工道路每天洒水4～5次，并及时清扫道路、碾压或覆盖裸露地表。</w:t>
      </w:r>
    </w:p>
    <w:p w14:paraId="540477C9">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6</w:t>
      </w:r>
      <w:r>
        <w:rPr>
          <w:rFonts w:asciiTheme="minorEastAsia" w:hAnsiTheme="minorEastAsia" w:eastAsiaTheme="minorEastAsia"/>
          <w:lang w:eastAsia="zh-CN"/>
        </w:rPr>
        <w:t>、定期检修机械设备，使其稳定运转，最大限度减轻机械燃油及车辆尾气所产生的污染。</w:t>
      </w:r>
    </w:p>
    <w:p w14:paraId="257AEABC">
      <w:pPr>
        <w:pStyle w:val="3"/>
        <w:rPr>
          <w:lang w:eastAsia="zh-CN"/>
        </w:rPr>
      </w:pPr>
      <w:bookmarkStart w:id="261" w:name="_Toc408413975"/>
      <w:bookmarkStart w:id="262" w:name="_Toc248649433"/>
      <w:r>
        <w:rPr>
          <w:lang w:eastAsia="zh-CN"/>
        </w:rPr>
        <w:t>5.3环境空气影响预测与评价</w:t>
      </w:r>
      <w:bookmarkEnd w:id="261"/>
      <w:bookmarkEnd w:id="262"/>
    </w:p>
    <w:p w14:paraId="73317370">
      <w:pPr>
        <w:pStyle w:val="4"/>
        <w:rPr>
          <w:lang w:eastAsia="zh-CN"/>
        </w:rPr>
      </w:pPr>
      <w:bookmarkStart w:id="263" w:name="_Toc408413976"/>
      <w:r>
        <w:rPr>
          <w:lang w:eastAsia="zh-CN"/>
        </w:rPr>
        <w:t>5.3.1气候特点及污染气象特征</w:t>
      </w:r>
      <w:bookmarkEnd w:id="263"/>
    </w:p>
    <w:p w14:paraId="45B70689">
      <w:pPr>
        <w:ind w:firstLine="480"/>
        <w:rPr>
          <w:rFonts w:asciiTheme="minorEastAsia" w:hAnsiTheme="minorEastAsia" w:eastAsiaTheme="minorEastAsia"/>
          <w:lang w:eastAsia="zh-CN"/>
        </w:rPr>
      </w:pPr>
      <w:r>
        <w:rPr>
          <w:rFonts w:asciiTheme="minorEastAsia" w:hAnsiTheme="minorEastAsia" w:eastAsiaTheme="minorEastAsia"/>
          <w:lang w:eastAsia="zh-CN"/>
        </w:rPr>
        <w:t>东乌珠穆沁旗属于中温带大陆性气候区，其特征为：冬季严寒、雨雪较少，春季干旱风大，夏季炎热、降水偏少且相对集中，秋季气温剧降。该地区平均气温为1.9</w:t>
      </w:r>
      <w:r>
        <w:rPr>
          <w:rFonts w:hint="eastAsia" w:asciiTheme="minorEastAsia" w:hAnsiTheme="minorEastAsia" w:eastAsiaTheme="minorEastAsia"/>
          <w:lang w:eastAsia="zh-CN"/>
        </w:rPr>
        <w:t>℃</w:t>
      </w:r>
      <w:r>
        <w:rPr>
          <w:rFonts w:asciiTheme="minorEastAsia" w:hAnsiTheme="minorEastAsia" w:eastAsiaTheme="minorEastAsia"/>
          <w:lang w:eastAsia="zh-CN"/>
        </w:rPr>
        <w:t>，极端最高气温为39.</w:t>
      </w:r>
      <w:r>
        <w:rPr>
          <w:rFonts w:hint="eastAsia" w:asciiTheme="minorEastAsia" w:hAnsiTheme="minorEastAsia" w:eastAsiaTheme="minorEastAsia"/>
          <w:lang w:eastAsia="zh-CN"/>
        </w:rPr>
        <w:t>7℃</w:t>
      </w:r>
      <w:r>
        <w:rPr>
          <w:rFonts w:asciiTheme="minorEastAsia" w:hAnsiTheme="minorEastAsia" w:eastAsiaTheme="minorEastAsia"/>
          <w:lang w:eastAsia="zh-CN"/>
        </w:rPr>
        <w:t>，极端最低气温为-</w:t>
      </w:r>
      <w:r>
        <w:rPr>
          <w:rFonts w:hint="eastAsia" w:asciiTheme="minorEastAsia" w:hAnsiTheme="minorEastAsia" w:eastAsiaTheme="minorEastAsia"/>
          <w:lang w:eastAsia="zh-CN"/>
        </w:rPr>
        <w:t>40.5℃</w:t>
      </w:r>
      <w:r>
        <w:rPr>
          <w:rFonts w:asciiTheme="minorEastAsia" w:hAnsiTheme="minorEastAsia" w:eastAsiaTheme="minorEastAsia"/>
          <w:lang w:eastAsia="zh-CN"/>
        </w:rPr>
        <w:t>；年平均气压为917.8hPa；年平均相对湿度为</w:t>
      </w:r>
      <w:r>
        <w:rPr>
          <w:rFonts w:hint="eastAsia" w:asciiTheme="minorEastAsia" w:hAnsiTheme="minorEastAsia" w:eastAsiaTheme="minorEastAsia"/>
          <w:lang w:eastAsia="zh-CN"/>
        </w:rPr>
        <w:t>37.6</w:t>
      </w:r>
      <w:r>
        <w:rPr>
          <w:rFonts w:asciiTheme="minorEastAsia" w:hAnsiTheme="minorEastAsia" w:eastAsiaTheme="minorEastAsia"/>
          <w:lang w:eastAsia="zh-CN"/>
        </w:rPr>
        <w:t>%；年降水量为250.7mm；年蒸发量为1739.1mm；年日照时数3014.3h；年平均风速为3.</w:t>
      </w:r>
      <w:r>
        <w:rPr>
          <w:rFonts w:hint="eastAsia" w:asciiTheme="minorEastAsia" w:hAnsiTheme="minorEastAsia" w:eastAsiaTheme="minorEastAsia"/>
          <w:lang w:eastAsia="zh-CN"/>
        </w:rPr>
        <w:t>4</w:t>
      </w:r>
      <w:r>
        <w:rPr>
          <w:rFonts w:asciiTheme="minorEastAsia" w:hAnsiTheme="minorEastAsia" w:eastAsiaTheme="minorEastAsia"/>
          <w:lang w:eastAsia="zh-CN"/>
        </w:rPr>
        <w:t>m/s；该地区年主导风向为SW风，出现频率为10.5%，WSW风的出现频率也较高8.8%，静风的年出现频率为19.1%。全年以NNW方向的风平均风速最大，为4.5m/s。</w:t>
      </w:r>
    </w:p>
    <w:p w14:paraId="5FACC5CC">
      <w:pPr>
        <w:ind w:firstLine="480"/>
        <w:rPr>
          <w:rFonts w:asciiTheme="minorEastAsia" w:hAnsiTheme="minorEastAsia" w:eastAsiaTheme="minorEastAsia"/>
          <w:lang w:eastAsia="zh-CN"/>
        </w:rPr>
      </w:pPr>
      <w:r>
        <w:rPr>
          <w:rFonts w:asciiTheme="minorEastAsia" w:hAnsiTheme="minorEastAsia" w:eastAsiaTheme="minorEastAsia"/>
          <w:lang w:eastAsia="zh-CN"/>
        </w:rPr>
        <w:t>东乌珠穆沁旗近二十年的地面月（年）平均风速数值的统计见表5.3-1，可以看出，该地区年平均风速为3.4m/s。全年以春季风速最大（如四月份风速为4.5m/s），冬季风速最小（如十二月份风速为2.8m/s），其风速的年较差为1.7m/s。全年及四季风向玫瑰图见图5.3-1。</w:t>
      </w:r>
    </w:p>
    <w:p w14:paraId="3385391D">
      <w:pPr>
        <w:pStyle w:val="406"/>
        <w:spacing w:line="240" w:lineRule="auto"/>
        <w:ind w:firstLine="482"/>
        <w:jc w:val="both"/>
        <w:rPr>
          <w:rFonts w:eastAsia="宋体"/>
          <w:b/>
          <w:color w:val="auto"/>
          <w:lang w:eastAsia="zh-CN"/>
        </w:rPr>
      </w:pPr>
      <w:r>
        <w:rPr>
          <w:rFonts w:eastAsia="宋体"/>
          <w:b/>
          <w:color w:val="auto"/>
          <w:lang w:eastAsia="zh-CN"/>
        </w:rPr>
        <w:t xml:space="preserve">表5.3-1  </w:t>
      </w:r>
      <w:r>
        <w:rPr>
          <w:rFonts w:hint="eastAsia" w:eastAsia="宋体"/>
          <w:b/>
          <w:color w:val="auto"/>
          <w:lang w:eastAsia="zh-CN"/>
        </w:rPr>
        <w:t xml:space="preserve">    </w:t>
      </w:r>
      <w:r>
        <w:rPr>
          <w:rFonts w:eastAsia="宋体"/>
          <w:b/>
          <w:color w:val="auto"/>
          <w:lang w:eastAsia="zh-CN"/>
        </w:rPr>
        <w:t>评价区月年平均风速数值</w:t>
      </w:r>
    </w:p>
    <w:tbl>
      <w:tblPr>
        <w:tblStyle w:val="7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15"/>
        <w:gridCol w:w="544"/>
        <w:gridCol w:w="546"/>
        <w:gridCol w:w="546"/>
        <w:gridCol w:w="546"/>
        <w:gridCol w:w="546"/>
        <w:gridCol w:w="546"/>
        <w:gridCol w:w="546"/>
        <w:gridCol w:w="546"/>
        <w:gridCol w:w="546"/>
        <w:gridCol w:w="546"/>
        <w:gridCol w:w="546"/>
        <w:gridCol w:w="546"/>
        <w:gridCol w:w="764"/>
      </w:tblGrid>
      <w:tr w14:paraId="67B710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5" w:type="dxa"/>
            <w:vAlign w:val="center"/>
          </w:tcPr>
          <w:p w14:paraId="5416884F">
            <w:pPr>
              <w:pStyle w:val="518"/>
              <w:rPr>
                <w:lang w:val="zh-CN"/>
              </w:rPr>
            </w:pPr>
            <w:r>
              <w:rPr>
                <w:lang w:val="zh-CN"/>
              </w:rPr>
              <w:t>月（年）</w:t>
            </w:r>
          </w:p>
        </w:tc>
        <w:tc>
          <w:tcPr>
            <w:tcW w:w="544" w:type="dxa"/>
            <w:vAlign w:val="center"/>
          </w:tcPr>
          <w:p w14:paraId="632F5451">
            <w:pPr>
              <w:pStyle w:val="518"/>
              <w:rPr>
                <w:lang w:val="zh-CN"/>
              </w:rPr>
            </w:pPr>
            <w:r>
              <w:rPr>
                <w:lang w:val="zh-CN"/>
              </w:rPr>
              <w:t>1</w:t>
            </w:r>
          </w:p>
        </w:tc>
        <w:tc>
          <w:tcPr>
            <w:tcW w:w="546" w:type="dxa"/>
            <w:vAlign w:val="center"/>
          </w:tcPr>
          <w:p w14:paraId="3695CE09">
            <w:pPr>
              <w:pStyle w:val="518"/>
              <w:rPr>
                <w:lang w:val="zh-CN"/>
              </w:rPr>
            </w:pPr>
            <w:r>
              <w:rPr>
                <w:lang w:val="zh-CN"/>
              </w:rPr>
              <w:t>2</w:t>
            </w:r>
          </w:p>
        </w:tc>
        <w:tc>
          <w:tcPr>
            <w:tcW w:w="546" w:type="dxa"/>
            <w:vAlign w:val="center"/>
          </w:tcPr>
          <w:p w14:paraId="2803E583">
            <w:pPr>
              <w:pStyle w:val="518"/>
              <w:rPr>
                <w:lang w:val="zh-CN"/>
              </w:rPr>
            </w:pPr>
            <w:r>
              <w:rPr>
                <w:lang w:val="zh-CN"/>
              </w:rPr>
              <w:t>3</w:t>
            </w:r>
          </w:p>
        </w:tc>
        <w:tc>
          <w:tcPr>
            <w:tcW w:w="546" w:type="dxa"/>
            <w:vAlign w:val="center"/>
          </w:tcPr>
          <w:p w14:paraId="7EB890EE">
            <w:pPr>
              <w:pStyle w:val="518"/>
              <w:rPr>
                <w:lang w:val="zh-CN"/>
              </w:rPr>
            </w:pPr>
            <w:r>
              <w:rPr>
                <w:lang w:val="zh-CN"/>
              </w:rPr>
              <w:t>4</w:t>
            </w:r>
          </w:p>
        </w:tc>
        <w:tc>
          <w:tcPr>
            <w:tcW w:w="546" w:type="dxa"/>
            <w:vAlign w:val="center"/>
          </w:tcPr>
          <w:p w14:paraId="48146150">
            <w:pPr>
              <w:pStyle w:val="518"/>
              <w:rPr>
                <w:lang w:val="zh-CN"/>
              </w:rPr>
            </w:pPr>
            <w:r>
              <w:rPr>
                <w:lang w:val="zh-CN"/>
              </w:rPr>
              <w:t>5</w:t>
            </w:r>
          </w:p>
        </w:tc>
        <w:tc>
          <w:tcPr>
            <w:tcW w:w="546" w:type="dxa"/>
            <w:vAlign w:val="center"/>
          </w:tcPr>
          <w:p w14:paraId="5743319A">
            <w:pPr>
              <w:pStyle w:val="518"/>
              <w:rPr>
                <w:lang w:val="zh-CN"/>
              </w:rPr>
            </w:pPr>
            <w:r>
              <w:rPr>
                <w:lang w:val="zh-CN"/>
              </w:rPr>
              <w:t>6</w:t>
            </w:r>
          </w:p>
        </w:tc>
        <w:tc>
          <w:tcPr>
            <w:tcW w:w="546" w:type="dxa"/>
            <w:vAlign w:val="center"/>
          </w:tcPr>
          <w:p w14:paraId="6B0B5D9D">
            <w:pPr>
              <w:pStyle w:val="518"/>
              <w:rPr>
                <w:lang w:val="zh-CN"/>
              </w:rPr>
            </w:pPr>
            <w:r>
              <w:rPr>
                <w:lang w:val="zh-CN"/>
              </w:rPr>
              <w:t>7</w:t>
            </w:r>
          </w:p>
        </w:tc>
        <w:tc>
          <w:tcPr>
            <w:tcW w:w="546" w:type="dxa"/>
            <w:vAlign w:val="center"/>
          </w:tcPr>
          <w:p w14:paraId="2BC67BFF">
            <w:pPr>
              <w:pStyle w:val="518"/>
              <w:rPr>
                <w:lang w:val="zh-CN"/>
              </w:rPr>
            </w:pPr>
            <w:r>
              <w:rPr>
                <w:lang w:val="zh-CN"/>
              </w:rPr>
              <w:t>8</w:t>
            </w:r>
          </w:p>
        </w:tc>
        <w:tc>
          <w:tcPr>
            <w:tcW w:w="546" w:type="dxa"/>
            <w:vAlign w:val="center"/>
          </w:tcPr>
          <w:p w14:paraId="3C85933A">
            <w:pPr>
              <w:pStyle w:val="518"/>
              <w:rPr>
                <w:lang w:val="zh-CN"/>
              </w:rPr>
            </w:pPr>
            <w:r>
              <w:rPr>
                <w:lang w:val="zh-CN"/>
              </w:rPr>
              <w:t>9</w:t>
            </w:r>
          </w:p>
        </w:tc>
        <w:tc>
          <w:tcPr>
            <w:tcW w:w="546" w:type="dxa"/>
            <w:vAlign w:val="center"/>
          </w:tcPr>
          <w:p w14:paraId="17353178">
            <w:pPr>
              <w:pStyle w:val="518"/>
              <w:rPr>
                <w:lang w:val="zh-CN"/>
              </w:rPr>
            </w:pPr>
            <w:r>
              <w:rPr>
                <w:lang w:val="zh-CN"/>
              </w:rPr>
              <w:t>10</w:t>
            </w:r>
          </w:p>
        </w:tc>
        <w:tc>
          <w:tcPr>
            <w:tcW w:w="546" w:type="dxa"/>
            <w:vAlign w:val="center"/>
          </w:tcPr>
          <w:p w14:paraId="1814938B">
            <w:pPr>
              <w:pStyle w:val="518"/>
              <w:rPr>
                <w:lang w:val="zh-CN"/>
              </w:rPr>
            </w:pPr>
            <w:r>
              <w:rPr>
                <w:lang w:val="zh-CN"/>
              </w:rPr>
              <w:t>11</w:t>
            </w:r>
          </w:p>
        </w:tc>
        <w:tc>
          <w:tcPr>
            <w:tcW w:w="546" w:type="dxa"/>
            <w:vAlign w:val="center"/>
          </w:tcPr>
          <w:p w14:paraId="5AD90F64">
            <w:pPr>
              <w:pStyle w:val="518"/>
              <w:rPr>
                <w:lang w:val="zh-CN"/>
              </w:rPr>
            </w:pPr>
            <w:r>
              <w:rPr>
                <w:lang w:val="zh-CN"/>
              </w:rPr>
              <w:t>12</w:t>
            </w:r>
          </w:p>
        </w:tc>
        <w:tc>
          <w:tcPr>
            <w:tcW w:w="764" w:type="dxa"/>
            <w:vAlign w:val="center"/>
          </w:tcPr>
          <w:p w14:paraId="2BA0AC20">
            <w:pPr>
              <w:pStyle w:val="518"/>
              <w:rPr>
                <w:lang w:val="zh-CN"/>
              </w:rPr>
            </w:pPr>
            <w:r>
              <w:rPr>
                <w:lang w:val="zh-CN"/>
              </w:rPr>
              <w:t>全年</w:t>
            </w:r>
          </w:p>
        </w:tc>
      </w:tr>
      <w:tr w14:paraId="5E0B00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15" w:type="dxa"/>
            <w:vAlign w:val="center"/>
          </w:tcPr>
          <w:p w14:paraId="663EAABD">
            <w:pPr>
              <w:pStyle w:val="518"/>
              <w:rPr>
                <w:lang w:val="zh-CN"/>
              </w:rPr>
            </w:pPr>
            <w:r>
              <w:rPr>
                <w:lang w:val="zh-CN"/>
              </w:rPr>
              <w:t>平均风速</w:t>
            </w:r>
          </w:p>
          <w:p w14:paraId="016A926C">
            <w:pPr>
              <w:pStyle w:val="518"/>
              <w:rPr>
                <w:lang w:val="zh-CN"/>
              </w:rPr>
            </w:pPr>
            <w:r>
              <w:rPr>
                <w:lang w:val="zh-CN"/>
              </w:rPr>
              <w:t>（m/s）</w:t>
            </w:r>
          </w:p>
        </w:tc>
        <w:tc>
          <w:tcPr>
            <w:tcW w:w="544" w:type="dxa"/>
            <w:vAlign w:val="center"/>
          </w:tcPr>
          <w:p w14:paraId="228584BB">
            <w:pPr>
              <w:pStyle w:val="518"/>
              <w:rPr>
                <w:lang w:val="zh-CN"/>
              </w:rPr>
            </w:pPr>
            <w:bookmarkStart w:id="264" w:name="_Toc303062451"/>
            <w:bookmarkStart w:id="265" w:name="_Toc303228658"/>
            <w:bookmarkStart w:id="266" w:name="_Toc303068498"/>
            <w:r>
              <w:rPr>
                <w:lang w:val="zh-CN"/>
              </w:rPr>
              <w:t>3.1</w:t>
            </w:r>
            <w:bookmarkEnd w:id="264"/>
            <w:bookmarkEnd w:id="265"/>
            <w:bookmarkEnd w:id="266"/>
          </w:p>
        </w:tc>
        <w:tc>
          <w:tcPr>
            <w:tcW w:w="546" w:type="dxa"/>
            <w:vAlign w:val="center"/>
          </w:tcPr>
          <w:p w14:paraId="74A2DD12">
            <w:pPr>
              <w:pStyle w:val="518"/>
              <w:rPr>
                <w:lang w:val="zh-CN"/>
              </w:rPr>
            </w:pPr>
            <w:r>
              <w:rPr>
                <w:lang w:val="zh-CN"/>
              </w:rPr>
              <w:t>3.1</w:t>
            </w:r>
          </w:p>
        </w:tc>
        <w:tc>
          <w:tcPr>
            <w:tcW w:w="546" w:type="dxa"/>
            <w:vAlign w:val="center"/>
          </w:tcPr>
          <w:p w14:paraId="10A6FAE8">
            <w:pPr>
              <w:pStyle w:val="518"/>
              <w:rPr>
                <w:lang w:val="zh-CN"/>
              </w:rPr>
            </w:pPr>
            <w:r>
              <w:rPr>
                <w:lang w:val="zh-CN"/>
              </w:rPr>
              <w:t>3.7</w:t>
            </w:r>
          </w:p>
        </w:tc>
        <w:tc>
          <w:tcPr>
            <w:tcW w:w="546" w:type="dxa"/>
            <w:vAlign w:val="center"/>
          </w:tcPr>
          <w:p w14:paraId="037DDA84">
            <w:pPr>
              <w:pStyle w:val="518"/>
              <w:rPr>
                <w:lang w:val="zh-CN"/>
              </w:rPr>
            </w:pPr>
            <w:r>
              <w:rPr>
                <w:lang w:val="zh-CN"/>
              </w:rPr>
              <w:t>4.5</w:t>
            </w:r>
          </w:p>
        </w:tc>
        <w:tc>
          <w:tcPr>
            <w:tcW w:w="546" w:type="dxa"/>
            <w:vAlign w:val="center"/>
          </w:tcPr>
          <w:p w14:paraId="7EF030F6">
            <w:pPr>
              <w:pStyle w:val="518"/>
              <w:rPr>
                <w:lang w:val="zh-CN"/>
              </w:rPr>
            </w:pPr>
            <w:r>
              <w:rPr>
                <w:lang w:val="zh-CN"/>
              </w:rPr>
              <w:t>4.3</w:t>
            </w:r>
          </w:p>
        </w:tc>
        <w:tc>
          <w:tcPr>
            <w:tcW w:w="546" w:type="dxa"/>
            <w:vAlign w:val="center"/>
          </w:tcPr>
          <w:p w14:paraId="2EA051D0">
            <w:pPr>
              <w:pStyle w:val="518"/>
              <w:rPr>
                <w:lang w:val="zh-CN"/>
              </w:rPr>
            </w:pPr>
            <w:r>
              <w:rPr>
                <w:lang w:val="zh-CN"/>
              </w:rPr>
              <w:t>3.8</w:t>
            </w:r>
          </w:p>
        </w:tc>
        <w:tc>
          <w:tcPr>
            <w:tcW w:w="546" w:type="dxa"/>
            <w:vAlign w:val="center"/>
          </w:tcPr>
          <w:p w14:paraId="006058EF">
            <w:pPr>
              <w:pStyle w:val="518"/>
              <w:rPr>
                <w:lang w:val="zh-CN"/>
              </w:rPr>
            </w:pPr>
            <w:r>
              <w:rPr>
                <w:lang w:val="zh-CN"/>
              </w:rPr>
              <w:t>3.0</w:t>
            </w:r>
          </w:p>
        </w:tc>
        <w:tc>
          <w:tcPr>
            <w:tcW w:w="546" w:type="dxa"/>
            <w:vAlign w:val="center"/>
          </w:tcPr>
          <w:p w14:paraId="18C16778">
            <w:pPr>
              <w:pStyle w:val="518"/>
              <w:rPr>
                <w:lang w:val="zh-CN"/>
              </w:rPr>
            </w:pPr>
            <w:r>
              <w:rPr>
                <w:lang w:val="zh-CN"/>
              </w:rPr>
              <w:t>2.9</w:t>
            </w:r>
          </w:p>
        </w:tc>
        <w:tc>
          <w:tcPr>
            <w:tcW w:w="546" w:type="dxa"/>
            <w:vAlign w:val="center"/>
          </w:tcPr>
          <w:p w14:paraId="30E3CECB">
            <w:pPr>
              <w:pStyle w:val="518"/>
              <w:rPr>
                <w:lang w:val="zh-CN"/>
              </w:rPr>
            </w:pPr>
            <w:r>
              <w:rPr>
                <w:lang w:val="zh-CN"/>
              </w:rPr>
              <w:t>2.9</w:t>
            </w:r>
          </w:p>
        </w:tc>
        <w:tc>
          <w:tcPr>
            <w:tcW w:w="546" w:type="dxa"/>
            <w:vAlign w:val="center"/>
          </w:tcPr>
          <w:p w14:paraId="406AF849">
            <w:pPr>
              <w:pStyle w:val="518"/>
              <w:rPr>
                <w:lang w:val="zh-CN"/>
              </w:rPr>
            </w:pPr>
            <w:r>
              <w:rPr>
                <w:lang w:val="zh-CN"/>
              </w:rPr>
              <w:t>3.0</w:t>
            </w:r>
          </w:p>
        </w:tc>
        <w:tc>
          <w:tcPr>
            <w:tcW w:w="546" w:type="dxa"/>
            <w:vAlign w:val="center"/>
          </w:tcPr>
          <w:p w14:paraId="2AEF671B">
            <w:pPr>
              <w:pStyle w:val="518"/>
              <w:rPr>
                <w:lang w:val="zh-CN"/>
              </w:rPr>
            </w:pPr>
            <w:r>
              <w:rPr>
                <w:lang w:val="zh-CN"/>
              </w:rPr>
              <w:t>3.3</w:t>
            </w:r>
          </w:p>
        </w:tc>
        <w:tc>
          <w:tcPr>
            <w:tcW w:w="546" w:type="dxa"/>
            <w:vAlign w:val="center"/>
          </w:tcPr>
          <w:p w14:paraId="08922BFD">
            <w:pPr>
              <w:pStyle w:val="518"/>
              <w:rPr>
                <w:lang w:val="zh-CN"/>
              </w:rPr>
            </w:pPr>
            <w:r>
              <w:rPr>
                <w:lang w:val="zh-CN"/>
              </w:rPr>
              <w:t>2.8</w:t>
            </w:r>
          </w:p>
        </w:tc>
        <w:tc>
          <w:tcPr>
            <w:tcW w:w="764" w:type="dxa"/>
            <w:vAlign w:val="center"/>
          </w:tcPr>
          <w:p w14:paraId="6483A636">
            <w:pPr>
              <w:pStyle w:val="518"/>
              <w:rPr>
                <w:lang w:val="zh-CN"/>
              </w:rPr>
            </w:pPr>
            <w:r>
              <w:rPr>
                <w:lang w:val="zh-CN"/>
              </w:rPr>
              <w:t>3.4</w:t>
            </w:r>
          </w:p>
        </w:tc>
      </w:tr>
    </w:tbl>
    <w:p w14:paraId="087904B0">
      <w:pPr>
        <w:ind w:firstLine="480"/>
        <w:rPr>
          <w:rFonts w:asciiTheme="minorEastAsia" w:hAnsiTheme="minorEastAsia" w:eastAsiaTheme="minorEastAsia"/>
          <w:lang w:eastAsia="zh-CN"/>
        </w:rPr>
      </w:pPr>
    </w:p>
    <w:p w14:paraId="737FC4DA">
      <w:pPr>
        <w:ind w:firstLine="480"/>
        <w:rPr>
          <w:rFonts w:asciiTheme="minorEastAsia" w:hAnsiTheme="minorEastAsia" w:eastAsiaTheme="minorEastAsia"/>
          <w:lang w:eastAsia="zh-CN"/>
        </w:rPr>
      </w:pPr>
    </w:p>
    <w:p w14:paraId="29B10FF4">
      <w:pPr>
        <w:ind w:firstLine="480"/>
        <w:rPr>
          <w:rFonts w:asciiTheme="minorEastAsia" w:hAnsiTheme="minorEastAsia" w:eastAsiaTheme="minorEastAsia"/>
          <w:lang w:eastAsia="zh-CN"/>
        </w:rPr>
      </w:pPr>
    </w:p>
    <w:p w14:paraId="7332F85D">
      <w:pPr>
        <w:ind w:firstLine="480"/>
        <w:rPr>
          <w:rFonts w:asciiTheme="minorEastAsia" w:hAnsiTheme="minorEastAsia" w:eastAsiaTheme="minorEastAsia"/>
          <w:lang w:eastAsia="zh-CN"/>
        </w:rPr>
      </w:pPr>
    </w:p>
    <w:p w14:paraId="237D3775">
      <w:pPr>
        <w:ind w:firstLine="480"/>
        <w:rPr>
          <w:rFonts w:asciiTheme="minorEastAsia" w:hAnsiTheme="minorEastAsia" w:eastAsiaTheme="minorEastAsia"/>
          <w:lang w:eastAsia="zh-CN"/>
        </w:rPr>
      </w:pPr>
    </w:p>
    <w:p w14:paraId="24D90564">
      <w:pPr>
        <w:ind w:firstLine="480"/>
      </w:pPr>
      <w:r>
        <w:rPr>
          <w:lang w:eastAsia="zh-CN" w:bidi="ar-SA"/>
        </w:rPr>
        <w:drawing>
          <wp:anchor distT="0" distB="0" distL="114300" distR="114300" simplePos="0" relativeHeight="251664384" behindDoc="0" locked="0" layoutInCell="1" allowOverlap="1">
            <wp:simplePos x="0" y="0"/>
            <wp:positionH relativeFrom="column">
              <wp:posOffset>373380</wp:posOffset>
            </wp:positionH>
            <wp:positionV relativeFrom="paragraph">
              <wp:posOffset>19685</wp:posOffset>
            </wp:positionV>
            <wp:extent cx="4258945" cy="5251450"/>
            <wp:effectExtent l="19050" t="0" r="8255" b="0"/>
            <wp:wrapNone/>
            <wp:docPr id="295" name="图片 4199" descr="照片4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4199" descr="照片4 010"/>
                    <pic:cNvPicPr>
                      <a:picLocks noChangeAspect="1" noChangeArrowheads="1"/>
                    </pic:cNvPicPr>
                  </pic:nvPicPr>
                  <pic:blipFill>
                    <a:blip r:embed="rId37"/>
                    <a:srcRect/>
                    <a:stretch>
                      <a:fillRect/>
                    </a:stretch>
                  </pic:blipFill>
                  <pic:spPr>
                    <a:xfrm>
                      <a:off x="0" y="0"/>
                      <a:ext cx="4258945" cy="5251450"/>
                    </a:xfrm>
                    <a:prstGeom prst="rect">
                      <a:avLst/>
                    </a:prstGeom>
                    <a:noFill/>
                    <a:ln w="9525">
                      <a:noFill/>
                      <a:miter lim="800000"/>
                      <a:headEnd/>
                      <a:tailEnd/>
                    </a:ln>
                  </pic:spPr>
                </pic:pic>
              </a:graphicData>
            </a:graphic>
          </wp:anchor>
        </w:drawing>
      </w:r>
    </w:p>
    <w:p w14:paraId="4912D241">
      <w:pPr>
        <w:ind w:firstLine="0" w:firstLineChars="0"/>
        <w:rPr>
          <w:lang w:eastAsia="zh-CN"/>
        </w:rPr>
      </w:pPr>
    </w:p>
    <w:p w14:paraId="5E544A8D">
      <w:pPr>
        <w:ind w:firstLine="0" w:firstLineChars="0"/>
        <w:rPr>
          <w:lang w:eastAsia="zh-CN"/>
        </w:rPr>
      </w:pPr>
    </w:p>
    <w:p w14:paraId="18C3F9F9">
      <w:pPr>
        <w:ind w:firstLine="0" w:firstLineChars="0"/>
        <w:rPr>
          <w:lang w:eastAsia="zh-CN"/>
        </w:rPr>
      </w:pPr>
    </w:p>
    <w:p w14:paraId="22CDC45A">
      <w:pPr>
        <w:ind w:firstLine="0" w:firstLineChars="0"/>
        <w:rPr>
          <w:lang w:eastAsia="zh-CN"/>
        </w:rPr>
      </w:pPr>
    </w:p>
    <w:p w14:paraId="5E1F4B3A">
      <w:pPr>
        <w:ind w:firstLine="0" w:firstLineChars="0"/>
        <w:rPr>
          <w:lang w:eastAsia="zh-CN"/>
        </w:rPr>
      </w:pPr>
    </w:p>
    <w:p w14:paraId="25CFC72F">
      <w:pPr>
        <w:ind w:firstLine="0" w:firstLineChars="0"/>
        <w:rPr>
          <w:lang w:eastAsia="zh-CN"/>
        </w:rPr>
      </w:pPr>
    </w:p>
    <w:p w14:paraId="3EFA4B96">
      <w:pPr>
        <w:ind w:firstLine="480"/>
      </w:pPr>
    </w:p>
    <w:p w14:paraId="0D515180">
      <w:pPr>
        <w:ind w:firstLine="480"/>
      </w:pPr>
    </w:p>
    <w:p w14:paraId="4FE2C69E">
      <w:pPr>
        <w:ind w:firstLine="480"/>
        <w:rPr>
          <w:lang w:eastAsia="zh-CN"/>
        </w:rPr>
      </w:pPr>
    </w:p>
    <w:p w14:paraId="28B6BFC9">
      <w:pPr>
        <w:ind w:firstLine="480"/>
        <w:rPr>
          <w:lang w:eastAsia="zh-CN"/>
        </w:rPr>
      </w:pPr>
    </w:p>
    <w:p w14:paraId="4A80B5D5">
      <w:pPr>
        <w:ind w:firstLine="480"/>
        <w:rPr>
          <w:lang w:eastAsia="zh-CN"/>
        </w:rPr>
      </w:pPr>
    </w:p>
    <w:p w14:paraId="1CEA0823">
      <w:pPr>
        <w:ind w:firstLine="480"/>
        <w:rPr>
          <w:lang w:eastAsia="zh-CN"/>
        </w:rPr>
      </w:pPr>
    </w:p>
    <w:p w14:paraId="247F67B4">
      <w:pPr>
        <w:ind w:firstLine="480"/>
        <w:rPr>
          <w:lang w:eastAsia="zh-CN"/>
        </w:rPr>
      </w:pPr>
    </w:p>
    <w:p w14:paraId="5DB0A5AF">
      <w:pPr>
        <w:ind w:firstLine="480"/>
        <w:rPr>
          <w:lang w:eastAsia="zh-CN"/>
        </w:rPr>
      </w:pPr>
    </w:p>
    <w:p w14:paraId="0BD89BC4">
      <w:pPr>
        <w:ind w:firstLine="480"/>
        <w:rPr>
          <w:lang w:eastAsia="zh-CN"/>
        </w:rPr>
      </w:pPr>
    </w:p>
    <w:p w14:paraId="5D1CFB21">
      <w:pPr>
        <w:ind w:firstLine="480"/>
        <w:rPr>
          <w:lang w:eastAsia="zh-CN"/>
        </w:rPr>
      </w:pPr>
    </w:p>
    <w:p w14:paraId="5B5D90EA">
      <w:pPr>
        <w:ind w:firstLine="480"/>
        <w:rPr>
          <w:lang w:eastAsia="zh-CN"/>
        </w:rPr>
      </w:pPr>
    </w:p>
    <w:p w14:paraId="73E71757">
      <w:pPr>
        <w:ind w:firstLine="480"/>
        <w:rPr>
          <w:lang w:eastAsia="zh-CN"/>
        </w:rPr>
      </w:pPr>
    </w:p>
    <w:p w14:paraId="5E5D3038">
      <w:pPr>
        <w:ind w:firstLine="480"/>
        <w:rPr>
          <w:lang w:eastAsia="zh-CN"/>
        </w:rPr>
      </w:pPr>
    </w:p>
    <w:p w14:paraId="3F0227A3">
      <w:pPr>
        <w:ind w:firstLine="482"/>
        <w:rPr>
          <w:b/>
          <w:bCs/>
          <w:lang w:eastAsia="zh-CN"/>
        </w:rPr>
      </w:pPr>
    </w:p>
    <w:p w14:paraId="0F5607FD">
      <w:pPr>
        <w:ind w:firstLine="482"/>
        <w:jc w:val="center"/>
        <w:rPr>
          <w:b/>
          <w:lang w:eastAsia="zh-CN"/>
        </w:rPr>
      </w:pPr>
      <w:r>
        <w:rPr>
          <w:b/>
          <w:lang w:eastAsia="zh-CN"/>
        </w:rPr>
        <w:t>图5.3-1 东乌珠穆沁旗近二十年风向玫瑰图</w:t>
      </w:r>
    </w:p>
    <w:p w14:paraId="4EFDDDA7">
      <w:pPr>
        <w:pStyle w:val="4"/>
        <w:rPr>
          <w:lang w:eastAsia="zh-CN"/>
        </w:rPr>
      </w:pPr>
      <w:bookmarkStart w:id="267" w:name="_Toc408413977"/>
      <w:r>
        <w:rPr>
          <w:lang w:eastAsia="zh-CN"/>
        </w:rPr>
        <w:t>5.3.2环境空气影响预测与评价</w:t>
      </w:r>
      <w:bookmarkEnd w:id="267"/>
    </w:p>
    <w:p w14:paraId="5FD34515">
      <w:pPr>
        <w:ind w:firstLine="480"/>
        <w:rPr>
          <w:rFonts w:asciiTheme="minorEastAsia" w:hAnsiTheme="minorEastAsia" w:eastAsiaTheme="minorEastAsia"/>
          <w:lang w:eastAsia="zh-CN"/>
        </w:rPr>
      </w:pPr>
      <w:bookmarkStart w:id="268" w:name="_Ref132194056"/>
      <w:bookmarkStart w:id="269" w:name="_Toc196215813"/>
      <w:bookmarkStart w:id="270" w:name="_Toc248649451"/>
      <w:r>
        <w:rPr>
          <w:rFonts w:hint="eastAsia" w:asciiTheme="minorEastAsia" w:hAnsiTheme="minorEastAsia" w:eastAsiaTheme="minorEastAsia"/>
          <w:lang w:eastAsia="zh-CN"/>
        </w:rPr>
        <w:t>本次改扩建保留现有的5</w:t>
      </w:r>
      <w:r>
        <w:rPr>
          <w:rFonts w:asciiTheme="minorEastAsia" w:hAnsiTheme="minorEastAsia" w:eastAsiaTheme="minorEastAsia"/>
          <w:lang w:eastAsia="zh-CN"/>
        </w:rPr>
        <w:t>×</w:t>
      </w:r>
      <w:r>
        <w:rPr>
          <w:rFonts w:hint="eastAsia" w:asciiTheme="minorEastAsia" w:hAnsiTheme="minorEastAsia" w:eastAsiaTheme="minorEastAsia"/>
          <w:lang w:eastAsia="zh-CN"/>
        </w:rPr>
        <w:t>500kw燃气发电机组及发电机房，拆除现有的2</w:t>
      </w:r>
      <w:r>
        <w:rPr>
          <w:rFonts w:asciiTheme="minorEastAsia" w:hAnsiTheme="minorEastAsia" w:eastAsiaTheme="minorEastAsia"/>
          <w:lang w:eastAsia="zh-CN"/>
        </w:rPr>
        <w:t>×</w:t>
      </w:r>
      <w:r>
        <w:rPr>
          <w:rFonts w:hint="eastAsia" w:asciiTheme="minorEastAsia" w:hAnsiTheme="minorEastAsia" w:eastAsiaTheme="minorEastAsia"/>
          <w:lang w:eastAsia="zh-CN"/>
        </w:rPr>
        <w:t>200kw燃气发电机组及机房，新建1座发电机房，设置6</w:t>
      </w:r>
      <w:r>
        <w:rPr>
          <w:rFonts w:asciiTheme="minorEastAsia" w:hAnsiTheme="minorEastAsia" w:eastAsiaTheme="minorEastAsia"/>
          <w:lang w:eastAsia="zh-CN"/>
        </w:rPr>
        <w:t>×</w:t>
      </w:r>
      <w:r>
        <w:rPr>
          <w:rFonts w:hint="eastAsia" w:asciiTheme="minorEastAsia" w:hAnsiTheme="minorEastAsia" w:eastAsiaTheme="minorEastAsia"/>
          <w:lang w:eastAsia="zh-CN"/>
        </w:rPr>
        <w:t>400kw燃气发电机组。保留现有的</w:t>
      </w:r>
      <w:r>
        <w:rPr>
          <w:rFonts w:asciiTheme="minorEastAsia" w:hAnsiTheme="minorEastAsia" w:eastAsiaTheme="minorEastAsia"/>
          <w:lang w:eastAsia="zh-CN"/>
        </w:rPr>
        <w:t>1000kW</w:t>
      </w:r>
      <w:r>
        <w:rPr>
          <w:rFonts w:hint="eastAsia" w:asciiTheme="minorEastAsia" w:hAnsiTheme="minorEastAsia" w:eastAsiaTheme="minorEastAsia"/>
          <w:lang w:eastAsia="zh-CN"/>
        </w:rPr>
        <w:t>管式加热炉，新设置1台</w:t>
      </w:r>
      <w:r>
        <w:rPr>
          <w:rFonts w:asciiTheme="minorEastAsia" w:hAnsiTheme="minorEastAsia" w:eastAsiaTheme="minorEastAsia"/>
          <w:lang w:eastAsia="zh-CN"/>
        </w:rPr>
        <w:t>3000kW</w:t>
      </w:r>
      <w:r>
        <w:rPr>
          <w:rFonts w:hint="eastAsia" w:asciiTheme="minorEastAsia" w:hAnsiTheme="minorEastAsia" w:eastAsiaTheme="minorEastAsia"/>
          <w:lang w:eastAsia="zh-CN"/>
        </w:rPr>
        <w:t>管式加热炉。</w:t>
      </w:r>
      <w:r>
        <w:rPr>
          <w:rFonts w:asciiTheme="minorEastAsia" w:hAnsiTheme="minorEastAsia" w:eastAsiaTheme="minorEastAsia"/>
          <w:lang w:eastAsia="zh-CN"/>
        </w:rPr>
        <w:t xml:space="preserve"> </w:t>
      </w:r>
    </w:p>
    <w:p w14:paraId="3D849EAC">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发电机房排气筒</w:t>
      </w:r>
      <w:r>
        <w:rPr>
          <w:rFonts w:asciiTheme="minorEastAsia" w:hAnsiTheme="minorEastAsia" w:eastAsiaTheme="minorEastAsia"/>
          <w:lang w:eastAsia="zh-CN"/>
        </w:rPr>
        <w:t>高度1</w:t>
      </w:r>
      <w:r>
        <w:rPr>
          <w:rFonts w:hint="eastAsia" w:asciiTheme="minorEastAsia" w:hAnsiTheme="minorEastAsia" w:eastAsiaTheme="minorEastAsia"/>
          <w:lang w:eastAsia="zh-CN"/>
        </w:rPr>
        <w:t>0</w:t>
      </w:r>
      <w:r>
        <w:rPr>
          <w:rFonts w:asciiTheme="minorEastAsia" w:hAnsiTheme="minorEastAsia" w:eastAsiaTheme="minorEastAsia"/>
          <w:lang w:eastAsia="zh-CN"/>
        </w:rPr>
        <w:t>m，</w:t>
      </w:r>
      <w:r>
        <w:rPr>
          <w:rFonts w:hint="eastAsia" w:asciiTheme="minorEastAsia" w:hAnsiTheme="minorEastAsia" w:eastAsiaTheme="minorEastAsia"/>
          <w:lang w:eastAsia="zh-CN"/>
        </w:rPr>
        <w:t>排气筒</w:t>
      </w:r>
      <w:r>
        <w:rPr>
          <w:rFonts w:asciiTheme="minorEastAsia" w:hAnsiTheme="minorEastAsia" w:eastAsiaTheme="minorEastAsia"/>
          <w:lang w:eastAsia="zh-CN"/>
        </w:rPr>
        <w:t>内径0.4m；</w:t>
      </w:r>
      <w:r>
        <w:rPr>
          <w:rFonts w:hint="eastAsia" w:asciiTheme="minorEastAsia" w:hAnsiTheme="minorEastAsia" w:eastAsiaTheme="minorEastAsia"/>
          <w:lang w:eastAsia="zh-CN"/>
        </w:rPr>
        <w:t>加热炉</w:t>
      </w:r>
      <w:r>
        <w:rPr>
          <w:rFonts w:asciiTheme="minorEastAsia" w:hAnsiTheme="minorEastAsia" w:eastAsiaTheme="minorEastAsia"/>
          <w:lang w:eastAsia="zh-CN"/>
        </w:rPr>
        <w:t>锅炉房</w:t>
      </w:r>
      <w:r>
        <w:rPr>
          <w:rFonts w:hint="eastAsia" w:asciiTheme="minorEastAsia" w:hAnsiTheme="minorEastAsia" w:eastAsiaTheme="minorEastAsia"/>
          <w:lang w:eastAsia="zh-CN"/>
        </w:rPr>
        <w:t>排气筒</w:t>
      </w:r>
      <w:r>
        <w:rPr>
          <w:rFonts w:asciiTheme="minorEastAsia" w:hAnsiTheme="minorEastAsia" w:eastAsiaTheme="minorEastAsia"/>
          <w:lang w:eastAsia="zh-CN"/>
        </w:rPr>
        <w:t>高度10m，</w:t>
      </w:r>
      <w:r>
        <w:rPr>
          <w:rFonts w:hint="eastAsia" w:asciiTheme="minorEastAsia" w:hAnsiTheme="minorEastAsia" w:eastAsiaTheme="minorEastAsia"/>
          <w:lang w:eastAsia="zh-CN"/>
        </w:rPr>
        <w:t>排气筒</w:t>
      </w:r>
      <w:r>
        <w:rPr>
          <w:rFonts w:asciiTheme="minorEastAsia" w:hAnsiTheme="minorEastAsia" w:eastAsiaTheme="minorEastAsia"/>
          <w:lang w:eastAsia="zh-CN"/>
        </w:rPr>
        <w:t>内径0.4m。</w:t>
      </w:r>
    </w:p>
    <w:p w14:paraId="3711FE5C">
      <w:pPr>
        <w:ind w:firstLine="480"/>
        <w:rPr>
          <w:rFonts w:asciiTheme="minorEastAsia" w:hAnsiTheme="minorEastAsia" w:eastAsiaTheme="minorEastAsia"/>
          <w:lang w:eastAsia="zh-CN"/>
        </w:rPr>
      </w:pPr>
      <w:r>
        <w:rPr>
          <w:rFonts w:asciiTheme="minorEastAsia" w:hAnsiTheme="minorEastAsia" w:eastAsiaTheme="minorEastAsia"/>
          <w:lang w:eastAsia="zh-CN"/>
        </w:rPr>
        <w:t>本项目</w:t>
      </w:r>
      <w:r>
        <w:rPr>
          <w:rFonts w:hint="eastAsia" w:asciiTheme="minorEastAsia" w:hAnsiTheme="minorEastAsia" w:eastAsiaTheme="minorEastAsia"/>
          <w:lang w:eastAsia="zh-CN"/>
        </w:rPr>
        <w:t>加热炉和燃气发电机</w:t>
      </w:r>
      <w:r>
        <w:rPr>
          <w:rFonts w:asciiTheme="minorEastAsia" w:hAnsiTheme="minorEastAsia" w:eastAsiaTheme="minorEastAsia"/>
          <w:lang w:eastAsia="zh-CN"/>
        </w:rPr>
        <w:t>主要燃用乌里雅斯太油田</w:t>
      </w:r>
      <w:r>
        <w:rPr>
          <w:rFonts w:hint="eastAsia" w:asciiTheme="minorEastAsia" w:hAnsiTheme="minorEastAsia" w:eastAsiaTheme="minorEastAsia"/>
          <w:lang w:eastAsia="zh-CN"/>
        </w:rPr>
        <w:t>原油分离产生的伴生气，经处理后的伴生气主要成分为CH</w:t>
      </w:r>
      <w:r>
        <w:rPr>
          <w:rFonts w:hint="eastAsia" w:asciiTheme="minorEastAsia" w:hAnsiTheme="minorEastAsia" w:eastAsiaTheme="minorEastAsia"/>
          <w:vertAlign w:val="subscript"/>
          <w:lang w:eastAsia="zh-CN"/>
        </w:rPr>
        <w:t>4</w:t>
      </w:r>
      <w:r>
        <w:rPr>
          <w:rFonts w:hint="eastAsia" w:asciiTheme="minorEastAsia" w:hAnsiTheme="minorEastAsia" w:eastAsiaTheme="minorEastAsia"/>
          <w:lang w:eastAsia="zh-CN"/>
        </w:rPr>
        <w:t>和N</w:t>
      </w:r>
      <w:r>
        <w:rPr>
          <w:rFonts w:hint="eastAsia" w:asciiTheme="minorEastAsia" w:hAnsiTheme="minorEastAsia" w:eastAsiaTheme="minorEastAsia"/>
          <w:vertAlign w:val="subscript"/>
          <w:lang w:eastAsia="zh-CN"/>
        </w:rPr>
        <w:t>2</w:t>
      </w:r>
      <w:r>
        <w:rPr>
          <w:rFonts w:hint="eastAsia" w:asciiTheme="minorEastAsia" w:hAnsiTheme="minorEastAsia" w:eastAsiaTheme="minorEastAsia"/>
          <w:lang w:eastAsia="zh-CN"/>
        </w:rPr>
        <w:t>，其中CH</w:t>
      </w:r>
      <w:r>
        <w:rPr>
          <w:rFonts w:hint="eastAsia" w:asciiTheme="minorEastAsia" w:hAnsiTheme="minorEastAsia" w:eastAsiaTheme="minorEastAsia"/>
          <w:vertAlign w:val="subscript"/>
          <w:lang w:eastAsia="zh-CN"/>
        </w:rPr>
        <w:t>4</w:t>
      </w:r>
      <w:r>
        <w:rPr>
          <w:rFonts w:hint="eastAsia" w:asciiTheme="minorEastAsia" w:hAnsiTheme="minorEastAsia" w:eastAsiaTheme="minorEastAsia"/>
          <w:lang w:eastAsia="zh-CN"/>
        </w:rPr>
        <w:t>含量平均占97.95%，N</w:t>
      </w:r>
      <w:r>
        <w:rPr>
          <w:rFonts w:hint="eastAsia" w:asciiTheme="minorEastAsia" w:hAnsiTheme="minorEastAsia" w:eastAsiaTheme="minorEastAsia"/>
          <w:vertAlign w:val="subscript"/>
          <w:lang w:eastAsia="zh-CN"/>
        </w:rPr>
        <w:t>2</w:t>
      </w:r>
      <w:r>
        <w:rPr>
          <w:rFonts w:hint="eastAsia" w:asciiTheme="minorEastAsia" w:hAnsiTheme="minorEastAsia" w:eastAsiaTheme="minorEastAsia"/>
          <w:lang w:eastAsia="zh-CN"/>
        </w:rPr>
        <w:t>含量平均占2.05%。加热炉和天然气发电机组，用气量为3</w:t>
      </w:r>
      <w:r>
        <w:rPr>
          <w:rFonts w:asciiTheme="minorEastAsia" w:hAnsiTheme="minorEastAsia" w:eastAsiaTheme="minorEastAsia"/>
          <w:lang w:eastAsia="zh-CN"/>
        </w:rPr>
        <w:t>×</w:t>
      </w:r>
      <w:r>
        <w:rPr>
          <w:rFonts w:hint="eastAsia" w:asciiTheme="minorEastAsia" w:hAnsiTheme="minorEastAsia" w:eastAsiaTheme="minorEastAsia"/>
          <w:lang w:eastAsia="zh-CN"/>
        </w:rPr>
        <w:t>10</w:t>
      </w:r>
      <w:r>
        <w:rPr>
          <w:rFonts w:hint="eastAsia" w:asciiTheme="minorEastAsia" w:hAnsiTheme="minorEastAsia" w:eastAsiaTheme="minorEastAsia"/>
          <w:vertAlign w:val="superscript"/>
          <w:lang w:eastAsia="zh-CN"/>
        </w:rPr>
        <w:t>4</w:t>
      </w:r>
      <w:r>
        <w:rPr>
          <w:rFonts w:hint="eastAsia" w:asciiTheme="minorEastAsia" w:hAnsiTheme="minorEastAsia" w:eastAsiaTheme="minorEastAsia"/>
          <w:lang w:eastAsia="zh-CN"/>
        </w:rPr>
        <w:t>m</w:t>
      </w:r>
      <w:r>
        <w:rPr>
          <w:rFonts w:hint="eastAsia" w:asciiTheme="minorEastAsia" w:hAnsiTheme="minorEastAsia" w:eastAsiaTheme="minorEastAsia"/>
          <w:vertAlign w:val="superscript"/>
          <w:lang w:eastAsia="zh-CN"/>
        </w:rPr>
        <w:t>3</w:t>
      </w:r>
      <w:r>
        <w:rPr>
          <w:rFonts w:hint="eastAsia" w:asciiTheme="minorEastAsia" w:hAnsiTheme="minorEastAsia" w:eastAsiaTheme="minorEastAsia"/>
          <w:lang w:eastAsia="zh-CN"/>
        </w:rPr>
        <w:t>/d，其中加热炉耗气量为0.98</w:t>
      </w:r>
      <w:r>
        <w:rPr>
          <w:rFonts w:asciiTheme="minorEastAsia" w:hAnsiTheme="minorEastAsia" w:eastAsiaTheme="minorEastAsia"/>
          <w:lang w:eastAsia="zh-CN"/>
        </w:rPr>
        <w:t>×</w:t>
      </w:r>
      <w:r>
        <w:rPr>
          <w:rFonts w:hint="eastAsia" w:asciiTheme="minorEastAsia" w:hAnsiTheme="minorEastAsia" w:eastAsiaTheme="minorEastAsia"/>
          <w:lang w:eastAsia="zh-CN"/>
        </w:rPr>
        <w:t>10</w:t>
      </w:r>
      <w:r>
        <w:rPr>
          <w:rFonts w:hint="eastAsia" w:asciiTheme="minorEastAsia" w:hAnsiTheme="minorEastAsia" w:eastAsiaTheme="minorEastAsia"/>
          <w:vertAlign w:val="superscript"/>
          <w:lang w:eastAsia="zh-CN"/>
        </w:rPr>
        <w:t>4</w:t>
      </w:r>
      <w:r>
        <w:rPr>
          <w:rFonts w:hint="eastAsia" w:asciiTheme="minorEastAsia" w:hAnsiTheme="minorEastAsia" w:eastAsiaTheme="minorEastAsia"/>
          <w:lang w:eastAsia="zh-CN"/>
        </w:rPr>
        <w:t>m</w:t>
      </w:r>
      <w:r>
        <w:rPr>
          <w:rFonts w:hint="eastAsia" w:asciiTheme="minorEastAsia" w:hAnsiTheme="minorEastAsia" w:eastAsiaTheme="minorEastAsia"/>
          <w:vertAlign w:val="superscript"/>
          <w:lang w:eastAsia="zh-CN"/>
        </w:rPr>
        <w:t>3</w:t>
      </w:r>
      <w:r>
        <w:rPr>
          <w:rFonts w:hint="eastAsia" w:asciiTheme="minorEastAsia" w:hAnsiTheme="minorEastAsia" w:eastAsiaTheme="minorEastAsia"/>
          <w:lang w:eastAsia="zh-CN"/>
        </w:rPr>
        <w:t>/d，燃气机组耗气量为2.02</w:t>
      </w:r>
      <w:r>
        <w:rPr>
          <w:rFonts w:asciiTheme="minorEastAsia" w:hAnsiTheme="minorEastAsia" w:eastAsiaTheme="minorEastAsia"/>
          <w:lang w:eastAsia="zh-CN"/>
        </w:rPr>
        <w:t>×</w:t>
      </w:r>
      <w:r>
        <w:rPr>
          <w:rFonts w:hint="eastAsia" w:asciiTheme="minorEastAsia" w:hAnsiTheme="minorEastAsia" w:eastAsiaTheme="minorEastAsia"/>
          <w:lang w:eastAsia="zh-CN"/>
        </w:rPr>
        <w:t>10</w:t>
      </w:r>
      <w:r>
        <w:rPr>
          <w:rFonts w:hint="eastAsia" w:asciiTheme="minorEastAsia" w:hAnsiTheme="minorEastAsia" w:eastAsiaTheme="minorEastAsia"/>
          <w:vertAlign w:val="superscript"/>
          <w:lang w:eastAsia="zh-CN"/>
        </w:rPr>
        <w:t>4</w:t>
      </w:r>
      <w:r>
        <w:rPr>
          <w:rFonts w:hint="eastAsia" w:asciiTheme="minorEastAsia" w:hAnsiTheme="minorEastAsia" w:eastAsiaTheme="minorEastAsia"/>
          <w:lang w:eastAsia="zh-CN"/>
        </w:rPr>
        <w:t>m</w:t>
      </w:r>
      <w:r>
        <w:rPr>
          <w:rFonts w:hint="eastAsia" w:asciiTheme="minorEastAsia" w:hAnsiTheme="minorEastAsia" w:eastAsiaTheme="minorEastAsia"/>
          <w:vertAlign w:val="superscript"/>
          <w:lang w:eastAsia="zh-CN"/>
        </w:rPr>
        <w:t>3</w:t>
      </w:r>
      <w:r>
        <w:rPr>
          <w:rFonts w:hint="eastAsia" w:asciiTheme="minorEastAsia" w:hAnsiTheme="minorEastAsia" w:eastAsiaTheme="minorEastAsia"/>
          <w:lang w:eastAsia="zh-CN"/>
        </w:rPr>
        <w:t>/d。</w:t>
      </w:r>
    </w:p>
    <w:p w14:paraId="463ECCA2">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雅斯联合站燃气机组和加热炉</w:t>
      </w:r>
      <w:r>
        <w:rPr>
          <w:rFonts w:asciiTheme="minorEastAsia" w:hAnsiTheme="minorEastAsia" w:eastAsiaTheme="minorEastAsia"/>
          <w:lang w:eastAsia="zh-CN"/>
        </w:rPr>
        <w:t>总废气量</w:t>
      </w:r>
      <w:r>
        <w:rPr>
          <w:rFonts w:hint="eastAsia" w:asciiTheme="minorEastAsia" w:hAnsiTheme="minorEastAsia" w:eastAsiaTheme="minorEastAsia"/>
          <w:lang w:eastAsia="zh-CN"/>
        </w:rPr>
        <w:t>排放量22974.71</w:t>
      </w:r>
      <w:r>
        <w:rPr>
          <w:rFonts w:asciiTheme="minorEastAsia" w:hAnsiTheme="minorEastAsia" w:eastAsiaTheme="minorEastAsia"/>
          <w:lang w:eastAsia="zh-CN"/>
        </w:rPr>
        <w:t>×10</w:t>
      </w:r>
      <w:r>
        <w:rPr>
          <w:rFonts w:asciiTheme="minorEastAsia" w:hAnsiTheme="minorEastAsia" w:eastAsiaTheme="minorEastAsia"/>
          <w:vertAlign w:val="superscript"/>
          <w:lang w:eastAsia="zh-CN"/>
        </w:rPr>
        <w:t>4</w:t>
      </w:r>
      <w:r>
        <w:rPr>
          <w:rFonts w:asciiTheme="minorEastAsia" w:hAnsiTheme="minorEastAsia" w:eastAsiaTheme="minorEastAsia"/>
          <w:lang w:eastAsia="zh-CN"/>
        </w:rPr>
        <w:t>Nm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/a， SO</w:t>
      </w:r>
      <w:r>
        <w:rPr>
          <w:rFonts w:asciiTheme="minorEastAsia" w:hAnsiTheme="minorEastAsia" w:eastAsiaTheme="minorEastAsia"/>
          <w:vertAlign w:val="subscript"/>
          <w:lang w:eastAsia="zh-CN"/>
        </w:rPr>
        <w:t>2</w:t>
      </w:r>
      <w:r>
        <w:rPr>
          <w:rFonts w:asciiTheme="minorEastAsia" w:hAnsiTheme="minorEastAsia" w:eastAsiaTheme="minorEastAsia"/>
          <w:lang w:eastAsia="zh-CN"/>
        </w:rPr>
        <w:t>排放</w:t>
      </w:r>
      <w:r>
        <w:rPr>
          <w:rFonts w:hint="eastAsia" w:asciiTheme="minorEastAsia" w:hAnsiTheme="minorEastAsia" w:eastAsiaTheme="minorEastAsia"/>
          <w:lang w:eastAsia="zh-CN"/>
        </w:rPr>
        <w:t>总</w:t>
      </w:r>
      <w:r>
        <w:rPr>
          <w:rFonts w:asciiTheme="minorEastAsia" w:hAnsiTheme="minorEastAsia" w:eastAsiaTheme="minorEastAsia"/>
          <w:lang w:eastAsia="zh-CN"/>
        </w:rPr>
        <w:t>量为</w:t>
      </w:r>
      <w:r>
        <w:rPr>
          <w:rFonts w:hint="eastAsia" w:asciiTheme="minorEastAsia" w:hAnsiTheme="minorEastAsia" w:eastAsiaTheme="minorEastAsia"/>
          <w:lang w:eastAsia="zh-CN"/>
        </w:rPr>
        <w:t>0.521</w:t>
      </w:r>
      <w:r>
        <w:rPr>
          <w:rFonts w:asciiTheme="minorEastAsia" w:hAnsiTheme="minorEastAsia" w:eastAsiaTheme="minorEastAsia"/>
          <w:lang w:eastAsia="zh-CN"/>
        </w:rPr>
        <w:t>t/a，NO</w:t>
      </w:r>
      <w:r>
        <w:rPr>
          <w:rFonts w:hint="eastAsia" w:asciiTheme="minorEastAsia" w:hAnsiTheme="minorEastAsia" w:eastAsiaTheme="minorEastAsia"/>
          <w:lang w:eastAsia="zh-CN"/>
        </w:rPr>
        <w:t>x</w:t>
      </w:r>
      <w:r>
        <w:rPr>
          <w:rFonts w:asciiTheme="minorEastAsia" w:hAnsiTheme="minorEastAsia" w:eastAsiaTheme="minorEastAsia"/>
          <w:lang w:eastAsia="zh-CN"/>
        </w:rPr>
        <w:t>排放</w:t>
      </w:r>
      <w:r>
        <w:rPr>
          <w:rFonts w:hint="eastAsia" w:asciiTheme="minorEastAsia" w:hAnsiTheme="minorEastAsia" w:eastAsiaTheme="minorEastAsia"/>
          <w:lang w:eastAsia="zh-CN"/>
        </w:rPr>
        <w:t>总</w:t>
      </w:r>
      <w:r>
        <w:rPr>
          <w:rFonts w:asciiTheme="minorEastAsia" w:hAnsiTheme="minorEastAsia" w:eastAsiaTheme="minorEastAsia"/>
          <w:lang w:eastAsia="zh-CN"/>
        </w:rPr>
        <w:t>量为</w:t>
      </w:r>
      <w:r>
        <w:rPr>
          <w:rFonts w:hint="eastAsia" w:asciiTheme="minorEastAsia" w:hAnsiTheme="minorEastAsia" w:eastAsiaTheme="minorEastAsia"/>
          <w:lang w:eastAsia="zh-CN"/>
        </w:rPr>
        <w:t>1.621</w:t>
      </w:r>
      <w:r>
        <w:rPr>
          <w:rFonts w:asciiTheme="minorEastAsia" w:hAnsiTheme="minorEastAsia" w:eastAsiaTheme="minorEastAsia"/>
          <w:lang w:eastAsia="zh-CN"/>
        </w:rPr>
        <w:t xml:space="preserve"> t/a，烟尘排放</w:t>
      </w:r>
      <w:r>
        <w:rPr>
          <w:rFonts w:hint="eastAsia" w:asciiTheme="minorEastAsia" w:hAnsiTheme="minorEastAsia" w:eastAsiaTheme="minorEastAsia"/>
          <w:lang w:eastAsia="zh-CN"/>
        </w:rPr>
        <w:t>总</w:t>
      </w:r>
      <w:r>
        <w:rPr>
          <w:rFonts w:asciiTheme="minorEastAsia" w:hAnsiTheme="minorEastAsia" w:eastAsiaTheme="minorEastAsia"/>
          <w:lang w:eastAsia="zh-CN"/>
        </w:rPr>
        <w:t>量为</w:t>
      </w:r>
      <w:r>
        <w:rPr>
          <w:rFonts w:hint="eastAsia" w:asciiTheme="minorEastAsia" w:hAnsiTheme="minorEastAsia" w:eastAsiaTheme="minorEastAsia"/>
          <w:lang w:eastAsia="zh-CN"/>
        </w:rPr>
        <w:t>0.766</w:t>
      </w:r>
      <w:r>
        <w:rPr>
          <w:rFonts w:asciiTheme="minorEastAsia" w:hAnsiTheme="minorEastAsia" w:eastAsiaTheme="minorEastAsia"/>
          <w:lang w:eastAsia="zh-CN"/>
        </w:rPr>
        <w:t>t/a。</w:t>
      </w:r>
    </w:p>
    <w:p w14:paraId="246B2CB3">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联合站燃气加热</w:t>
      </w:r>
      <w:r>
        <w:rPr>
          <w:rFonts w:asciiTheme="minorEastAsia" w:hAnsiTheme="minorEastAsia" w:eastAsiaTheme="minorEastAsia"/>
          <w:lang w:eastAsia="zh-CN"/>
        </w:rPr>
        <w:t>锅炉</w:t>
      </w:r>
      <w:r>
        <w:rPr>
          <w:rFonts w:hint="eastAsia" w:asciiTheme="minorEastAsia" w:hAnsiTheme="minorEastAsia" w:eastAsiaTheme="minorEastAsia"/>
          <w:lang w:eastAsia="zh-CN"/>
        </w:rPr>
        <w:t>及燃气发电机组</w:t>
      </w:r>
      <w:r>
        <w:rPr>
          <w:rFonts w:asciiTheme="minorEastAsia" w:hAnsiTheme="minorEastAsia" w:eastAsiaTheme="minorEastAsia"/>
          <w:lang w:eastAsia="zh-CN"/>
        </w:rPr>
        <w:t>运行参数见表5.3-2。</w:t>
      </w:r>
    </w:p>
    <w:p w14:paraId="1E521C32">
      <w:pPr>
        <w:pStyle w:val="148"/>
        <w:spacing w:line="240" w:lineRule="auto"/>
        <w:ind w:firstLine="602" w:firstLineChars="250"/>
        <w:jc w:val="both"/>
        <w:rPr>
          <w:lang w:eastAsia="zh-CN"/>
        </w:rPr>
      </w:pPr>
      <w:r>
        <w:rPr>
          <w:lang w:eastAsia="zh-CN"/>
        </w:rPr>
        <w:t xml:space="preserve">表5.3-2  </w:t>
      </w:r>
      <w:r>
        <w:rPr>
          <w:rFonts w:hint="eastAsia"/>
          <w:lang w:eastAsia="zh-CN"/>
        </w:rPr>
        <w:t xml:space="preserve">     </w:t>
      </w:r>
      <w:r>
        <w:rPr>
          <w:lang w:eastAsia="zh-CN"/>
        </w:rPr>
        <w:t>锅炉运行参数</w:t>
      </w:r>
      <w:r>
        <w:rPr>
          <w:rFonts w:hint="eastAsia"/>
          <w:lang w:eastAsia="zh-CN"/>
        </w:rPr>
        <w:t>一览表</w:t>
      </w:r>
    </w:p>
    <w:tbl>
      <w:tblPr>
        <w:tblStyle w:val="76"/>
        <w:tblW w:w="861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65"/>
        <w:gridCol w:w="1286"/>
        <w:gridCol w:w="752"/>
        <w:gridCol w:w="560"/>
        <w:gridCol w:w="673"/>
        <w:gridCol w:w="850"/>
        <w:gridCol w:w="1134"/>
        <w:gridCol w:w="851"/>
        <w:gridCol w:w="992"/>
        <w:gridCol w:w="850"/>
      </w:tblGrid>
      <w:tr w14:paraId="59804E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gridSpan w:val="2"/>
            <w:vMerge w:val="restart"/>
            <w:vAlign w:val="center"/>
          </w:tcPr>
          <w:p w14:paraId="6D2C1F95">
            <w:pPr>
              <w:pStyle w:val="337"/>
              <w:ind w:firstLine="480"/>
              <w:rPr>
                <w:rFonts w:asciiTheme="minorEastAsia" w:hAnsiTheme="minorEastAsia" w:eastAsiaTheme="minorEastAsia"/>
                <w:color w:val="auto"/>
                <w:szCs w:val="21"/>
                <w:lang w:val="en-US" w:eastAsia="en-US" w:bidi="en-US"/>
              </w:rPr>
            </w:pPr>
            <w:r>
              <w:rPr>
                <w:rFonts w:asciiTheme="minorEastAsia" w:hAnsiTheme="minorEastAsia" w:eastAsiaTheme="minorEastAsia"/>
                <w:color w:val="auto"/>
                <w:szCs w:val="21"/>
                <w:lang w:val="en-US" w:eastAsia="en-US" w:bidi="en-US"/>
              </w:rPr>
              <w:t>项目</w:t>
            </w:r>
          </w:p>
        </w:tc>
        <w:tc>
          <w:tcPr>
            <w:tcW w:w="752" w:type="dxa"/>
            <w:vMerge w:val="restart"/>
            <w:vAlign w:val="center"/>
          </w:tcPr>
          <w:p w14:paraId="5B747DCA">
            <w:pPr>
              <w:pStyle w:val="337"/>
              <w:rPr>
                <w:rFonts w:asciiTheme="minorEastAsia" w:hAnsiTheme="minorEastAsia" w:eastAsiaTheme="minorEastAsia"/>
                <w:color w:val="auto"/>
                <w:szCs w:val="21"/>
                <w:lang w:val="en-US" w:eastAsia="en-US" w:bidi="en-US"/>
              </w:rPr>
            </w:pPr>
            <w:r>
              <w:rPr>
                <w:rFonts w:asciiTheme="minorEastAsia" w:hAnsiTheme="minorEastAsia" w:eastAsiaTheme="minorEastAsia"/>
                <w:color w:val="auto"/>
                <w:szCs w:val="21"/>
                <w:lang w:val="en-US" w:eastAsia="en-US" w:bidi="en-US"/>
              </w:rPr>
              <w:t>高度</w:t>
            </w:r>
          </w:p>
        </w:tc>
        <w:tc>
          <w:tcPr>
            <w:tcW w:w="560" w:type="dxa"/>
            <w:vMerge w:val="restart"/>
            <w:vAlign w:val="center"/>
          </w:tcPr>
          <w:p w14:paraId="1DEEB64D">
            <w:pPr>
              <w:pStyle w:val="337"/>
              <w:rPr>
                <w:rFonts w:asciiTheme="minorEastAsia" w:hAnsiTheme="minorEastAsia" w:eastAsiaTheme="minorEastAsia"/>
                <w:color w:val="auto"/>
                <w:szCs w:val="21"/>
                <w:lang w:val="en-US" w:eastAsia="en-US" w:bidi="en-US"/>
              </w:rPr>
            </w:pPr>
            <w:r>
              <w:rPr>
                <w:rFonts w:asciiTheme="minorEastAsia" w:hAnsiTheme="minorEastAsia" w:eastAsiaTheme="minorEastAsia"/>
                <w:color w:val="auto"/>
                <w:szCs w:val="21"/>
                <w:lang w:val="en-US" w:eastAsia="en-US" w:bidi="en-US"/>
              </w:rPr>
              <w:t>内径</w:t>
            </w:r>
          </w:p>
        </w:tc>
        <w:tc>
          <w:tcPr>
            <w:tcW w:w="673" w:type="dxa"/>
            <w:vMerge w:val="restart"/>
            <w:vAlign w:val="center"/>
          </w:tcPr>
          <w:p w14:paraId="745A7349">
            <w:pPr>
              <w:pStyle w:val="337"/>
              <w:rPr>
                <w:rFonts w:asciiTheme="minorEastAsia" w:hAnsiTheme="minorEastAsia" w:eastAsiaTheme="minorEastAsia"/>
                <w:color w:val="auto"/>
                <w:szCs w:val="21"/>
                <w:lang w:val="en-US" w:eastAsia="en-US" w:bidi="en-US"/>
              </w:rPr>
            </w:pPr>
            <w:r>
              <w:rPr>
                <w:rFonts w:asciiTheme="minorEastAsia" w:hAnsiTheme="minorEastAsia" w:eastAsiaTheme="minorEastAsia"/>
                <w:color w:val="auto"/>
                <w:szCs w:val="21"/>
                <w:lang w:val="en-US" w:eastAsia="en-US" w:bidi="en-US"/>
              </w:rPr>
              <w:t>出口温度</w:t>
            </w:r>
          </w:p>
        </w:tc>
        <w:tc>
          <w:tcPr>
            <w:tcW w:w="850" w:type="dxa"/>
            <w:vMerge w:val="restart"/>
            <w:vAlign w:val="center"/>
          </w:tcPr>
          <w:p w14:paraId="74751AC4">
            <w:pPr>
              <w:pStyle w:val="337"/>
              <w:rPr>
                <w:rFonts w:asciiTheme="minorEastAsia" w:hAnsiTheme="minorEastAsia" w:eastAsiaTheme="minorEastAsia"/>
                <w:color w:val="auto"/>
                <w:szCs w:val="21"/>
                <w:lang w:val="en-US" w:eastAsia="en-US" w:bidi="en-US"/>
              </w:rPr>
            </w:pPr>
            <w:r>
              <w:rPr>
                <w:rFonts w:asciiTheme="minorEastAsia" w:hAnsiTheme="minorEastAsia" w:eastAsiaTheme="minorEastAsia"/>
                <w:color w:val="auto"/>
                <w:szCs w:val="21"/>
                <w:lang w:val="en-US" w:eastAsia="en-US" w:bidi="en-US"/>
              </w:rPr>
              <w:t>年排放</w:t>
            </w:r>
          </w:p>
          <w:p w14:paraId="733808C9">
            <w:pPr>
              <w:pStyle w:val="337"/>
              <w:rPr>
                <w:rFonts w:asciiTheme="minorEastAsia" w:hAnsiTheme="minorEastAsia" w:eastAsiaTheme="minorEastAsia"/>
                <w:color w:val="auto"/>
                <w:szCs w:val="21"/>
                <w:lang w:val="en-US" w:eastAsia="en-US" w:bidi="en-US"/>
              </w:rPr>
            </w:pPr>
            <w:r>
              <w:rPr>
                <w:rFonts w:asciiTheme="minorEastAsia" w:hAnsiTheme="minorEastAsia" w:eastAsiaTheme="minorEastAsia"/>
                <w:color w:val="auto"/>
                <w:szCs w:val="21"/>
                <w:lang w:val="en-US" w:eastAsia="en-US" w:bidi="en-US"/>
              </w:rPr>
              <w:t>小时</w:t>
            </w:r>
          </w:p>
        </w:tc>
        <w:tc>
          <w:tcPr>
            <w:tcW w:w="1134" w:type="dxa"/>
            <w:vMerge w:val="restart"/>
            <w:vAlign w:val="center"/>
          </w:tcPr>
          <w:p w14:paraId="10BEF47F">
            <w:pPr>
              <w:pStyle w:val="337"/>
              <w:rPr>
                <w:rFonts w:asciiTheme="minorEastAsia" w:hAnsiTheme="minorEastAsia" w:eastAsiaTheme="minorEastAsia"/>
                <w:color w:val="auto"/>
                <w:szCs w:val="21"/>
                <w:lang w:val="en-US" w:eastAsia="en-US" w:bidi="en-US"/>
              </w:rPr>
            </w:pPr>
            <w:r>
              <w:rPr>
                <w:rFonts w:asciiTheme="minorEastAsia" w:hAnsiTheme="minorEastAsia" w:eastAsiaTheme="minorEastAsia"/>
                <w:color w:val="auto"/>
                <w:szCs w:val="21"/>
                <w:lang w:val="en-US" w:eastAsia="en-US" w:bidi="en-US"/>
              </w:rPr>
              <w:t>废气量</w:t>
            </w:r>
          </w:p>
        </w:tc>
        <w:tc>
          <w:tcPr>
            <w:tcW w:w="2693" w:type="dxa"/>
            <w:gridSpan w:val="3"/>
            <w:vAlign w:val="center"/>
          </w:tcPr>
          <w:p w14:paraId="24E15E49">
            <w:pPr>
              <w:pStyle w:val="337"/>
              <w:rPr>
                <w:rFonts w:asciiTheme="minorEastAsia" w:hAnsiTheme="minorEastAsia" w:eastAsiaTheme="minorEastAsia"/>
                <w:color w:val="auto"/>
                <w:szCs w:val="21"/>
                <w:lang w:val="en-US" w:eastAsia="en-US" w:bidi="en-US"/>
              </w:rPr>
            </w:pPr>
            <w:r>
              <w:rPr>
                <w:rFonts w:asciiTheme="minorEastAsia" w:hAnsiTheme="minorEastAsia" w:eastAsiaTheme="minorEastAsia"/>
                <w:color w:val="auto"/>
                <w:szCs w:val="21"/>
                <w:lang w:val="en-US" w:eastAsia="en-US" w:bidi="en-US"/>
              </w:rPr>
              <w:t>评价因子源强</w:t>
            </w:r>
          </w:p>
        </w:tc>
      </w:tr>
      <w:tr w14:paraId="3C73BD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gridSpan w:val="2"/>
            <w:vMerge w:val="continue"/>
            <w:vAlign w:val="center"/>
          </w:tcPr>
          <w:p w14:paraId="5E152DAA">
            <w:pPr>
              <w:pStyle w:val="337"/>
              <w:rPr>
                <w:rFonts w:asciiTheme="minorEastAsia" w:hAnsiTheme="minorEastAsia" w:eastAsiaTheme="minorEastAsia"/>
                <w:color w:val="auto"/>
                <w:szCs w:val="21"/>
                <w:lang w:val="en-US" w:eastAsia="en-US" w:bidi="en-US"/>
              </w:rPr>
            </w:pPr>
          </w:p>
        </w:tc>
        <w:tc>
          <w:tcPr>
            <w:tcW w:w="752" w:type="dxa"/>
            <w:vMerge w:val="continue"/>
            <w:vAlign w:val="center"/>
          </w:tcPr>
          <w:p w14:paraId="0D2F624D">
            <w:pPr>
              <w:pStyle w:val="337"/>
              <w:rPr>
                <w:rFonts w:asciiTheme="minorEastAsia" w:hAnsiTheme="minorEastAsia" w:eastAsiaTheme="minorEastAsia"/>
                <w:color w:val="auto"/>
                <w:szCs w:val="21"/>
                <w:lang w:val="en-US" w:eastAsia="en-US" w:bidi="en-US"/>
              </w:rPr>
            </w:pPr>
          </w:p>
        </w:tc>
        <w:tc>
          <w:tcPr>
            <w:tcW w:w="560" w:type="dxa"/>
            <w:vMerge w:val="continue"/>
            <w:vAlign w:val="center"/>
          </w:tcPr>
          <w:p w14:paraId="0471C424">
            <w:pPr>
              <w:pStyle w:val="337"/>
              <w:rPr>
                <w:rFonts w:asciiTheme="minorEastAsia" w:hAnsiTheme="minorEastAsia" w:eastAsiaTheme="minorEastAsia"/>
                <w:color w:val="auto"/>
                <w:szCs w:val="21"/>
                <w:lang w:val="en-US" w:eastAsia="en-US" w:bidi="en-US"/>
              </w:rPr>
            </w:pPr>
          </w:p>
        </w:tc>
        <w:tc>
          <w:tcPr>
            <w:tcW w:w="673" w:type="dxa"/>
            <w:vMerge w:val="continue"/>
            <w:vAlign w:val="center"/>
          </w:tcPr>
          <w:p w14:paraId="6DB7DB9B">
            <w:pPr>
              <w:pStyle w:val="337"/>
              <w:rPr>
                <w:rFonts w:asciiTheme="minorEastAsia" w:hAnsiTheme="minorEastAsia" w:eastAsiaTheme="minorEastAsia"/>
                <w:color w:val="auto"/>
                <w:szCs w:val="21"/>
                <w:lang w:val="en-US" w:eastAsia="en-US" w:bidi="en-US"/>
              </w:rPr>
            </w:pPr>
          </w:p>
        </w:tc>
        <w:tc>
          <w:tcPr>
            <w:tcW w:w="850" w:type="dxa"/>
            <w:vMerge w:val="continue"/>
            <w:vAlign w:val="center"/>
          </w:tcPr>
          <w:p w14:paraId="6F453EDA">
            <w:pPr>
              <w:pStyle w:val="337"/>
              <w:rPr>
                <w:rFonts w:asciiTheme="minorEastAsia" w:hAnsiTheme="minorEastAsia" w:eastAsiaTheme="minorEastAsia"/>
                <w:color w:val="auto"/>
                <w:szCs w:val="21"/>
                <w:lang w:val="en-US" w:eastAsia="en-US" w:bidi="en-US"/>
              </w:rPr>
            </w:pPr>
          </w:p>
        </w:tc>
        <w:tc>
          <w:tcPr>
            <w:tcW w:w="1134" w:type="dxa"/>
            <w:vMerge w:val="continue"/>
            <w:vAlign w:val="center"/>
          </w:tcPr>
          <w:p w14:paraId="08D70543">
            <w:pPr>
              <w:pStyle w:val="337"/>
              <w:rPr>
                <w:rFonts w:asciiTheme="minorEastAsia" w:hAnsiTheme="minorEastAsia" w:eastAsiaTheme="minorEastAsia"/>
                <w:color w:val="auto"/>
                <w:szCs w:val="21"/>
                <w:lang w:val="en-US" w:eastAsia="en-US" w:bidi="en-US"/>
              </w:rPr>
            </w:pPr>
          </w:p>
        </w:tc>
        <w:tc>
          <w:tcPr>
            <w:tcW w:w="851" w:type="dxa"/>
            <w:vAlign w:val="center"/>
          </w:tcPr>
          <w:p w14:paraId="5ABC0482">
            <w:pPr>
              <w:pStyle w:val="337"/>
              <w:rPr>
                <w:rFonts w:asciiTheme="minorEastAsia" w:hAnsiTheme="minorEastAsia" w:eastAsiaTheme="minorEastAsia"/>
                <w:color w:val="auto"/>
                <w:szCs w:val="21"/>
                <w:lang w:val="en-US" w:eastAsia="en-US" w:bidi="en-US"/>
              </w:rPr>
            </w:pPr>
            <w:r>
              <w:rPr>
                <w:rFonts w:asciiTheme="minorEastAsia" w:hAnsiTheme="minorEastAsia" w:eastAsiaTheme="minorEastAsia"/>
                <w:color w:val="auto"/>
                <w:szCs w:val="21"/>
                <w:lang w:val="en-US" w:eastAsia="en-US" w:bidi="en-US"/>
              </w:rPr>
              <w:t>SO</w:t>
            </w:r>
            <w:r>
              <w:rPr>
                <w:rFonts w:asciiTheme="minorEastAsia" w:hAnsiTheme="minorEastAsia" w:eastAsiaTheme="minorEastAsia"/>
                <w:color w:val="auto"/>
                <w:szCs w:val="21"/>
                <w:vertAlign w:val="subscript"/>
                <w:lang w:val="en-US" w:eastAsia="en-US" w:bidi="en-US"/>
              </w:rPr>
              <w:t>2</w:t>
            </w:r>
          </w:p>
        </w:tc>
        <w:tc>
          <w:tcPr>
            <w:tcW w:w="992" w:type="dxa"/>
            <w:vAlign w:val="center"/>
          </w:tcPr>
          <w:p w14:paraId="49AB7ACF">
            <w:pPr>
              <w:pStyle w:val="337"/>
              <w:rPr>
                <w:rFonts w:asciiTheme="minorEastAsia" w:hAnsiTheme="minorEastAsia" w:eastAsiaTheme="minorEastAsia"/>
                <w:color w:val="auto"/>
                <w:szCs w:val="21"/>
                <w:lang w:val="en-US" w:eastAsia="zh-CN" w:bidi="en-US"/>
              </w:rPr>
            </w:pPr>
            <w:r>
              <w:rPr>
                <w:rFonts w:asciiTheme="minorEastAsia" w:hAnsiTheme="minorEastAsia" w:eastAsiaTheme="minorEastAsia"/>
                <w:color w:val="auto"/>
                <w:szCs w:val="21"/>
                <w:lang w:val="en-US" w:eastAsia="zh-CN" w:bidi="en-US"/>
              </w:rPr>
              <w:t>NO</w:t>
            </w:r>
            <w:r>
              <w:rPr>
                <w:rFonts w:asciiTheme="minorEastAsia" w:hAnsiTheme="minorEastAsia" w:eastAsiaTheme="minorEastAsia"/>
                <w:color w:val="auto"/>
                <w:szCs w:val="21"/>
                <w:vertAlign w:val="subscript"/>
                <w:lang w:val="en-US" w:eastAsia="zh-CN" w:bidi="en-US"/>
              </w:rPr>
              <w:t>2</w:t>
            </w:r>
          </w:p>
        </w:tc>
        <w:tc>
          <w:tcPr>
            <w:tcW w:w="850" w:type="dxa"/>
            <w:vAlign w:val="center"/>
          </w:tcPr>
          <w:p w14:paraId="2E7804F5">
            <w:pPr>
              <w:pStyle w:val="337"/>
              <w:rPr>
                <w:rFonts w:asciiTheme="minorEastAsia" w:hAnsiTheme="minorEastAsia" w:eastAsiaTheme="minorEastAsia"/>
                <w:color w:val="auto"/>
                <w:szCs w:val="21"/>
                <w:lang w:val="en-US" w:eastAsia="zh-CN" w:bidi="en-US"/>
              </w:rPr>
            </w:pPr>
            <w:r>
              <w:rPr>
                <w:rFonts w:hint="eastAsia" w:asciiTheme="minorEastAsia" w:hAnsiTheme="minorEastAsia" w:eastAsiaTheme="minorEastAsia"/>
                <w:color w:val="auto"/>
                <w:szCs w:val="21"/>
                <w:lang w:val="en-US" w:eastAsia="zh-CN" w:bidi="en-US"/>
              </w:rPr>
              <w:t>烟尘</w:t>
            </w:r>
          </w:p>
        </w:tc>
      </w:tr>
      <w:tr w14:paraId="152D8A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65" w:type="dxa"/>
            <w:vAlign w:val="center"/>
          </w:tcPr>
          <w:p w14:paraId="435A516F">
            <w:pPr>
              <w:pStyle w:val="337"/>
              <w:rPr>
                <w:rFonts w:asciiTheme="minorEastAsia" w:hAnsiTheme="minorEastAsia" w:eastAsiaTheme="minorEastAsia"/>
                <w:color w:val="auto"/>
                <w:szCs w:val="21"/>
                <w:lang w:val="en-US" w:eastAsia="en-US" w:bidi="en-US"/>
              </w:rPr>
            </w:pPr>
            <w:r>
              <w:rPr>
                <w:rFonts w:asciiTheme="minorEastAsia" w:hAnsiTheme="minorEastAsia" w:eastAsiaTheme="minorEastAsia"/>
                <w:color w:val="auto"/>
                <w:szCs w:val="21"/>
                <w:lang w:val="en-US" w:eastAsia="en-US" w:bidi="en-US"/>
              </w:rPr>
              <w:t>单位</w:t>
            </w:r>
          </w:p>
        </w:tc>
        <w:tc>
          <w:tcPr>
            <w:tcW w:w="1286" w:type="dxa"/>
            <w:vAlign w:val="center"/>
          </w:tcPr>
          <w:p w14:paraId="517E1D23">
            <w:pPr>
              <w:pStyle w:val="337"/>
              <w:rPr>
                <w:rFonts w:asciiTheme="minorEastAsia" w:hAnsiTheme="minorEastAsia" w:eastAsiaTheme="minorEastAsia"/>
                <w:color w:val="auto"/>
                <w:szCs w:val="21"/>
                <w:lang w:val="en-US" w:eastAsia="en-US" w:bidi="en-US"/>
              </w:rPr>
            </w:pPr>
            <w:r>
              <w:rPr>
                <w:rFonts w:asciiTheme="minorEastAsia" w:hAnsiTheme="minorEastAsia" w:eastAsiaTheme="minorEastAsia"/>
                <w:color w:val="auto"/>
                <w:szCs w:val="21"/>
                <w:lang w:val="en-US" w:eastAsia="en-US" w:bidi="en-US"/>
              </w:rPr>
              <w:t>燃</w:t>
            </w:r>
            <w:r>
              <w:rPr>
                <w:rFonts w:hint="eastAsia" w:asciiTheme="minorEastAsia" w:hAnsiTheme="minorEastAsia" w:eastAsiaTheme="minorEastAsia"/>
                <w:color w:val="auto"/>
                <w:szCs w:val="21"/>
                <w:lang w:val="en-US" w:eastAsia="zh-CN" w:bidi="en-US"/>
              </w:rPr>
              <w:t>气</w:t>
            </w:r>
            <w:r>
              <w:rPr>
                <w:rFonts w:asciiTheme="minorEastAsia" w:hAnsiTheme="minorEastAsia" w:eastAsiaTheme="minorEastAsia"/>
                <w:color w:val="auto"/>
                <w:szCs w:val="21"/>
                <w:lang w:val="en-US" w:eastAsia="en-US" w:bidi="en-US"/>
              </w:rPr>
              <w:t>锅炉</w:t>
            </w:r>
          </w:p>
        </w:tc>
        <w:tc>
          <w:tcPr>
            <w:tcW w:w="752" w:type="dxa"/>
            <w:vAlign w:val="center"/>
          </w:tcPr>
          <w:p w14:paraId="5B1244D8">
            <w:pPr>
              <w:pStyle w:val="337"/>
              <w:rPr>
                <w:rFonts w:asciiTheme="minorEastAsia" w:hAnsiTheme="minorEastAsia" w:eastAsiaTheme="minorEastAsia"/>
                <w:color w:val="auto"/>
                <w:szCs w:val="21"/>
                <w:lang w:val="en-US" w:eastAsia="en-US" w:bidi="en-US"/>
              </w:rPr>
            </w:pPr>
            <w:r>
              <w:rPr>
                <w:rFonts w:asciiTheme="minorEastAsia" w:hAnsiTheme="minorEastAsia" w:eastAsiaTheme="minorEastAsia"/>
                <w:color w:val="auto"/>
                <w:szCs w:val="21"/>
                <w:lang w:val="en-US" w:eastAsia="en-US" w:bidi="en-US"/>
              </w:rPr>
              <w:t>m</w:t>
            </w:r>
          </w:p>
        </w:tc>
        <w:tc>
          <w:tcPr>
            <w:tcW w:w="560" w:type="dxa"/>
            <w:vAlign w:val="center"/>
          </w:tcPr>
          <w:p w14:paraId="1402BD38">
            <w:pPr>
              <w:pStyle w:val="337"/>
              <w:rPr>
                <w:rFonts w:asciiTheme="minorEastAsia" w:hAnsiTheme="minorEastAsia" w:eastAsiaTheme="minorEastAsia"/>
                <w:color w:val="auto"/>
                <w:szCs w:val="21"/>
                <w:lang w:val="en-US" w:eastAsia="en-US" w:bidi="en-US"/>
              </w:rPr>
            </w:pPr>
            <w:r>
              <w:rPr>
                <w:rFonts w:asciiTheme="minorEastAsia" w:hAnsiTheme="minorEastAsia" w:eastAsiaTheme="minorEastAsia"/>
                <w:color w:val="auto"/>
                <w:szCs w:val="21"/>
                <w:lang w:val="en-US" w:eastAsia="en-US" w:bidi="en-US"/>
              </w:rPr>
              <w:t>m</w:t>
            </w:r>
          </w:p>
        </w:tc>
        <w:tc>
          <w:tcPr>
            <w:tcW w:w="673" w:type="dxa"/>
            <w:vAlign w:val="center"/>
          </w:tcPr>
          <w:p w14:paraId="656E245D">
            <w:pPr>
              <w:pStyle w:val="337"/>
              <w:rPr>
                <w:rFonts w:asciiTheme="minorEastAsia" w:hAnsiTheme="minorEastAsia" w:eastAsiaTheme="minorEastAsia"/>
                <w:color w:val="auto"/>
                <w:szCs w:val="21"/>
                <w:lang w:val="en-US" w:eastAsia="en-US" w:bidi="en-US"/>
              </w:rPr>
            </w:pPr>
            <w:r>
              <w:rPr>
                <w:rFonts w:asciiTheme="minorEastAsia" w:hAnsiTheme="minorEastAsia" w:eastAsiaTheme="minorEastAsia"/>
                <w:color w:val="auto"/>
                <w:szCs w:val="21"/>
                <w:lang w:val="en-US" w:eastAsia="en-US" w:bidi="en-US"/>
              </w:rPr>
              <w:t>K</w:t>
            </w:r>
          </w:p>
        </w:tc>
        <w:tc>
          <w:tcPr>
            <w:tcW w:w="850" w:type="dxa"/>
            <w:vAlign w:val="center"/>
          </w:tcPr>
          <w:p w14:paraId="39D49A32">
            <w:pPr>
              <w:pStyle w:val="337"/>
              <w:rPr>
                <w:rFonts w:asciiTheme="minorEastAsia" w:hAnsiTheme="minorEastAsia" w:eastAsiaTheme="minorEastAsia"/>
                <w:color w:val="auto"/>
                <w:szCs w:val="21"/>
                <w:lang w:val="en-US" w:eastAsia="en-US" w:bidi="en-US"/>
              </w:rPr>
            </w:pPr>
            <w:r>
              <w:rPr>
                <w:rFonts w:asciiTheme="minorEastAsia" w:hAnsiTheme="minorEastAsia" w:eastAsiaTheme="minorEastAsia"/>
                <w:color w:val="auto"/>
                <w:szCs w:val="21"/>
                <w:lang w:val="en-US" w:eastAsia="en-US" w:bidi="en-US"/>
              </w:rPr>
              <w:t>h</w:t>
            </w:r>
          </w:p>
        </w:tc>
        <w:tc>
          <w:tcPr>
            <w:tcW w:w="1134" w:type="dxa"/>
            <w:vAlign w:val="center"/>
          </w:tcPr>
          <w:p w14:paraId="2F270EF0">
            <w:pPr>
              <w:pStyle w:val="337"/>
              <w:rPr>
                <w:rFonts w:asciiTheme="minorEastAsia" w:hAnsiTheme="minorEastAsia" w:eastAsiaTheme="minorEastAsia"/>
                <w:color w:val="auto"/>
                <w:szCs w:val="21"/>
                <w:lang w:val="en-US" w:eastAsia="en-US" w:bidi="en-US"/>
              </w:rPr>
            </w:pPr>
            <w:r>
              <w:rPr>
                <w:rFonts w:asciiTheme="minorEastAsia" w:hAnsiTheme="minorEastAsia" w:eastAsiaTheme="minorEastAsia"/>
                <w:color w:val="auto"/>
                <w:szCs w:val="21"/>
                <w:lang w:val="en-US" w:eastAsia="en-US"/>
              </w:rPr>
              <w:t>×</w:t>
            </w:r>
            <w:r>
              <w:rPr>
                <w:rFonts w:hint="eastAsia" w:asciiTheme="minorEastAsia" w:hAnsiTheme="minorEastAsia" w:eastAsiaTheme="minorEastAsia"/>
                <w:color w:val="auto"/>
                <w:szCs w:val="21"/>
                <w:lang w:val="en-US" w:eastAsia="zh-CN" w:bidi="en-US"/>
              </w:rPr>
              <w:t>10</w:t>
            </w:r>
            <w:r>
              <w:rPr>
                <w:rFonts w:hint="eastAsia" w:asciiTheme="minorEastAsia" w:hAnsiTheme="minorEastAsia" w:eastAsiaTheme="minorEastAsia"/>
                <w:color w:val="auto"/>
                <w:szCs w:val="21"/>
                <w:vertAlign w:val="superscript"/>
                <w:lang w:val="en-US" w:eastAsia="zh-CN" w:bidi="en-US"/>
              </w:rPr>
              <w:t>4</w:t>
            </w:r>
            <w:r>
              <w:rPr>
                <w:rFonts w:asciiTheme="minorEastAsia" w:hAnsiTheme="minorEastAsia" w:eastAsiaTheme="minorEastAsia"/>
                <w:color w:val="auto"/>
                <w:szCs w:val="21"/>
                <w:lang w:val="en-US" w:eastAsia="en-US" w:bidi="en-US"/>
              </w:rPr>
              <w:t>m</w:t>
            </w:r>
            <w:r>
              <w:rPr>
                <w:rFonts w:asciiTheme="minorEastAsia" w:hAnsiTheme="minorEastAsia" w:eastAsiaTheme="minorEastAsia"/>
                <w:color w:val="auto"/>
                <w:szCs w:val="21"/>
                <w:vertAlign w:val="superscript"/>
                <w:lang w:val="en-US" w:eastAsia="en-US" w:bidi="en-US"/>
              </w:rPr>
              <w:t>3</w:t>
            </w:r>
            <w:r>
              <w:rPr>
                <w:rFonts w:asciiTheme="minorEastAsia" w:hAnsiTheme="minorEastAsia" w:eastAsiaTheme="minorEastAsia"/>
                <w:color w:val="auto"/>
                <w:szCs w:val="21"/>
                <w:lang w:val="en-US" w:eastAsia="en-US" w:bidi="en-US"/>
              </w:rPr>
              <w:t>/a</w:t>
            </w:r>
          </w:p>
        </w:tc>
        <w:tc>
          <w:tcPr>
            <w:tcW w:w="851" w:type="dxa"/>
            <w:vAlign w:val="center"/>
          </w:tcPr>
          <w:p w14:paraId="79F3AD3E">
            <w:pPr>
              <w:pStyle w:val="337"/>
              <w:rPr>
                <w:rFonts w:asciiTheme="minorEastAsia" w:hAnsiTheme="minorEastAsia" w:eastAsiaTheme="minorEastAsia"/>
                <w:color w:val="auto"/>
                <w:szCs w:val="21"/>
                <w:lang w:val="en-US" w:eastAsia="zh-CN" w:bidi="en-US"/>
              </w:rPr>
            </w:pPr>
            <w:r>
              <w:rPr>
                <w:rFonts w:hint="eastAsia" w:asciiTheme="minorEastAsia" w:hAnsiTheme="minorEastAsia" w:eastAsiaTheme="minorEastAsia"/>
                <w:color w:val="auto"/>
                <w:szCs w:val="21"/>
                <w:lang w:val="en-US" w:eastAsia="zh-CN" w:bidi="en-US"/>
              </w:rPr>
              <w:t>g/s</w:t>
            </w:r>
          </w:p>
        </w:tc>
        <w:tc>
          <w:tcPr>
            <w:tcW w:w="992" w:type="dxa"/>
            <w:vAlign w:val="center"/>
          </w:tcPr>
          <w:p w14:paraId="295209D8">
            <w:pPr>
              <w:pStyle w:val="337"/>
              <w:rPr>
                <w:rFonts w:asciiTheme="minorEastAsia" w:hAnsiTheme="minorEastAsia" w:eastAsiaTheme="minorEastAsia"/>
                <w:color w:val="auto"/>
                <w:szCs w:val="21"/>
                <w:lang w:val="en-US" w:eastAsia="en-US" w:bidi="en-US"/>
              </w:rPr>
            </w:pPr>
            <w:r>
              <w:rPr>
                <w:rFonts w:hint="eastAsia" w:asciiTheme="minorEastAsia" w:hAnsiTheme="minorEastAsia" w:eastAsiaTheme="minorEastAsia"/>
                <w:color w:val="auto"/>
                <w:szCs w:val="21"/>
                <w:lang w:val="en-US" w:eastAsia="zh-CN" w:bidi="en-US"/>
              </w:rPr>
              <w:t>g/s</w:t>
            </w:r>
          </w:p>
        </w:tc>
        <w:tc>
          <w:tcPr>
            <w:tcW w:w="850" w:type="dxa"/>
            <w:vAlign w:val="center"/>
          </w:tcPr>
          <w:p w14:paraId="589821A4">
            <w:pPr>
              <w:pStyle w:val="337"/>
              <w:rPr>
                <w:rFonts w:asciiTheme="minorEastAsia" w:hAnsiTheme="minorEastAsia" w:eastAsiaTheme="minorEastAsia"/>
                <w:color w:val="auto"/>
                <w:szCs w:val="21"/>
                <w:lang w:val="en-US" w:eastAsia="en-US" w:bidi="en-US"/>
              </w:rPr>
            </w:pPr>
            <w:r>
              <w:rPr>
                <w:rFonts w:hint="eastAsia" w:asciiTheme="minorEastAsia" w:hAnsiTheme="minorEastAsia" w:eastAsiaTheme="minorEastAsia"/>
                <w:color w:val="auto"/>
                <w:szCs w:val="21"/>
                <w:lang w:val="en-US" w:eastAsia="zh-CN" w:bidi="en-US"/>
              </w:rPr>
              <w:t>g/s</w:t>
            </w:r>
          </w:p>
        </w:tc>
      </w:tr>
      <w:tr w14:paraId="6D9498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65" w:type="dxa"/>
            <w:vMerge w:val="restart"/>
            <w:vAlign w:val="center"/>
          </w:tcPr>
          <w:p w14:paraId="7F03323D">
            <w:pPr>
              <w:pStyle w:val="337"/>
              <w:rPr>
                <w:rFonts w:asciiTheme="minorEastAsia" w:hAnsiTheme="minorEastAsia" w:eastAsiaTheme="minorEastAsia"/>
                <w:color w:val="auto"/>
                <w:szCs w:val="21"/>
                <w:lang w:val="en-US" w:eastAsia="en-US" w:bidi="en-US"/>
              </w:rPr>
            </w:pPr>
            <w:r>
              <w:rPr>
                <w:rFonts w:asciiTheme="minorEastAsia" w:hAnsiTheme="minorEastAsia" w:eastAsiaTheme="minorEastAsia"/>
                <w:color w:val="auto"/>
                <w:szCs w:val="21"/>
                <w:lang w:val="en-US" w:eastAsia="en-US" w:bidi="en-US"/>
              </w:rPr>
              <w:t>数据</w:t>
            </w:r>
          </w:p>
        </w:tc>
        <w:tc>
          <w:tcPr>
            <w:tcW w:w="1286" w:type="dxa"/>
            <w:vAlign w:val="center"/>
          </w:tcPr>
          <w:p w14:paraId="75B7012C">
            <w:pPr>
              <w:pStyle w:val="337"/>
              <w:rPr>
                <w:rFonts w:asciiTheme="minorEastAsia" w:hAnsiTheme="minorEastAsia" w:eastAsiaTheme="minorEastAsia"/>
                <w:color w:val="auto"/>
                <w:szCs w:val="21"/>
                <w:lang w:val="en-US" w:eastAsia="zh-CN" w:bidi="en-US"/>
              </w:rPr>
            </w:pPr>
            <w:r>
              <w:rPr>
                <w:rFonts w:hint="eastAsia" w:asciiTheme="minorEastAsia" w:hAnsiTheme="minorEastAsia" w:eastAsiaTheme="minorEastAsia"/>
                <w:color w:val="auto"/>
                <w:szCs w:val="21"/>
                <w:lang w:val="en-US" w:eastAsia="zh-CN" w:bidi="en-US"/>
              </w:rPr>
              <w:t>雅斯联合站加热炉</w:t>
            </w:r>
          </w:p>
        </w:tc>
        <w:tc>
          <w:tcPr>
            <w:tcW w:w="752" w:type="dxa"/>
            <w:vAlign w:val="center"/>
          </w:tcPr>
          <w:p w14:paraId="1E761511">
            <w:pPr>
              <w:pStyle w:val="337"/>
              <w:rPr>
                <w:rFonts w:asciiTheme="minorEastAsia" w:hAnsiTheme="minorEastAsia" w:eastAsiaTheme="minorEastAsia"/>
                <w:color w:val="auto"/>
                <w:szCs w:val="21"/>
                <w:lang w:val="en-US" w:eastAsia="en-US" w:bidi="en-US"/>
              </w:rPr>
            </w:pPr>
            <w:r>
              <w:rPr>
                <w:rFonts w:asciiTheme="minorEastAsia" w:hAnsiTheme="minorEastAsia" w:eastAsiaTheme="minorEastAsia"/>
                <w:color w:val="auto"/>
                <w:szCs w:val="21"/>
                <w:lang w:val="en-US" w:eastAsia="en-US" w:bidi="en-US"/>
              </w:rPr>
              <w:t>1</w:t>
            </w:r>
            <w:r>
              <w:rPr>
                <w:rFonts w:hint="eastAsia" w:asciiTheme="minorEastAsia" w:hAnsiTheme="minorEastAsia" w:eastAsiaTheme="minorEastAsia"/>
                <w:color w:val="auto"/>
                <w:szCs w:val="21"/>
                <w:lang w:val="en-US" w:eastAsia="zh-CN" w:bidi="en-US"/>
              </w:rPr>
              <w:t>0</w:t>
            </w:r>
          </w:p>
        </w:tc>
        <w:tc>
          <w:tcPr>
            <w:tcW w:w="560" w:type="dxa"/>
            <w:vAlign w:val="center"/>
          </w:tcPr>
          <w:p w14:paraId="72437FBF">
            <w:pPr>
              <w:pStyle w:val="337"/>
              <w:rPr>
                <w:rFonts w:asciiTheme="minorEastAsia" w:hAnsiTheme="minorEastAsia" w:eastAsiaTheme="minorEastAsia"/>
                <w:color w:val="auto"/>
                <w:szCs w:val="21"/>
                <w:lang w:val="en-US" w:eastAsia="en-US" w:bidi="en-US"/>
              </w:rPr>
            </w:pPr>
            <w:r>
              <w:rPr>
                <w:rFonts w:asciiTheme="minorEastAsia" w:hAnsiTheme="minorEastAsia" w:eastAsiaTheme="minorEastAsia"/>
                <w:color w:val="auto"/>
                <w:szCs w:val="21"/>
                <w:lang w:val="en-US" w:eastAsia="en-US" w:bidi="en-US"/>
              </w:rPr>
              <w:t>0.4</w:t>
            </w:r>
          </w:p>
        </w:tc>
        <w:tc>
          <w:tcPr>
            <w:tcW w:w="673" w:type="dxa"/>
            <w:vAlign w:val="center"/>
          </w:tcPr>
          <w:p w14:paraId="220B4B59">
            <w:pPr>
              <w:pStyle w:val="337"/>
              <w:rPr>
                <w:rFonts w:asciiTheme="minorEastAsia" w:hAnsiTheme="minorEastAsia" w:eastAsiaTheme="minorEastAsia"/>
                <w:color w:val="auto"/>
                <w:szCs w:val="21"/>
                <w:lang w:val="en-US" w:eastAsia="en-US" w:bidi="en-US"/>
              </w:rPr>
            </w:pPr>
            <w:r>
              <w:rPr>
                <w:rFonts w:hint="eastAsia" w:asciiTheme="minorEastAsia" w:hAnsiTheme="minorEastAsia" w:eastAsiaTheme="minorEastAsia"/>
                <w:color w:val="auto"/>
                <w:szCs w:val="21"/>
                <w:lang w:val="en-US" w:eastAsia="zh-CN" w:bidi="en-US"/>
              </w:rPr>
              <w:t>37</w:t>
            </w:r>
            <w:r>
              <w:rPr>
                <w:rFonts w:asciiTheme="minorEastAsia" w:hAnsiTheme="minorEastAsia" w:eastAsiaTheme="minorEastAsia"/>
                <w:color w:val="auto"/>
                <w:szCs w:val="21"/>
                <w:lang w:val="en-US" w:eastAsia="en-US" w:bidi="en-US"/>
              </w:rPr>
              <w:t>3</w:t>
            </w:r>
          </w:p>
        </w:tc>
        <w:tc>
          <w:tcPr>
            <w:tcW w:w="850" w:type="dxa"/>
            <w:vAlign w:val="center"/>
          </w:tcPr>
          <w:p w14:paraId="61A0220E">
            <w:pPr>
              <w:pStyle w:val="337"/>
              <w:rPr>
                <w:rFonts w:asciiTheme="minorEastAsia" w:hAnsiTheme="minorEastAsia" w:eastAsiaTheme="minorEastAsia"/>
                <w:color w:val="auto"/>
                <w:szCs w:val="21"/>
                <w:lang w:val="en-US" w:eastAsia="en-US" w:bidi="en-US"/>
              </w:rPr>
            </w:pPr>
            <w:r>
              <w:rPr>
                <w:rFonts w:asciiTheme="minorEastAsia" w:hAnsiTheme="minorEastAsia" w:eastAsiaTheme="minorEastAsia"/>
                <w:color w:val="auto"/>
                <w:szCs w:val="21"/>
                <w:lang w:val="en-US" w:eastAsia="en-US" w:bidi="en-US"/>
              </w:rPr>
              <w:t>8760</w:t>
            </w:r>
          </w:p>
        </w:tc>
        <w:tc>
          <w:tcPr>
            <w:tcW w:w="1134" w:type="dxa"/>
            <w:vAlign w:val="center"/>
          </w:tcPr>
          <w:p w14:paraId="5AD415DC">
            <w:pPr>
              <w:pStyle w:val="337"/>
              <w:rPr>
                <w:rFonts w:asciiTheme="minorEastAsia" w:hAnsiTheme="minorEastAsia" w:eastAsiaTheme="minorEastAsia"/>
                <w:color w:val="auto"/>
                <w:szCs w:val="21"/>
                <w:lang w:val="en-US" w:eastAsia="zh-CN" w:bidi="en-US"/>
              </w:rPr>
            </w:pPr>
            <w:r>
              <w:rPr>
                <w:rFonts w:hint="eastAsia" w:asciiTheme="minorEastAsia" w:hAnsiTheme="minorEastAsia" w:eastAsiaTheme="minorEastAsia"/>
                <w:color w:val="auto"/>
                <w:szCs w:val="21"/>
                <w:lang w:val="en-US" w:eastAsia="zh-CN" w:bidi="en-US"/>
              </w:rPr>
              <w:t>4873.99</w:t>
            </w:r>
          </w:p>
        </w:tc>
        <w:tc>
          <w:tcPr>
            <w:tcW w:w="851" w:type="dxa"/>
            <w:vAlign w:val="center"/>
          </w:tcPr>
          <w:p w14:paraId="1299B4BB">
            <w:pPr>
              <w:pStyle w:val="337"/>
              <w:rPr>
                <w:rFonts w:asciiTheme="minorEastAsia" w:hAnsiTheme="minorEastAsia" w:eastAsiaTheme="minorEastAsia"/>
                <w:color w:val="auto"/>
                <w:szCs w:val="21"/>
                <w:lang w:val="en-US" w:eastAsia="zh-CN" w:bidi="en-US"/>
              </w:rPr>
            </w:pPr>
            <w:r>
              <w:rPr>
                <w:rFonts w:hint="eastAsia" w:asciiTheme="minorEastAsia" w:hAnsiTheme="minorEastAsia" w:eastAsiaTheme="minorEastAsia"/>
                <w:color w:val="auto"/>
                <w:szCs w:val="21"/>
                <w:lang w:val="en-US" w:eastAsia="zh-CN" w:bidi="en-US"/>
              </w:rPr>
              <w:t>——</w:t>
            </w:r>
          </w:p>
        </w:tc>
        <w:tc>
          <w:tcPr>
            <w:tcW w:w="992" w:type="dxa"/>
            <w:vAlign w:val="center"/>
          </w:tcPr>
          <w:p w14:paraId="05897CB3">
            <w:pPr>
              <w:pStyle w:val="337"/>
              <w:rPr>
                <w:rFonts w:asciiTheme="minorEastAsia" w:hAnsiTheme="minorEastAsia" w:eastAsiaTheme="minorEastAsia"/>
                <w:color w:val="auto"/>
                <w:szCs w:val="21"/>
                <w:lang w:val="en-US" w:eastAsia="zh-CN" w:bidi="en-US"/>
              </w:rPr>
            </w:pPr>
            <w:r>
              <w:rPr>
                <w:rFonts w:hint="eastAsia" w:asciiTheme="minorEastAsia" w:hAnsiTheme="minorEastAsia" w:eastAsiaTheme="minorEastAsia"/>
                <w:color w:val="auto"/>
                <w:szCs w:val="21"/>
                <w:lang w:val="en-US" w:eastAsia="zh-CN" w:bidi="en-US"/>
              </w:rPr>
              <w:t>0.00434</w:t>
            </w:r>
          </w:p>
        </w:tc>
        <w:tc>
          <w:tcPr>
            <w:tcW w:w="850" w:type="dxa"/>
            <w:vAlign w:val="center"/>
          </w:tcPr>
          <w:p w14:paraId="6F392055">
            <w:pPr>
              <w:pStyle w:val="337"/>
              <w:rPr>
                <w:rFonts w:asciiTheme="minorEastAsia" w:hAnsiTheme="minorEastAsia" w:eastAsiaTheme="minorEastAsia"/>
                <w:color w:val="auto"/>
                <w:szCs w:val="21"/>
                <w:lang w:val="en-US" w:eastAsia="zh-CN" w:bidi="en-US"/>
              </w:rPr>
            </w:pPr>
            <w:r>
              <w:rPr>
                <w:rFonts w:hint="eastAsia" w:asciiTheme="minorEastAsia" w:hAnsiTheme="minorEastAsia" w:eastAsiaTheme="minorEastAsia"/>
                <w:color w:val="auto"/>
                <w:szCs w:val="21"/>
                <w:lang w:val="en-US" w:eastAsia="zh-CN" w:bidi="en-US"/>
              </w:rPr>
              <w:t>——</w:t>
            </w:r>
          </w:p>
        </w:tc>
      </w:tr>
      <w:tr w14:paraId="78937E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65" w:type="dxa"/>
            <w:vMerge w:val="continue"/>
            <w:vAlign w:val="center"/>
          </w:tcPr>
          <w:p w14:paraId="35F18A85">
            <w:pPr>
              <w:pStyle w:val="337"/>
              <w:rPr>
                <w:rFonts w:asciiTheme="minorEastAsia" w:hAnsiTheme="minorEastAsia" w:eastAsiaTheme="minorEastAsia"/>
                <w:color w:val="auto"/>
                <w:szCs w:val="21"/>
                <w:lang w:val="en-US" w:eastAsia="en-US" w:bidi="en-US"/>
              </w:rPr>
            </w:pPr>
          </w:p>
        </w:tc>
        <w:tc>
          <w:tcPr>
            <w:tcW w:w="1286" w:type="dxa"/>
            <w:vAlign w:val="center"/>
          </w:tcPr>
          <w:p w14:paraId="2983286B">
            <w:pPr>
              <w:pStyle w:val="337"/>
              <w:rPr>
                <w:rFonts w:asciiTheme="minorEastAsia" w:hAnsiTheme="minorEastAsia" w:eastAsiaTheme="minorEastAsia"/>
                <w:color w:val="auto"/>
                <w:szCs w:val="21"/>
                <w:lang w:val="en-US" w:eastAsia="zh-CN" w:bidi="en-US"/>
              </w:rPr>
            </w:pPr>
            <w:r>
              <w:rPr>
                <w:rFonts w:asciiTheme="minorEastAsia" w:hAnsiTheme="minorEastAsia" w:eastAsiaTheme="minorEastAsia"/>
                <w:color w:val="auto"/>
                <w:szCs w:val="21"/>
                <w:lang w:val="en-US" w:eastAsia="zh-CN" w:bidi="en-US"/>
              </w:rPr>
              <w:t>雅</w:t>
            </w:r>
            <w:r>
              <w:rPr>
                <w:rFonts w:hint="eastAsia" w:asciiTheme="minorEastAsia" w:hAnsiTheme="minorEastAsia" w:eastAsiaTheme="minorEastAsia"/>
                <w:color w:val="auto"/>
                <w:szCs w:val="21"/>
                <w:lang w:val="en-US" w:eastAsia="zh-CN" w:bidi="en-US"/>
              </w:rPr>
              <w:t>斯</w:t>
            </w:r>
            <w:r>
              <w:rPr>
                <w:rFonts w:asciiTheme="minorEastAsia" w:hAnsiTheme="minorEastAsia" w:eastAsiaTheme="minorEastAsia"/>
                <w:color w:val="auto"/>
                <w:szCs w:val="21"/>
                <w:lang w:val="en-US" w:eastAsia="zh-CN" w:bidi="en-US"/>
              </w:rPr>
              <w:t>联合站</w:t>
            </w:r>
          </w:p>
          <w:p w14:paraId="6B1790F9">
            <w:pPr>
              <w:pStyle w:val="337"/>
              <w:rPr>
                <w:rFonts w:asciiTheme="minorEastAsia" w:hAnsiTheme="minorEastAsia" w:eastAsiaTheme="minorEastAsia"/>
                <w:color w:val="auto"/>
                <w:szCs w:val="21"/>
                <w:lang w:val="en-US" w:eastAsia="zh-CN" w:bidi="en-US"/>
              </w:rPr>
            </w:pPr>
            <w:r>
              <w:rPr>
                <w:rFonts w:hint="eastAsia" w:asciiTheme="minorEastAsia" w:hAnsiTheme="minorEastAsia" w:eastAsiaTheme="minorEastAsia"/>
                <w:color w:val="auto"/>
                <w:szCs w:val="21"/>
                <w:lang w:val="en-US" w:eastAsia="zh-CN" w:bidi="en-US"/>
              </w:rPr>
              <w:t>燃气机组</w:t>
            </w:r>
          </w:p>
        </w:tc>
        <w:tc>
          <w:tcPr>
            <w:tcW w:w="752" w:type="dxa"/>
            <w:vAlign w:val="center"/>
          </w:tcPr>
          <w:p w14:paraId="4DB88E22">
            <w:pPr>
              <w:pStyle w:val="337"/>
              <w:rPr>
                <w:rFonts w:asciiTheme="minorEastAsia" w:hAnsiTheme="minorEastAsia" w:eastAsiaTheme="minorEastAsia"/>
                <w:color w:val="auto"/>
                <w:szCs w:val="21"/>
                <w:lang w:val="en-US" w:eastAsia="en-US" w:bidi="en-US"/>
              </w:rPr>
            </w:pPr>
            <w:r>
              <w:rPr>
                <w:rFonts w:asciiTheme="minorEastAsia" w:hAnsiTheme="minorEastAsia" w:eastAsiaTheme="minorEastAsia"/>
                <w:color w:val="auto"/>
                <w:szCs w:val="21"/>
                <w:lang w:val="en-US" w:eastAsia="en-US" w:bidi="en-US"/>
              </w:rPr>
              <w:t>10</w:t>
            </w:r>
          </w:p>
        </w:tc>
        <w:tc>
          <w:tcPr>
            <w:tcW w:w="560" w:type="dxa"/>
            <w:vAlign w:val="center"/>
          </w:tcPr>
          <w:p w14:paraId="7C20BD75">
            <w:pPr>
              <w:pStyle w:val="337"/>
              <w:rPr>
                <w:rFonts w:asciiTheme="minorEastAsia" w:hAnsiTheme="minorEastAsia" w:eastAsiaTheme="minorEastAsia"/>
                <w:color w:val="auto"/>
                <w:szCs w:val="21"/>
                <w:lang w:val="en-US" w:eastAsia="en-US" w:bidi="en-US"/>
              </w:rPr>
            </w:pPr>
            <w:r>
              <w:rPr>
                <w:rFonts w:asciiTheme="minorEastAsia" w:hAnsiTheme="minorEastAsia" w:eastAsiaTheme="minorEastAsia"/>
                <w:color w:val="auto"/>
                <w:szCs w:val="21"/>
                <w:lang w:val="en-US" w:eastAsia="en-US" w:bidi="en-US"/>
              </w:rPr>
              <w:t>0.4</w:t>
            </w:r>
          </w:p>
        </w:tc>
        <w:tc>
          <w:tcPr>
            <w:tcW w:w="673" w:type="dxa"/>
            <w:vAlign w:val="center"/>
          </w:tcPr>
          <w:p w14:paraId="33210DE1">
            <w:pPr>
              <w:pStyle w:val="337"/>
              <w:rPr>
                <w:rFonts w:asciiTheme="minorEastAsia" w:hAnsiTheme="minorEastAsia" w:eastAsiaTheme="minorEastAsia"/>
                <w:color w:val="auto"/>
                <w:szCs w:val="21"/>
                <w:lang w:val="en-US" w:eastAsia="en-US" w:bidi="en-US"/>
              </w:rPr>
            </w:pPr>
            <w:r>
              <w:rPr>
                <w:rFonts w:hint="eastAsia" w:asciiTheme="minorEastAsia" w:hAnsiTheme="minorEastAsia" w:eastAsiaTheme="minorEastAsia"/>
                <w:color w:val="auto"/>
                <w:szCs w:val="21"/>
                <w:lang w:val="en-US" w:eastAsia="zh-CN" w:bidi="en-US"/>
              </w:rPr>
              <w:t>37</w:t>
            </w:r>
            <w:r>
              <w:rPr>
                <w:rFonts w:asciiTheme="minorEastAsia" w:hAnsiTheme="minorEastAsia" w:eastAsiaTheme="minorEastAsia"/>
                <w:color w:val="auto"/>
                <w:szCs w:val="21"/>
                <w:lang w:val="en-US" w:eastAsia="en-US" w:bidi="en-US"/>
              </w:rPr>
              <w:t>3</w:t>
            </w:r>
          </w:p>
        </w:tc>
        <w:tc>
          <w:tcPr>
            <w:tcW w:w="850" w:type="dxa"/>
            <w:vAlign w:val="center"/>
          </w:tcPr>
          <w:p w14:paraId="03FBAB3D">
            <w:pPr>
              <w:pStyle w:val="337"/>
              <w:rPr>
                <w:rFonts w:asciiTheme="minorEastAsia" w:hAnsiTheme="minorEastAsia" w:eastAsiaTheme="minorEastAsia"/>
                <w:color w:val="auto"/>
                <w:szCs w:val="21"/>
                <w:lang w:val="en-US" w:eastAsia="en-US" w:bidi="en-US"/>
              </w:rPr>
            </w:pPr>
            <w:r>
              <w:rPr>
                <w:rFonts w:asciiTheme="minorEastAsia" w:hAnsiTheme="minorEastAsia" w:eastAsiaTheme="minorEastAsia"/>
                <w:color w:val="auto"/>
                <w:szCs w:val="21"/>
                <w:lang w:val="en-US" w:eastAsia="en-US" w:bidi="en-US"/>
              </w:rPr>
              <w:t>8760</w:t>
            </w:r>
          </w:p>
        </w:tc>
        <w:tc>
          <w:tcPr>
            <w:tcW w:w="1134" w:type="dxa"/>
            <w:vAlign w:val="center"/>
          </w:tcPr>
          <w:p w14:paraId="683E0FBF">
            <w:pPr>
              <w:pStyle w:val="337"/>
              <w:rPr>
                <w:rFonts w:asciiTheme="minorEastAsia" w:hAnsiTheme="minorEastAsia" w:eastAsiaTheme="minorEastAsia"/>
                <w:color w:val="auto"/>
                <w:szCs w:val="21"/>
                <w:lang w:val="en-US" w:eastAsia="zh-CN" w:bidi="en-US"/>
              </w:rPr>
            </w:pPr>
            <w:r>
              <w:rPr>
                <w:rFonts w:hint="eastAsia" w:asciiTheme="minorEastAsia" w:hAnsiTheme="minorEastAsia" w:eastAsiaTheme="minorEastAsia"/>
                <w:color w:val="auto"/>
                <w:szCs w:val="21"/>
                <w:lang w:val="en-US" w:eastAsia="zh-CN" w:bidi="en-US"/>
              </w:rPr>
              <w:t>18100.72</w:t>
            </w:r>
          </w:p>
        </w:tc>
        <w:tc>
          <w:tcPr>
            <w:tcW w:w="851" w:type="dxa"/>
            <w:vAlign w:val="center"/>
          </w:tcPr>
          <w:p w14:paraId="17F65836">
            <w:pPr>
              <w:pStyle w:val="337"/>
              <w:rPr>
                <w:rFonts w:asciiTheme="minorEastAsia" w:hAnsiTheme="minorEastAsia" w:eastAsiaTheme="minorEastAsia"/>
                <w:color w:val="auto"/>
                <w:szCs w:val="21"/>
                <w:lang w:val="en-US" w:eastAsia="zh-CN" w:bidi="en-US"/>
              </w:rPr>
            </w:pPr>
            <w:r>
              <w:rPr>
                <w:rFonts w:hint="eastAsia" w:asciiTheme="minorEastAsia" w:hAnsiTheme="minorEastAsia" w:eastAsiaTheme="minorEastAsia"/>
                <w:color w:val="auto"/>
                <w:szCs w:val="21"/>
                <w:lang w:val="en-US" w:eastAsia="zh-CN" w:bidi="en-US"/>
              </w:rPr>
              <w:t>0.0165</w:t>
            </w:r>
          </w:p>
        </w:tc>
        <w:tc>
          <w:tcPr>
            <w:tcW w:w="992" w:type="dxa"/>
            <w:vAlign w:val="center"/>
          </w:tcPr>
          <w:p w14:paraId="3FF01164">
            <w:pPr>
              <w:pStyle w:val="337"/>
              <w:rPr>
                <w:rFonts w:asciiTheme="minorEastAsia" w:hAnsiTheme="minorEastAsia" w:eastAsiaTheme="minorEastAsia"/>
                <w:color w:val="auto"/>
                <w:szCs w:val="21"/>
                <w:lang w:val="en-US" w:eastAsia="zh-CN" w:bidi="en-US"/>
              </w:rPr>
            </w:pPr>
            <w:r>
              <w:rPr>
                <w:rFonts w:hint="eastAsia" w:asciiTheme="minorEastAsia" w:hAnsiTheme="minorEastAsia" w:eastAsiaTheme="minorEastAsia"/>
                <w:color w:val="auto"/>
                <w:szCs w:val="21"/>
                <w:lang w:val="en-US" w:eastAsia="zh-CN" w:bidi="en-US"/>
              </w:rPr>
              <w:t>0.0470</w:t>
            </w:r>
          </w:p>
        </w:tc>
        <w:tc>
          <w:tcPr>
            <w:tcW w:w="850" w:type="dxa"/>
            <w:vAlign w:val="center"/>
          </w:tcPr>
          <w:p w14:paraId="11ED516B">
            <w:pPr>
              <w:pStyle w:val="337"/>
              <w:rPr>
                <w:rFonts w:asciiTheme="minorEastAsia" w:hAnsiTheme="minorEastAsia" w:eastAsiaTheme="minorEastAsia"/>
                <w:color w:val="auto"/>
                <w:szCs w:val="21"/>
                <w:lang w:val="en-US" w:eastAsia="zh-CN" w:bidi="en-US"/>
              </w:rPr>
            </w:pPr>
            <w:r>
              <w:rPr>
                <w:rFonts w:hint="eastAsia" w:asciiTheme="minorEastAsia" w:hAnsiTheme="minorEastAsia" w:eastAsiaTheme="minorEastAsia"/>
                <w:color w:val="auto"/>
                <w:szCs w:val="21"/>
                <w:lang w:val="en-US" w:eastAsia="zh-CN" w:bidi="en-US"/>
              </w:rPr>
              <w:t>0.0242</w:t>
            </w:r>
          </w:p>
        </w:tc>
      </w:tr>
      <w:tr w14:paraId="6A2DBF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gridSpan w:val="2"/>
            <w:vAlign w:val="center"/>
          </w:tcPr>
          <w:p w14:paraId="6ECD3520">
            <w:pPr>
              <w:pStyle w:val="337"/>
              <w:rPr>
                <w:rFonts w:asciiTheme="minorEastAsia" w:hAnsiTheme="minorEastAsia" w:eastAsiaTheme="minorEastAsia"/>
                <w:color w:val="auto"/>
                <w:szCs w:val="21"/>
                <w:lang w:val="en-US" w:eastAsia="zh-CN" w:bidi="en-US"/>
              </w:rPr>
            </w:pPr>
            <w:r>
              <w:rPr>
                <w:rFonts w:hint="eastAsia" w:asciiTheme="minorEastAsia" w:hAnsiTheme="minorEastAsia" w:eastAsiaTheme="minorEastAsia"/>
                <w:color w:val="auto"/>
                <w:szCs w:val="21"/>
                <w:lang w:val="en-US" w:eastAsia="zh-CN" w:bidi="en-US"/>
              </w:rPr>
              <w:t>合计</w:t>
            </w:r>
          </w:p>
        </w:tc>
        <w:tc>
          <w:tcPr>
            <w:tcW w:w="752" w:type="dxa"/>
            <w:vAlign w:val="center"/>
          </w:tcPr>
          <w:p w14:paraId="3FCD5DAF">
            <w:pPr>
              <w:pStyle w:val="337"/>
              <w:rPr>
                <w:rFonts w:asciiTheme="minorEastAsia" w:hAnsiTheme="minorEastAsia" w:eastAsiaTheme="minorEastAsia"/>
                <w:color w:val="auto"/>
                <w:szCs w:val="21"/>
                <w:lang w:val="en-US" w:eastAsia="zh-CN" w:bidi="en-US"/>
              </w:rPr>
            </w:pPr>
          </w:p>
        </w:tc>
        <w:tc>
          <w:tcPr>
            <w:tcW w:w="560" w:type="dxa"/>
            <w:vAlign w:val="center"/>
          </w:tcPr>
          <w:p w14:paraId="277DBA54">
            <w:pPr>
              <w:pStyle w:val="337"/>
              <w:rPr>
                <w:rFonts w:asciiTheme="minorEastAsia" w:hAnsiTheme="minorEastAsia" w:eastAsiaTheme="minorEastAsia"/>
                <w:color w:val="auto"/>
                <w:szCs w:val="21"/>
                <w:lang w:val="en-US" w:eastAsia="zh-CN" w:bidi="en-US"/>
              </w:rPr>
            </w:pPr>
          </w:p>
        </w:tc>
        <w:tc>
          <w:tcPr>
            <w:tcW w:w="673" w:type="dxa"/>
            <w:vAlign w:val="center"/>
          </w:tcPr>
          <w:p w14:paraId="6E06BE11">
            <w:pPr>
              <w:pStyle w:val="337"/>
              <w:rPr>
                <w:rFonts w:asciiTheme="minorEastAsia" w:hAnsiTheme="minorEastAsia" w:eastAsiaTheme="minorEastAsia"/>
                <w:color w:val="auto"/>
                <w:szCs w:val="21"/>
                <w:lang w:val="en-US" w:eastAsia="zh-CN" w:bidi="en-US"/>
              </w:rPr>
            </w:pPr>
          </w:p>
        </w:tc>
        <w:tc>
          <w:tcPr>
            <w:tcW w:w="850" w:type="dxa"/>
            <w:vAlign w:val="center"/>
          </w:tcPr>
          <w:p w14:paraId="3D559948">
            <w:pPr>
              <w:pStyle w:val="337"/>
              <w:rPr>
                <w:rFonts w:asciiTheme="minorEastAsia" w:hAnsiTheme="minorEastAsia" w:eastAsiaTheme="minorEastAsia"/>
                <w:color w:val="auto"/>
                <w:szCs w:val="21"/>
                <w:lang w:val="en-US" w:eastAsia="zh-CN" w:bidi="en-US"/>
              </w:rPr>
            </w:pPr>
          </w:p>
        </w:tc>
        <w:tc>
          <w:tcPr>
            <w:tcW w:w="1134" w:type="dxa"/>
            <w:vAlign w:val="center"/>
          </w:tcPr>
          <w:p w14:paraId="2195EA7A">
            <w:pPr>
              <w:pStyle w:val="337"/>
              <w:rPr>
                <w:rFonts w:asciiTheme="minorEastAsia" w:hAnsiTheme="minorEastAsia" w:eastAsiaTheme="minorEastAsia"/>
                <w:color w:val="auto"/>
                <w:szCs w:val="21"/>
                <w:lang w:val="en-US" w:eastAsia="zh-CN" w:bidi="en-US"/>
              </w:rPr>
            </w:pPr>
            <w:r>
              <w:rPr>
                <w:rFonts w:hint="eastAsia" w:asciiTheme="minorEastAsia" w:hAnsiTheme="minorEastAsia" w:eastAsiaTheme="minorEastAsia"/>
                <w:color w:val="auto"/>
                <w:szCs w:val="21"/>
                <w:lang w:val="en-US" w:eastAsia="zh-CN" w:bidi="en-US"/>
              </w:rPr>
              <w:t>22974.71</w:t>
            </w:r>
          </w:p>
        </w:tc>
        <w:tc>
          <w:tcPr>
            <w:tcW w:w="851" w:type="dxa"/>
            <w:vAlign w:val="center"/>
          </w:tcPr>
          <w:p w14:paraId="6436FEFC">
            <w:pPr>
              <w:pStyle w:val="337"/>
              <w:rPr>
                <w:rFonts w:asciiTheme="minorEastAsia" w:hAnsiTheme="minorEastAsia" w:eastAsiaTheme="minorEastAsia"/>
                <w:color w:val="auto"/>
                <w:szCs w:val="21"/>
                <w:lang w:val="en-US" w:eastAsia="zh-CN" w:bidi="en-US"/>
              </w:rPr>
            </w:pPr>
            <w:r>
              <w:rPr>
                <w:rFonts w:hint="eastAsia" w:asciiTheme="minorEastAsia" w:hAnsiTheme="minorEastAsia" w:eastAsiaTheme="minorEastAsia"/>
                <w:color w:val="auto"/>
                <w:szCs w:val="21"/>
                <w:lang w:val="en-US" w:eastAsia="zh-CN" w:bidi="en-US"/>
              </w:rPr>
              <w:t>0.0165</w:t>
            </w:r>
          </w:p>
        </w:tc>
        <w:tc>
          <w:tcPr>
            <w:tcW w:w="992" w:type="dxa"/>
            <w:vAlign w:val="center"/>
          </w:tcPr>
          <w:p w14:paraId="0BA81C79">
            <w:pPr>
              <w:pStyle w:val="337"/>
              <w:rPr>
                <w:rFonts w:asciiTheme="minorEastAsia" w:hAnsiTheme="minorEastAsia" w:eastAsiaTheme="minorEastAsia"/>
                <w:color w:val="auto"/>
                <w:szCs w:val="21"/>
                <w:lang w:val="en-US" w:eastAsia="zh-CN" w:bidi="en-US"/>
              </w:rPr>
            </w:pPr>
            <w:r>
              <w:rPr>
                <w:rFonts w:hint="eastAsia" w:asciiTheme="minorEastAsia" w:hAnsiTheme="minorEastAsia" w:eastAsiaTheme="minorEastAsia"/>
                <w:color w:val="auto"/>
                <w:szCs w:val="21"/>
                <w:lang w:val="en-US" w:eastAsia="zh-CN" w:bidi="en-US"/>
              </w:rPr>
              <w:t>0.0513</w:t>
            </w:r>
          </w:p>
        </w:tc>
        <w:tc>
          <w:tcPr>
            <w:tcW w:w="850" w:type="dxa"/>
            <w:vAlign w:val="center"/>
          </w:tcPr>
          <w:p w14:paraId="5CB00999">
            <w:pPr>
              <w:pStyle w:val="337"/>
              <w:rPr>
                <w:rFonts w:asciiTheme="minorEastAsia" w:hAnsiTheme="minorEastAsia" w:eastAsiaTheme="minorEastAsia"/>
                <w:color w:val="auto"/>
                <w:szCs w:val="21"/>
                <w:lang w:val="en-US" w:eastAsia="zh-CN" w:bidi="en-US"/>
              </w:rPr>
            </w:pPr>
            <w:r>
              <w:rPr>
                <w:rFonts w:hint="eastAsia" w:asciiTheme="minorEastAsia" w:hAnsiTheme="minorEastAsia" w:eastAsiaTheme="minorEastAsia"/>
                <w:color w:val="auto"/>
                <w:szCs w:val="21"/>
                <w:lang w:val="en-US" w:eastAsia="zh-CN" w:bidi="en-US"/>
              </w:rPr>
              <w:t>0.0242</w:t>
            </w:r>
          </w:p>
        </w:tc>
      </w:tr>
      <w:bookmarkEnd w:id="268"/>
    </w:tbl>
    <w:p w14:paraId="43310BC2">
      <w:pPr>
        <w:ind w:firstLine="480"/>
        <w:rPr>
          <w:rFonts w:asciiTheme="minorEastAsia" w:hAnsiTheme="minorEastAsia" w:eastAsiaTheme="minorEastAsia"/>
          <w:bCs/>
          <w:lang w:eastAsia="zh-CN"/>
        </w:rPr>
      </w:pPr>
      <w:r>
        <w:rPr>
          <w:rFonts w:asciiTheme="minorEastAsia" w:hAnsiTheme="minorEastAsia" w:eastAsiaTheme="minorEastAsia"/>
          <w:bCs/>
          <w:lang w:eastAsia="zh-CN"/>
        </w:rPr>
        <w:t>根据建设项目所在地的地貌特征及气象条件，按国家环境保护行业标准《环境影响评价导则—大气环境》(HJ2.2--2008)中规定的空气质量模式，对</w:t>
      </w:r>
      <w:r>
        <w:rPr>
          <w:rFonts w:hint="eastAsia" w:asciiTheme="minorEastAsia" w:hAnsiTheme="minorEastAsia" w:eastAsiaTheme="minorEastAsia"/>
          <w:bCs/>
          <w:lang w:eastAsia="zh-CN"/>
        </w:rPr>
        <w:t>雅斯联合站燃气加热锅炉产生的主要污染物NOx（以</w:t>
      </w:r>
      <w:r>
        <w:rPr>
          <w:rFonts w:asciiTheme="minorEastAsia" w:hAnsiTheme="minorEastAsia" w:eastAsiaTheme="minorEastAsia"/>
          <w:bCs/>
          <w:lang w:eastAsia="zh-CN"/>
        </w:rPr>
        <w:t>NO</w:t>
      </w:r>
      <w:r>
        <w:rPr>
          <w:rFonts w:asciiTheme="minorEastAsia" w:hAnsiTheme="minorEastAsia" w:eastAsiaTheme="minorEastAsia"/>
          <w:bCs/>
          <w:vertAlign w:val="subscript"/>
          <w:lang w:eastAsia="zh-CN"/>
        </w:rPr>
        <w:t>2</w:t>
      </w:r>
      <w:r>
        <w:rPr>
          <w:rFonts w:hint="eastAsia" w:asciiTheme="minorEastAsia" w:hAnsiTheme="minorEastAsia" w:eastAsiaTheme="minorEastAsia"/>
          <w:bCs/>
          <w:lang w:eastAsia="zh-CN"/>
        </w:rPr>
        <w:t>计）和燃气机组产生的主要污染物</w:t>
      </w:r>
      <w:r>
        <w:rPr>
          <w:rFonts w:asciiTheme="minorEastAsia" w:hAnsiTheme="minorEastAsia" w:eastAsiaTheme="minorEastAsia"/>
          <w:lang w:eastAsia="zh-CN"/>
        </w:rPr>
        <w:t>SO</w:t>
      </w:r>
      <w:r>
        <w:rPr>
          <w:rFonts w:asciiTheme="minorEastAsia" w:hAnsiTheme="minorEastAsia" w:eastAsiaTheme="minorEastAsia"/>
          <w:vertAlign w:val="subscript"/>
          <w:lang w:eastAsia="zh-CN"/>
        </w:rPr>
        <w:t>2</w:t>
      </w:r>
      <w:r>
        <w:rPr>
          <w:rFonts w:asciiTheme="minorEastAsia" w:hAnsiTheme="minorEastAsia" w:eastAsiaTheme="minorEastAsia"/>
          <w:bCs/>
          <w:lang w:eastAsia="zh-CN"/>
        </w:rPr>
        <w:t>、</w:t>
      </w:r>
      <w:r>
        <w:rPr>
          <w:rFonts w:hint="eastAsia" w:asciiTheme="minorEastAsia" w:hAnsiTheme="minorEastAsia" w:eastAsiaTheme="minorEastAsia"/>
          <w:bCs/>
          <w:lang w:eastAsia="zh-CN"/>
        </w:rPr>
        <w:t>NOx（以</w:t>
      </w:r>
      <w:r>
        <w:rPr>
          <w:rFonts w:asciiTheme="minorEastAsia" w:hAnsiTheme="minorEastAsia" w:eastAsiaTheme="minorEastAsia"/>
          <w:bCs/>
          <w:lang w:eastAsia="zh-CN"/>
        </w:rPr>
        <w:t>NO</w:t>
      </w:r>
      <w:r>
        <w:rPr>
          <w:rFonts w:asciiTheme="minorEastAsia" w:hAnsiTheme="minorEastAsia" w:eastAsiaTheme="minorEastAsia"/>
          <w:bCs/>
          <w:vertAlign w:val="subscript"/>
          <w:lang w:eastAsia="zh-CN"/>
        </w:rPr>
        <w:t>2</w:t>
      </w:r>
      <w:r>
        <w:rPr>
          <w:rFonts w:hint="eastAsia" w:asciiTheme="minorEastAsia" w:hAnsiTheme="minorEastAsia" w:eastAsiaTheme="minorEastAsia"/>
          <w:bCs/>
          <w:lang w:eastAsia="zh-CN"/>
        </w:rPr>
        <w:t>计）</w:t>
      </w:r>
      <w:r>
        <w:rPr>
          <w:rFonts w:asciiTheme="minorEastAsia" w:hAnsiTheme="minorEastAsia" w:eastAsiaTheme="minorEastAsia"/>
          <w:bCs/>
          <w:lang w:eastAsia="zh-CN"/>
        </w:rPr>
        <w:t>、</w:t>
      </w:r>
      <w:r>
        <w:rPr>
          <w:rFonts w:hint="eastAsia" w:asciiTheme="minorEastAsia" w:hAnsiTheme="minorEastAsia" w:eastAsiaTheme="minorEastAsia"/>
          <w:bCs/>
          <w:lang w:eastAsia="zh-CN"/>
        </w:rPr>
        <w:t>烟尘</w:t>
      </w:r>
      <w:r>
        <w:rPr>
          <w:rFonts w:asciiTheme="minorEastAsia" w:hAnsiTheme="minorEastAsia" w:eastAsiaTheme="minorEastAsia"/>
          <w:bCs/>
          <w:lang w:eastAsia="zh-CN"/>
        </w:rPr>
        <w:t>进行预测，预测结果见表5.3-3。</w:t>
      </w:r>
    </w:p>
    <w:p w14:paraId="3210EC62">
      <w:pPr>
        <w:ind w:firstLine="480"/>
        <w:rPr>
          <w:rFonts w:asciiTheme="minorEastAsia" w:hAnsiTheme="minorEastAsia" w:eastAsiaTheme="minorEastAsia"/>
          <w:bCs/>
          <w:lang w:eastAsia="zh-CN"/>
        </w:rPr>
      </w:pPr>
    </w:p>
    <w:p w14:paraId="539B3859">
      <w:pPr>
        <w:ind w:firstLine="480"/>
        <w:rPr>
          <w:bCs/>
          <w:lang w:eastAsia="zh-CN"/>
        </w:rPr>
      </w:pPr>
    </w:p>
    <w:p w14:paraId="222A2947">
      <w:pPr>
        <w:ind w:firstLine="480"/>
        <w:rPr>
          <w:bCs/>
          <w:lang w:eastAsia="zh-CN"/>
        </w:rPr>
      </w:pPr>
    </w:p>
    <w:p w14:paraId="02E7FAEB">
      <w:pPr>
        <w:ind w:firstLine="480"/>
        <w:rPr>
          <w:bCs/>
          <w:lang w:eastAsia="zh-CN"/>
        </w:rPr>
      </w:pPr>
    </w:p>
    <w:p w14:paraId="778D5802">
      <w:pPr>
        <w:ind w:firstLine="480"/>
        <w:rPr>
          <w:bCs/>
          <w:lang w:eastAsia="zh-CN"/>
        </w:rPr>
      </w:pPr>
    </w:p>
    <w:p w14:paraId="5F285E4F">
      <w:pPr>
        <w:ind w:firstLine="480"/>
        <w:rPr>
          <w:bCs/>
          <w:lang w:eastAsia="zh-CN"/>
        </w:rPr>
      </w:pPr>
    </w:p>
    <w:p w14:paraId="1034DD7F">
      <w:pPr>
        <w:ind w:firstLine="480"/>
        <w:rPr>
          <w:bCs/>
          <w:lang w:eastAsia="zh-CN"/>
        </w:rPr>
      </w:pPr>
    </w:p>
    <w:p w14:paraId="6CD700E7">
      <w:pPr>
        <w:ind w:firstLine="480"/>
        <w:rPr>
          <w:bCs/>
          <w:lang w:eastAsia="zh-CN"/>
        </w:rPr>
      </w:pPr>
    </w:p>
    <w:p w14:paraId="7601CD8E">
      <w:pPr>
        <w:ind w:firstLine="480"/>
        <w:rPr>
          <w:bCs/>
          <w:lang w:eastAsia="zh-CN"/>
        </w:rPr>
      </w:pPr>
    </w:p>
    <w:p w14:paraId="18906F1F">
      <w:pPr>
        <w:ind w:firstLine="480"/>
        <w:rPr>
          <w:bCs/>
          <w:lang w:eastAsia="zh-CN"/>
        </w:rPr>
      </w:pPr>
    </w:p>
    <w:p w14:paraId="4CA1187C">
      <w:pPr>
        <w:ind w:firstLine="480"/>
        <w:rPr>
          <w:bCs/>
          <w:lang w:eastAsia="zh-CN"/>
        </w:rPr>
      </w:pPr>
    </w:p>
    <w:p w14:paraId="41C69F5B">
      <w:pPr>
        <w:ind w:firstLine="480"/>
        <w:rPr>
          <w:bCs/>
          <w:lang w:eastAsia="zh-CN"/>
        </w:rPr>
      </w:pPr>
    </w:p>
    <w:p w14:paraId="79E69302">
      <w:pPr>
        <w:ind w:firstLine="480"/>
        <w:rPr>
          <w:bCs/>
          <w:lang w:eastAsia="zh-CN"/>
        </w:rPr>
      </w:pPr>
    </w:p>
    <w:p w14:paraId="1369F454">
      <w:pPr>
        <w:ind w:firstLine="480"/>
        <w:rPr>
          <w:bCs/>
          <w:lang w:eastAsia="zh-CN"/>
        </w:rPr>
      </w:pPr>
    </w:p>
    <w:p w14:paraId="5762BA39">
      <w:pPr>
        <w:ind w:firstLine="480"/>
        <w:rPr>
          <w:bCs/>
          <w:lang w:eastAsia="zh-CN"/>
        </w:rPr>
      </w:pPr>
    </w:p>
    <w:p w14:paraId="6ADFF25B">
      <w:pPr>
        <w:ind w:firstLine="480"/>
        <w:rPr>
          <w:bCs/>
          <w:lang w:eastAsia="zh-CN"/>
        </w:rPr>
      </w:pPr>
    </w:p>
    <w:p w14:paraId="5692BDD1">
      <w:pPr>
        <w:ind w:firstLine="480"/>
        <w:rPr>
          <w:bCs/>
          <w:lang w:eastAsia="zh-CN"/>
        </w:rPr>
      </w:pPr>
    </w:p>
    <w:p w14:paraId="581CDB24">
      <w:pPr>
        <w:ind w:firstLine="480"/>
        <w:rPr>
          <w:bCs/>
          <w:lang w:eastAsia="zh-CN"/>
        </w:rPr>
      </w:pPr>
    </w:p>
    <w:p w14:paraId="57AC5D86">
      <w:pPr>
        <w:ind w:firstLine="480"/>
        <w:rPr>
          <w:bCs/>
          <w:lang w:eastAsia="zh-CN"/>
        </w:rPr>
      </w:pPr>
    </w:p>
    <w:p w14:paraId="132C371B">
      <w:pPr>
        <w:spacing w:line="240" w:lineRule="auto"/>
        <w:ind w:firstLine="482"/>
        <w:rPr>
          <w:bCs/>
          <w:lang w:eastAsia="zh-CN"/>
        </w:rPr>
      </w:pPr>
      <w:r>
        <w:rPr>
          <w:rStyle w:val="246"/>
          <w:lang w:eastAsia="zh-CN"/>
        </w:rPr>
        <w:t>表5.3-3</w:t>
      </w:r>
      <w:r>
        <w:rPr>
          <w:rStyle w:val="246"/>
          <w:rFonts w:hint="eastAsia"/>
          <w:lang w:eastAsia="zh-CN"/>
        </w:rPr>
        <w:t xml:space="preserve">          </w:t>
      </w:r>
      <w:r>
        <w:rPr>
          <w:rFonts w:hint="eastAsia"/>
          <w:b/>
          <w:lang w:eastAsia="zh-CN"/>
        </w:rPr>
        <w:t>采用估算模式计算结果</w:t>
      </w:r>
    </w:p>
    <w:tbl>
      <w:tblPr>
        <w:tblStyle w:val="76"/>
        <w:tblW w:w="9498" w:type="dxa"/>
        <w:tblInd w:w="-31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31"/>
        <w:gridCol w:w="1114"/>
        <w:gridCol w:w="858"/>
        <w:gridCol w:w="1134"/>
        <w:gridCol w:w="851"/>
        <w:gridCol w:w="1134"/>
        <w:gridCol w:w="850"/>
        <w:gridCol w:w="1134"/>
        <w:gridCol w:w="992"/>
      </w:tblGrid>
      <w:tr w14:paraId="5C8562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31" w:type="dxa"/>
            <w:vAlign w:val="center"/>
          </w:tcPr>
          <w:p w14:paraId="306F2C57">
            <w:pPr>
              <w:ind w:left="360" w:hanging="360" w:hangingChars="200"/>
              <w:jc w:val="center"/>
              <w:rPr>
                <w:rFonts w:asciiTheme="minorEastAsia" w:hAnsiTheme="minorEastAsia" w:eastAsiaTheme="minorEastAsia"/>
                <w:sz w:val="18"/>
                <w:szCs w:val="18"/>
                <w:lang w:eastAsia="zh-CN"/>
              </w:rPr>
            </w:pPr>
          </w:p>
        </w:tc>
        <w:tc>
          <w:tcPr>
            <w:tcW w:w="1972" w:type="dxa"/>
            <w:gridSpan w:val="2"/>
            <w:vAlign w:val="center"/>
          </w:tcPr>
          <w:p w14:paraId="4E7D05E7">
            <w:pPr>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联合站</w:t>
            </w:r>
            <w:r>
              <w:rPr>
                <w:rFonts w:asciiTheme="minorEastAsia" w:hAnsiTheme="minorEastAsia" w:eastAsiaTheme="minorEastAsia"/>
                <w:sz w:val="18"/>
                <w:szCs w:val="18"/>
              </w:rPr>
              <w:t>加热炉</w:t>
            </w:r>
          </w:p>
        </w:tc>
        <w:tc>
          <w:tcPr>
            <w:tcW w:w="6095" w:type="dxa"/>
            <w:gridSpan w:val="6"/>
            <w:vAlign w:val="center"/>
          </w:tcPr>
          <w:p w14:paraId="7E48E5DD">
            <w:pPr>
              <w:ind w:firstLine="36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联合站燃气机组</w:t>
            </w:r>
          </w:p>
        </w:tc>
      </w:tr>
      <w:tr w14:paraId="64CA2B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31" w:type="dxa"/>
            <w:vMerge w:val="restart"/>
            <w:vAlign w:val="center"/>
          </w:tcPr>
          <w:p w14:paraId="766C22AC">
            <w:pPr>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距源中下风</w:t>
            </w:r>
          </w:p>
          <w:p w14:paraId="40BBEC9D">
            <w:pPr>
              <w:ind w:left="360" w:hanging="360" w:hangingChars="20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距离</w:t>
            </w:r>
            <w:r>
              <w:rPr>
                <w:rFonts w:asciiTheme="minorEastAsia" w:hAnsiTheme="minorEastAsia" w:eastAsiaTheme="minorEastAsia"/>
                <w:sz w:val="18"/>
                <w:szCs w:val="18"/>
              </w:rPr>
              <w:t>D/m</w:t>
            </w:r>
          </w:p>
        </w:tc>
        <w:tc>
          <w:tcPr>
            <w:tcW w:w="1972" w:type="dxa"/>
            <w:gridSpan w:val="2"/>
            <w:vAlign w:val="center"/>
          </w:tcPr>
          <w:p w14:paraId="0892EBA4">
            <w:pPr>
              <w:ind w:firstLine="360"/>
              <w:jc w:val="center"/>
              <w:rPr>
                <w:rFonts w:asciiTheme="minorEastAsia" w:hAnsiTheme="minorEastAsia" w:eastAsiaTheme="minorEastAsia"/>
                <w:sz w:val="18"/>
                <w:szCs w:val="18"/>
              </w:rPr>
            </w:pPr>
            <w:r>
              <w:rPr>
                <w:rFonts w:asciiTheme="minorEastAsia" w:hAnsiTheme="minorEastAsia" w:eastAsiaTheme="minorEastAsia"/>
                <w:sz w:val="18"/>
                <w:szCs w:val="18"/>
              </w:rPr>
              <w:t>NO</w:t>
            </w:r>
            <w:r>
              <w:rPr>
                <w:rFonts w:asciiTheme="minorEastAsia" w:hAnsiTheme="minorEastAsia" w:eastAsiaTheme="minorEastAsia"/>
                <w:sz w:val="18"/>
                <w:szCs w:val="18"/>
                <w:vertAlign w:val="subscript"/>
              </w:rPr>
              <w:t>2</w:t>
            </w:r>
          </w:p>
        </w:tc>
        <w:tc>
          <w:tcPr>
            <w:tcW w:w="1985" w:type="dxa"/>
            <w:gridSpan w:val="2"/>
            <w:vAlign w:val="center"/>
          </w:tcPr>
          <w:p w14:paraId="44974B5A">
            <w:pPr>
              <w:ind w:firstLine="36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N</w:t>
            </w:r>
            <w:r>
              <w:rPr>
                <w:rFonts w:asciiTheme="minorEastAsia" w:hAnsiTheme="minorEastAsia" w:eastAsiaTheme="minorEastAsia"/>
                <w:sz w:val="18"/>
                <w:szCs w:val="18"/>
              </w:rPr>
              <w:t>O</w:t>
            </w:r>
            <w:r>
              <w:rPr>
                <w:rFonts w:asciiTheme="minorEastAsia" w:hAnsiTheme="minorEastAsia" w:eastAsiaTheme="minorEastAsia"/>
                <w:sz w:val="18"/>
                <w:szCs w:val="18"/>
                <w:vertAlign w:val="subscript"/>
              </w:rPr>
              <w:t>2</w:t>
            </w:r>
          </w:p>
        </w:tc>
        <w:tc>
          <w:tcPr>
            <w:tcW w:w="1984" w:type="dxa"/>
            <w:gridSpan w:val="2"/>
            <w:vAlign w:val="center"/>
          </w:tcPr>
          <w:p w14:paraId="200F2CCD">
            <w:pPr>
              <w:ind w:firstLine="36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SO</w:t>
            </w:r>
            <w:r>
              <w:rPr>
                <w:rFonts w:hint="eastAsia" w:asciiTheme="minorEastAsia" w:hAnsiTheme="minorEastAsia" w:eastAsiaTheme="minorEastAsia"/>
                <w:sz w:val="18"/>
                <w:szCs w:val="18"/>
                <w:vertAlign w:val="subscript"/>
              </w:rPr>
              <w:t>2</w:t>
            </w:r>
          </w:p>
        </w:tc>
        <w:tc>
          <w:tcPr>
            <w:tcW w:w="2126" w:type="dxa"/>
            <w:gridSpan w:val="2"/>
            <w:vAlign w:val="center"/>
          </w:tcPr>
          <w:p w14:paraId="5318F38A">
            <w:pPr>
              <w:ind w:firstLine="36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烟尘</w:t>
            </w:r>
          </w:p>
        </w:tc>
      </w:tr>
      <w:tr w14:paraId="503ABD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1" w:hRule="atLeast"/>
        </w:trPr>
        <w:tc>
          <w:tcPr>
            <w:tcW w:w="1431" w:type="dxa"/>
            <w:vMerge w:val="continue"/>
            <w:vAlign w:val="center"/>
          </w:tcPr>
          <w:p w14:paraId="77EC51DB">
            <w:pPr>
              <w:ind w:firstLine="360"/>
              <w:jc w:val="center"/>
              <w:rPr>
                <w:rFonts w:asciiTheme="minorEastAsia" w:hAnsiTheme="minorEastAsia" w:eastAsiaTheme="minorEastAsia"/>
                <w:sz w:val="18"/>
                <w:szCs w:val="18"/>
              </w:rPr>
            </w:pPr>
          </w:p>
        </w:tc>
        <w:tc>
          <w:tcPr>
            <w:tcW w:w="1114" w:type="dxa"/>
            <w:vAlign w:val="center"/>
          </w:tcPr>
          <w:p w14:paraId="3CCDC761">
            <w:pPr>
              <w:ind w:firstLine="0" w:firstLineChars="0"/>
              <w:jc w:val="center"/>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下风向预测浓度</w:t>
            </w:r>
          </w:p>
          <w:p w14:paraId="67511DBA">
            <w:pPr>
              <w:ind w:firstLine="0" w:firstLineChars="0"/>
              <w:jc w:val="center"/>
              <w:rPr>
                <w:rFonts w:asciiTheme="minorEastAsia" w:hAnsiTheme="minorEastAsia" w:eastAsiaTheme="minorEastAsia"/>
                <w:sz w:val="18"/>
                <w:szCs w:val="18"/>
                <w:lang w:eastAsia="zh-CN"/>
              </w:rPr>
            </w:pPr>
            <w:r>
              <w:rPr>
                <w:rFonts w:asciiTheme="minorEastAsia" w:hAnsiTheme="minorEastAsia" w:eastAsiaTheme="minorEastAsia"/>
                <w:sz w:val="18"/>
                <w:szCs w:val="18"/>
                <w:lang w:eastAsia="zh-CN"/>
              </w:rPr>
              <w:t>C</w:t>
            </w:r>
            <w:r>
              <w:rPr>
                <w:rFonts w:asciiTheme="minorEastAsia" w:hAnsiTheme="minorEastAsia" w:eastAsiaTheme="minorEastAsia"/>
                <w:sz w:val="18"/>
                <w:szCs w:val="18"/>
                <w:vertAlign w:val="subscript"/>
                <w:lang w:eastAsia="zh-CN"/>
              </w:rPr>
              <w:t>i1</w:t>
            </w:r>
            <w:r>
              <w:rPr>
                <w:rFonts w:asciiTheme="minorEastAsia" w:hAnsiTheme="minorEastAsia" w:eastAsiaTheme="minorEastAsia"/>
                <w:sz w:val="18"/>
                <w:szCs w:val="18"/>
                <w:lang w:eastAsia="zh-CN"/>
              </w:rPr>
              <w:t>/mg/m</w:t>
            </w:r>
            <w:r>
              <w:rPr>
                <w:rFonts w:asciiTheme="minorEastAsia" w:hAnsiTheme="minorEastAsia" w:eastAsiaTheme="minorEastAsia"/>
                <w:sz w:val="18"/>
                <w:szCs w:val="18"/>
                <w:vertAlign w:val="superscript"/>
                <w:lang w:eastAsia="zh-CN"/>
              </w:rPr>
              <w:t>3</w:t>
            </w:r>
          </w:p>
        </w:tc>
        <w:tc>
          <w:tcPr>
            <w:tcW w:w="858" w:type="dxa"/>
            <w:vAlign w:val="center"/>
          </w:tcPr>
          <w:p w14:paraId="3D8B8A52">
            <w:pPr>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浓度占标率</w:t>
            </w:r>
          </w:p>
          <w:p w14:paraId="3C4C10DE">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P</w:t>
            </w:r>
            <w:r>
              <w:rPr>
                <w:rFonts w:asciiTheme="minorEastAsia" w:hAnsiTheme="minorEastAsia" w:eastAsiaTheme="minorEastAsia"/>
                <w:sz w:val="18"/>
                <w:szCs w:val="18"/>
                <w:vertAlign w:val="subscript"/>
              </w:rPr>
              <w:t>i1</w:t>
            </w:r>
            <w:r>
              <w:rPr>
                <w:rFonts w:asciiTheme="minorEastAsia" w:hAnsiTheme="minorEastAsia" w:eastAsiaTheme="minorEastAsia"/>
                <w:sz w:val="18"/>
                <w:szCs w:val="18"/>
              </w:rPr>
              <w:t>%</w:t>
            </w:r>
          </w:p>
        </w:tc>
        <w:tc>
          <w:tcPr>
            <w:tcW w:w="1134" w:type="dxa"/>
            <w:vAlign w:val="center"/>
          </w:tcPr>
          <w:p w14:paraId="6FFD72D4">
            <w:pPr>
              <w:ind w:firstLine="0" w:firstLineChars="0"/>
              <w:jc w:val="center"/>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下风向预测浓度</w:t>
            </w:r>
          </w:p>
          <w:p w14:paraId="6D51EEBF">
            <w:pPr>
              <w:ind w:firstLine="0" w:firstLineChars="0"/>
              <w:jc w:val="center"/>
              <w:rPr>
                <w:rFonts w:asciiTheme="minorEastAsia" w:hAnsiTheme="minorEastAsia" w:eastAsiaTheme="minorEastAsia"/>
                <w:sz w:val="18"/>
                <w:szCs w:val="18"/>
                <w:lang w:eastAsia="zh-CN"/>
              </w:rPr>
            </w:pPr>
            <w:r>
              <w:rPr>
                <w:rFonts w:asciiTheme="minorEastAsia" w:hAnsiTheme="minorEastAsia" w:eastAsiaTheme="minorEastAsia"/>
                <w:sz w:val="18"/>
                <w:szCs w:val="18"/>
                <w:lang w:eastAsia="zh-CN"/>
              </w:rPr>
              <w:t>C</w:t>
            </w:r>
            <w:r>
              <w:rPr>
                <w:rFonts w:asciiTheme="minorEastAsia" w:hAnsiTheme="minorEastAsia" w:eastAsiaTheme="minorEastAsia"/>
                <w:sz w:val="18"/>
                <w:szCs w:val="18"/>
                <w:vertAlign w:val="subscript"/>
                <w:lang w:eastAsia="zh-CN"/>
              </w:rPr>
              <w:t>i2</w:t>
            </w:r>
            <w:r>
              <w:rPr>
                <w:rFonts w:asciiTheme="minorEastAsia" w:hAnsiTheme="minorEastAsia" w:eastAsiaTheme="minorEastAsia"/>
                <w:sz w:val="18"/>
                <w:szCs w:val="18"/>
                <w:lang w:eastAsia="zh-CN"/>
              </w:rPr>
              <w:t>/mg/m</w:t>
            </w:r>
            <w:r>
              <w:rPr>
                <w:rFonts w:asciiTheme="minorEastAsia" w:hAnsiTheme="minorEastAsia" w:eastAsiaTheme="minorEastAsia"/>
                <w:sz w:val="18"/>
                <w:szCs w:val="18"/>
                <w:vertAlign w:val="superscript"/>
                <w:lang w:eastAsia="zh-CN"/>
              </w:rPr>
              <w:t>3</w:t>
            </w:r>
          </w:p>
        </w:tc>
        <w:tc>
          <w:tcPr>
            <w:tcW w:w="851" w:type="dxa"/>
            <w:vAlign w:val="center"/>
          </w:tcPr>
          <w:p w14:paraId="0F3DF902">
            <w:pPr>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浓度占标率</w:t>
            </w:r>
          </w:p>
          <w:p w14:paraId="661C4AAE">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P</w:t>
            </w:r>
            <w:r>
              <w:rPr>
                <w:rFonts w:asciiTheme="minorEastAsia" w:hAnsiTheme="minorEastAsia" w:eastAsiaTheme="minorEastAsia"/>
                <w:sz w:val="18"/>
                <w:szCs w:val="18"/>
                <w:vertAlign w:val="subscript"/>
              </w:rPr>
              <w:t>i2</w:t>
            </w:r>
            <w:r>
              <w:rPr>
                <w:rFonts w:asciiTheme="minorEastAsia" w:hAnsiTheme="minorEastAsia" w:eastAsiaTheme="minorEastAsia"/>
                <w:sz w:val="18"/>
                <w:szCs w:val="18"/>
              </w:rPr>
              <w:t>%</w:t>
            </w:r>
          </w:p>
        </w:tc>
        <w:tc>
          <w:tcPr>
            <w:tcW w:w="1134" w:type="dxa"/>
            <w:vAlign w:val="center"/>
          </w:tcPr>
          <w:p w14:paraId="17A80EFE">
            <w:pPr>
              <w:ind w:firstLine="0" w:firstLineChars="0"/>
              <w:jc w:val="center"/>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下风向预测浓度</w:t>
            </w:r>
          </w:p>
          <w:p w14:paraId="21F23341">
            <w:pPr>
              <w:ind w:firstLine="0" w:firstLineChars="0"/>
              <w:jc w:val="center"/>
              <w:rPr>
                <w:rFonts w:asciiTheme="minorEastAsia" w:hAnsiTheme="minorEastAsia" w:eastAsiaTheme="minorEastAsia"/>
                <w:sz w:val="18"/>
                <w:szCs w:val="18"/>
                <w:lang w:eastAsia="zh-CN"/>
              </w:rPr>
            </w:pPr>
            <w:r>
              <w:rPr>
                <w:rFonts w:asciiTheme="minorEastAsia" w:hAnsiTheme="minorEastAsia" w:eastAsiaTheme="minorEastAsia"/>
                <w:sz w:val="18"/>
                <w:szCs w:val="18"/>
                <w:lang w:eastAsia="zh-CN"/>
              </w:rPr>
              <w:t>C</w:t>
            </w:r>
            <w:r>
              <w:rPr>
                <w:rFonts w:asciiTheme="minorEastAsia" w:hAnsiTheme="minorEastAsia" w:eastAsiaTheme="minorEastAsia"/>
                <w:sz w:val="18"/>
                <w:szCs w:val="18"/>
                <w:vertAlign w:val="subscript"/>
                <w:lang w:eastAsia="zh-CN"/>
              </w:rPr>
              <w:t>i</w:t>
            </w:r>
            <w:r>
              <w:rPr>
                <w:rFonts w:hint="eastAsia" w:asciiTheme="minorEastAsia" w:hAnsiTheme="minorEastAsia" w:eastAsiaTheme="minorEastAsia"/>
                <w:sz w:val="18"/>
                <w:szCs w:val="18"/>
                <w:vertAlign w:val="subscript"/>
                <w:lang w:eastAsia="zh-CN"/>
              </w:rPr>
              <w:t>3</w:t>
            </w:r>
            <w:r>
              <w:rPr>
                <w:rFonts w:asciiTheme="minorEastAsia" w:hAnsiTheme="minorEastAsia" w:eastAsiaTheme="minorEastAsia"/>
                <w:sz w:val="18"/>
                <w:szCs w:val="18"/>
                <w:lang w:eastAsia="zh-CN"/>
              </w:rPr>
              <w:t>/mg/m</w:t>
            </w:r>
            <w:r>
              <w:rPr>
                <w:rFonts w:asciiTheme="minorEastAsia" w:hAnsiTheme="minorEastAsia" w:eastAsiaTheme="minorEastAsia"/>
                <w:sz w:val="18"/>
                <w:szCs w:val="18"/>
                <w:vertAlign w:val="superscript"/>
                <w:lang w:eastAsia="zh-CN"/>
              </w:rPr>
              <w:t>3</w:t>
            </w:r>
          </w:p>
        </w:tc>
        <w:tc>
          <w:tcPr>
            <w:tcW w:w="850" w:type="dxa"/>
            <w:vAlign w:val="center"/>
          </w:tcPr>
          <w:p w14:paraId="62C4AFC8">
            <w:pPr>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浓度占标率</w:t>
            </w:r>
          </w:p>
          <w:p w14:paraId="2DAD2868">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P</w:t>
            </w:r>
            <w:r>
              <w:rPr>
                <w:rFonts w:asciiTheme="minorEastAsia" w:hAnsiTheme="minorEastAsia" w:eastAsiaTheme="minorEastAsia"/>
                <w:sz w:val="18"/>
                <w:szCs w:val="18"/>
                <w:vertAlign w:val="subscript"/>
              </w:rPr>
              <w:t>i</w:t>
            </w:r>
            <w:r>
              <w:rPr>
                <w:rFonts w:hint="eastAsia" w:asciiTheme="minorEastAsia" w:hAnsiTheme="minorEastAsia" w:eastAsiaTheme="minorEastAsia"/>
                <w:sz w:val="18"/>
                <w:szCs w:val="18"/>
                <w:vertAlign w:val="subscript"/>
              </w:rPr>
              <w:t>3</w:t>
            </w:r>
            <w:r>
              <w:rPr>
                <w:rFonts w:asciiTheme="minorEastAsia" w:hAnsiTheme="minorEastAsia" w:eastAsiaTheme="minorEastAsia"/>
                <w:sz w:val="18"/>
                <w:szCs w:val="18"/>
              </w:rPr>
              <w:t>%</w:t>
            </w:r>
          </w:p>
        </w:tc>
        <w:tc>
          <w:tcPr>
            <w:tcW w:w="1134" w:type="dxa"/>
            <w:vAlign w:val="center"/>
          </w:tcPr>
          <w:p w14:paraId="6F5D3FA0">
            <w:pPr>
              <w:ind w:firstLine="0" w:firstLineChars="0"/>
              <w:jc w:val="center"/>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下风向预测浓度</w:t>
            </w:r>
          </w:p>
          <w:p w14:paraId="43E44458">
            <w:pPr>
              <w:ind w:firstLine="0" w:firstLineChars="0"/>
              <w:jc w:val="center"/>
              <w:rPr>
                <w:rFonts w:asciiTheme="minorEastAsia" w:hAnsiTheme="minorEastAsia" w:eastAsiaTheme="minorEastAsia"/>
                <w:sz w:val="18"/>
                <w:szCs w:val="18"/>
                <w:lang w:eastAsia="zh-CN"/>
              </w:rPr>
            </w:pPr>
            <w:r>
              <w:rPr>
                <w:rFonts w:asciiTheme="minorEastAsia" w:hAnsiTheme="minorEastAsia" w:eastAsiaTheme="minorEastAsia"/>
                <w:sz w:val="18"/>
                <w:szCs w:val="18"/>
                <w:lang w:eastAsia="zh-CN"/>
              </w:rPr>
              <w:t>C</w:t>
            </w:r>
            <w:r>
              <w:rPr>
                <w:rFonts w:asciiTheme="minorEastAsia" w:hAnsiTheme="minorEastAsia" w:eastAsiaTheme="minorEastAsia"/>
                <w:sz w:val="18"/>
                <w:szCs w:val="18"/>
                <w:vertAlign w:val="subscript"/>
                <w:lang w:eastAsia="zh-CN"/>
              </w:rPr>
              <w:t>i4</w:t>
            </w:r>
            <w:r>
              <w:rPr>
                <w:rFonts w:asciiTheme="minorEastAsia" w:hAnsiTheme="minorEastAsia" w:eastAsiaTheme="minorEastAsia"/>
                <w:sz w:val="18"/>
                <w:szCs w:val="18"/>
                <w:lang w:eastAsia="zh-CN"/>
              </w:rPr>
              <w:t>/mg/m</w:t>
            </w:r>
            <w:r>
              <w:rPr>
                <w:rFonts w:asciiTheme="minorEastAsia" w:hAnsiTheme="minorEastAsia" w:eastAsiaTheme="minorEastAsia"/>
                <w:sz w:val="18"/>
                <w:szCs w:val="18"/>
                <w:vertAlign w:val="superscript"/>
                <w:lang w:eastAsia="zh-CN"/>
              </w:rPr>
              <w:t>3</w:t>
            </w:r>
          </w:p>
        </w:tc>
        <w:tc>
          <w:tcPr>
            <w:tcW w:w="992" w:type="dxa"/>
            <w:vAlign w:val="center"/>
          </w:tcPr>
          <w:p w14:paraId="7C98EA32">
            <w:pPr>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浓度占标率</w:t>
            </w:r>
          </w:p>
          <w:p w14:paraId="29733480">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P</w:t>
            </w:r>
            <w:r>
              <w:rPr>
                <w:rFonts w:asciiTheme="minorEastAsia" w:hAnsiTheme="minorEastAsia" w:eastAsiaTheme="minorEastAsia"/>
                <w:sz w:val="18"/>
                <w:szCs w:val="18"/>
                <w:vertAlign w:val="subscript"/>
              </w:rPr>
              <w:t>i4</w:t>
            </w:r>
            <w:r>
              <w:rPr>
                <w:rFonts w:asciiTheme="minorEastAsia" w:hAnsiTheme="minorEastAsia" w:eastAsiaTheme="minorEastAsia"/>
                <w:sz w:val="18"/>
                <w:szCs w:val="18"/>
              </w:rPr>
              <w:t>%</w:t>
            </w:r>
          </w:p>
        </w:tc>
      </w:tr>
      <w:tr w14:paraId="51F22E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31" w:type="dxa"/>
            <w:vAlign w:val="center"/>
          </w:tcPr>
          <w:p w14:paraId="73CC5F18">
            <w:pPr>
              <w:ind w:firstLine="360"/>
              <w:jc w:val="center"/>
              <w:rPr>
                <w:rFonts w:asciiTheme="minorEastAsia" w:hAnsiTheme="minorEastAsia" w:eastAsiaTheme="minorEastAsia"/>
                <w:sz w:val="18"/>
                <w:szCs w:val="18"/>
              </w:rPr>
            </w:pPr>
            <w:r>
              <w:rPr>
                <w:rFonts w:asciiTheme="minorEastAsia" w:hAnsiTheme="minorEastAsia" w:eastAsiaTheme="minorEastAsia"/>
                <w:sz w:val="18"/>
                <w:szCs w:val="18"/>
              </w:rPr>
              <w:t>100</w:t>
            </w:r>
          </w:p>
        </w:tc>
        <w:tc>
          <w:tcPr>
            <w:tcW w:w="1114" w:type="dxa"/>
            <w:vAlign w:val="center"/>
          </w:tcPr>
          <w:p w14:paraId="39D5B27F">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0.000482</w:t>
            </w:r>
          </w:p>
        </w:tc>
        <w:tc>
          <w:tcPr>
            <w:tcW w:w="858" w:type="dxa"/>
            <w:vAlign w:val="center"/>
          </w:tcPr>
          <w:p w14:paraId="5515F0E4">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0.20</w:t>
            </w:r>
          </w:p>
        </w:tc>
        <w:tc>
          <w:tcPr>
            <w:tcW w:w="1134" w:type="dxa"/>
            <w:vAlign w:val="center"/>
          </w:tcPr>
          <w:p w14:paraId="3C3AAF46">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0.001285</w:t>
            </w:r>
          </w:p>
        </w:tc>
        <w:tc>
          <w:tcPr>
            <w:tcW w:w="851" w:type="dxa"/>
            <w:vAlign w:val="center"/>
          </w:tcPr>
          <w:p w14:paraId="370F7283">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0.54</w:t>
            </w:r>
          </w:p>
        </w:tc>
        <w:tc>
          <w:tcPr>
            <w:tcW w:w="1134" w:type="dxa"/>
            <w:vAlign w:val="center"/>
          </w:tcPr>
          <w:p w14:paraId="6B1DB460">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0.000413</w:t>
            </w:r>
          </w:p>
        </w:tc>
        <w:tc>
          <w:tcPr>
            <w:tcW w:w="850" w:type="dxa"/>
            <w:vAlign w:val="center"/>
          </w:tcPr>
          <w:p w14:paraId="24AD468E">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0.08</w:t>
            </w:r>
          </w:p>
        </w:tc>
        <w:tc>
          <w:tcPr>
            <w:tcW w:w="1134" w:type="dxa"/>
            <w:vAlign w:val="center"/>
          </w:tcPr>
          <w:p w14:paraId="1EC5BEEA">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0.000606</w:t>
            </w:r>
          </w:p>
        </w:tc>
        <w:tc>
          <w:tcPr>
            <w:tcW w:w="992" w:type="dxa"/>
            <w:vAlign w:val="center"/>
          </w:tcPr>
          <w:p w14:paraId="50442808">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0.07</w:t>
            </w:r>
          </w:p>
        </w:tc>
      </w:tr>
      <w:tr w14:paraId="0BE363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31" w:type="dxa"/>
            <w:vAlign w:val="center"/>
          </w:tcPr>
          <w:p w14:paraId="28A7DB9D">
            <w:pPr>
              <w:ind w:firstLine="360"/>
              <w:jc w:val="center"/>
              <w:rPr>
                <w:rFonts w:asciiTheme="minorEastAsia" w:hAnsiTheme="minorEastAsia" w:eastAsiaTheme="minorEastAsia"/>
                <w:sz w:val="18"/>
                <w:szCs w:val="18"/>
              </w:rPr>
            </w:pPr>
            <w:r>
              <w:rPr>
                <w:rFonts w:asciiTheme="minorEastAsia" w:hAnsiTheme="minorEastAsia" w:eastAsiaTheme="minorEastAsia"/>
                <w:sz w:val="18"/>
                <w:szCs w:val="18"/>
              </w:rPr>
              <w:t>200</w:t>
            </w:r>
          </w:p>
        </w:tc>
        <w:tc>
          <w:tcPr>
            <w:tcW w:w="1114" w:type="dxa"/>
            <w:vAlign w:val="center"/>
          </w:tcPr>
          <w:p w14:paraId="11A2E999">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0.000549</w:t>
            </w:r>
          </w:p>
        </w:tc>
        <w:tc>
          <w:tcPr>
            <w:tcW w:w="858" w:type="dxa"/>
            <w:vAlign w:val="center"/>
          </w:tcPr>
          <w:p w14:paraId="6EB09F4A">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0.23</w:t>
            </w:r>
          </w:p>
        </w:tc>
        <w:tc>
          <w:tcPr>
            <w:tcW w:w="1134" w:type="dxa"/>
            <w:vAlign w:val="center"/>
          </w:tcPr>
          <w:p w14:paraId="154D7A28">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0.002399</w:t>
            </w:r>
          </w:p>
        </w:tc>
        <w:tc>
          <w:tcPr>
            <w:tcW w:w="851" w:type="dxa"/>
            <w:vAlign w:val="center"/>
          </w:tcPr>
          <w:p w14:paraId="72C78024">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1.00</w:t>
            </w:r>
          </w:p>
        </w:tc>
        <w:tc>
          <w:tcPr>
            <w:tcW w:w="1134" w:type="dxa"/>
            <w:vAlign w:val="center"/>
          </w:tcPr>
          <w:p w14:paraId="736779C2">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0.000772</w:t>
            </w:r>
          </w:p>
        </w:tc>
        <w:tc>
          <w:tcPr>
            <w:tcW w:w="850" w:type="dxa"/>
            <w:vAlign w:val="center"/>
          </w:tcPr>
          <w:p w14:paraId="2121F8C3">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0.15</w:t>
            </w:r>
          </w:p>
        </w:tc>
        <w:tc>
          <w:tcPr>
            <w:tcW w:w="1134" w:type="dxa"/>
            <w:vAlign w:val="center"/>
          </w:tcPr>
          <w:p w14:paraId="30C93125">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0.001132</w:t>
            </w:r>
          </w:p>
        </w:tc>
        <w:tc>
          <w:tcPr>
            <w:tcW w:w="992" w:type="dxa"/>
            <w:vAlign w:val="center"/>
          </w:tcPr>
          <w:p w14:paraId="4FC4EBDC">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0.13</w:t>
            </w:r>
          </w:p>
        </w:tc>
      </w:tr>
      <w:tr w14:paraId="29C3AB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31" w:type="dxa"/>
            <w:vAlign w:val="center"/>
          </w:tcPr>
          <w:p w14:paraId="36D5B868">
            <w:pPr>
              <w:ind w:firstLine="36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w:t>
            </w:r>
            <w:r>
              <w:rPr>
                <w:rFonts w:asciiTheme="minorEastAsia" w:hAnsiTheme="minorEastAsia" w:eastAsiaTheme="minorEastAsia"/>
                <w:sz w:val="18"/>
                <w:szCs w:val="18"/>
              </w:rPr>
              <w:t>00</w:t>
            </w:r>
          </w:p>
        </w:tc>
        <w:tc>
          <w:tcPr>
            <w:tcW w:w="1114" w:type="dxa"/>
            <w:vAlign w:val="center"/>
          </w:tcPr>
          <w:p w14:paraId="0D735962">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0.000503</w:t>
            </w:r>
          </w:p>
        </w:tc>
        <w:tc>
          <w:tcPr>
            <w:tcW w:w="858" w:type="dxa"/>
            <w:vAlign w:val="center"/>
          </w:tcPr>
          <w:p w14:paraId="435805BF">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0.21</w:t>
            </w:r>
          </w:p>
        </w:tc>
        <w:tc>
          <w:tcPr>
            <w:tcW w:w="1134" w:type="dxa"/>
            <w:vAlign w:val="center"/>
          </w:tcPr>
          <w:p w14:paraId="426AB1D2">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0.002224</w:t>
            </w:r>
          </w:p>
        </w:tc>
        <w:tc>
          <w:tcPr>
            <w:tcW w:w="851" w:type="dxa"/>
            <w:vAlign w:val="center"/>
          </w:tcPr>
          <w:p w14:paraId="3EA396A2">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0.93</w:t>
            </w:r>
          </w:p>
        </w:tc>
        <w:tc>
          <w:tcPr>
            <w:tcW w:w="1134" w:type="dxa"/>
            <w:vAlign w:val="center"/>
          </w:tcPr>
          <w:p w14:paraId="0A240CBE">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0.000715</w:t>
            </w:r>
          </w:p>
        </w:tc>
        <w:tc>
          <w:tcPr>
            <w:tcW w:w="850" w:type="dxa"/>
            <w:vAlign w:val="center"/>
          </w:tcPr>
          <w:p w14:paraId="3628F262">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0.14</w:t>
            </w:r>
          </w:p>
        </w:tc>
        <w:tc>
          <w:tcPr>
            <w:tcW w:w="1134" w:type="dxa"/>
            <w:vAlign w:val="center"/>
          </w:tcPr>
          <w:p w14:paraId="39C90F47">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0.001049</w:t>
            </w:r>
          </w:p>
        </w:tc>
        <w:tc>
          <w:tcPr>
            <w:tcW w:w="992" w:type="dxa"/>
            <w:vAlign w:val="center"/>
          </w:tcPr>
          <w:p w14:paraId="6C86309E">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0.12</w:t>
            </w:r>
          </w:p>
        </w:tc>
      </w:tr>
      <w:tr w14:paraId="20D4D0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31" w:type="dxa"/>
            <w:vAlign w:val="center"/>
          </w:tcPr>
          <w:p w14:paraId="6AFB9F33">
            <w:pPr>
              <w:ind w:firstLine="36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4</w:t>
            </w:r>
            <w:r>
              <w:rPr>
                <w:rFonts w:asciiTheme="minorEastAsia" w:hAnsiTheme="minorEastAsia" w:eastAsiaTheme="minorEastAsia"/>
                <w:sz w:val="18"/>
                <w:szCs w:val="18"/>
              </w:rPr>
              <w:t>00</w:t>
            </w:r>
          </w:p>
        </w:tc>
        <w:tc>
          <w:tcPr>
            <w:tcW w:w="1114" w:type="dxa"/>
            <w:vAlign w:val="center"/>
          </w:tcPr>
          <w:p w14:paraId="1A2E2762">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0.000479</w:t>
            </w:r>
          </w:p>
        </w:tc>
        <w:tc>
          <w:tcPr>
            <w:tcW w:w="858" w:type="dxa"/>
            <w:vAlign w:val="center"/>
          </w:tcPr>
          <w:p w14:paraId="412598E3">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0.20</w:t>
            </w:r>
          </w:p>
        </w:tc>
        <w:tc>
          <w:tcPr>
            <w:tcW w:w="1134" w:type="dxa"/>
            <w:vAlign w:val="center"/>
          </w:tcPr>
          <w:p w14:paraId="110F7FDD">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0.002041</w:t>
            </w:r>
          </w:p>
        </w:tc>
        <w:tc>
          <w:tcPr>
            <w:tcW w:w="851" w:type="dxa"/>
            <w:vAlign w:val="center"/>
          </w:tcPr>
          <w:p w14:paraId="760B9088">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0.85</w:t>
            </w:r>
          </w:p>
        </w:tc>
        <w:tc>
          <w:tcPr>
            <w:tcW w:w="1134" w:type="dxa"/>
            <w:vAlign w:val="center"/>
          </w:tcPr>
          <w:p w14:paraId="21708317">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0.000657</w:t>
            </w:r>
          </w:p>
        </w:tc>
        <w:tc>
          <w:tcPr>
            <w:tcW w:w="850" w:type="dxa"/>
            <w:vAlign w:val="center"/>
          </w:tcPr>
          <w:p w14:paraId="0EF94AD5">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0.13</w:t>
            </w:r>
          </w:p>
        </w:tc>
        <w:tc>
          <w:tcPr>
            <w:tcW w:w="1134" w:type="dxa"/>
            <w:vAlign w:val="center"/>
          </w:tcPr>
          <w:p w14:paraId="2AEDBC08">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0.000963</w:t>
            </w:r>
          </w:p>
        </w:tc>
        <w:tc>
          <w:tcPr>
            <w:tcW w:w="992" w:type="dxa"/>
            <w:vAlign w:val="center"/>
          </w:tcPr>
          <w:p w14:paraId="65F6BEF2">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0.11</w:t>
            </w:r>
          </w:p>
        </w:tc>
      </w:tr>
      <w:tr w14:paraId="2E9110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31" w:type="dxa"/>
            <w:vAlign w:val="center"/>
          </w:tcPr>
          <w:p w14:paraId="3C1A61B5">
            <w:pPr>
              <w:ind w:firstLine="36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5</w:t>
            </w:r>
            <w:r>
              <w:rPr>
                <w:rFonts w:asciiTheme="minorEastAsia" w:hAnsiTheme="minorEastAsia" w:eastAsiaTheme="minorEastAsia"/>
                <w:sz w:val="18"/>
                <w:szCs w:val="18"/>
              </w:rPr>
              <w:t>00</w:t>
            </w:r>
          </w:p>
        </w:tc>
        <w:tc>
          <w:tcPr>
            <w:tcW w:w="1114" w:type="dxa"/>
            <w:vAlign w:val="center"/>
          </w:tcPr>
          <w:p w14:paraId="5F76F7AF">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0.00045</w:t>
            </w:r>
          </w:p>
        </w:tc>
        <w:tc>
          <w:tcPr>
            <w:tcW w:w="858" w:type="dxa"/>
            <w:vAlign w:val="center"/>
          </w:tcPr>
          <w:p w14:paraId="260A94D9">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0.19</w:t>
            </w:r>
          </w:p>
        </w:tc>
        <w:tc>
          <w:tcPr>
            <w:tcW w:w="1134" w:type="dxa"/>
            <w:vAlign w:val="center"/>
          </w:tcPr>
          <w:p w14:paraId="2231E34A">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0.001974</w:t>
            </w:r>
          </w:p>
        </w:tc>
        <w:tc>
          <w:tcPr>
            <w:tcW w:w="851" w:type="dxa"/>
            <w:vAlign w:val="center"/>
          </w:tcPr>
          <w:p w14:paraId="057208D6">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0.82</w:t>
            </w:r>
          </w:p>
        </w:tc>
        <w:tc>
          <w:tcPr>
            <w:tcW w:w="1134" w:type="dxa"/>
            <w:vAlign w:val="center"/>
          </w:tcPr>
          <w:p w14:paraId="635B3940">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0.000635</w:t>
            </w:r>
          </w:p>
        </w:tc>
        <w:tc>
          <w:tcPr>
            <w:tcW w:w="850" w:type="dxa"/>
            <w:vAlign w:val="center"/>
          </w:tcPr>
          <w:p w14:paraId="50C36D6A">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0.13</w:t>
            </w:r>
          </w:p>
        </w:tc>
        <w:tc>
          <w:tcPr>
            <w:tcW w:w="1134" w:type="dxa"/>
            <w:vAlign w:val="center"/>
          </w:tcPr>
          <w:p w14:paraId="4586D406">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0.000931</w:t>
            </w:r>
          </w:p>
        </w:tc>
        <w:tc>
          <w:tcPr>
            <w:tcW w:w="992" w:type="dxa"/>
            <w:vAlign w:val="center"/>
          </w:tcPr>
          <w:p w14:paraId="1B789580">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0.10</w:t>
            </w:r>
          </w:p>
        </w:tc>
      </w:tr>
      <w:tr w14:paraId="05244A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31" w:type="dxa"/>
            <w:vAlign w:val="center"/>
          </w:tcPr>
          <w:p w14:paraId="10113D3E">
            <w:pPr>
              <w:ind w:firstLine="36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6</w:t>
            </w:r>
            <w:r>
              <w:rPr>
                <w:rFonts w:asciiTheme="minorEastAsia" w:hAnsiTheme="minorEastAsia" w:eastAsiaTheme="minorEastAsia"/>
                <w:sz w:val="18"/>
                <w:szCs w:val="18"/>
              </w:rPr>
              <w:t>00</w:t>
            </w:r>
          </w:p>
        </w:tc>
        <w:tc>
          <w:tcPr>
            <w:tcW w:w="1114" w:type="dxa"/>
            <w:vAlign w:val="center"/>
          </w:tcPr>
          <w:p w14:paraId="1AFAEA4D">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0.000418</w:t>
            </w:r>
          </w:p>
        </w:tc>
        <w:tc>
          <w:tcPr>
            <w:tcW w:w="858" w:type="dxa"/>
            <w:vAlign w:val="center"/>
          </w:tcPr>
          <w:p w14:paraId="136B415A">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0.17</w:t>
            </w:r>
          </w:p>
        </w:tc>
        <w:tc>
          <w:tcPr>
            <w:tcW w:w="1134" w:type="dxa"/>
            <w:vAlign w:val="center"/>
          </w:tcPr>
          <w:p w14:paraId="13359009">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0.001833</w:t>
            </w:r>
          </w:p>
        </w:tc>
        <w:tc>
          <w:tcPr>
            <w:tcW w:w="851" w:type="dxa"/>
            <w:vAlign w:val="center"/>
          </w:tcPr>
          <w:p w14:paraId="37C588CC">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0.76</w:t>
            </w:r>
          </w:p>
        </w:tc>
        <w:tc>
          <w:tcPr>
            <w:tcW w:w="1134" w:type="dxa"/>
            <w:vAlign w:val="center"/>
          </w:tcPr>
          <w:p w14:paraId="0F040C21">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0.00059</w:t>
            </w:r>
          </w:p>
        </w:tc>
        <w:tc>
          <w:tcPr>
            <w:tcW w:w="850" w:type="dxa"/>
            <w:vAlign w:val="center"/>
          </w:tcPr>
          <w:p w14:paraId="54915CBA">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0.12</w:t>
            </w:r>
          </w:p>
        </w:tc>
        <w:tc>
          <w:tcPr>
            <w:tcW w:w="1134" w:type="dxa"/>
            <w:vAlign w:val="center"/>
          </w:tcPr>
          <w:p w14:paraId="06E7C8D8">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0.000865</w:t>
            </w:r>
          </w:p>
        </w:tc>
        <w:tc>
          <w:tcPr>
            <w:tcW w:w="992" w:type="dxa"/>
            <w:vAlign w:val="center"/>
          </w:tcPr>
          <w:p w14:paraId="54C14532">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0.10</w:t>
            </w:r>
          </w:p>
        </w:tc>
      </w:tr>
      <w:tr w14:paraId="0DE21D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31" w:type="dxa"/>
            <w:vAlign w:val="center"/>
          </w:tcPr>
          <w:p w14:paraId="43358B16">
            <w:pPr>
              <w:ind w:firstLine="36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w:t>
            </w:r>
            <w:r>
              <w:rPr>
                <w:rFonts w:asciiTheme="minorEastAsia" w:hAnsiTheme="minorEastAsia" w:eastAsiaTheme="minorEastAsia"/>
                <w:sz w:val="18"/>
                <w:szCs w:val="18"/>
              </w:rPr>
              <w:t>00</w:t>
            </w:r>
          </w:p>
        </w:tc>
        <w:tc>
          <w:tcPr>
            <w:tcW w:w="1114" w:type="dxa"/>
            <w:vAlign w:val="center"/>
          </w:tcPr>
          <w:p w14:paraId="73C35F0B">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0.000387</w:t>
            </w:r>
          </w:p>
        </w:tc>
        <w:tc>
          <w:tcPr>
            <w:tcW w:w="858" w:type="dxa"/>
            <w:vAlign w:val="center"/>
          </w:tcPr>
          <w:p w14:paraId="15B13B62">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0.16</w:t>
            </w:r>
          </w:p>
        </w:tc>
        <w:tc>
          <w:tcPr>
            <w:tcW w:w="1134" w:type="dxa"/>
            <w:vAlign w:val="center"/>
          </w:tcPr>
          <w:p w14:paraId="2CEDB49A">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0.001703</w:t>
            </w:r>
          </w:p>
        </w:tc>
        <w:tc>
          <w:tcPr>
            <w:tcW w:w="851" w:type="dxa"/>
            <w:vAlign w:val="center"/>
          </w:tcPr>
          <w:p w14:paraId="53E7A1F5">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0.71</w:t>
            </w:r>
          </w:p>
        </w:tc>
        <w:tc>
          <w:tcPr>
            <w:tcW w:w="1134" w:type="dxa"/>
            <w:vAlign w:val="center"/>
          </w:tcPr>
          <w:p w14:paraId="5F3DA6DF">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0.000548</w:t>
            </w:r>
          </w:p>
        </w:tc>
        <w:tc>
          <w:tcPr>
            <w:tcW w:w="850" w:type="dxa"/>
            <w:vAlign w:val="center"/>
          </w:tcPr>
          <w:p w14:paraId="08A1D5D0">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0.11</w:t>
            </w:r>
          </w:p>
        </w:tc>
        <w:tc>
          <w:tcPr>
            <w:tcW w:w="1134" w:type="dxa"/>
            <w:vAlign w:val="center"/>
          </w:tcPr>
          <w:p w14:paraId="4C00D1EE">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0.000804</w:t>
            </w:r>
          </w:p>
        </w:tc>
        <w:tc>
          <w:tcPr>
            <w:tcW w:w="992" w:type="dxa"/>
            <w:vAlign w:val="center"/>
          </w:tcPr>
          <w:p w14:paraId="6FDCBEFA">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0.09</w:t>
            </w:r>
          </w:p>
        </w:tc>
      </w:tr>
      <w:tr w14:paraId="2612FC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31" w:type="dxa"/>
            <w:vAlign w:val="center"/>
          </w:tcPr>
          <w:p w14:paraId="6534C1CC">
            <w:pPr>
              <w:ind w:firstLine="36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w:t>
            </w:r>
            <w:r>
              <w:rPr>
                <w:rFonts w:asciiTheme="minorEastAsia" w:hAnsiTheme="minorEastAsia" w:eastAsiaTheme="minorEastAsia"/>
                <w:sz w:val="18"/>
                <w:szCs w:val="18"/>
              </w:rPr>
              <w:t>00</w:t>
            </w:r>
          </w:p>
        </w:tc>
        <w:tc>
          <w:tcPr>
            <w:tcW w:w="1114" w:type="dxa"/>
            <w:vAlign w:val="center"/>
          </w:tcPr>
          <w:p w14:paraId="2AAC497F">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0.000353</w:t>
            </w:r>
          </w:p>
        </w:tc>
        <w:tc>
          <w:tcPr>
            <w:tcW w:w="858" w:type="dxa"/>
            <w:vAlign w:val="center"/>
          </w:tcPr>
          <w:p w14:paraId="3765A207">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0.15</w:t>
            </w:r>
          </w:p>
        </w:tc>
        <w:tc>
          <w:tcPr>
            <w:tcW w:w="1134" w:type="dxa"/>
            <w:vAlign w:val="center"/>
          </w:tcPr>
          <w:p w14:paraId="3C37C929">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0.001582</w:t>
            </w:r>
          </w:p>
        </w:tc>
        <w:tc>
          <w:tcPr>
            <w:tcW w:w="851" w:type="dxa"/>
            <w:vAlign w:val="center"/>
          </w:tcPr>
          <w:p w14:paraId="5A5AE3D2">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0.66</w:t>
            </w:r>
          </w:p>
        </w:tc>
        <w:tc>
          <w:tcPr>
            <w:tcW w:w="1134" w:type="dxa"/>
            <w:vAlign w:val="center"/>
          </w:tcPr>
          <w:p w14:paraId="046C489D">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0.000509</w:t>
            </w:r>
          </w:p>
        </w:tc>
        <w:tc>
          <w:tcPr>
            <w:tcW w:w="850" w:type="dxa"/>
            <w:vAlign w:val="center"/>
          </w:tcPr>
          <w:p w14:paraId="21467B56">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0.10</w:t>
            </w:r>
          </w:p>
        </w:tc>
        <w:tc>
          <w:tcPr>
            <w:tcW w:w="1134" w:type="dxa"/>
            <w:vAlign w:val="center"/>
          </w:tcPr>
          <w:p w14:paraId="1E1AFF9F">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0.000746</w:t>
            </w:r>
          </w:p>
        </w:tc>
        <w:tc>
          <w:tcPr>
            <w:tcW w:w="992" w:type="dxa"/>
            <w:vAlign w:val="center"/>
          </w:tcPr>
          <w:p w14:paraId="68A773B9">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0.08</w:t>
            </w:r>
          </w:p>
        </w:tc>
      </w:tr>
      <w:tr w14:paraId="2766D7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31" w:type="dxa"/>
            <w:vAlign w:val="center"/>
          </w:tcPr>
          <w:p w14:paraId="0BACE394">
            <w:pPr>
              <w:ind w:firstLine="36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9</w:t>
            </w:r>
            <w:r>
              <w:rPr>
                <w:rFonts w:asciiTheme="minorEastAsia" w:hAnsiTheme="minorEastAsia" w:eastAsiaTheme="minorEastAsia"/>
                <w:sz w:val="18"/>
                <w:szCs w:val="18"/>
              </w:rPr>
              <w:t>00</w:t>
            </w:r>
          </w:p>
        </w:tc>
        <w:tc>
          <w:tcPr>
            <w:tcW w:w="1114" w:type="dxa"/>
            <w:vAlign w:val="center"/>
          </w:tcPr>
          <w:p w14:paraId="2C8A3C29">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0.000337</w:t>
            </w:r>
          </w:p>
        </w:tc>
        <w:tc>
          <w:tcPr>
            <w:tcW w:w="858" w:type="dxa"/>
            <w:vAlign w:val="center"/>
          </w:tcPr>
          <w:p w14:paraId="4548E6FC">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0.14</w:t>
            </w:r>
          </w:p>
        </w:tc>
        <w:tc>
          <w:tcPr>
            <w:tcW w:w="1134" w:type="dxa"/>
            <w:vAlign w:val="center"/>
          </w:tcPr>
          <w:p w14:paraId="08BC3988">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0.001482</w:t>
            </w:r>
          </w:p>
        </w:tc>
        <w:tc>
          <w:tcPr>
            <w:tcW w:w="851" w:type="dxa"/>
            <w:vAlign w:val="center"/>
          </w:tcPr>
          <w:p w14:paraId="68C5A5C6">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0.62</w:t>
            </w:r>
          </w:p>
        </w:tc>
        <w:tc>
          <w:tcPr>
            <w:tcW w:w="1134" w:type="dxa"/>
            <w:vAlign w:val="center"/>
          </w:tcPr>
          <w:p w14:paraId="210BB830">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0.000477</w:t>
            </w:r>
          </w:p>
        </w:tc>
        <w:tc>
          <w:tcPr>
            <w:tcW w:w="850" w:type="dxa"/>
            <w:vAlign w:val="center"/>
          </w:tcPr>
          <w:p w14:paraId="19252267">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0.10</w:t>
            </w:r>
          </w:p>
        </w:tc>
        <w:tc>
          <w:tcPr>
            <w:tcW w:w="1134" w:type="dxa"/>
            <w:vAlign w:val="center"/>
          </w:tcPr>
          <w:p w14:paraId="55D7B08C">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0.000699</w:t>
            </w:r>
          </w:p>
        </w:tc>
        <w:tc>
          <w:tcPr>
            <w:tcW w:w="992" w:type="dxa"/>
            <w:vAlign w:val="center"/>
          </w:tcPr>
          <w:p w14:paraId="27D07199">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0.08</w:t>
            </w:r>
          </w:p>
        </w:tc>
      </w:tr>
      <w:tr w14:paraId="0DE064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31" w:type="dxa"/>
            <w:vAlign w:val="center"/>
          </w:tcPr>
          <w:p w14:paraId="584CB91D">
            <w:pPr>
              <w:ind w:firstLine="36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10</w:t>
            </w:r>
            <w:r>
              <w:rPr>
                <w:rFonts w:asciiTheme="minorEastAsia" w:hAnsiTheme="minorEastAsia" w:eastAsiaTheme="minorEastAsia"/>
                <w:sz w:val="18"/>
                <w:szCs w:val="18"/>
              </w:rPr>
              <w:t>00</w:t>
            </w:r>
          </w:p>
        </w:tc>
        <w:tc>
          <w:tcPr>
            <w:tcW w:w="1114" w:type="dxa"/>
            <w:vAlign w:val="center"/>
          </w:tcPr>
          <w:p w14:paraId="74BDD7BE">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0.000317</w:t>
            </w:r>
          </w:p>
        </w:tc>
        <w:tc>
          <w:tcPr>
            <w:tcW w:w="858" w:type="dxa"/>
            <w:vAlign w:val="center"/>
          </w:tcPr>
          <w:p w14:paraId="4DBF85E6">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0.13</w:t>
            </w:r>
          </w:p>
        </w:tc>
        <w:tc>
          <w:tcPr>
            <w:tcW w:w="1134" w:type="dxa"/>
            <w:vAlign w:val="center"/>
          </w:tcPr>
          <w:p w14:paraId="014F7842">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0.001389</w:t>
            </w:r>
          </w:p>
        </w:tc>
        <w:tc>
          <w:tcPr>
            <w:tcW w:w="851" w:type="dxa"/>
            <w:vAlign w:val="center"/>
          </w:tcPr>
          <w:p w14:paraId="429EDE6C">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0.58</w:t>
            </w:r>
          </w:p>
        </w:tc>
        <w:tc>
          <w:tcPr>
            <w:tcW w:w="1134" w:type="dxa"/>
            <w:vAlign w:val="center"/>
          </w:tcPr>
          <w:p w14:paraId="3C05990C">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0.000447</w:t>
            </w:r>
          </w:p>
        </w:tc>
        <w:tc>
          <w:tcPr>
            <w:tcW w:w="850" w:type="dxa"/>
            <w:vAlign w:val="center"/>
          </w:tcPr>
          <w:p w14:paraId="5ED90E1E">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0.09</w:t>
            </w:r>
          </w:p>
        </w:tc>
        <w:tc>
          <w:tcPr>
            <w:tcW w:w="1134" w:type="dxa"/>
            <w:vAlign w:val="center"/>
          </w:tcPr>
          <w:p w14:paraId="0C3E0E5E">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0.000655</w:t>
            </w:r>
          </w:p>
        </w:tc>
        <w:tc>
          <w:tcPr>
            <w:tcW w:w="992" w:type="dxa"/>
            <w:vAlign w:val="center"/>
          </w:tcPr>
          <w:p w14:paraId="413AE2AD">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0.07</w:t>
            </w:r>
          </w:p>
        </w:tc>
      </w:tr>
      <w:tr w14:paraId="3B77D0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31" w:type="dxa"/>
            <w:vAlign w:val="center"/>
          </w:tcPr>
          <w:p w14:paraId="1DC24572">
            <w:pPr>
              <w:ind w:firstLine="36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11</w:t>
            </w:r>
            <w:r>
              <w:rPr>
                <w:rFonts w:asciiTheme="minorEastAsia" w:hAnsiTheme="minorEastAsia" w:eastAsiaTheme="minorEastAsia"/>
                <w:sz w:val="18"/>
                <w:szCs w:val="18"/>
              </w:rPr>
              <w:t>00</w:t>
            </w:r>
          </w:p>
        </w:tc>
        <w:tc>
          <w:tcPr>
            <w:tcW w:w="1114" w:type="dxa"/>
            <w:vAlign w:val="center"/>
          </w:tcPr>
          <w:p w14:paraId="38F1F67F">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0.000295</w:t>
            </w:r>
          </w:p>
        </w:tc>
        <w:tc>
          <w:tcPr>
            <w:tcW w:w="858" w:type="dxa"/>
            <w:vAlign w:val="center"/>
          </w:tcPr>
          <w:p w14:paraId="7C25D644">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0.12</w:t>
            </w:r>
          </w:p>
        </w:tc>
        <w:tc>
          <w:tcPr>
            <w:tcW w:w="1134" w:type="dxa"/>
            <w:vAlign w:val="center"/>
          </w:tcPr>
          <w:p w14:paraId="4B05335E">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0.001303</w:t>
            </w:r>
          </w:p>
        </w:tc>
        <w:tc>
          <w:tcPr>
            <w:tcW w:w="851" w:type="dxa"/>
            <w:vAlign w:val="center"/>
          </w:tcPr>
          <w:p w14:paraId="1B906661">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0.54</w:t>
            </w:r>
          </w:p>
        </w:tc>
        <w:tc>
          <w:tcPr>
            <w:tcW w:w="1134" w:type="dxa"/>
            <w:vAlign w:val="center"/>
          </w:tcPr>
          <w:p w14:paraId="0BC6E603">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0.000419</w:t>
            </w:r>
          </w:p>
        </w:tc>
        <w:tc>
          <w:tcPr>
            <w:tcW w:w="850" w:type="dxa"/>
            <w:vAlign w:val="center"/>
          </w:tcPr>
          <w:p w14:paraId="0640C1A7">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0.08</w:t>
            </w:r>
          </w:p>
        </w:tc>
        <w:tc>
          <w:tcPr>
            <w:tcW w:w="1134" w:type="dxa"/>
            <w:vAlign w:val="center"/>
          </w:tcPr>
          <w:p w14:paraId="2357A62F">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0.000615</w:t>
            </w:r>
          </w:p>
        </w:tc>
        <w:tc>
          <w:tcPr>
            <w:tcW w:w="992" w:type="dxa"/>
            <w:vAlign w:val="center"/>
          </w:tcPr>
          <w:p w14:paraId="6394E0A6">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0.07</w:t>
            </w:r>
          </w:p>
        </w:tc>
      </w:tr>
      <w:tr w14:paraId="27F3A4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31" w:type="dxa"/>
            <w:vAlign w:val="center"/>
          </w:tcPr>
          <w:p w14:paraId="7DEABA26">
            <w:pPr>
              <w:ind w:firstLine="360"/>
              <w:jc w:val="center"/>
              <w:rPr>
                <w:rFonts w:asciiTheme="minorEastAsia" w:hAnsiTheme="minorEastAsia" w:eastAsiaTheme="minorEastAsia"/>
                <w:sz w:val="18"/>
                <w:szCs w:val="18"/>
              </w:rPr>
            </w:pPr>
            <w:r>
              <w:rPr>
                <w:rFonts w:asciiTheme="minorEastAsia" w:hAnsiTheme="minorEastAsia" w:eastAsiaTheme="minorEastAsia"/>
                <w:sz w:val="18"/>
                <w:szCs w:val="18"/>
              </w:rPr>
              <w:t>1</w:t>
            </w:r>
            <w:r>
              <w:rPr>
                <w:rFonts w:hint="eastAsia" w:asciiTheme="minorEastAsia" w:hAnsiTheme="minorEastAsia" w:eastAsiaTheme="minorEastAsia"/>
                <w:sz w:val="18"/>
                <w:szCs w:val="18"/>
              </w:rPr>
              <w:t>2</w:t>
            </w:r>
            <w:r>
              <w:rPr>
                <w:rFonts w:asciiTheme="minorEastAsia" w:hAnsiTheme="minorEastAsia" w:eastAsiaTheme="minorEastAsia"/>
                <w:sz w:val="18"/>
                <w:szCs w:val="18"/>
              </w:rPr>
              <w:t>00</w:t>
            </w:r>
          </w:p>
        </w:tc>
        <w:tc>
          <w:tcPr>
            <w:tcW w:w="1114" w:type="dxa"/>
            <w:vAlign w:val="center"/>
          </w:tcPr>
          <w:p w14:paraId="4D697BF1">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0.000274</w:t>
            </w:r>
          </w:p>
        </w:tc>
        <w:tc>
          <w:tcPr>
            <w:tcW w:w="858" w:type="dxa"/>
            <w:vAlign w:val="center"/>
          </w:tcPr>
          <w:p w14:paraId="5F1A1D25">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0.11</w:t>
            </w:r>
          </w:p>
        </w:tc>
        <w:tc>
          <w:tcPr>
            <w:tcW w:w="1134" w:type="dxa"/>
            <w:vAlign w:val="center"/>
          </w:tcPr>
          <w:p w14:paraId="675BAC33">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0.001219</w:t>
            </w:r>
          </w:p>
        </w:tc>
        <w:tc>
          <w:tcPr>
            <w:tcW w:w="851" w:type="dxa"/>
            <w:vAlign w:val="center"/>
          </w:tcPr>
          <w:p w14:paraId="4FF73E7F">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0.51</w:t>
            </w:r>
          </w:p>
        </w:tc>
        <w:tc>
          <w:tcPr>
            <w:tcW w:w="1134" w:type="dxa"/>
            <w:vAlign w:val="center"/>
          </w:tcPr>
          <w:p w14:paraId="23844288">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0.000392</w:t>
            </w:r>
          </w:p>
        </w:tc>
        <w:tc>
          <w:tcPr>
            <w:tcW w:w="850" w:type="dxa"/>
            <w:vAlign w:val="center"/>
          </w:tcPr>
          <w:p w14:paraId="336A94E3">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0.08</w:t>
            </w:r>
          </w:p>
        </w:tc>
        <w:tc>
          <w:tcPr>
            <w:tcW w:w="1134" w:type="dxa"/>
            <w:vAlign w:val="center"/>
          </w:tcPr>
          <w:p w14:paraId="02DE184D">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0.000575</w:t>
            </w:r>
          </w:p>
        </w:tc>
        <w:tc>
          <w:tcPr>
            <w:tcW w:w="992" w:type="dxa"/>
            <w:vAlign w:val="center"/>
          </w:tcPr>
          <w:p w14:paraId="724DDE78">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0.06</w:t>
            </w:r>
          </w:p>
        </w:tc>
      </w:tr>
      <w:tr w14:paraId="25638A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31" w:type="dxa"/>
            <w:vAlign w:val="center"/>
          </w:tcPr>
          <w:p w14:paraId="22C8A6C5">
            <w:pPr>
              <w:ind w:firstLine="360"/>
              <w:jc w:val="center"/>
              <w:rPr>
                <w:rFonts w:asciiTheme="minorEastAsia" w:hAnsiTheme="minorEastAsia" w:eastAsiaTheme="minorEastAsia"/>
                <w:sz w:val="18"/>
                <w:szCs w:val="18"/>
              </w:rPr>
            </w:pPr>
            <w:r>
              <w:rPr>
                <w:rFonts w:asciiTheme="minorEastAsia" w:hAnsiTheme="minorEastAsia" w:eastAsiaTheme="minorEastAsia"/>
                <w:sz w:val="18"/>
                <w:szCs w:val="18"/>
              </w:rPr>
              <w:t>1</w:t>
            </w:r>
            <w:r>
              <w:rPr>
                <w:rFonts w:hint="eastAsia" w:asciiTheme="minorEastAsia" w:hAnsiTheme="minorEastAsia" w:eastAsiaTheme="minorEastAsia"/>
                <w:sz w:val="18"/>
                <w:szCs w:val="18"/>
              </w:rPr>
              <w:t>3</w:t>
            </w:r>
            <w:r>
              <w:rPr>
                <w:rFonts w:asciiTheme="minorEastAsia" w:hAnsiTheme="minorEastAsia" w:eastAsiaTheme="minorEastAsia"/>
                <w:sz w:val="18"/>
                <w:szCs w:val="18"/>
              </w:rPr>
              <w:t>00</w:t>
            </w:r>
          </w:p>
        </w:tc>
        <w:tc>
          <w:tcPr>
            <w:tcW w:w="1114" w:type="dxa"/>
            <w:vAlign w:val="center"/>
          </w:tcPr>
          <w:p w14:paraId="0FB8DA26">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0.000255</w:t>
            </w:r>
          </w:p>
        </w:tc>
        <w:tc>
          <w:tcPr>
            <w:tcW w:w="858" w:type="dxa"/>
            <w:vAlign w:val="center"/>
          </w:tcPr>
          <w:p w14:paraId="13CF63FE">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0.11</w:t>
            </w:r>
          </w:p>
        </w:tc>
        <w:tc>
          <w:tcPr>
            <w:tcW w:w="1134" w:type="dxa"/>
            <w:vAlign w:val="center"/>
          </w:tcPr>
          <w:p w14:paraId="46A96644">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0.001152</w:t>
            </w:r>
          </w:p>
        </w:tc>
        <w:tc>
          <w:tcPr>
            <w:tcW w:w="851" w:type="dxa"/>
            <w:vAlign w:val="center"/>
          </w:tcPr>
          <w:p w14:paraId="316F110C">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0.48</w:t>
            </w:r>
          </w:p>
        </w:tc>
        <w:tc>
          <w:tcPr>
            <w:tcW w:w="1134" w:type="dxa"/>
            <w:vAlign w:val="center"/>
          </w:tcPr>
          <w:p w14:paraId="42CEDF27">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0.000371</w:t>
            </w:r>
          </w:p>
        </w:tc>
        <w:tc>
          <w:tcPr>
            <w:tcW w:w="850" w:type="dxa"/>
            <w:vAlign w:val="center"/>
          </w:tcPr>
          <w:p w14:paraId="647EED4D">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0.07</w:t>
            </w:r>
          </w:p>
        </w:tc>
        <w:tc>
          <w:tcPr>
            <w:tcW w:w="1134" w:type="dxa"/>
            <w:vAlign w:val="center"/>
          </w:tcPr>
          <w:p w14:paraId="39948794">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0.000544</w:t>
            </w:r>
          </w:p>
        </w:tc>
        <w:tc>
          <w:tcPr>
            <w:tcW w:w="992" w:type="dxa"/>
            <w:vAlign w:val="center"/>
          </w:tcPr>
          <w:p w14:paraId="734B3053">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0.06</w:t>
            </w:r>
          </w:p>
        </w:tc>
      </w:tr>
      <w:tr w14:paraId="6F5383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31" w:type="dxa"/>
            <w:vAlign w:val="center"/>
          </w:tcPr>
          <w:p w14:paraId="7D3DBA13">
            <w:pPr>
              <w:ind w:firstLine="360"/>
              <w:jc w:val="center"/>
              <w:rPr>
                <w:rFonts w:asciiTheme="minorEastAsia" w:hAnsiTheme="minorEastAsia" w:eastAsiaTheme="minorEastAsia"/>
                <w:sz w:val="18"/>
                <w:szCs w:val="18"/>
              </w:rPr>
            </w:pPr>
            <w:r>
              <w:rPr>
                <w:rFonts w:asciiTheme="minorEastAsia" w:hAnsiTheme="minorEastAsia" w:eastAsiaTheme="minorEastAsia"/>
                <w:sz w:val="18"/>
                <w:szCs w:val="18"/>
              </w:rPr>
              <w:t>1</w:t>
            </w:r>
            <w:r>
              <w:rPr>
                <w:rFonts w:hint="eastAsia" w:asciiTheme="minorEastAsia" w:hAnsiTheme="minorEastAsia" w:eastAsiaTheme="minorEastAsia"/>
                <w:sz w:val="18"/>
                <w:szCs w:val="18"/>
              </w:rPr>
              <w:t>4</w:t>
            </w:r>
            <w:r>
              <w:rPr>
                <w:rFonts w:asciiTheme="minorEastAsia" w:hAnsiTheme="minorEastAsia" w:eastAsiaTheme="minorEastAsia"/>
                <w:sz w:val="18"/>
                <w:szCs w:val="18"/>
              </w:rPr>
              <w:t>00</w:t>
            </w:r>
          </w:p>
        </w:tc>
        <w:tc>
          <w:tcPr>
            <w:tcW w:w="1114" w:type="dxa"/>
            <w:vAlign w:val="center"/>
          </w:tcPr>
          <w:p w14:paraId="0BA60F66">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0.000238</w:t>
            </w:r>
          </w:p>
        </w:tc>
        <w:tc>
          <w:tcPr>
            <w:tcW w:w="858" w:type="dxa"/>
            <w:vAlign w:val="center"/>
          </w:tcPr>
          <w:p w14:paraId="20CFAB85">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0.10</w:t>
            </w:r>
          </w:p>
        </w:tc>
        <w:tc>
          <w:tcPr>
            <w:tcW w:w="1134" w:type="dxa"/>
            <w:vAlign w:val="center"/>
          </w:tcPr>
          <w:p w14:paraId="4664D260">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0.001097</w:t>
            </w:r>
          </w:p>
        </w:tc>
        <w:tc>
          <w:tcPr>
            <w:tcW w:w="851" w:type="dxa"/>
            <w:vAlign w:val="center"/>
          </w:tcPr>
          <w:p w14:paraId="46C76B59">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0.46</w:t>
            </w:r>
          </w:p>
        </w:tc>
        <w:tc>
          <w:tcPr>
            <w:tcW w:w="1134" w:type="dxa"/>
            <w:vAlign w:val="center"/>
          </w:tcPr>
          <w:p w14:paraId="430499C9">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0.000353</w:t>
            </w:r>
          </w:p>
        </w:tc>
        <w:tc>
          <w:tcPr>
            <w:tcW w:w="850" w:type="dxa"/>
            <w:vAlign w:val="center"/>
          </w:tcPr>
          <w:p w14:paraId="5A006B35">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0.07</w:t>
            </w:r>
          </w:p>
        </w:tc>
        <w:tc>
          <w:tcPr>
            <w:tcW w:w="1134" w:type="dxa"/>
            <w:vAlign w:val="center"/>
          </w:tcPr>
          <w:p w14:paraId="3FE544EB">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0.000517</w:t>
            </w:r>
          </w:p>
        </w:tc>
        <w:tc>
          <w:tcPr>
            <w:tcW w:w="992" w:type="dxa"/>
            <w:vAlign w:val="center"/>
          </w:tcPr>
          <w:p w14:paraId="3A15E96B">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0.06</w:t>
            </w:r>
          </w:p>
        </w:tc>
      </w:tr>
      <w:tr w14:paraId="33F00F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31" w:type="dxa"/>
            <w:vAlign w:val="center"/>
          </w:tcPr>
          <w:p w14:paraId="0BBED5DA">
            <w:pPr>
              <w:ind w:firstLine="360"/>
              <w:jc w:val="center"/>
              <w:rPr>
                <w:rFonts w:asciiTheme="minorEastAsia" w:hAnsiTheme="minorEastAsia" w:eastAsiaTheme="minorEastAsia"/>
                <w:sz w:val="18"/>
                <w:szCs w:val="18"/>
              </w:rPr>
            </w:pPr>
            <w:r>
              <w:rPr>
                <w:rFonts w:asciiTheme="minorEastAsia" w:hAnsiTheme="minorEastAsia" w:eastAsiaTheme="minorEastAsia"/>
                <w:sz w:val="18"/>
                <w:szCs w:val="18"/>
              </w:rPr>
              <w:t>1</w:t>
            </w:r>
            <w:r>
              <w:rPr>
                <w:rFonts w:hint="eastAsia" w:asciiTheme="minorEastAsia" w:hAnsiTheme="minorEastAsia" w:eastAsiaTheme="minorEastAsia"/>
                <w:sz w:val="18"/>
                <w:szCs w:val="18"/>
              </w:rPr>
              <w:t>5</w:t>
            </w:r>
            <w:r>
              <w:rPr>
                <w:rFonts w:asciiTheme="minorEastAsia" w:hAnsiTheme="minorEastAsia" w:eastAsiaTheme="minorEastAsia"/>
                <w:sz w:val="18"/>
                <w:szCs w:val="18"/>
              </w:rPr>
              <w:t>00</w:t>
            </w:r>
          </w:p>
        </w:tc>
        <w:tc>
          <w:tcPr>
            <w:tcW w:w="1114" w:type="dxa"/>
            <w:vAlign w:val="center"/>
          </w:tcPr>
          <w:p w14:paraId="4332FDFD">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0.000226</w:t>
            </w:r>
          </w:p>
        </w:tc>
        <w:tc>
          <w:tcPr>
            <w:tcW w:w="858" w:type="dxa"/>
            <w:vAlign w:val="center"/>
          </w:tcPr>
          <w:p w14:paraId="3291F9BF">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0.09</w:t>
            </w:r>
          </w:p>
        </w:tc>
        <w:tc>
          <w:tcPr>
            <w:tcW w:w="1134" w:type="dxa"/>
            <w:vAlign w:val="center"/>
          </w:tcPr>
          <w:p w14:paraId="01827A3B">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0.001042</w:t>
            </w:r>
          </w:p>
        </w:tc>
        <w:tc>
          <w:tcPr>
            <w:tcW w:w="851" w:type="dxa"/>
            <w:vAlign w:val="center"/>
          </w:tcPr>
          <w:p w14:paraId="7AE1D726">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0.43</w:t>
            </w:r>
          </w:p>
        </w:tc>
        <w:tc>
          <w:tcPr>
            <w:tcW w:w="1134" w:type="dxa"/>
            <w:vAlign w:val="center"/>
          </w:tcPr>
          <w:p w14:paraId="4D7AFFAF">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0.000335</w:t>
            </w:r>
          </w:p>
        </w:tc>
        <w:tc>
          <w:tcPr>
            <w:tcW w:w="850" w:type="dxa"/>
            <w:vAlign w:val="center"/>
          </w:tcPr>
          <w:p w14:paraId="77979F69">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0.07</w:t>
            </w:r>
          </w:p>
        </w:tc>
        <w:tc>
          <w:tcPr>
            <w:tcW w:w="1134" w:type="dxa"/>
            <w:vAlign w:val="center"/>
          </w:tcPr>
          <w:p w14:paraId="36A929CF">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0.000492</w:t>
            </w:r>
          </w:p>
        </w:tc>
        <w:tc>
          <w:tcPr>
            <w:tcW w:w="992" w:type="dxa"/>
            <w:vAlign w:val="center"/>
          </w:tcPr>
          <w:p w14:paraId="658D28D0">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0.05</w:t>
            </w:r>
          </w:p>
        </w:tc>
      </w:tr>
      <w:tr w14:paraId="235DE3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31" w:type="dxa"/>
            <w:vAlign w:val="center"/>
          </w:tcPr>
          <w:p w14:paraId="29948853">
            <w:pPr>
              <w:ind w:firstLine="360"/>
              <w:jc w:val="center"/>
              <w:rPr>
                <w:rFonts w:asciiTheme="minorEastAsia" w:hAnsiTheme="minorEastAsia" w:eastAsiaTheme="minorEastAsia"/>
                <w:sz w:val="18"/>
                <w:szCs w:val="18"/>
              </w:rPr>
            </w:pPr>
            <w:r>
              <w:rPr>
                <w:rFonts w:asciiTheme="minorEastAsia" w:hAnsiTheme="minorEastAsia" w:eastAsiaTheme="minorEastAsia"/>
                <w:sz w:val="18"/>
                <w:szCs w:val="18"/>
              </w:rPr>
              <w:t>1</w:t>
            </w:r>
            <w:r>
              <w:rPr>
                <w:rFonts w:hint="eastAsia" w:asciiTheme="minorEastAsia" w:hAnsiTheme="minorEastAsia" w:eastAsiaTheme="minorEastAsia"/>
                <w:sz w:val="18"/>
                <w:szCs w:val="18"/>
              </w:rPr>
              <w:t>6</w:t>
            </w:r>
            <w:r>
              <w:rPr>
                <w:rFonts w:asciiTheme="minorEastAsia" w:hAnsiTheme="minorEastAsia" w:eastAsiaTheme="minorEastAsia"/>
                <w:sz w:val="18"/>
                <w:szCs w:val="18"/>
              </w:rPr>
              <w:t>00</w:t>
            </w:r>
          </w:p>
        </w:tc>
        <w:tc>
          <w:tcPr>
            <w:tcW w:w="1114" w:type="dxa"/>
            <w:vAlign w:val="center"/>
          </w:tcPr>
          <w:p w14:paraId="5568633B">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0.000233</w:t>
            </w:r>
          </w:p>
        </w:tc>
        <w:tc>
          <w:tcPr>
            <w:tcW w:w="858" w:type="dxa"/>
            <w:vAlign w:val="center"/>
          </w:tcPr>
          <w:p w14:paraId="31819EE0">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0.10</w:t>
            </w:r>
          </w:p>
        </w:tc>
        <w:tc>
          <w:tcPr>
            <w:tcW w:w="1134" w:type="dxa"/>
            <w:vAlign w:val="center"/>
          </w:tcPr>
          <w:p w14:paraId="5F9670F3">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0.001055</w:t>
            </w:r>
          </w:p>
        </w:tc>
        <w:tc>
          <w:tcPr>
            <w:tcW w:w="851" w:type="dxa"/>
            <w:vAlign w:val="center"/>
          </w:tcPr>
          <w:p w14:paraId="049BAE7B">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0.44</w:t>
            </w:r>
          </w:p>
        </w:tc>
        <w:tc>
          <w:tcPr>
            <w:tcW w:w="1134" w:type="dxa"/>
            <w:vAlign w:val="center"/>
          </w:tcPr>
          <w:p w14:paraId="64618E58">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0.000339</w:t>
            </w:r>
          </w:p>
        </w:tc>
        <w:tc>
          <w:tcPr>
            <w:tcW w:w="850" w:type="dxa"/>
            <w:vAlign w:val="center"/>
          </w:tcPr>
          <w:p w14:paraId="298B811D">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0.07</w:t>
            </w:r>
          </w:p>
        </w:tc>
        <w:tc>
          <w:tcPr>
            <w:tcW w:w="1134" w:type="dxa"/>
            <w:vAlign w:val="center"/>
          </w:tcPr>
          <w:p w14:paraId="6D82A2FD">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0.000498</w:t>
            </w:r>
          </w:p>
        </w:tc>
        <w:tc>
          <w:tcPr>
            <w:tcW w:w="992" w:type="dxa"/>
            <w:vAlign w:val="center"/>
          </w:tcPr>
          <w:p w14:paraId="717597BB">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0.06</w:t>
            </w:r>
          </w:p>
        </w:tc>
      </w:tr>
      <w:tr w14:paraId="7FDD28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31" w:type="dxa"/>
            <w:vAlign w:val="center"/>
          </w:tcPr>
          <w:p w14:paraId="77379042">
            <w:pPr>
              <w:ind w:firstLine="360"/>
              <w:jc w:val="center"/>
              <w:rPr>
                <w:rFonts w:asciiTheme="minorEastAsia" w:hAnsiTheme="minorEastAsia" w:eastAsiaTheme="minorEastAsia"/>
                <w:sz w:val="18"/>
                <w:szCs w:val="18"/>
              </w:rPr>
            </w:pPr>
            <w:r>
              <w:rPr>
                <w:rFonts w:asciiTheme="minorEastAsia" w:hAnsiTheme="minorEastAsia" w:eastAsiaTheme="minorEastAsia"/>
                <w:sz w:val="18"/>
                <w:szCs w:val="18"/>
              </w:rPr>
              <w:t>1</w:t>
            </w:r>
            <w:r>
              <w:rPr>
                <w:rFonts w:hint="eastAsia" w:asciiTheme="minorEastAsia" w:hAnsiTheme="minorEastAsia" w:eastAsiaTheme="minorEastAsia"/>
                <w:sz w:val="18"/>
                <w:szCs w:val="18"/>
              </w:rPr>
              <w:t>7</w:t>
            </w:r>
            <w:r>
              <w:rPr>
                <w:rFonts w:asciiTheme="minorEastAsia" w:hAnsiTheme="minorEastAsia" w:eastAsiaTheme="minorEastAsia"/>
                <w:sz w:val="18"/>
                <w:szCs w:val="18"/>
              </w:rPr>
              <w:t>00</w:t>
            </w:r>
          </w:p>
        </w:tc>
        <w:tc>
          <w:tcPr>
            <w:tcW w:w="1114" w:type="dxa"/>
            <w:vAlign w:val="center"/>
          </w:tcPr>
          <w:p w14:paraId="6D21DA36">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0.000238</w:t>
            </w:r>
          </w:p>
        </w:tc>
        <w:tc>
          <w:tcPr>
            <w:tcW w:w="858" w:type="dxa"/>
            <w:vAlign w:val="center"/>
          </w:tcPr>
          <w:p w14:paraId="1C5A61EC">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0.10</w:t>
            </w:r>
          </w:p>
        </w:tc>
        <w:tc>
          <w:tcPr>
            <w:tcW w:w="1134" w:type="dxa"/>
            <w:vAlign w:val="center"/>
          </w:tcPr>
          <w:p w14:paraId="79EF9436">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0.001079</w:t>
            </w:r>
          </w:p>
        </w:tc>
        <w:tc>
          <w:tcPr>
            <w:tcW w:w="851" w:type="dxa"/>
            <w:vAlign w:val="center"/>
          </w:tcPr>
          <w:p w14:paraId="2C32EEFB">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0.45</w:t>
            </w:r>
          </w:p>
        </w:tc>
        <w:tc>
          <w:tcPr>
            <w:tcW w:w="1134" w:type="dxa"/>
            <w:vAlign w:val="center"/>
          </w:tcPr>
          <w:p w14:paraId="4D244FC8">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0.000347</w:t>
            </w:r>
          </w:p>
        </w:tc>
        <w:tc>
          <w:tcPr>
            <w:tcW w:w="850" w:type="dxa"/>
            <w:vAlign w:val="center"/>
          </w:tcPr>
          <w:p w14:paraId="4F12DD47">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0.07</w:t>
            </w:r>
          </w:p>
        </w:tc>
        <w:tc>
          <w:tcPr>
            <w:tcW w:w="1134" w:type="dxa"/>
            <w:vAlign w:val="center"/>
          </w:tcPr>
          <w:p w14:paraId="497C17F2">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0.000509</w:t>
            </w:r>
          </w:p>
        </w:tc>
        <w:tc>
          <w:tcPr>
            <w:tcW w:w="992" w:type="dxa"/>
            <w:vAlign w:val="center"/>
          </w:tcPr>
          <w:p w14:paraId="1201FBE8">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0.06</w:t>
            </w:r>
          </w:p>
        </w:tc>
      </w:tr>
      <w:tr w14:paraId="06A377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31" w:type="dxa"/>
            <w:vAlign w:val="center"/>
          </w:tcPr>
          <w:p w14:paraId="6597090D">
            <w:pPr>
              <w:ind w:firstLine="360"/>
              <w:jc w:val="center"/>
              <w:rPr>
                <w:rFonts w:asciiTheme="minorEastAsia" w:hAnsiTheme="minorEastAsia" w:eastAsiaTheme="minorEastAsia"/>
                <w:sz w:val="18"/>
                <w:szCs w:val="18"/>
              </w:rPr>
            </w:pPr>
            <w:r>
              <w:rPr>
                <w:rFonts w:asciiTheme="minorEastAsia" w:hAnsiTheme="minorEastAsia" w:eastAsiaTheme="minorEastAsia"/>
                <w:sz w:val="18"/>
                <w:szCs w:val="18"/>
              </w:rPr>
              <w:t>1</w:t>
            </w:r>
            <w:r>
              <w:rPr>
                <w:rFonts w:hint="eastAsia" w:asciiTheme="minorEastAsia" w:hAnsiTheme="minorEastAsia" w:eastAsiaTheme="minorEastAsia"/>
                <w:sz w:val="18"/>
                <w:szCs w:val="18"/>
              </w:rPr>
              <w:t>8</w:t>
            </w:r>
            <w:r>
              <w:rPr>
                <w:rFonts w:asciiTheme="minorEastAsia" w:hAnsiTheme="minorEastAsia" w:eastAsiaTheme="minorEastAsia"/>
                <w:sz w:val="18"/>
                <w:szCs w:val="18"/>
              </w:rPr>
              <w:t>00</w:t>
            </w:r>
          </w:p>
        </w:tc>
        <w:tc>
          <w:tcPr>
            <w:tcW w:w="1114" w:type="dxa"/>
            <w:vAlign w:val="center"/>
          </w:tcPr>
          <w:p w14:paraId="2AEDACD6">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0.000242</w:t>
            </w:r>
          </w:p>
        </w:tc>
        <w:tc>
          <w:tcPr>
            <w:tcW w:w="858" w:type="dxa"/>
            <w:vAlign w:val="center"/>
          </w:tcPr>
          <w:p w14:paraId="2A12EF1B">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0.10</w:t>
            </w:r>
          </w:p>
        </w:tc>
        <w:tc>
          <w:tcPr>
            <w:tcW w:w="1134" w:type="dxa"/>
            <w:vAlign w:val="center"/>
          </w:tcPr>
          <w:p w14:paraId="5CF66C17">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0.001096</w:t>
            </w:r>
          </w:p>
        </w:tc>
        <w:tc>
          <w:tcPr>
            <w:tcW w:w="851" w:type="dxa"/>
            <w:vAlign w:val="center"/>
          </w:tcPr>
          <w:p w14:paraId="3A40A5D2">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0.46</w:t>
            </w:r>
          </w:p>
        </w:tc>
        <w:tc>
          <w:tcPr>
            <w:tcW w:w="1134" w:type="dxa"/>
            <w:vAlign w:val="center"/>
          </w:tcPr>
          <w:p w14:paraId="3F2589F0">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0.000353</w:t>
            </w:r>
          </w:p>
        </w:tc>
        <w:tc>
          <w:tcPr>
            <w:tcW w:w="850" w:type="dxa"/>
            <w:vAlign w:val="center"/>
          </w:tcPr>
          <w:p w14:paraId="64627AA4">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0.07</w:t>
            </w:r>
          </w:p>
        </w:tc>
        <w:tc>
          <w:tcPr>
            <w:tcW w:w="1134" w:type="dxa"/>
            <w:vAlign w:val="center"/>
          </w:tcPr>
          <w:p w14:paraId="2A10E06B">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0.000517</w:t>
            </w:r>
          </w:p>
        </w:tc>
        <w:tc>
          <w:tcPr>
            <w:tcW w:w="992" w:type="dxa"/>
            <w:vAlign w:val="center"/>
          </w:tcPr>
          <w:p w14:paraId="6DBB6FA0">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0.06</w:t>
            </w:r>
          </w:p>
        </w:tc>
      </w:tr>
      <w:tr w14:paraId="761D80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31" w:type="dxa"/>
            <w:vAlign w:val="center"/>
          </w:tcPr>
          <w:p w14:paraId="61684346">
            <w:pPr>
              <w:ind w:firstLine="36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19</w:t>
            </w:r>
            <w:r>
              <w:rPr>
                <w:rFonts w:asciiTheme="minorEastAsia" w:hAnsiTheme="minorEastAsia" w:eastAsiaTheme="minorEastAsia"/>
                <w:sz w:val="18"/>
                <w:szCs w:val="18"/>
              </w:rPr>
              <w:t>00</w:t>
            </w:r>
          </w:p>
        </w:tc>
        <w:tc>
          <w:tcPr>
            <w:tcW w:w="1114" w:type="dxa"/>
            <w:vAlign w:val="center"/>
          </w:tcPr>
          <w:p w14:paraId="7790F24E">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0.000244</w:t>
            </w:r>
          </w:p>
        </w:tc>
        <w:tc>
          <w:tcPr>
            <w:tcW w:w="858" w:type="dxa"/>
            <w:vAlign w:val="center"/>
          </w:tcPr>
          <w:p w14:paraId="047B82F5">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0.10</w:t>
            </w:r>
          </w:p>
        </w:tc>
        <w:tc>
          <w:tcPr>
            <w:tcW w:w="1134" w:type="dxa"/>
            <w:vAlign w:val="center"/>
          </w:tcPr>
          <w:p w14:paraId="456A4854">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0.001108</w:t>
            </w:r>
          </w:p>
        </w:tc>
        <w:tc>
          <w:tcPr>
            <w:tcW w:w="851" w:type="dxa"/>
            <w:vAlign w:val="center"/>
          </w:tcPr>
          <w:p w14:paraId="60D5172C">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0.46</w:t>
            </w:r>
          </w:p>
        </w:tc>
        <w:tc>
          <w:tcPr>
            <w:tcW w:w="1134" w:type="dxa"/>
            <w:vAlign w:val="center"/>
          </w:tcPr>
          <w:p w14:paraId="5EC0F1F6">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0.000356</w:t>
            </w:r>
          </w:p>
        </w:tc>
        <w:tc>
          <w:tcPr>
            <w:tcW w:w="850" w:type="dxa"/>
            <w:vAlign w:val="center"/>
          </w:tcPr>
          <w:p w14:paraId="2B178707">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0.07</w:t>
            </w:r>
          </w:p>
        </w:tc>
        <w:tc>
          <w:tcPr>
            <w:tcW w:w="1134" w:type="dxa"/>
            <w:vAlign w:val="center"/>
          </w:tcPr>
          <w:p w14:paraId="04818B41">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0.000523</w:t>
            </w:r>
          </w:p>
        </w:tc>
        <w:tc>
          <w:tcPr>
            <w:tcW w:w="992" w:type="dxa"/>
            <w:vAlign w:val="center"/>
          </w:tcPr>
          <w:p w14:paraId="4D5CA489">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0.06</w:t>
            </w:r>
          </w:p>
        </w:tc>
      </w:tr>
      <w:tr w14:paraId="295D48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31" w:type="dxa"/>
            <w:vAlign w:val="center"/>
          </w:tcPr>
          <w:p w14:paraId="24245096">
            <w:pPr>
              <w:ind w:firstLine="36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20</w:t>
            </w:r>
            <w:r>
              <w:rPr>
                <w:rFonts w:asciiTheme="minorEastAsia" w:hAnsiTheme="minorEastAsia" w:eastAsiaTheme="minorEastAsia"/>
                <w:sz w:val="18"/>
                <w:szCs w:val="18"/>
              </w:rPr>
              <w:t>00</w:t>
            </w:r>
          </w:p>
        </w:tc>
        <w:tc>
          <w:tcPr>
            <w:tcW w:w="1114" w:type="dxa"/>
            <w:vAlign w:val="center"/>
          </w:tcPr>
          <w:p w14:paraId="40AC3FCC">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0.000245</w:t>
            </w:r>
          </w:p>
        </w:tc>
        <w:tc>
          <w:tcPr>
            <w:tcW w:w="858" w:type="dxa"/>
            <w:vAlign w:val="center"/>
          </w:tcPr>
          <w:p w14:paraId="1F01FC6C">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0.10</w:t>
            </w:r>
          </w:p>
        </w:tc>
        <w:tc>
          <w:tcPr>
            <w:tcW w:w="1134" w:type="dxa"/>
            <w:vAlign w:val="center"/>
          </w:tcPr>
          <w:p w14:paraId="35CC7ACE">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0.001115</w:t>
            </w:r>
          </w:p>
        </w:tc>
        <w:tc>
          <w:tcPr>
            <w:tcW w:w="851" w:type="dxa"/>
            <w:vAlign w:val="center"/>
          </w:tcPr>
          <w:p w14:paraId="1ED3A7D6">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0.46</w:t>
            </w:r>
          </w:p>
        </w:tc>
        <w:tc>
          <w:tcPr>
            <w:tcW w:w="1134" w:type="dxa"/>
            <w:vAlign w:val="center"/>
          </w:tcPr>
          <w:p w14:paraId="26371D6A">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0.000359</w:t>
            </w:r>
          </w:p>
        </w:tc>
        <w:tc>
          <w:tcPr>
            <w:tcW w:w="850" w:type="dxa"/>
            <w:vAlign w:val="center"/>
          </w:tcPr>
          <w:p w14:paraId="6ABD59BB">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0.07</w:t>
            </w:r>
          </w:p>
        </w:tc>
        <w:tc>
          <w:tcPr>
            <w:tcW w:w="1134" w:type="dxa"/>
            <w:vAlign w:val="center"/>
          </w:tcPr>
          <w:p w14:paraId="696FFC74">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0.000526</w:t>
            </w:r>
          </w:p>
        </w:tc>
        <w:tc>
          <w:tcPr>
            <w:tcW w:w="992" w:type="dxa"/>
            <w:vAlign w:val="center"/>
          </w:tcPr>
          <w:p w14:paraId="43AB31D7">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0.06</w:t>
            </w:r>
          </w:p>
        </w:tc>
      </w:tr>
      <w:tr w14:paraId="005275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31" w:type="dxa"/>
            <w:vAlign w:val="center"/>
          </w:tcPr>
          <w:p w14:paraId="07C2B685">
            <w:pPr>
              <w:ind w:firstLine="360"/>
              <w:jc w:val="center"/>
              <w:rPr>
                <w:rFonts w:asciiTheme="minorEastAsia" w:hAnsiTheme="minorEastAsia" w:eastAsiaTheme="minorEastAsia"/>
                <w:sz w:val="18"/>
                <w:szCs w:val="18"/>
              </w:rPr>
            </w:pPr>
            <w:r>
              <w:rPr>
                <w:rFonts w:asciiTheme="minorEastAsia" w:hAnsiTheme="minorEastAsia" w:eastAsiaTheme="minorEastAsia"/>
                <w:sz w:val="18"/>
                <w:szCs w:val="18"/>
              </w:rPr>
              <w:t>2</w:t>
            </w:r>
            <w:r>
              <w:rPr>
                <w:rFonts w:hint="eastAsia" w:asciiTheme="minorEastAsia" w:hAnsiTheme="minorEastAsia" w:eastAsiaTheme="minorEastAsia"/>
                <w:sz w:val="18"/>
                <w:szCs w:val="18"/>
              </w:rPr>
              <w:t>1</w:t>
            </w:r>
            <w:r>
              <w:rPr>
                <w:rFonts w:asciiTheme="minorEastAsia" w:hAnsiTheme="minorEastAsia" w:eastAsiaTheme="minorEastAsia"/>
                <w:sz w:val="18"/>
                <w:szCs w:val="18"/>
              </w:rPr>
              <w:t>00</w:t>
            </w:r>
          </w:p>
        </w:tc>
        <w:tc>
          <w:tcPr>
            <w:tcW w:w="1114" w:type="dxa"/>
            <w:vAlign w:val="center"/>
          </w:tcPr>
          <w:p w14:paraId="4E19DEB7">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0.000244</w:t>
            </w:r>
          </w:p>
        </w:tc>
        <w:tc>
          <w:tcPr>
            <w:tcW w:w="858" w:type="dxa"/>
            <w:vAlign w:val="center"/>
          </w:tcPr>
          <w:p w14:paraId="74E98C01">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0.10</w:t>
            </w:r>
          </w:p>
        </w:tc>
        <w:tc>
          <w:tcPr>
            <w:tcW w:w="1134" w:type="dxa"/>
            <w:vAlign w:val="center"/>
          </w:tcPr>
          <w:p w14:paraId="34C10335">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0.001113</w:t>
            </w:r>
          </w:p>
        </w:tc>
        <w:tc>
          <w:tcPr>
            <w:tcW w:w="851" w:type="dxa"/>
            <w:vAlign w:val="center"/>
          </w:tcPr>
          <w:p w14:paraId="3162A4F1">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0.46</w:t>
            </w:r>
          </w:p>
        </w:tc>
        <w:tc>
          <w:tcPr>
            <w:tcW w:w="1134" w:type="dxa"/>
            <w:vAlign w:val="center"/>
          </w:tcPr>
          <w:p w14:paraId="140943E9">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0.000358</w:t>
            </w:r>
          </w:p>
        </w:tc>
        <w:tc>
          <w:tcPr>
            <w:tcW w:w="850" w:type="dxa"/>
            <w:vAlign w:val="center"/>
          </w:tcPr>
          <w:p w14:paraId="56A67EFF">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0.07</w:t>
            </w:r>
          </w:p>
        </w:tc>
        <w:tc>
          <w:tcPr>
            <w:tcW w:w="1134" w:type="dxa"/>
            <w:vAlign w:val="center"/>
          </w:tcPr>
          <w:p w14:paraId="621100C8">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0.000525</w:t>
            </w:r>
          </w:p>
        </w:tc>
        <w:tc>
          <w:tcPr>
            <w:tcW w:w="992" w:type="dxa"/>
            <w:vAlign w:val="center"/>
          </w:tcPr>
          <w:p w14:paraId="3155E87B">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0.06</w:t>
            </w:r>
          </w:p>
        </w:tc>
      </w:tr>
      <w:tr w14:paraId="023A0C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31" w:type="dxa"/>
            <w:vAlign w:val="center"/>
          </w:tcPr>
          <w:p w14:paraId="0EB92F1A">
            <w:pPr>
              <w:ind w:firstLine="360"/>
              <w:jc w:val="center"/>
              <w:rPr>
                <w:rFonts w:asciiTheme="minorEastAsia" w:hAnsiTheme="minorEastAsia" w:eastAsiaTheme="minorEastAsia"/>
                <w:sz w:val="18"/>
                <w:szCs w:val="18"/>
              </w:rPr>
            </w:pPr>
            <w:r>
              <w:rPr>
                <w:rFonts w:asciiTheme="minorEastAsia" w:hAnsiTheme="minorEastAsia" w:eastAsiaTheme="minorEastAsia"/>
                <w:sz w:val="18"/>
                <w:szCs w:val="18"/>
              </w:rPr>
              <w:t>2</w:t>
            </w:r>
            <w:r>
              <w:rPr>
                <w:rFonts w:hint="eastAsia" w:asciiTheme="minorEastAsia" w:hAnsiTheme="minorEastAsia" w:eastAsiaTheme="minorEastAsia"/>
                <w:sz w:val="18"/>
                <w:szCs w:val="18"/>
              </w:rPr>
              <w:t>2</w:t>
            </w:r>
            <w:r>
              <w:rPr>
                <w:rFonts w:asciiTheme="minorEastAsia" w:hAnsiTheme="minorEastAsia" w:eastAsiaTheme="minorEastAsia"/>
                <w:sz w:val="18"/>
                <w:szCs w:val="18"/>
              </w:rPr>
              <w:t>00</w:t>
            </w:r>
          </w:p>
        </w:tc>
        <w:tc>
          <w:tcPr>
            <w:tcW w:w="1114" w:type="dxa"/>
            <w:vAlign w:val="center"/>
          </w:tcPr>
          <w:p w14:paraId="223F1ACD">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0.000242</w:t>
            </w:r>
          </w:p>
        </w:tc>
        <w:tc>
          <w:tcPr>
            <w:tcW w:w="858" w:type="dxa"/>
            <w:vAlign w:val="center"/>
          </w:tcPr>
          <w:p w14:paraId="70BCF282">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0.10</w:t>
            </w:r>
          </w:p>
        </w:tc>
        <w:tc>
          <w:tcPr>
            <w:tcW w:w="1134" w:type="dxa"/>
            <w:vAlign w:val="center"/>
          </w:tcPr>
          <w:p w14:paraId="21265100">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0.001109</w:t>
            </w:r>
          </w:p>
        </w:tc>
        <w:tc>
          <w:tcPr>
            <w:tcW w:w="851" w:type="dxa"/>
            <w:vAlign w:val="center"/>
          </w:tcPr>
          <w:p w14:paraId="084ECDDC">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0.46</w:t>
            </w:r>
          </w:p>
        </w:tc>
        <w:tc>
          <w:tcPr>
            <w:tcW w:w="1134" w:type="dxa"/>
            <w:vAlign w:val="center"/>
          </w:tcPr>
          <w:p w14:paraId="6D48AECA">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0.000357</w:t>
            </w:r>
          </w:p>
        </w:tc>
        <w:tc>
          <w:tcPr>
            <w:tcW w:w="850" w:type="dxa"/>
            <w:vAlign w:val="center"/>
          </w:tcPr>
          <w:p w14:paraId="07094B25">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0.07</w:t>
            </w:r>
          </w:p>
        </w:tc>
        <w:tc>
          <w:tcPr>
            <w:tcW w:w="1134" w:type="dxa"/>
            <w:vAlign w:val="center"/>
          </w:tcPr>
          <w:p w14:paraId="52FB4819">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0.000523</w:t>
            </w:r>
          </w:p>
        </w:tc>
        <w:tc>
          <w:tcPr>
            <w:tcW w:w="992" w:type="dxa"/>
            <w:vAlign w:val="center"/>
          </w:tcPr>
          <w:p w14:paraId="0D6EBD85">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0.06</w:t>
            </w:r>
          </w:p>
        </w:tc>
      </w:tr>
      <w:tr w14:paraId="23BB4A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31" w:type="dxa"/>
            <w:vAlign w:val="center"/>
          </w:tcPr>
          <w:p w14:paraId="73A79224">
            <w:pPr>
              <w:ind w:firstLine="360"/>
              <w:jc w:val="center"/>
              <w:rPr>
                <w:rFonts w:asciiTheme="minorEastAsia" w:hAnsiTheme="minorEastAsia" w:eastAsiaTheme="minorEastAsia"/>
                <w:sz w:val="18"/>
                <w:szCs w:val="18"/>
              </w:rPr>
            </w:pPr>
            <w:r>
              <w:rPr>
                <w:rFonts w:asciiTheme="minorEastAsia" w:hAnsiTheme="minorEastAsia" w:eastAsiaTheme="minorEastAsia"/>
                <w:sz w:val="18"/>
                <w:szCs w:val="18"/>
              </w:rPr>
              <w:t>2</w:t>
            </w:r>
            <w:r>
              <w:rPr>
                <w:rFonts w:hint="eastAsia" w:asciiTheme="minorEastAsia" w:hAnsiTheme="minorEastAsia" w:eastAsiaTheme="minorEastAsia"/>
                <w:sz w:val="18"/>
                <w:szCs w:val="18"/>
              </w:rPr>
              <w:t>3</w:t>
            </w:r>
            <w:r>
              <w:rPr>
                <w:rFonts w:asciiTheme="minorEastAsia" w:hAnsiTheme="minorEastAsia" w:eastAsiaTheme="minorEastAsia"/>
                <w:sz w:val="18"/>
                <w:szCs w:val="18"/>
              </w:rPr>
              <w:t>00</w:t>
            </w:r>
          </w:p>
        </w:tc>
        <w:tc>
          <w:tcPr>
            <w:tcW w:w="1114" w:type="dxa"/>
            <w:vAlign w:val="center"/>
          </w:tcPr>
          <w:p w14:paraId="29CA7CD1">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0.00024</w:t>
            </w:r>
          </w:p>
        </w:tc>
        <w:tc>
          <w:tcPr>
            <w:tcW w:w="858" w:type="dxa"/>
            <w:vAlign w:val="center"/>
          </w:tcPr>
          <w:p w14:paraId="7F0CA94B">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0.10</w:t>
            </w:r>
          </w:p>
        </w:tc>
        <w:tc>
          <w:tcPr>
            <w:tcW w:w="1134" w:type="dxa"/>
            <w:vAlign w:val="center"/>
          </w:tcPr>
          <w:p w14:paraId="59D7A704">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0.001131</w:t>
            </w:r>
          </w:p>
        </w:tc>
        <w:tc>
          <w:tcPr>
            <w:tcW w:w="851" w:type="dxa"/>
            <w:vAlign w:val="center"/>
          </w:tcPr>
          <w:p w14:paraId="178BA6EF">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0.47</w:t>
            </w:r>
          </w:p>
        </w:tc>
        <w:tc>
          <w:tcPr>
            <w:tcW w:w="1134" w:type="dxa"/>
            <w:vAlign w:val="center"/>
          </w:tcPr>
          <w:p w14:paraId="33C52F0D">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0.000364</w:t>
            </w:r>
          </w:p>
        </w:tc>
        <w:tc>
          <w:tcPr>
            <w:tcW w:w="850" w:type="dxa"/>
            <w:vAlign w:val="center"/>
          </w:tcPr>
          <w:p w14:paraId="528F7C06">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0.07</w:t>
            </w:r>
          </w:p>
        </w:tc>
        <w:tc>
          <w:tcPr>
            <w:tcW w:w="1134" w:type="dxa"/>
            <w:vAlign w:val="center"/>
          </w:tcPr>
          <w:p w14:paraId="7A3EEF31">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0.000533</w:t>
            </w:r>
          </w:p>
        </w:tc>
        <w:tc>
          <w:tcPr>
            <w:tcW w:w="992" w:type="dxa"/>
            <w:vAlign w:val="center"/>
          </w:tcPr>
          <w:p w14:paraId="7F23DEC4">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0.06</w:t>
            </w:r>
          </w:p>
        </w:tc>
      </w:tr>
      <w:tr w14:paraId="0D6DD1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31" w:type="dxa"/>
            <w:vAlign w:val="center"/>
          </w:tcPr>
          <w:p w14:paraId="07CE1E9B">
            <w:pPr>
              <w:ind w:firstLine="360"/>
              <w:jc w:val="center"/>
              <w:rPr>
                <w:rFonts w:asciiTheme="minorEastAsia" w:hAnsiTheme="minorEastAsia" w:eastAsiaTheme="minorEastAsia"/>
                <w:sz w:val="18"/>
                <w:szCs w:val="18"/>
              </w:rPr>
            </w:pPr>
            <w:r>
              <w:rPr>
                <w:rFonts w:asciiTheme="minorEastAsia" w:hAnsiTheme="minorEastAsia" w:eastAsiaTheme="minorEastAsia"/>
                <w:sz w:val="18"/>
                <w:szCs w:val="18"/>
              </w:rPr>
              <w:t>2</w:t>
            </w:r>
            <w:r>
              <w:rPr>
                <w:rFonts w:hint="eastAsia" w:asciiTheme="minorEastAsia" w:hAnsiTheme="minorEastAsia" w:eastAsiaTheme="minorEastAsia"/>
                <w:sz w:val="18"/>
                <w:szCs w:val="18"/>
              </w:rPr>
              <w:t>4</w:t>
            </w:r>
            <w:r>
              <w:rPr>
                <w:rFonts w:asciiTheme="minorEastAsia" w:hAnsiTheme="minorEastAsia" w:eastAsiaTheme="minorEastAsia"/>
                <w:sz w:val="18"/>
                <w:szCs w:val="18"/>
              </w:rPr>
              <w:t>00</w:t>
            </w:r>
          </w:p>
        </w:tc>
        <w:tc>
          <w:tcPr>
            <w:tcW w:w="1114" w:type="dxa"/>
            <w:vAlign w:val="center"/>
          </w:tcPr>
          <w:p w14:paraId="2CD0BCA5">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0.000237</w:t>
            </w:r>
          </w:p>
        </w:tc>
        <w:tc>
          <w:tcPr>
            <w:tcW w:w="858" w:type="dxa"/>
            <w:vAlign w:val="center"/>
          </w:tcPr>
          <w:p w14:paraId="68978437">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0.10</w:t>
            </w:r>
          </w:p>
        </w:tc>
        <w:tc>
          <w:tcPr>
            <w:tcW w:w="1134" w:type="dxa"/>
            <w:vAlign w:val="center"/>
          </w:tcPr>
          <w:p w14:paraId="1C549617">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0.001149</w:t>
            </w:r>
          </w:p>
        </w:tc>
        <w:tc>
          <w:tcPr>
            <w:tcW w:w="851" w:type="dxa"/>
            <w:vAlign w:val="center"/>
          </w:tcPr>
          <w:p w14:paraId="08DDF44B">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0.48</w:t>
            </w:r>
          </w:p>
        </w:tc>
        <w:tc>
          <w:tcPr>
            <w:tcW w:w="1134" w:type="dxa"/>
            <w:vAlign w:val="center"/>
          </w:tcPr>
          <w:p w14:paraId="08AF24C1">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0.00037</w:t>
            </w:r>
          </w:p>
        </w:tc>
        <w:tc>
          <w:tcPr>
            <w:tcW w:w="850" w:type="dxa"/>
            <w:vAlign w:val="center"/>
          </w:tcPr>
          <w:p w14:paraId="05D43C88">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0.07</w:t>
            </w:r>
          </w:p>
        </w:tc>
        <w:tc>
          <w:tcPr>
            <w:tcW w:w="1134" w:type="dxa"/>
            <w:vAlign w:val="center"/>
          </w:tcPr>
          <w:p w14:paraId="25FB1517">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0.000542</w:t>
            </w:r>
          </w:p>
        </w:tc>
        <w:tc>
          <w:tcPr>
            <w:tcW w:w="992" w:type="dxa"/>
            <w:vAlign w:val="center"/>
          </w:tcPr>
          <w:p w14:paraId="059D41E3">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0.06</w:t>
            </w:r>
          </w:p>
        </w:tc>
      </w:tr>
      <w:tr w14:paraId="28E202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31" w:type="dxa"/>
            <w:vAlign w:val="center"/>
          </w:tcPr>
          <w:p w14:paraId="348CD252">
            <w:pPr>
              <w:ind w:firstLine="36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2500</w:t>
            </w:r>
          </w:p>
        </w:tc>
        <w:tc>
          <w:tcPr>
            <w:tcW w:w="1114" w:type="dxa"/>
            <w:vAlign w:val="center"/>
          </w:tcPr>
          <w:p w14:paraId="1D6200AE">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0.000234</w:t>
            </w:r>
          </w:p>
        </w:tc>
        <w:tc>
          <w:tcPr>
            <w:tcW w:w="858" w:type="dxa"/>
            <w:vAlign w:val="center"/>
          </w:tcPr>
          <w:p w14:paraId="724D8106">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0.10</w:t>
            </w:r>
          </w:p>
        </w:tc>
        <w:tc>
          <w:tcPr>
            <w:tcW w:w="1134" w:type="dxa"/>
            <w:vAlign w:val="center"/>
          </w:tcPr>
          <w:p w14:paraId="7112E4E7">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0.001165</w:t>
            </w:r>
          </w:p>
        </w:tc>
        <w:tc>
          <w:tcPr>
            <w:tcW w:w="851" w:type="dxa"/>
            <w:vAlign w:val="center"/>
          </w:tcPr>
          <w:p w14:paraId="3CB5D94E">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0.49</w:t>
            </w:r>
          </w:p>
        </w:tc>
        <w:tc>
          <w:tcPr>
            <w:tcW w:w="1134" w:type="dxa"/>
            <w:vAlign w:val="center"/>
          </w:tcPr>
          <w:p w14:paraId="79A832C5">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0.000375</w:t>
            </w:r>
          </w:p>
        </w:tc>
        <w:tc>
          <w:tcPr>
            <w:tcW w:w="850" w:type="dxa"/>
            <w:vAlign w:val="center"/>
          </w:tcPr>
          <w:p w14:paraId="65397B2B">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0.07</w:t>
            </w:r>
          </w:p>
        </w:tc>
        <w:tc>
          <w:tcPr>
            <w:tcW w:w="1134" w:type="dxa"/>
            <w:vAlign w:val="center"/>
          </w:tcPr>
          <w:p w14:paraId="4C6C25E4">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0.00055</w:t>
            </w:r>
          </w:p>
        </w:tc>
        <w:tc>
          <w:tcPr>
            <w:tcW w:w="992" w:type="dxa"/>
            <w:vAlign w:val="center"/>
          </w:tcPr>
          <w:p w14:paraId="3AC2B5AB">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0.06</w:t>
            </w:r>
          </w:p>
        </w:tc>
      </w:tr>
      <w:tr w14:paraId="1E3C99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31" w:type="dxa"/>
            <w:vAlign w:val="center"/>
          </w:tcPr>
          <w:p w14:paraId="3FF30F98">
            <w:pPr>
              <w:ind w:firstLine="0" w:firstLineChars="0"/>
              <w:jc w:val="center"/>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下风向最大浓度（</w:t>
            </w:r>
            <w:r>
              <w:rPr>
                <w:rFonts w:asciiTheme="minorEastAsia" w:hAnsiTheme="minorEastAsia" w:eastAsiaTheme="minorEastAsia"/>
                <w:sz w:val="18"/>
                <w:szCs w:val="18"/>
                <w:lang w:eastAsia="zh-CN"/>
              </w:rPr>
              <w:t>mg/m</w:t>
            </w:r>
            <w:r>
              <w:rPr>
                <w:rFonts w:asciiTheme="minorEastAsia" w:hAnsiTheme="minorEastAsia" w:eastAsiaTheme="minorEastAsia"/>
                <w:sz w:val="18"/>
                <w:szCs w:val="18"/>
                <w:vertAlign w:val="superscript"/>
                <w:lang w:eastAsia="zh-CN"/>
              </w:rPr>
              <w:t>3</w:t>
            </w:r>
            <w:r>
              <w:rPr>
                <w:rFonts w:hint="eastAsia" w:asciiTheme="minorEastAsia" w:hAnsiTheme="minorEastAsia" w:eastAsiaTheme="minorEastAsia"/>
                <w:sz w:val="18"/>
                <w:szCs w:val="18"/>
                <w:lang w:eastAsia="zh-CN"/>
              </w:rPr>
              <w:t>）</w:t>
            </w:r>
          </w:p>
        </w:tc>
        <w:tc>
          <w:tcPr>
            <w:tcW w:w="1114" w:type="dxa"/>
            <w:vAlign w:val="center"/>
          </w:tcPr>
          <w:p w14:paraId="4B820319">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0.00055</w:t>
            </w:r>
          </w:p>
        </w:tc>
        <w:tc>
          <w:tcPr>
            <w:tcW w:w="858" w:type="dxa"/>
            <w:vAlign w:val="center"/>
          </w:tcPr>
          <w:p w14:paraId="74F25858">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0.23</w:t>
            </w:r>
          </w:p>
        </w:tc>
        <w:tc>
          <w:tcPr>
            <w:tcW w:w="1134" w:type="dxa"/>
            <w:vAlign w:val="center"/>
          </w:tcPr>
          <w:p w14:paraId="005DDE74">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0.002411</w:t>
            </w:r>
          </w:p>
        </w:tc>
        <w:tc>
          <w:tcPr>
            <w:tcW w:w="851" w:type="dxa"/>
            <w:vAlign w:val="center"/>
          </w:tcPr>
          <w:p w14:paraId="5B8C01CE">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1.0</w:t>
            </w:r>
          </w:p>
        </w:tc>
        <w:tc>
          <w:tcPr>
            <w:tcW w:w="1134" w:type="dxa"/>
            <w:vAlign w:val="center"/>
          </w:tcPr>
          <w:p w14:paraId="5E1A140B">
            <w:pPr>
              <w:ind w:firstLine="0" w:firstLineChars="0"/>
              <w:jc w:val="center"/>
              <w:rPr>
                <w:rFonts w:cs="宋体" w:asciiTheme="minorEastAsia" w:hAnsiTheme="minorEastAsia" w:eastAsiaTheme="minorEastAsia"/>
                <w:sz w:val="18"/>
                <w:szCs w:val="18"/>
              </w:rPr>
            </w:pPr>
            <w:r>
              <w:rPr>
                <w:rFonts w:hint="eastAsia" w:asciiTheme="minorEastAsia" w:hAnsiTheme="minorEastAsia" w:eastAsiaTheme="minorEastAsia"/>
                <w:sz w:val="18"/>
                <w:szCs w:val="18"/>
              </w:rPr>
              <w:t>0.</w:t>
            </w:r>
            <w:r>
              <w:rPr>
                <w:rFonts w:asciiTheme="minorEastAsia" w:hAnsiTheme="minorEastAsia" w:eastAsiaTheme="minorEastAsia"/>
                <w:sz w:val="18"/>
                <w:szCs w:val="18"/>
              </w:rPr>
              <w:t>000775</w:t>
            </w:r>
          </w:p>
        </w:tc>
        <w:tc>
          <w:tcPr>
            <w:tcW w:w="850" w:type="dxa"/>
            <w:vAlign w:val="center"/>
          </w:tcPr>
          <w:p w14:paraId="4213361B">
            <w:pPr>
              <w:ind w:firstLine="0" w:firstLineChars="0"/>
              <w:jc w:val="center"/>
              <w:rPr>
                <w:rFonts w:cs="宋体" w:asciiTheme="minorEastAsia" w:hAnsiTheme="minorEastAsia" w:eastAsiaTheme="minorEastAsia"/>
                <w:sz w:val="18"/>
                <w:szCs w:val="18"/>
              </w:rPr>
            </w:pPr>
            <w:r>
              <w:rPr>
                <w:rFonts w:asciiTheme="minorEastAsia" w:hAnsiTheme="minorEastAsia" w:eastAsiaTheme="minorEastAsia"/>
                <w:sz w:val="18"/>
                <w:szCs w:val="18"/>
              </w:rPr>
              <w:t>0.16</w:t>
            </w:r>
          </w:p>
        </w:tc>
        <w:tc>
          <w:tcPr>
            <w:tcW w:w="1134" w:type="dxa"/>
            <w:vAlign w:val="center"/>
          </w:tcPr>
          <w:p w14:paraId="5902FBBC">
            <w:pPr>
              <w:ind w:firstLine="0" w:firstLineChars="0"/>
              <w:jc w:val="center"/>
              <w:rPr>
                <w:rFonts w:asciiTheme="minorEastAsia" w:hAnsiTheme="minorEastAsia" w:eastAsiaTheme="minorEastAsia"/>
                <w:sz w:val="18"/>
                <w:szCs w:val="18"/>
              </w:rPr>
            </w:pPr>
            <w:r>
              <w:rPr>
                <w:rFonts w:asciiTheme="minorEastAsia" w:hAnsiTheme="minorEastAsia" w:eastAsiaTheme="minorEastAsia"/>
                <w:sz w:val="18"/>
                <w:szCs w:val="18"/>
              </w:rPr>
              <w:t>0.001137</w:t>
            </w:r>
          </w:p>
        </w:tc>
        <w:tc>
          <w:tcPr>
            <w:tcW w:w="992" w:type="dxa"/>
            <w:vAlign w:val="center"/>
          </w:tcPr>
          <w:p w14:paraId="0F28F0ED">
            <w:pPr>
              <w:ind w:firstLine="0" w:firstLineChars="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0.13</w:t>
            </w:r>
          </w:p>
        </w:tc>
      </w:tr>
      <w:tr w14:paraId="7232D1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31" w:type="dxa"/>
            <w:vAlign w:val="center"/>
          </w:tcPr>
          <w:p w14:paraId="153373D9">
            <w:pPr>
              <w:ind w:firstLine="0" w:firstLineChars="0"/>
              <w:jc w:val="center"/>
              <w:rPr>
                <w:rFonts w:asciiTheme="minorEastAsia" w:hAnsiTheme="minorEastAsia" w:eastAsiaTheme="minorEastAsia"/>
                <w:sz w:val="18"/>
                <w:szCs w:val="18"/>
                <w:lang w:eastAsia="zh-CN"/>
              </w:rPr>
            </w:pPr>
            <w:r>
              <w:rPr>
                <w:rFonts w:hint="eastAsia" w:asciiTheme="minorEastAsia" w:hAnsiTheme="minorEastAsia" w:eastAsiaTheme="minorEastAsia"/>
                <w:sz w:val="18"/>
                <w:szCs w:val="18"/>
                <w:lang w:eastAsia="zh-CN"/>
              </w:rPr>
              <w:t>最大落地浓度出现距离（</w:t>
            </w:r>
            <w:r>
              <w:rPr>
                <w:rFonts w:asciiTheme="minorEastAsia" w:hAnsiTheme="minorEastAsia" w:eastAsiaTheme="minorEastAsia"/>
                <w:sz w:val="18"/>
                <w:szCs w:val="18"/>
                <w:lang w:eastAsia="zh-CN"/>
              </w:rPr>
              <w:t>m</w:t>
            </w:r>
            <w:r>
              <w:rPr>
                <w:rFonts w:hint="eastAsia" w:asciiTheme="minorEastAsia" w:hAnsiTheme="minorEastAsia" w:eastAsiaTheme="minorEastAsia"/>
                <w:sz w:val="18"/>
                <w:szCs w:val="18"/>
                <w:lang w:eastAsia="zh-CN"/>
              </w:rPr>
              <w:t>）</w:t>
            </w:r>
          </w:p>
        </w:tc>
        <w:tc>
          <w:tcPr>
            <w:tcW w:w="1972" w:type="dxa"/>
            <w:gridSpan w:val="2"/>
            <w:vAlign w:val="center"/>
          </w:tcPr>
          <w:p w14:paraId="1FB8536A">
            <w:pPr>
              <w:ind w:firstLine="360"/>
              <w:jc w:val="center"/>
              <w:rPr>
                <w:rFonts w:asciiTheme="minorEastAsia" w:hAnsiTheme="minorEastAsia" w:eastAsiaTheme="minorEastAsia"/>
                <w:sz w:val="18"/>
                <w:szCs w:val="18"/>
              </w:rPr>
            </w:pPr>
            <w:r>
              <w:rPr>
                <w:rFonts w:asciiTheme="minorEastAsia" w:hAnsiTheme="minorEastAsia" w:eastAsiaTheme="minorEastAsia"/>
                <w:sz w:val="18"/>
                <w:szCs w:val="18"/>
              </w:rPr>
              <w:t>206</w:t>
            </w:r>
          </w:p>
        </w:tc>
        <w:tc>
          <w:tcPr>
            <w:tcW w:w="6095" w:type="dxa"/>
            <w:gridSpan w:val="6"/>
            <w:vAlign w:val="center"/>
          </w:tcPr>
          <w:p w14:paraId="60336B4F">
            <w:pPr>
              <w:ind w:firstLine="360"/>
              <w:jc w:val="center"/>
              <w:rPr>
                <w:rFonts w:asciiTheme="minorEastAsia" w:hAnsiTheme="minorEastAsia" w:eastAsiaTheme="minorEastAsia"/>
                <w:sz w:val="18"/>
                <w:szCs w:val="18"/>
              </w:rPr>
            </w:pPr>
            <w:r>
              <w:rPr>
                <w:rFonts w:asciiTheme="minorEastAsia" w:hAnsiTheme="minorEastAsia" w:eastAsiaTheme="minorEastAsia"/>
                <w:sz w:val="18"/>
                <w:szCs w:val="18"/>
              </w:rPr>
              <w:t>189</w:t>
            </w:r>
          </w:p>
        </w:tc>
      </w:tr>
    </w:tbl>
    <w:p w14:paraId="1B976ECA">
      <w:pPr>
        <w:spacing w:line="240" w:lineRule="auto"/>
        <w:ind w:firstLine="0" w:firstLineChars="0"/>
        <w:rPr>
          <w:rStyle w:val="246"/>
          <w:bCs w:val="0"/>
          <w:lang w:eastAsia="zh-CN"/>
        </w:rPr>
        <w:sectPr>
          <w:pgSz w:w="11907" w:h="16840"/>
          <w:pgMar w:top="1440" w:right="1797" w:bottom="1440" w:left="1797" w:header="851" w:footer="992" w:gutter="0"/>
          <w:cols w:space="720" w:num="1"/>
          <w:docGrid w:linePitch="312" w:charSpace="0"/>
        </w:sectPr>
      </w:pPr>
    </w:p>
    <w:p w14:paraId="5F0743F6">
      <w:pPr>
        <w:ind w:firstLine="480"/>
        <w:rPr>
          <w:rFonts w:asciiTheme="minorEastAsia" w:hAnsiTheme="minorEastAsia" w:eastAsiaTheme="minorEastAsia"/>
          <w:lang w:eastAsia="zh-CN"/>
        </w:rPr>
      </w:pPr>
      <w:bookmarkStart w:id="271" w:name="_Toc283482632"/>
      <w:bookmarkStart w:id="272" w:name="_Toc335202495"/>
      <w:bookmarkStart w:id="273" w:name="_Toc290835978"/>
      <w:bookmarkStart w:id="274" w:name="_Toc265490986"/>
      <w:bookmarkStart w:id="275" w:name="_Toc283482030"/>
      <w:bookmarkStart w:id="276" w:name="_Toc290826745"/>
      <w:bookmarkStart w:id="277" w:name="_Toc268783931"/>
      <w:r>
        <w:rPr>
          <w:rFonts w:asciiTheme="minorEastAsia" w:hAnsiTheme="minorEastAsia" w:eastAsiaTheme="minorEastAsia"/>
          <w:lang w:eastAsia="zh-CN"/>
        </w:rPr>
        <w:t>根据SCREEN3预测模式计算结果，对于</w:t>
      </w:r>
      <w:r>
        <w:rPr>
          <w:rFonts w:hint="eastAsia" w:asciiTheme="minorEastAsia" w:hAnsiTheme="minorEastAsia" w:eastAsiaTheme="minorEastAsia"/>
          <w:lang w:eastAsia="zh-CN"/>
        </w:rPr>
        <w:t>雅斯联合站燃气加热</w:t>
      </w:r>
      <w:r>
        <w:rPr>
          <w:rFonts w:asciiTheme="minorEastAsia" w:hAnsiTheme="minorEastAsia" w:eastAsiaTheme="minorEastAsia"/>
          <w:lang w:eastAsia="zh-CN"/>
        </w:rPr>
        <w:t>锅炉，</w:t>
      </w:r>
      <w:r>
        <w:rPr>
          <w:rFonts w:hint="eastAsia" w:asciiTheme="minorEastAsia" w:hAnsiTheme="minorEastAsia" w:eastAsiaTheme="minorEastAsia"/>
          <w:lang w:eastAsia="zh-CN"/>
        </w:rPr>
        <w:t>NOx（以</w:t>
      </w:r>
      <w:r>
        <w:rPr>
          <w:rFonts w:asciiTheme="minorEastAsia" w:hAnsiTheme="minorEastAsia" w:eastAsiaTheme="minorEastAsia"/>
          <w:lang w:eastAsia="zh-CN"/>
        </w:rPr>
        <w:t>NO2</w:t>
      </w:r>
      <w:r>
        <w:rPr>
          <w:rFonts w:hint="eastAsia" w:asciiTheme="minorEastAsia" w:hAnsiTheme="minorEastAsia" w:eastAsiaTheme="minorEastAsia"/>
          <w:lang w:eastAsia="zh-CN"/>
        </w:rPr>
        <w:t>计）</w:t>
      </w:r>
      <w:r>
        <w:rPr>
          <w:rFonts w:asciiTheme="minorEastAsia" w:hAnsiTheme="minorEastAsia" w:eastAsiaTheme="minorEastAsia"/>
          <w:lang w:eastAsia="zh-CN"/>
        </w:rPr>
        <w:t>最大落地浓度为</w:t>
      </w:r>
      <w:r>
        <w:rPr>
          <w:rFonts w:hint="eastAsia" w:asciiTheme="minorEastAsia" w:hAnsiTheme="minorEastAsia" w:eastAsiaTheme="minorEastAsia"/>
          <w:lang w:eastAsia="zh-CN"/>
        </w:rPr>
        <w:t>0.00055</w:t>
      </w:r>
      <w:r>
        <w:rPr>
          <w:rFonts w:asciiTheme="minorEastAsia" w:hAnsiTheme="minorEastAsia" w:eastAsiaTheme="minorEastAsia"/>
          <w:lang w:eastAsia="zh-CN"/>
        </w:rPr>
        <w:t>mg/m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，最大落地浓度占标率为</w:t>
      </w:r>
      <w:r>
        <w:rPr>
          <w:rFonts w:hint="eastAsia" w:asciiTheme="minorEastAsia" w:hAnsiTheme="minorEastAsia" w:eastAsiaTheme="minorEastAsia"/>
          <w:lang w:eastAsia="zh-CN"/>
        </w:rPr>
        <w:t>0.23</w:t>
      </w:r>
      <w:r>
        <w:rPr>
          <w:rFonts w:asciiTheme="minorEastAsia" w:hAnsiTheme="minorEastAsia" w:eastAsiaTheme="minorEastAsia"/>
          <w:lang w:eastAsia="zh-CN"/>
        </w:rPr>
        <w:t>%；污染物最大落地浓度出现的最大距离为</w:t>
      </w:r>
      <w:r>
        <w:rPr>
          <w:rFonts w:hint="eastAsia" w:asciiTheme="minorEastAsia" w:hAnsiTheme="minorEastAsia" w:eastAsiaTheme="minorEastAsia"/>
          <w:lang w:eastAsia="zh-CN"/>
        </w:rPr>
        <w:t>206</w:t>
      </w:r>
      <w:r>
        <w:rPr>
          <w:rFonts w:asciiTheme="minorEastAsia" w:hAnsiTheme="minorEastAsia" w:eastAsiaTheme="minorEastAsia"/>
          <w:lang w:eastAsia="zh-CN"/>
        </w:rPr>
        <w:t>m。对于</w:t>
      </w:r>
      <w:r>
        <w:rPr>
          <w:rFonts w:hint="eastAsia" w:asciiTheme="minorEastAsia" w:hAnsiTheme="minorEastAsia" w:eastAsiaTheme="minorEastAsia"/>
          <w:lang w:eastAsia="zh-CN"/>
        </w:rPr>
        <w:t>雅斯联合站燃气发电机组</w:t>
      </w:r>
      <w:r>
        <w:rPr>
          <w:rFonts w:asciiTheme="minorEastAsia" w:hAnsiTheme="minorEastAsia" w:eastAsiaTheme="minorEastAsia"/>
          <w:lang w:eastAsia="zh-CN"/>
        </w:rPr>
        <w:t>，</w:t>
      </w:r>
      <w:r>
        <w:rPr>
          <w:rFonts w:hint="eastAsia" w:asciiTheme="minorEastAsia" w:hAnsiTheme="minorEastAsia" w:eastAsiaTheme="minorEastAsia"/>
          <w:bCs/>
          <w:lang w:eastAsia="zh-CN"/>
        </w:rPr>
        <w:t>NOx（以</w:t>
      </w:r>
      <w:r>
        <w:rPr>
          <w:rFonts w:asciiTheme="minorEastAsia" w:hAnsiTheme="minorEastAsia" w:eastAsiaTheme="minorEastAsia"/>
          <w:bCs/>
          <w:lang w:eastAsia="zh-CN"/>
        </w:rPr>
        <w:t>NO2</w:t>
      </w:r>
      <w:r>
        <w:rPr>
          <w:rFonts w:hint="eastAsia" w:asciiTheme="minorEastAsia" w:hAnsiTheme="minorEastAsia" w:eastAsiaTheme="minorEastAsia"/>
          <w:bCs/>
          <w:lang w:eastAsia="zh-CN"/>
        </w:rPr>
        <w:t>计）</w:t>
      </w:r>
      <w:r>
        <w:rPr>
          <w:rFonts w:asciiTheme="minorEastAsia" w:hAnsiTheme="minorEastAsia" w:eastAsiaTheme="minorEastAsia"/>
          <w:lang w:eastAsia="zh-CN"/>
        </w:rPr>
        <w:t>最大落地浓度为</w:t>
      </w:r>
      <w:r>
        <w:rPr>
          <w:rFonts w:hint="eastAsia" w:asciiTheme="minorEastAsia" w:hAnsiTheme="minorEastAsia" w:eastAsiaTheme="minorEastAsia"/>
          <w:lang w:eastAsia="zh-CN"/>
        </w:rPr>
        <w:t>0.002411</w:t>
      </w:r>
      <w:r>
        <w:rPr>
          <w:rFonts w:asciiTheme="minorEastAsia" w:hAnsiTheme="minorEastAsia" w:eastAsiaTheme="minorEastAsia"/>
          <w:lang w:eastAsia="zh-CN"/>
        </w:rPr>
        <w:t>mg/m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，最大落地浓度占标率为</w:t>
      </w:r>
      <w:r>
        <w:rPr>
          <w:rFonts w:hint="eastAsia" w:asciiTheme="minorEastAsia" w:hAnsiTheme="minorEastAsia" w:eastAsiaTheme="minorEastAsia"/>
          <w:lang w:eastAsia="zh-CN"/>
        </w:rPr>
        <w:t>1.0</w:t>
      </w:r>
      <w:r>
        <w:rPr>
          <w:rFonts w:asciiTheme="minorEastAsia" w:hAnsiTheme="minorEastAsia" w:eastAsiaTheme="minorEastAsia"/>
          <w:lang w:eastAsia="zh-CN"/>
        </w:rPr>
        <w:t>%；SO</w:t>
      </w:r>
      <w:r>
        <w:rPr>
          <w:rFonts w:asciiTheme="minorEastAsia" w:hAnsiTheme="minorEastAsia" w:eastAsiaTheme="minorEastAsia"/>
          <w:vertAlign w:val="subscript"/>
          <w:lang w:eastAsia="zh-CN"/>
        </w:rPr>
        <w:t>2</w:t>
      </w:r>
      <w:r>
        <w:rPr>
          <w:rFonts w:asciiTheme="minorEastAsia" w:hAnsiTheme="minorEastAsia" w:eastAsiaTheme="minorEastAsia"/>
          <w:lang w:eastAsia="zh-CN"/>
        </w:rPr>
        <w:t>最大落地浓度为</w:t>
      </w:r>
      <w:r>
        <w:rPr>
          <w:rFonts w:hint="eastAsia" w:asciiTheme="minorEastAsia" w:hAnsiTheme="minorEastAsia" w:eastAsiaTheme="minorEastAsia"/>
          <w:lang w:eastAsia="zh-CN"/>
        </w:rPr>
        <w:t>0.000775</w:t>
      </w:r>
      <w:r>
        <w:rPr>
          <w:rFonts w:asciiTheme="minorEastAsia" w:hAnsiTheme="minorEastAsia" w:eastAsiaTheme="minorEastAsia"/>
          <w:lang w:eastAsia="zh-CN"/>
        </w:rPr>
        <w:t>mg/m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，最大落地浓度占标率为</w:t>
      </w:r>
      <w:r>
        <w:rPr>
          <w:rFonts w:hint="eastAsia" w:asciiTheme="minorEastAsia" w:hAnsiTheme="minorEastAsia" w:eastAsiaTheme="minorEastAsia"/>
          <w:lang w:eastAsia="zh-CN"/>
        </w:rPr>
        <w:t>0.16</w:t>
      </w:r>
      <w:r>
        <w:rPr>
          <w:rFonts w:asciiTheme="minorEastAsia" w:hAnsiTheme="minorEastAsia" w:eastAsiaTheme="minorEastAsia"/>
          <w:lang w:eastAsia="zh-CN"/>
        </w:rPr>
        <w:t>%；</w:t>
      </w:r>
      <w:r>
        <w:rPr>
          <w:rFonts w:hint="eastAsia" w:asciiTheme="minorEastAsia" w:hAnsiTheme="minorEastAsia" w:eastAsiaTheme="minorEastAsia"/>
          <w:lang w:eastAsia="zh-CN"/>
        </w:rPr>
        <w:t>烟尘</w:t>
      </w:r>
      <w:r>
        <w:rPr>
          <w:rFonts w:asciiTheme="minorEastAsia" w:hAnsiTheme="minorEastAsia" w:eastAsiaTheme="minorEastAsia"/>
          <w:lang w:eastAsia="zh-CN"/>
        </w:rPr>
        <w:t>最大落地浓度为</w:t>
      </w:r>
      <w:r>
        <w:rPr>
          <w:rFonts w:hint="eastAsia" w:asciiTheme="minorEastAsia" w:hAnsiTheme="minorEastAsia" w:eastAsiaTheme="minorEastAsia"/>
          <w:lang w:eastAsia="zh-CN"/>
        </w:rPr>
        <w:t>0.001137</w:t>
      </w:r>
      <w:r>
        <w:rPr>
          <w:rFonts w:asciiTheme="minorEastAsia" w:hAnsiTheme="minorEastAsia" w:eastAsiaTheme="minorEastAsia"/>
          <w:lang w:eastAsia="zh-CN"/>
        </w:rPr>
        <w:t>mg/m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，最大落地浓度占标率为</w:t>
      </w:r>
      <w:r>
        <w:rPr>
          <w:rFonts w:hint="eastAsia" w:asciiTheme="minorEastAsia" w:hAnsiTheme="minorEastAsia" w:eastAsiaTheme="minorEastAsia"/>
          <w:lang w:eastAsia="zh-CN"/>
        </w:rPr>
        <w:t>0.13</w:t>
      </w:r>
      <w:r>
        <w:rPr>
          <w:rFonts w:asciiTheme="minorEastAsia" w:hAnsiTheme="minorEastAsia" w:eastAsiaTheme="minorEastAsia"/>
          <w:lang w:eastAsia="zh-CN"/>
        </w:rPr>
        <w:t>%；污染物最大落地浓度出现的最大距离为</w:t>
      </w:r>
      <w:r>
        <w:rPr>
          <w:rFonts w:hint="eastAsia" w:asciiTheme="minorEastAsia" w:hAnsiTheme="minorEastAsia" w:eastAsiaTheme="minorEastAsia"/>
          <w:lang w:eastAsia="zh-CN"/>
        </w:rPr>
        <w:t>189</w:t>
      </w:r>
      <w:r>
        <w:rPr>
          <w:rFonts w:asciiTheme="minorEastAsia" w:hAnsiTheme="minorEastAsia" w:eastAsiaTheme="minorEastAsia"/>
          <w:lang w:eastAsia="zh-CN"/>
        </w:rPr>
        <w:t>m。</w:t>
      </w:r>
    </w:p>
    <w:p w14:paraId="2757823A">
      <w:pPr>
        <w:ind w:firstLine="480"/>
        <w:rPr>
          <w:rFonts w:asciiTheme="minorEastAsia" w:hAnsiTheme="minorEastAsia" w:eastAsiaTheme="minorEastAsia"/>
          <w:lang w:eastAsia="zh-CN"/>
        </w:rPr>
      </w:pPr>
      <w:r>
        <w:rPr>
          <w:rFonts w:asciiTheme="minorEastAsia" w:hAnsiTheme="minorEastAsia" w:eastAsiaTheme="minorEastAsia"/>
          <w:lang w:eastAsia="zh-CN"/>
        </w:rPr>
        <w:t>燃气加热锅炉大气污染物</w:t>
      </w:r>
      <w:r>
        <w:rPr>
          <w:rFonts w:hint="eastAsia" w:asciiTheme="minorEastAsia" w:hAnsiTheme="minorEastAsia" w:eastAsiaTheme="minorEastAsia"/>
          <w:lang w:eastAsia="zh-CN"/>
        </w:rPr>
        <w:t>NOx（以</w:t>
      </w:r>
      <w:r>
        <w:rPr>
          <w:rFonts w:asciiTheme="minorEastAsia" w:hAnsiTheme="minorEastAsia" w:eastAsiaTheme="minorEastAsia"/>
          <w:lang w:eastAsia="zh-CN"/>
        </w:rPr>
        <w:t>NO</w:t>
      </w:r>
      <w:r>
        <w:rPr>
          <w:rFonts w:asciiTheme="minorEastAsia" w:hAnsiTheme="minorEastAsia" w:eastAsiaTheme="minorEastAsia"/>
          <w:vertAlign w:val="subscript"/>
          <w:lang w:eastAsia="zh-CN"/>
        </w:rPr>
        <w:t>2</w:t>
      </w:r>
      <w:r>
        <w:rPr>
          <w:rFonts w:hint="eastAsia" w:asciiTheme="minorEastAsia" w:hAnsiTheme="minorEastAsia" w:eastAsiaTheme="minorEastAsia"/>
          <w:lang w:eastAsia="zh-CN"/>
        </w:rPr>
        <w:t>计）</w:t>
      </w:r>
      <w:r>
        <w:rPr>
          <w:rFonts w:asciiTheme="minorEastAsia" w:hAnsiTheme="minorEastAsia" w:eastAsiaTheme="minorEastAsia"/>
          <w:lang w:eastAsia="zh-CN"/>
        </w:rPr>
        <w:t>最大落地浓度均</w:t>
      </w:r>
      <w:r>
        <w:rPr>
          <w:rFonts w:hint="eastAsia" w:asciiTheme="minorEastAsia" w:hAnsiTheme="minorEastAsia" w:eastAsiaTheme="minorEastAsia"/>
          <w:lang w:eastAsia="zh-CN"/>
        </w:rPr>
        <w:t>小于</w:t>
      </w:r>
      <w:r>
        <w:rPr>
          <w:rFonts w:asciiTheme="minorEastAsia" w:hAnsiTheme="minorEastAsia" w:eastAsiaTheme="minorEastAsia"/>
          <w:lang w:eastAsia="zh-CN"/>
        </w:rPr>
        <w:t>《锅炉大气污染物排放标准》(GB13271-2014)中</w:t>
      </w:r>
      <w:r>
        <w:rPr>
          <w:rFonts w:hint="eastAsia" w:asciiTheme="minorEastAsia" w:hAnsiTheme="minorEastAsia" w:eastAsiaTheme="minorEastAsia"/>
          <w:lang w:eastAsia="zh-CN"/>
        </w:rPr>
        <w:t>新建锅炉排放限值</w:t>
      </w:r>
      <w:bookmarkEnd w:id="271"/>
      <w:bookmarkEnd w:id="272"/>
      <w:bookmarkEnd w:id="273"/>
      <w:bookmarkEnd w:id="274"/>
      <w:bookmarkEnd w:id="275"/>
      <w:bookmarkEnd w:id="276"/>
      <w:bookmarkEnd w:id="277"/>
      <w:bookmarkStart w:id="278" w:name="_Toc107170773"/>
      <w:bookmarkStart w:id="279" w:name="_Toc105925270"/>
      <w:bookmarkStart w:id="280" w:name="_Toc113730802"/>
      <w:bookmarkStart w:id="281" w:name="_Toc107310691"/>
      <w:bookmarkStart w:id="282" w:name="_Toc108804772"/>
      <w:bookmarkStart w:id="283" w:name="_Toc103058431"/>
      <w:bookmarkStart w:id="284" w:name="_Toc107171677"/>
      <w:bookmarkStart w:id="285" w:name="_Toc113821091"/>
      <w:bookmarkStart w:id="286" w:name="_Toc98468293"/>
      <w:bookmarkStart w:id="287" w:name="_Toc104143919"/>
      <w:bookmarkStart w:id="288" w:name="_Toc105820927"/>
      <w:bookmarkStart w:id="289" w:name="_Toc118563285"/>
      <w:bookmarkStart w:id="290" w:name="_Toc107309857"/>
      <w:bookmarkStart w:id="291" w:name="_Toc106418779"/>
      <w:bookmarkStart w:id="292" w:name="_Toc107312834"/>
      <w:bookmarkStart w:id="293" w:name="_Toc66646693"/>
      <w:bookmarkStart w:id="294" w:name="_Toc98467744"/>
      <w:bookmarkStart w:id="295" w:name="_Toc80502177"/>
      <w:r>
        <w:rPr>
          <w:rFonts w:hint="eastAsia" w:asciiTheme="minorEastAsia" w:hAnsiTheme="minorEastAsia" w:eastAsiaTheme="minorEastAsia"/>
          <w:lang w:eastAsia="zh-CN"/>
        </w:rPr>
        <w:t>；燃气发电机组大气污染物NOx（以</w:t>
      </w:r>
      <w:r>
        <w:rPr>
          <w:rFonts w:asciiTheme="minorEastAsia" w:hAnsiTheme="minorEastAsia" w:eastAsiaTheme="minorEastAsia"/>
          <w:lang w:eastAsia="zh-CN"/>
        </w:rPr>
        <w:t>NO</w:t>
      </w:r>
      <w:r>
        <w:rPr>
          <w:rFonts w:asciiTheme="minorEastAsia" w:hAnsiTheme="minorEastAsia" w:eastAsiaTheme="minorEastAsia"/>
          <w:vertAlign w:val="subscript"/>
          <w:lang w:eastAsia="zh-CN"/>
        </w:rPr>
        <w:t>2</w:t>
      </w:r>
      <w:r>
        <w:rPr>
          <w:rFonts w:hint="eastAsia" w:asciiTheme="minorEastAsia" w:hAnsiTheme="minorEastAsia" w:eastAsiaTheme="minorEastAsia"/>
          <w:lang w:eastAsia="zh-CN"/>
        </w:rPr>
        <w:t>计）、</w:t>
      </w:r>
      <w:r>
        <w:rPr>
          <w:rFonts w:asciiTheme="minorEastAsia" w:hAnsiTheme="minorEastAsia" w:eastAsiaTheme="minorEastAsia"/>
          <w:lang w:eastAsia="zh-CN"/>
        </w:rPr>
        <w:t>SO</w:t>
      </w:r>
      <w:r>
        <w:rPr>
          <w:rFonts w:asciiTheme="minorEastAsia" w:hAnsiTheme="minorEastAsia" w:eastAsiaTheme="minorEastAsia"/>
          <w:vertAlign w:val="subscript"/>
          <w:lang w:eastAsia="zh-CN"/>
        </w:rPr>
        <w:t>2</w:t>
      </w:r>
      <w:r>
        <w:rPr>
          <w:rFonts w:asciiTheme="minorEastAsia" w:hAnsiTheme="minorEastAsia" w:eastAsiaTheme="minorEastAsia"/>
          <w:lang w:eastAsia="zh-CN"/>
        </w:rPr>
        <w:t>和烟尘最大落地浓度均小于</w:t>
      </w:r>
      <w:r>
        <w:rPr>
          <w:rFonts w:hint="eastAsia" w:asciiTheme="minorEastAsia" w:hAnsiTheme="minorEastAsia" w:eastAsiaTheme="minorEastAsia"/>
          <w:lang w:eastAsia="zh-CN"/>
        </w:rPr>
        <w:t>火电厂大气污染物排放标准》</w:t>
      </w:r>
      <w:r>
        <w:rPr>
          <w:rFonts w:asciiTheme="minorEastAsia" w:hAnsiTheme="minorEastAsia" w:eastAsiaTheme="minorEastAsia"/>
          <w:lang w:eastAsia="zh-CN"/>
        </w:rPr>
        <w:t>(GB13</w:t>
      </w:r>
      <w:r>
        <w:rPr>
          <w:rFonts w:hint="eastAsia" w:asciiTheme="minorEastAsia" w:hAnsiTheme="minorEastAsia" w:eastAsiaTheme="minorEastAsia"/>
          <w:lang w:eastAsia="zh-CN"/>
        </w:rPr>
        <w:t>223</w:t>
      </w:r>
      <w:r>
        <w:rPr>
          <w:rFonts w:asciiTheme="minorEastAsia" w:hAnsiTheme="minorEastAsia" w:eastAsiaTheme="minorEastAsia"/>
          <w:lang w:eastAsia="zh-CN"/>
        </w:rPr>
        <w:t>-201</w:t>
      </w:r>
      <w:r>
        <w:rPr>
          <w:rFonts w:hint="eastAsia" w:asciiTheme="minorEastAsia" w:hAnsiTheme="minorEastAsia" w:eastAsiaTheme="minorEastAsia"/>
          <w:lang w:eastAsia="zh-CN"/>
        </w:rPr>
        <w:t>1</w:t>
      </w:r>
      <w:r>
        <w:rPr>
          <w:rFonts w:asciiTheme="minorEastAsia" w:hAnsiTheme="minorEastAsia" w:eastAsiaTheme="minorEastAsia"/>
          <w:lang w:eastAsia="zh-CN"/>
        </w:rPr>
        <w:t>)排放标准</w:t>
      </w:r>
      <w:r>
        <w:rPr>
          <w:rFonts w:hint="eastAsia" w:asciiTheme="minorEastAsia" w:hAnsiTheme="minorEastAsia" w:eastAsiaTheme="minorEastAsia"/>
          <w:lang w:eastAsia="zh-CN"/>
        </w:rPr>
        <w:t>。</w:t>
      </w:r>
      <w:r>
        <w:rPr>
          <w:rFonts w:asciiTheme="minorEastAsia" w:hAnsiTheme="minorEastAsia" w:eastAsiaTheme="minorEastAsia"/>
          <w:lang w:eastAsia="zh-CN"/>
        </w:rPr>
        <w:t>另外，污染物最大落地浓度出现的最大距离为</w:t>
      </w:r>
      <w:r>
        <w:rPr>
          <w:rFonts w:hint="eastAsia" w:asciiTheme="minorEastAsia" w:hAnsiTheme="minorEastAsia" w:eastAsiaTheme="minorEastAsia"/>
          <w:lang w:eastAsia="zh-CN"/>
        </w:rPr>
        <w:t>206</w:t>
      </w:r>
      <w:r>
        <w:rPr>
          <w:rFonts w:asciiTheme="minorEastAsia" w:hAnsiTheme="minorEastAsia" w:eastAsiaTheme="minorEastAsia"/>
          <w:lang w:eastAsia="zh-CN"/>
        </w:rPr>
        <w:t>m，距离</w:t>
      </w:r>
      <w:r>
        <w:rPr>
          <w:rFonts w:hint="eastAsia" w:asciiTheme="minorEastAsia" w:hAnsiTheme="minorEastAsia" w:eastAsiaTheme="minorEastAsia"/>
          <w:lang w:eastAsia="zh-CN"/>
        </w:rPr>
        <w:t>雅斯联合站最近的牧户在1000m远，燃气加热锅炉及燃气发电机组排放的大气污染物对周边牧户造成的影响较小。</w:t>
      </w:r>
      <w:r>
        <w:rPr>
          <w:rFonts w:asciiTheme="minorEastAsia" w:hAnsiTheme="minorEastAsia" w:eastAsiaTheme="minorEastAsia"/>
          <w:lang w:eastAsia="zh-CN"/>
        </w:rPr>
        <w:t>综上所述，</w:t>
      </w:r>
      <w:r>
        <w:rPr>
          <w:rFonts w:hint="eastAsia" w:asciiTheme="minorEastAsia" w:hAnsiTheme="minorEastAsia" w:eastAsiaTheme="minorEastAsia"/>
          <w:lang w:eastAsia="zh-CN"/>
        </w:rPr>
        <w:t>联合站燃气加热锅炉及燃气发电机组</w:t>
      </w:r>
      <w:r>
        <w:rPr>
          <w:rFonts w:asciiTheme="minorEastAsia" w:hAnsiTheme="minorEastAsia" w:eastAsiaTheme="minorEastAsia"/>
          <w:lang w:eastAsia="zh-CN"/>
        </w:rPr>
        <w:t>排放的污染物对周围环境的影响较小。</w:t>
      </w:r>
      <w:bookmarkEnd w:id="269"/>
      <w:bookmarkEnd w:id="270"/>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Start w:id="296" w:name="_Toc338663541"/>
    </w:p>
    <w:p w14:paraId="72227DBD">
      <w:pPr>
        <w:pStyle w:val="4"/>
        <w:rPr>
          <w:lang w:eastAsia="zh-CN"/>
        </w:rPr>
      </w:pPr>
      <w:bookmarkStart w:id="297" w:name="_Toc408413978"/>
      <w:r>
        <w:rPr>
          <w:lang w:eastAsia="zh-CN"/>
        </w:rPr>
        <w:t>5.3.3运输车辆产生的扬尘污染</w:t>
      </w:r>
      <w:bookmarkEnd w:id="296"/>
      <w:bookmarkEnd w:id="297"/>
    </w:p>
    <w:p w14:paraId="2FEDD45D">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乌里雅斯太油田在运行过程中原油主要靠管线集输，车辆运输量小且不确定，主要是</w:t>
      </w:r>
      <w:r>
        <w:rPr>
          <w:rFonts w:asciiTheme="minorEastAsia" w:hAnsiTheme="minorEastAsia" w:eastAsiaTheme="minorEastAsia"/>
          <w:lang w:eastAsia="zh-CN"/>
        </w:rPr>
        <w:t>洗井、修井</w:t>
      </w:r>
      <w:r>
        <w:rPr>
          <w:rFonts w:hint="eastAsia" w:asciiTheme="minorEastAsia" w:hAnsiTheme="minorEastAsia" w:eastAsiaTheme="minorEastAsia"/>
          <w:lang w:eastAsia="zh-CN"/>
        </w:rPr>
        <w:t>等作业过程中</w:t>
      </w:r>
      <w:r>
        <w:rPr>
          <w:rFonts w:asciiTheme="minorEastAsia" w:hAnsiTheme="minorEastAsia" w:eastAsiaTheme="minorEastAsia"/>
          <w:lang w:eastAsia="zh-CN"/>
        </w:rPr>
        <w:t>运输</w:t>
      </w:r>
      <w:r>
        <w:rPr>
          <w:rFonts w:hint="eastAsia" w:asciiTheme="minorEastAsia" w:hAnsiTheme="minorEastAsia" w:eastAsiaTheme="minorEastAsia"/>
          <w:lang w:eastAsia="zh-CN"/>
        </w:rPr>
        <w:t>材料等的</w:t>
      </w:r>
      <w:r>
        <w:rPr>
          <w:rFonts w:asciiTheme="minorEastAsia" w:hAnsiTheme="minorEastAsia" w:eastAsiaTheme="minorEastAsia"/>
          <w:lang w:eastAsia="zh-CN"/>
        </w:rPr>
        <w:t>车辆</w:t>
      </w:r>
      <w:r>
        <w:rPr>
          <w:rFonts w:hint="eastAsia" w:asciiTheme="minorEastAsia" w:hAnsiTheme="minorEastAsia" w:eastAsiaTheme="minorEastAsia"/>
          <w:lang w:eastAsia="zh-CN"/>
        </w:rPr>
        <w:t>会</w:t>
      </w:r>
      <w:r>
        <w:rPr>
          <w:rFonts w:asciiTheme="minorEastAsia" w:hAnsiTheme="minorEastAsia" w:eastAsiaTheme="minorEastAsia"/>
          <w:lang w:eastAsia="zh-CN"/>
        </w:rPr>
        <w:t>给道路沿线带来</w:t>
      </w:r>
      <w:r>
        <w:rPr>
          <w:rFonts w:hint="eastAsia" w:asciiTheme="minorEastAsia" w:hAnsiTheme="minorEastAsia" w:eastAsiaTheme="minorEastAsia"/>
          <w:lang w:eastAsia="zh-CN"/>
        </w:rPr>
        <w:t>扬尘影响</w:t>
      </w:r>
      <w:r>
        <w:rPr>
          <w:rFonts w:asciiTheme="minorEastAsia" w:hAnsiTheme="minorEastAsia" w:eastAsiaTheme="minorEastAsia"/>
          <w:lang w:eastAsia="zh-CN"/>
        </w:rPr>
        <w:t>。</w:t>
      </w:r>
      <w:r>
        <w:rPr>
          <w:rFonts w:hint="eastAsia" w:asciiTheme="minorEastAsia" w:hAnsiTheme="minorEastAsia" w:eastAsiaTheme="minorEastAsia"/>
          <w:lang w:eastAsia="zh-CN"/>
        </w:rPr>
        <w:t>根据类比分析，</w:t>
      </w:r>
      <w:r>
        <w:rPr>
          <w:rFonts w:asciiTheme="minorEastAsia" w:hAnsiTheme="minorEastAsia" w:eastAsiaTheme="minorEastAsia"/>
          <w:lang w:eastAsia="zh-CN"/>
        </w:rPr>
        <w:t>运输产生的扬尘污染主要集中在50m范围内。扬尘属于粒径较小的降尘（10～20</w:t>
      </w:r>
      <w:r>
        <w:rPr>
          <w:rFonts w:asciiTheme="minorEastAsia" w:hAnsiTheme="minorEastAsia" w:eastAsiaTheme="minorEastAsia"/>
          <w:lang w:eastAsia="zh-CN"/>
        </w:rPr>
        <w:sym w:font="UniversalMath1 BT" w:char="F06D"/>
      </w:r>
      <w:r>
        <w:rPr>
          <w:rFonts w:asciiTheme="minorEastAsia" w:hAnsiTheme="minorEastAsia" w:eastAsiaTheme="minorEastAsia"/>
          <w:lang w:eastAsia="zh-CN"/>
        </w:rPr>
        <w:t>m），在未铺装道路表面（泥土），粒径分布小于5</w:t>
      </w:r>
      <w:r>
        <w:rPr>
          <w:rFonts w:asciiTheme="minorEastAsia" w:hAnsiTheme="minorEastAsia" w:eastAsiaTheme="minorEastAsia"/>
          <w:lang w:eastAsia="zh-CN"/>
        </w:rPr>
        <w:sym w:font="UniversalMath1 BT" w:char="F06D"/>
      </w:r>
      <w:r>
        <w:rPr>
          <w:rFonts w:asciiTheme="minorEastAsia" w:hAnsiTheme="minorEastAsia" w:eastAsiaTheme="minorEastAsia"/>
          <w:lang w:eastAsia="zh-CN"/>
        </w:rPr>
        <w:t>m的粉尘占8%，5～10</w:t>
      </w:r>
      <w:r>
        <w:rPr>
          <w:rFonts w:asciiTheme="minorEastAsia" w:hAnsiTheme="minorEastAsia" w:eastAsiaTheme="minorEastAsia"/>
          <w:lang w:eastAsia="zh-CN"/>
        </w:rPr>
        <w:sym w:font="UniversalMath1 BT" w:char="F06D"/>
      </w:r>
      <w:r>
        <w:rPr>
          <w:rFonts w:asciiTheme="minorEastAsia" w:hAnsiTheme="minorEastAsia" w:eastAsiaTheme="minorEastAsia"/>
          <w:lang w:eastAsia="zh-CN"/>
        </w:rPr>
        <w:t>m的占24%，大于30</w:t>
      </w:r>
      <w:r>
        <w:rPr>
          <w:rFonts w:asciiTheme="minorEastAsia" w:hAnsiTheme="minorEastAsia" w:eastAsiaTheme="minorEastAsia"/>
          <w:lang w:eastAsia="zh-CN"/>
        </w:rPr>
        <w:sym w:font="UniversalMath1 BT" w:char="F06D"/>
      </w:r>
      <w:r>
        <w:rPr>
          <w:rFonts w:asciiTheme="minorEastAsia" w:hAnsiTheme="minorEastAsia" w:eastAsiaTheme="minorEastAsia"/>
          <w:lang w:eastAsia="zh-CN"/>
        </w:rPr>
        <w:t>m的占68%，因此，油田内联络道路极易起尘。</w:t>
      </w:r>
    </w:p>
    <w:p w14:paraId="54A1360D">
      <w:pPr>
        <w:ind w:firstLine="480"/>
        <w:rPr>
          <w:rFonts w:asciiTheme="minorEastAsia" w:hAnsiTheme="minorEastAsia" w:eastAsiaTheme="minorEastAsia"/>
          <w:lang w:eastAsia="zh-CN"/>
        </w:rPr>
      </w:pPr>
      <w:r>
        <w:rPr>
          <w:rFonts w:asciiTheme="minorEastAsia" w:hAnsiTheme="minorEastAsia" w:eastAsiaTheme="minorEastAsia"/>
          <w:lang w:eastAsia="zh-CN"/>
        </w:rPr>
        <w:t>为减少起尘量，降低对周围环境的影响，在运输道路沿线各路段都应采取经常洒水降尘的措施。</w:t>
      </w:r>
    </w:p>
    <w:p w14:paraId="554EFB77">
      <w:pPr>
        <w:pStyle w:val="3"/>
        <w:rPr>
          <w:lang w:eastAsia="zh-CN"/>
        </w:rPr>
      </w:pPr>
      <w:bookmarkStart w:id="298" w:name="_Toc481547598"/>
      <w:bookmarkStart w:id="299" w:name="_Toc167013325"/>
      <w:bookmarkStart w:id="300" w:name="_Toc279676757"/>
      <w:bookmarkStart w:id="301" w:name="_Toc182140987"/>
      <w:bookmarkStart w:id="302" w:name="_Toc408413979"/>
      <w:bookmarkStart w:id="303" w:name="_Toc280020156"/>
      <w:bookmarkStart w:id="304" w:name="_Toc338663543"/>
      <w:r>
        <w:rPr>
          <w:lang w:eastAsia="zh-CN"/>
        </w:rPr>
        <w:t>5.4大气环境污染防治措施</w:t>
      </w:r>
      <w:bookmarkEnd w:id="298"/>
      <w:bookmarkEnd w:id="299"/>
      <w:bookmarkEnd w:id="300"/>
      <w:bookmarkEnd w:id="301"/>
      <w:bookmarkEnd w:id="302"/>
      <w:bookmarkEnd w:id="303"/>
      <w:bookmarkEnd w:id="304"/>
    </w:p>
    <w:p w14:paraId="01A9054D">
      <w:pPr>
        <w:ind w:firstLine="480"/>
        <w:rPr>
          <w:rFonts w:asciiTheme="minorEastAsia" w:hAnsiTheme="minorEastAsia" w:eastAsiaTheme="minorEastAsia"/>
          <w:lang w:eastAsia="zh-CN"/>
        </w:rPr>
      </w:pPr>
      <w:r>
        <w:rPr>
          <w:rFonts w:asciiTheme="minorEastAsia" w:hAnsiTheme="minorEastAsia" w:eastAsiaTheme="minorEastAsia"/>
          <w:lang w:eastAsia="zh-CN"/>
        </w:rPr>
        <w:t>1、烃类污染防治环保措施与对策</w:t>
      </w:r>
    </w:p>
    <w:p w14:paraId="0BBCFC33">
      <w:pPr>
        <w:ind w:firstLine="480"/>
        <w:rPr>
          <w:rFonts w:asciiTheme="minorEastAsia" w:hAnsiTheme="minorEastAsia" w:eastAsiaTheme="minorEastAsia"/>
          <w:lang w:eastAsia="zh-CN"/>
        </w:rPr>
      </w:pPr>
      <w:r>
        <w:rPr>
          <w:rFonts w:asciiTheme="minorEastAsia" w:hAnsiTheme="minorEastAsia" w:eastAsiaTheme="minorEastAsia"/>
          <w:lang w:eastAsia="zh-CN"/>
        </w:rPr>
        <w:t xml:space="preserve">从烃类损耗的具体情况分析，流程密闭和完善集输设备和工艺是关键。为了进一步加强油水集输的密闭性，应注意以下几方面的工作： </w:t>
      </w:r>
    </w:p>
    <w:p w14:paraId="67D2801D">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（1）</w:t>
      </w:r>
      <w:r>
        <w:rPr>
          <w:rFonts w:asciiTheme="minorEastAsia" w:hAnsiTheme="minorEastAsia" w:eastAsiaTheme="minorEastAsia"/>
          <w:lang w:eastAsia="zh-CN"/>
        </w:rPr>
        <w:t>油井井口的密闭：应设立固定的巡检队伍，定期检修各井口装置，加强油井井口的密闭，减少井口烃类的无组织排放；同时应定期检修集输线路的阀门，油气泵等，减少烃类气体跑冒等无组织排放；</w:t>
      </w:r>
    </w:p>
    <w:p w14:paraId="57811D2B">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（2）</w:t>
      </w:r>
      <w:r>
        <w:rPr>
          <w:rFonts w:asciiTheme="minorEastAsia" w:hAnsiTheme="minorEastAsia" w:eastAsiaTheme="minorEastAsia"/>
          <w:lang w:eastAsia="zh-CN"/>
        </w:rPr>
        <w:t>加强联合站的管理：杜绝放空，</w:t>
      </w:r>
      <w:r>
        <w:rPr>
          <w:rFonts w:hint="eastAsia" w:asciiTheme="minorEastAsia" w:hAnsiTheme="minorEastAsia" w:eastAsiaTheme="minorEastAsia"/>
          <w:lang w:eastAsia="zh-CN"/>
        </w:rPr>
        <w:t>对于不能充分利用的伴生气要去火炬系统，</w:t>
      </w:r>
      <w:r>
        <w:rPr>
          <w:rFonts w:asciiTheme="minorEastAsia" w:hAnsiTheme="minorEastAsia" w:eastAsiaTheme="minorEastAsia"/>
          <w:lang w:eastAsia="zh-CN"/>
        </w:rPr>
        <w:t>并及时</w:t>
      </w:r>
      <w:r>
        <w:rPr>
          <w:rFonts w:hint="eastAsia" w:asciiTheme="minorEastAsia" w:hAnsiTheme="minorEastAsia" w:eastAsiaTheme="minorEastAsia"/>
          <w:lang w:eastAsia="zh-CN"/>
        </w:rPr>
        <w:t>维护更新</w:t>
      </w:r>
      <w:r>
        <w:rPr>
          <w:rFonts w:asciiTheme="minorEastAsia" w:hAnsiTheme="minorEastAsia" w:eastAsiaTheme="minorEastAsia"/>
          <w:lang w:eastAsia="zh-CN"/>
        </w:rPr>
        <w:t>老</w:t>
      </w:r>
      <w:r>
        <w:rPr>
          <w:rFonts w:hint="eastAsia" w:asciiTheme="minorEastAsia" w:hAnsiTheme="minorEastAsia" w:eastAsiaTheme="minorEastAsia"/>
          <w:lang w:eastAsia="zh-CN"/>
        </w:rPr>
        <w:t>旧</w:t>
      </w:r>
      <w:r>
        <w:rPr>
          <w:rFonts w:asciiTheme="minorEastAsia" w:hAnsiTheme="minorEastAsia" w:eastAsiaTheme="minorEastAsia"/>
          <w:lang w:eastAsia="zh-CN"/>
        </w:rPr>
        <w:t>设备，保证设备的承压能力；</w:t>
      </w:r>
    </w:p>
    <w:p w14:paraId="1D89695A">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（3）</w:t>
      </w:r>
      <w:r>
        <w:rPr>
          <w:rFonts w:asciiTheme="minorEastAsia" w:hAnsiTheme="minorEastAsia" w:eastAsiaTheme="minorEastAsia"/>
          <w:lang w:eastAsia="zh-CN"/>
        </w:rPr>
        <w:t>采取有效措施保证原油稳定装置的运转，确保原油稳定率达到80%以上，从而减少烃类的逸散。</w:t>
      </w:r>
    </w:p>
    <w:p w14:paraId="2294F0DB">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2、</w:t>
      </w:r>
      <w:r>
        <w:rPr>
          <w:rFonts w:hint="eastAsia" w:asciiTheme="minorEastAsia" w:hAnsiTheme="minorEastAsia" w:eastAsiaTheme="minorEastAsia"/>
          <w:lang w:eastAsia="zh-CN"/>
        </w:rPr>
        <w:t>加热锅炉及燃气发电机组</w:t>
      </w:r>
      <w:r>
        <w:rPr>
          <w:rFonts w:asciiTheme="minorEastAsia" w:hAnsiTheme="minorEastAsia" w:eastAsiaTheme="minorEastAsia"/>
          <w:lang w:eastAsia="zh-CN"/>
        </w:rPr>
        <w:t>废气污染防治环保措施与对策</w:t>
      </w:r>
    </w:p>
    <w:p w14:paraId="271D7036">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乌里雅斯太油田生产生活供热，由雅斯联合站2</w:t>
      </w:r>
      <w:r>
        <w:rPr>
          <w:rFonts w:asciiTheme="minorEastAsia" w:hAnsiTheme="minorEastAsia" w:eastAsiaTheme="minorEastAsia"/>
          <w:lang w:eastAsia="zh-CN"/>
        </w:rPr>
        <w:t>台</w:t>
      </w:r>
      <w:r>
        <w:rPr>
          <w:rFonts w:hint="eastAsia" w:asciiTheme="minorEastAsia" w:hAnsiTheme="minorEastAsia" w:eastAsiaTheme="minorEastAsia"/>
          <w:lang w:eastAsia="zh-CN"/>
        </w:rPr>
        <w:t>燃气加热</w:t>
      </w:r>
      <w:r>
        <w:rPr>
          <w:rFonts w:asciiTheme="minorEastAsia" w:hAnsiTheme="minorEastAsia" w:eastAsiaTheme="minorEastAsia"/>
          <w:lang w:eastAsia="zh-CN"/>
        </w:rPr>
        <w:t>锅炉</w:t>
      </w:r>
      <w:r>
        <w:rPr>
          <w:rFonts w:hint="eastAsia" w:asciiTheme="minorEastAsia" w:hAnsiTheme="minorEastAsia" w:eastAsiaTheme="minorEastAsia"/>
          <w:lang w:eastAsia="zh-CN"/>
        </w:rPr>
        <w:t>和燃气发电机组余热供给。全部燃烧</w:t>
      </w:r>
      <w:r>
        <w:rPr>
          <w:rFonts w:asciiTheme="minorEastAsia" w:hAnsiTheme="minorEastAsia" w:eastAsiaTheme="minorEastAsia"/>
          <w:lang w:eastAsia="zh-CN"/>
        </w:rPr>
        <w:t>分离出的</w:t>
      </w:r>
      <w:r>
        <w:rPr>
          <w:rFonts w:hint="eastAsia" w:asciiTheme="minorEastAsia" w:hAnsiTheme="minorEastAsia" w:eastAsiaTheme="minorEastAsia"/>
          <w:lang w:eastAsia="zh-CN"/>
        </w:rPr>
        <w:t>伴生气</w:t>
      </w:r>
      <w:r>
        <w:rPr>
          <w:rFonts w:asciiTheme="minorEastAsia" w:hAnsiTheme="minorEastAsia" w:eastAsiaTheme="minorEastAsia"/>
          <w:lang w:eastAsia="zh-CN"/>
        </w:rPr>
        <w:t>，</w:t>
      </w:r>
      <w:r>
        <w:rPr>
          <w:rFonts w:hint="eastAsia" w:asciiTheme="minorEastAsia" w:hAnsiTheme="minorEastAsia" w:eastAsiaTheme="minorEastAsia"/>
          <w:lang w:eastAsia="zh-CN"/>
        </w:rPr>
        <w:t>经处理后的伴生气主要成分为CH</w:t>
      </w:r>
      <w:r>
        <w:rPr>
          <w:rFonts w:hint="eastAsia" w:asciiTheme="minorEastAsia" w:hAnsiTheme="minorEastAsia" w:eastAsiaTheme="minorEastAsia"/>
          <w:vertAlign w:val="subscript"/>
          <w:lang w:eastAsia="zh-CN"/>
        </w:rPr>
        <w:t>4</w:t>
      </w:r>
      <w:r>
        <w:rPr>
          <w:rFonts w:hint="eastAsia" w:asciiTheme="minorEastAsia" w:hAnsiTheme="minorEastAsia" w:eastAsiaTheme="minorEastAsia"/>
          <w:lang w:eastAsia="zh-CN"/>
        </w:rPr>
        <w:t>和N</w:t>
      </w:r>
      <w:r>
        <w:rPr>
          <w:rFonts w:hint="eastAsia" w:asciiTheme="minorEastAsia" w:hAnsiTheme="minorEastAsia" w:eastAsiaTheme="minorEastAsia"/>
          <w:vertAlign w:val="subscript"/>
          <w:lang w:eastAsia="zh-CN"/>
        </w:rPr>
        <w:t>2</w:t>
      </w:r>
      <w:r>
        <w:rPr>
          <w:rFonts w:hint="eastAsia" w:asciiTheme="minorEastAsia" w:hAnsiTheme="minorEastAsia" w:eastAsiaTheme="minorEastAsia"/>
          <w:lang w:eastAsia="zh-CN"/>
        </w:rPr>
        <w:t>，其中CH</w:t>
      </w:r>
      <w:r>
        <w:rPr>
          <w:rFonts w:hint="eastAsia" w:asciiTheme="minorEastAsia" w:hAnsiTheme="minorEastAsia" w:eastAsiaTheme="minorEastAsia"/>
          <w:vertAlign w:val="subscript"/>
          <w:lang w:eastAsia="zh-CN"/>
        </w:rPr>
        <w:t>4</w:t>
      </w:r>
      <w:r>
        <w:rPr>
          <w:rFonts w:hint="eastAsia" w:asciiTheme="minorEastAsia" w:hAnsiTheme="minorEastAsia" w:eastAsiaTheme="minorEastAsia"/>
          <w:lang w:eastAsia="zh-CN"/>
        </w:rPr>
        <w:t>含量平均占97.95%，N</w:t>
      </w:r>
      <w:r>
        <w:rPr>
          <w:rFonts w:hint="eastAsia" w:asciiTheme="minorEastAsia" w:hAnsiTheme="minorEastAsia" w:eastAsiaTheme="minorEastAsia"/>
          <w:vertAlign w:val="subscript"/>
          <w:lang w:eastAsia="zh-CN"/>
        </w:rPr>
        <w:t>2</w:t>
      </w:r>
      <w:r>
        <w:rPr>
          <w:rFonts w:hint="eastAsia" w:asciiTheme="minorEastAsia" w:hAnsiTheme="minorEastAsia" w:eastAsiaTheme="minorEastAsia"/>
          <w:lang w:eastAsia="zh-CN"/>
        </w:rPr>
        <w:t>含量平均占2.05%。属于</w:t>
      </w:r>
      <w:r>
        <w:rPr>
          <w:rFonts w:asciiTheme="minorEastAsia" w:hAnsiTheme="minorEastAsia" w:eastAsiaTheme="minorEastAsia"/>
          <w:lang w:eastAsia="zh-CN"/>
        </w:rPr>
        <w:t>清洁能源。</w:t>
      </w:r>
    </w:p>
    <w:p w14:paraId="1F586AD2">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燃气加热锅炉污染物氮氧化物的</w:t>
      </w:r>
      <w:r>
        <w:rPr>
          <w:rFonts w:asciiTheme="minorEastAsia" w:hAnsiTheme="minorEastAsia" w:eastAsiaTheme="minorEastAsia"/>
          <w:lang w:eastAsia="zh-CN"/>
        </w:rPr>
        <w:t>排放浓度符合《锅炉大气污染物排放标准》(GB13271-2014)中</w:t>
      </w:r>
      <w:r>
        <w:rPr>
          <w:rFonts w:hint="eastAsia" w:asciiTheme="minorEastAsia" w:hAnsiTheme="minorEastAsia" w:eastAsiaTheme="minorEastAsia"/>
          <w:lang w:eastAsia="zh-CN"/>
        </w:rPr>
        <w:t>新建锅炉排放限值</w:t>
      </w:r>
      <w:r>
        <w:rPr>
          <w:rFonts w:asciiTheme="minorEastAsia" w:hAnsiTheme="minorEastAsia" w:eastAsiaTheme="minorEastAsia"/>
          <w:lang w:eastAsia="zh-CN"/>
        </w:rPr>
        <w:t>。</w:t>
      </w:r>
      <w:r>
        <w:rPr>
          <w:rFonts w:hint="eastAsia" w:asciiTheme="minorEastAsia" w:hAnsiTheme="minorEastAsia" w:eastAsiaTheme="minorEastAsia"/>
          <w:lang w:eastAsia="zh-CN"/>
        </w:rPr>
        <w:t>燃气发电机组污染物二氧化硫、烟尘、氮氧化物排放浓度均符合《火电厂大气污染物排放标准》（</w:t>
      </w:r>
      <w:r>
        <w:rPr>
          <w:rFonts w:asciiTheme="minorEastAsia" w:hAnsiTheme="minorEastAsia" w:eastAsiaTheme="minorEastAsia"/>
          <w:lang w:eastAsia="zh-CN"/>
        </w:rPr>
        <w:t>GB</w:t>
      </w:r>
      <w:r>
        <w:rPr>
          <w:rFonts w:hint="eastAsia" w:asciiTheme="minorEastAsia" w:hAnsiTheme="minorEastAsia" w:eastAsiaTheme="minorEastAsia"/>
          <w:lang w:eastAsia="zh-CN"/>
        </w:rPr>
        <w:t>13223</w:t>
      </w:r>
      <w:r>
        <w:rPr>
          <w:rFonts w:asciiTheme="minorEastAsia" w:hAnsiTheme="minorEastAsia" w:eastAsiaTheme="minorEastAsia"/>
          <w:lang w:eastAsia="zh-CN"/>
        </w:rPr>
        <w:t>-20</w:t>
      </w:r>
      <w:r>
        <w:rPr>
          <w:rFonts w:hint="eastAsia" w:asciiTheme="minorEastAsia" w:hAnsiTheme="minorEastAsia" w:eastAsiaTheme="minorEastAsia"/>
          <w:lang w:eastAsia="zh-CN"/>
        </w:rPr>
        <w:t>11）排放限值。</w:t>
      </w:r>
    </w:p>
    <w:p w14:paraId="2EAEC1F4">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3、运输车辆扬尘污染防治措施</w:t>
      </w:r>
    </w:p>
    <w:p w14:paraId="53490020">
      <w:pPr>
        <w:ind w:firstLine="480"/>
        <w:rPr>
          <w:rFonts w:asciiTheme="minorEastAsia" w:hAnsiTheme="minorEastAsia" w:eastAsiaTheme="minorEastAsia"/>
          <w:lang w:eastAsia="zh-CN"/>
        </w:rPr>
      </w:pPr>
      <w:r>
        <w:rPr>
          <w:rFonts w:asciiTheme="minorEastAsia" w:hAnsiTheme="minorEastAsia" w:eastAsiaTheme="minorEastAsia"/>
          <w:lang w:eastAsia="zh-CN"/>
        </w:rPr>
        <w:t>运输车辆将给运输道路沿线带来扬尘污染</w:t>
      </w:r>
      <w:r>
        <w:rPr>
          <w:rFonts w:hint="eastAsia" w:asciiTheme="minorEastAsia" w:hAnsiTheme="minorEastAsia" w:eastAsiaTheme="minorEastAsia"/>
          <w:lang w:eastAsia="zh-CN"/>
        </w:rPr>
        <w:t>，影响范围主要在道路两侧50m范围内</w:t>
      </w:r>
      <w:r>
        <w:rPr>
          <w:rFonts w:asciiTheme="minorEastAsia" w:hAnsiTheme="minorEastAsia" w:eastAsiaTheme="minorEastAsia"/>
          <w:lang w:eastAsia="zh-CN"/>
        </w:rPr>
        <w:t>。为减少起尘量，有效降低对运输道路沿线居民正常生活的不利影响，建议企业采取以下扬尘污染防治措施：</w:t>
      </w:r>
    </w:p>
    <w:p w14:paraId="128A1026">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（1）</w:t>
      </w:r>
      <w:r>
        <w:rPr>
          <w:rFonts w:asciiTheme="minorEastAsia" w:hAnsiTheme="minorEastAsia" w:eastAsiaTheme="minorEastAsia"/>
          <w:lang w:eastAsia="zh-CN"/>
        </w:rPr>
        <w:t>油田运输车辆应按照规定的道路行驶，禁止随意碾压草原，破坏地表植被，减少风蚀扬尘污染源。</w:t>
      </w:r>
    </w:p>
    <w:p w14:paraId="2D1B22C7">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（2）</w:t>
      </w:r>
      <w:r>
        <w:rPr>
          <w:rFonts w:asciiTheme="minorEastAsia" w:hAnsiTheme="minorEastAsia" w:eastAsiaTheme="minorEastAsia"/>
          <w:lang w:eastAsia="zh-CN"/>
        </w:rPr>
        <w:t>在运营期配备洒水车对井场内的井排路、通井路等联络道路进行洒水抑尘。</w:t>
      </w:r>
    </w:p>
    <w:p w14:paraId="3B5880A5">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（3）</w:t>
      </w:r>
      <w:r>
        <w:rPr>
          <w:rFonts w:asciiTheme="minorEastAsia" w:hAnsiTheme="minorEastAsia" w:eastAsiaTheme="minorEastAsia"/>
          <w:lang w:eastAsia="zh-CN"/>
        </w:rPr>
        <w:t>对场内联络道路的线路进行标识规定，企业巡查及运输车辆须按规定的线路行驶，禁止随意碾压草场。</w:t>
      </w:r>
    </w:p>
    <w:p w14:paraId="6F50A876">
      <w:pPr>
        <w:ind w:firstLine="480"/>
        <w:rPr>
          <w:rFonts w:asciiTheme="minorEastAsia" w:hAnsiTheme="minorEastAsia" w:eastAsiaTheme="minorEastAsia"/>
          <w:snapToGrid w:val="0"/>
          <w:lang w:eastAsia="zh-CN"/>
        </w:rPr>
        <w:sectPr>
          <w:pgSz w:w="11907" w:h="16840"/>
          <w:pgMar w:top="1440" w:right="1797" w:bottom="1440" w:left="1797" w:header="851" w:footer="992" w:gutter="0"/>
          <w:cols w:space="720" w:num="1"/>
          <w:docGrid w:linePitch="312" w:charSpace="0"/>
        </w:sectPr>
      </w:pPr>
    </w:p>
    <w:p w14:paraId="291C5E8A">
      <w:pPr>
        <w:pStyle w:val="2"/>
        <w:rPr>
          <w:lang w:eastAsia="zh-CN"/>
        </w:rPr>
      </w:pPr>
      <w:bookmarkStart w:id="305" w:name="_Toc408413980"/>
      <w:bookmarkStart w:id="306" w:name="_Toc248649430"/>
      <w:r>
        <w:rPr>
          <w:lang w:eastAsia="zh-CN"/>
        </w:rPr>
        <w:t>6水环境影响评价</w:t>
      </w:r>
      <w:bookmarkEnd w:id="305"/>
    </w:p>
    <w:p w14:paraId="67F9F961">
      <w:pPr>
        <w:pStyle w:val="3"/>
        <w:rPr>
          <w:lang w:eastAsia="zh-CN"/>
        </w:rPr>
      </w:pPr>
      <w:bookmarkStart w:id="307" w:name="_Toc408413981"/>
      <w:r>
        <w:rPr>
          <w:lang w:eastAsia="zh-CN"/>
        </w:rPr>
        <w:t>6.1</w:t>
      </w:r>
      <w:r>
        <w:rPr>
          <w:rFonts w:hint="eastAsia"/>
          <w:lang w:eastAsia="zh-CN"/>
        </w:rPr>
        <w:t>地表水环境影响评价</w:t>
      </w:r>
      <w:bookmarkEnd w:id="307"/>
    </w:p>
    <w:p w14:paraId="5D63BFDC">
      <w:pPr>
        <w:pStyle w:val="4"/>
        <w:rPr>
          <w:lang w:eastAsia="zh-CN"/>
        </w:rPr>
      </w:pPr>
      <w:bookmarkStart w:id="308" w:name="_Toc408413982"/>
      <w:r>
        <w:rPr>
          <w:lang w:eastAsia="zh-CN"/>
        </w:rPr>
        <w:t>6.1.1</w:t>
      </w:r>
      <w:r>
        <w:rPr>
          <w:rFonts w:hint="eastAsia"/>
          <w:lang w:eastAsia="zh-CN"/>
        </w:rPr>
        <w:t>地表水环境影响分析</w:t>
      </w:r>
      <w:bookmarkEnd w:id="308"/>
    </w:p>
    <w:p w14:paraId="13DF44BB">
      <w:pPr>
        <w:widowControl/>
        <w:tabs>
          <w:tab w:val="left" w:pos="120"/>
        </w:tabs>
        <w:snapToGrid w:val="0"/>
        <w:ind w:firstLine="480"/>
        <w:jc w:val="left"/>
        <w:rPr>
          <w:rFonts w:asciiTheme="minorEastAsia" w:hAnsiTheme="minorEastAsia" w:eastAsiaTheme="minorEastAsia"/>
          <w:lang w:eastAsia="zh-CN"/>
        </w:rPr>
      </w:pPr>
      <w:r>
        <w:rPr>
          <w:rFonts w:hint="eastAsia" w:asciiTheme="minorEastAsia" w:hAnsiTheme="minorEastAsia" w:eastAsiaTheme="minorEastAsia"/>
          <w:lang w:eastAsia="zh-CN"/>
        </w:rPr>
        <w:t>根据工程分析，乌里雅斯太油田生产过程中产生的废水主要为含油废水、生活污水。</w:t>
      </w:r>
      <w:r>
        <w:rPr>
          <w:rFonts w:asciiTheme="minorEastAsia" w:hAnsiTheme="minorEastAsia" w:eastAsiaTheme="minorEastAsia"/>
          <w:lang w:eastAsia="zh-CN"/>
        </w:rPr>
        <w:t>含油废水经污水处理系统处理后达到《碎屑岩油藏注水水质推荐指标及分析方法》(SY/T5329-2012)中的标准要求，然后回注地层</w:t>
      </w:r>
      <w:r>
        <w:rPr>
          <w:rFonts w:hint="eastAsia" w:asciiTheme="minorEastAsia" w:hAnsiTheme="minorEastAsia" w:eastAsiaTheme="minorEastAsia"/>
          <w:lang w:eastAsia="zh-CN"/>
        </w:rPr>
        <w:t>，不外排</w:t>
      </w:r>
      <w:r>
        <w:rPr>
          <w:rFonts w:asciiTheme="minorEastAsia" w:hAnsiTheme="minorEastAsia" w:eastAsiaTheme="minorEastAsia"/>
          <w:lang w:eastAsia="zh-CN"/>
        </w:rPr>
        <w:t>。生活污水经</w:t>
      </w:r>
      <w:r>
        <w:rPr>
          <w:rFonts w:hint="eastAsia" w:asciiTheme="minorEastAsia" w:hAnsiTheme="minorEastAsia" w:eastAsiaTheme="minorEastAsia"/>
          <w:lang w:eastAsia="zh-CN"/>
        </w:rPr>
        <w:t>地埋式一体化污水处理设施处理后进入</w:t>
      </w:r>
      <w:r>
        <w:rPr>
          <w:rFonts w:asciiTheme="minorEastAsia" w:hAnsiTheme="minorEastAsia" w:eastAsiaTheme="minorEastAsia"/>
          <w:lang w:eastAsia="zh-CN"/>
        </w:rPr>
        <w:t>蒸发池</w:t>
      </w:r>
      <w:r>
        <w:rPr>
          <w:rFonts w:hint="eastAsia" w:asciiTheme="minorEastAsia" w:hAnsiTheme="minorEastAsia" w:eastAsiaTheme="minorEastAsia"/>
          <w:lang w:eastAsia="zh-CN"/>
        </w:rPr>
        <w:t>储存，</w:t>
      </w:r>
      <w:r>
        <w:rPr>
          <w:rFonts w:asciiTheme="minorEastAsia" w:hAnsiTheme="minorEastAsia" w:eastAsiaTheme="minorEastAsia"/>
          <w:lang w:eastAsia="zh-CN"/>
        </w:rPr>
        <w:t>部分用于绿化，部分用于洒水</w:t>
      </w:r>
      <w:r>
        <w:rPr>
          <w:rFonts w:hint="eastAsia" w:asciiTheme="minorEastAsia" w:hAnsiTheme="minorEastAsia" w:eastAsiaTheme="minorEastAsia"/>
          <w:lang w:eastAsia="zh-CN"/>
        </w:rPr>
        <w:t>抑尘，不外排</w:t>
      </w:r>
      <w:r>
        <w:rPr>
          <w:rFonts w:asciiTheme="minorEastAsia" w:hAnsiTheme="minorEastAsia" w:eastAsiaTheme="minorEastAsia"/>
          <w:lang w:eastAsia="zh-CN"/>
        </w:rPr>
        <w:t>。据现场调查，</w:t>
      </w:r>
      <w:r>
        <w:rPr>
          <w:rFonts w:hint="eastAsia" w:asciiTheme="minorEastAsia" w:hAnsiTheme="minorEastAsia" w:eastAsiaTheme="minorEastAsia"/>
          <w:lang w:eastAsia="zh-CN"/>
        </w:rPr>
        <w:t>项目评价范围内没有长年地表河流，项目的建设运营不会对地表水产生影响，</w:t>
      </w:r>
      <w:r>
        <w:rPr>
          <w:rFonts w:asciiTheme="minorEastAsia" w:hAnsiTheme="minorEastAsia" w:eastAsiaTheme="minorEastAsia"/>
          <w:lang w:eastAsia="zh-CN"/>
        </w:rPr>
        <w:t>因此本项目</w:t>
      </w:r>
      <w:r>
        <w:rPr>
          <w:rFonts w:hint="eastAsia" w:asciiTheme="minorEastAsia" w:hAnsiTheme="minorEastAsia" w:eastAsiaTheme="minorEastAsia"/>
          <w:lang w:eastAsia="zh-CN"/>
        </w:rPr>
        <w:t>地表水环境影响评价只做简单的分析。</w:t>
      </w:r>
    </w:p>
    <w:p w14:paraId="17D3B4D7">
      <w:pPr>
        <w:pStyle w:val="4"/>
        <w:rPr>
          <w:lang w:eastAsia="zh-CN"/>
        </w:rPr>
      </w:pPr>
      <w:bookmarkStart w:id="309" w:name="_Toc408413983"/>
      <w:r>
        <w:rPr>
          <w:lang w:eastAsia="zh-CN"/>
        </w:rPr>
        <w:t>6.1.</w:t>
      </w:r>
      <w:r>
        <w:rPr>
          <w:rFonts w:hint="eastAsia"/>
          <w:lang w:eastAsia="zh-CN"/>
        </w:rPr>
        <w:t>2地表水环境影响防治措施</w:t>
      </w:r>
      <w:bookmarkEnd w:id="309"/>
    </w:p>
    <w:p w14:paraId="716DDDAF">
      <w:pPr>
        <w:widowControl/>
        <w:tabs>
          <w:tab w:val="left" w:pos="120"/>
        </w:tabs>
        <w:snapToGrid w:val="0"/>
        <w:ind w:firstLine="480"/>
        <w:jc w:val="left"/>
        <w:rPr>
          <w:rFonts w:asciiTheme="minorEastAsia" w:hAnsiTheme="minorEastAsia" w:eastAsiaTheme="minorEastAsia"/>
          <w:lang w:eastAsia="zh-CN"/>
        </w:rPr>
      </w:pPr>
      <w:r>
        <w:rPr>
          <w:rFonts w:hint="eastAsia" w:asciiTheme="minorEastAsia" w:hAnsiTheme="minorEastAsia" w:eastAsiaTheme="minorEastAsia"/>
          <w:lang w:eastAsia="zh-CN"/>
        </w:rPr>
        <w:t>雅斯联合站扩建工程施工期产生的</w:t>
      </w:r>
      <w:r>
        <w:rPr>
          <w:rFonts w:asciiTheme="minorEastAsia" w:hAnsiTheme="minorEastAsia" w:eastAsiaTheme="minorEastAsia"/>
          <w:lang w:eastAsia="zh-CN"/>
        </w:rPr>
        <w:t>施工废水主要</w:t>
      </w:r>
      <w:r>
        <w:rPr>
          <w:rFonts w:hint="eastAsia" w:asciiTheme="minorEastAsia" w:hAnsiTheme="minorEastAsia" w:eastAsiaTheme="minorEastAsia"/>
          <w:lang w:eastAsia="zh-CN"/>
        </w:rPr>
        <w:t>污染物为SS</w:t>
      </w:r>
      <w:r>
        <w:rPr>
          <w:rFonts w:asciiTheme="minorEastAsia" w:hAnsiTheme="minorEastAsia" w:eastAsiaTheme="minorEastAsia"/>
          <w:lang w:eastAsia="zh-CN"/>
        </w:rPr>
        <w:t>，在采取</w:t>
      </w:r>
      <w:r>
        <w:rPr>
          <w:rFonts w:hint="eastAsia" w:asciiTheme="minorEastAsia" w:hAnsiTheme="minorEastAsia" w:eastAsiaTheme="minorEastAsia"/>
          <w:lang w:eastAsia="zh-CN"/>
        </w:rPr>
        <w:t>沉淀池沉淀</w:t>
      </w:r>
      <w:r>
        <w:rPr>
          <w:rFonts w:asciiTheme="minorEastAsia" w:hAnsiTheme="minorEastAsia" w:eastAsiaTheme="minorEastAsia"/>
          <w:lang w:eastAsia="zh-CN"/>
        </w:rPr>
        <w:t>处理后，可全部回用于施工过程，</w:t>
      </w:r>
      <w:r>
        <w:rPr>
          <w:rFonts w:hint="eastAsia" w:asciiTheme="minorEastAsia" w:hAnsiTheme="minorEastAsia" w:eastAsiaTheme="minorEastAsia"/>
          <w:lang w:eastAsia="zh-CN"/>
        </w:rPr>
        <w:t>不外排；</w:t>
      </w:r>
      <w:r>
        <w:rPr>
          <w:rFonts w:asciiTheme="minorEastAsia" w:hAnsiTheme="minorEastAsia" w:eastAsiaTheme="minorEastAsia"/>
          <w:lang w:eastAsia="zh-CN"/>
        </w:rPr>
        <w:t>施工人员生活污水经</w:t>
      </w:r>
      <w:r>
        <w:rPr>
          <w:rFonts w:hint="eastAsia" w:asciiTheme="minorEastAsia" w:hAnsiTheme="minorEastAsia" w:eastAsiaTheme="minorEastAsia"/>
          <w:lang w:eastAsia="zh-CN"/>
        </w:rPr>
        <w:t>沉淀</w:t>
      </w:r>
      <w:r>
        <w:rPr>
          <w:rFonts w:asciiTheme="minorEastAsia" w:hAnsiTheme="minorEastAsia" w:eastAsiaTheme="minorEastAsia"/>
          <w:lang w:eastAsia="zh-CN"/>
        </w:rPr>
        <w:t>处理后</w:t>
      </w:r>
      <w:r>
        <w:rPr>
          <w:rFonts w:hint="eastAsia" w:asciiTheme="minorEastAsia" w:hAnsiTheme="minorEastAsia" w:eastAsiaTheme="minorEastAsia"/>
          <w:lang w:eastAsia="zh-CN"/>
        </w:rPr>
        <w:t>排入现有的雅—站污水蒸发池，</w:t>
      </w:r>
      <w:r>
        <w:rPr>
          <w:rFonts w:asciiTheme="minorEastAsia" w:hAnsiTheme="minorEastAsia" w:eastAsiaTheme="minorEastAsia"/>
          <w:lang w:eastAsia="zh-CN"/>
        </w:rPr>
        <w:t>用于</w:t>
      </w:r>
      <w:r>
        <w:rPr>
          <w:rFonts w:hint="eastAsia" w:asciiTheme="minorEastAsia" w:hAnsiTheme="minorEastAsia" w:eastAsiaTheme="minorEastAsia"/>
          <w:lang w:eastAsia="zh-CN"/>
        </w:rPr>
        <w:t>绿化或者洒水降尘</w:t>
      </w:r>
      <w:r>
        <w:rPr>
          <w:rFonts w:asciiTheme="minorEastAsia" w:hAnsiTheme="minorEastAsia" w:eastAsiaTheme="minorEastAsia"/>
          <w:lang w:eastAsia="zh-CN"/>
        </w:rPr>
        <w:t>，</w:t>
      </w:r>
      <w:r>
        <w:rPr>
          <w:rFonts w:hint="eastAsia" w:asciiTheme="minorEastAsia" w:hAnsiTheme="minorEastAsia" w:eastAsiaTheme="minorEastAsia"/>
          <w:lang w:eastAsia="zh-CN"/>
        </w:rPr>
        <w:t>不外排。施工期产生的废水</w:t>
      </w:r>
      <w:r>
        <w:rPr>
          <w:rFonts w:asciiTheme="minorEastAsia" w:hAnsiTheme="minorEastAsia" w:eastAsiaTheme="minorEastAsia"/>
          <w:lang w:eastAsia="zh-CN"/>
        </w:rPr>
        <w:t>对环境</w:t>
      </w:r>
      <w:r>
        <w:rPr>
          <w:rFonts w:hint="eastAsia" w:asciiTheme="minorEastAsia" w:hAnsiTheme="minorEastAsia" w:eastAsiaTheme="minorEastAsia"/>
          <w:lang w:eastAsia="zh-CN"/>
        </w:rPr>
        <w:t>的</w:t>
      </w:r>
      <w:r>
        <w:rPr>
          <w:rFonts w:asciiTheme="minorEastAsia" w:hAnsiTheme="minorEastAsia" w:eastAsiaTheme="minorEastAsia"/>
          <w:lang w:eastAsia="zh-CN"/>
        </w:rPr>
        <w:t>影响</w:t>
      </w:r>
      <w:r>
        <w:rPr>
          <w:rFonts w:hint="eastAsia" w:asciiTheme="minorEastAsia" w:hAnsiTheme="minorEastAsia" w:eastAsiaTheme="minorEastAsia"/>
          <w:lang w:eastAsia="zh-CN"/>
        </w:rPr>
        <w:t>较小</w:t>
      </w:r>
      <w:r>
        <w:rPr>
          <w:rFonts w:asciiTheme="minorEastAsia" w:hAnsiTheme="minorEastAsia" w:eastAsiaTheme="minorEastAsia"/>
          <w:lang w:eastAsia="zh-CN"/>
        </w:rPr>
        <w:t>。</w:t>
      </w:r>
    </w:p>
    <w:p w14:paraId="49929B76">
      <w:pPr>
        <w:widowControl/>
        <w:tabs>
          <w:tab w:val="left" w:pos="120"/>
        </w:tabs>
        <w:snapToGrid w:val="0"/>
        <w:ind w:firstLine="480"/>
        <w:jc w:val="left"/>
        <w:rPr>
          <w:rFonts w:asciiTheme="minorEastAsia" w:hAnsiTheme="minorEastAsia" w:eastAsiaTheme="minorEastAsia"/>
          <w:lang w:eastAsia="zh-CN"/>
        </w:rPr>
      </w:pPr>
      <w:r>
        <w:rPr>
          <w:rFonts w:hint="eastAsia" w:asciiTheme="minorEastAsia" w:hAnsiTheme="minorEastAsia" w:eastAsiaTheme="minorEastAsia"/>
          <w:lang w:eastAsia="zh-CN"/>
        </w:rPr>
        <w:t>油田运营期产生的含油废水，经收集进入雅斯联合站</w:t>
      </w:r>
      <w:r>
        <w:rPr>
          <w:rFonts w:asciiTheme="minorEastAsia" w:hAnsiTheme="minorEastAsia" w:eastAsiaTheme="minorEastAsia"/>
          <w:lang w:eastAsia="zh-CN"/>
        </w:rPr>
        <w:t>分离器分离的污水经除油</w:t>
      </w:r>
      <w:r>
        <w:rPr>
          <w:rFonts w:hint="eastAsia" w:asciiTheme="minorEastAsia" w:hAnsiTheme="minorEastAsia" w:eastAsiaTheme="minorEastAsia"/>
          <w:lang w:eastAsia="zh-CN"/>
        </w:rPr>
        <w:t>调节</w:t>
      </w:r>
      <w:r>
        <w:rPr>
          <w:rFonts w:asciiTheme="minorEastAsia" w:hAnsiTheme="minorEastAsia" w:eastAsiaTheme="minorEastAsia"/>
          <w:lang w:eastAsia="zh-CN"/>
        </w:rPr>
        <w:t>罐降低污油含量后，进入</w:t>
      </w:r>
      <w:r>
        <w:rPr>
          <w:rFonts w:hint="eastAsia" w:asciiTheme="minorEastAsia" w:hAnsiTheme="minorEastAsia" w:eastAsiaTheme="minorEastAsia"/>
          <w:lang w:eastAsia="zh-CN"/>
        </w:rPr>
        <w:t>调节池</w:t>
      </w:r>
      <w:r>
        <w:rPr>
          <w:rFonts w:asciiTheme="minorEastAsia" w:hAnsiTheme="minorEastAsia" w:eastAsiaTheme="minorEastAsia"/>
          <w:lang w:eastAsia="zh-CN"/>
        </w:rPr>
        <w:t>，经微生物降解污水中的油、有机物，</w:t>
      </w:r>
      <w:r>
        <w:rPr>
          <w:rFonts w:hint="eastAsia" w:asciiTheme="minorEastAsia" w:hAnsiTheme="minorEastAsia" w:eastAsiaTheme="minorEastAsia"/>
          <w:lang w:eastAsia="zh-CN"/>
        </w:rPr>
        <w:t>经过进一步的沉降处理，</w:t>
      </w:r>
      <w:r>
        <w:rPr>
          <w:rFonts w:asciiTheme="minorEastAsia" w:hAnsiTheme="minorEastAsia" w:eastAsiaTheme="minorEastAsia"/>
          <w:lang w:eastAsia="zh-CN"/>
        </w:rPr>
        <w:t>经</w:t>
      </w:r>
      <w:r>
        <w:rPr>
          <w:rFonts w:hint="eastAsia" w:asciiTheme="minorEastAsia" w:hAnsiTheme="minorEastAsia" w:eastAsiaTheme="minorEastAsia"/>
          <w:lang w:eastAsia="zh-CN"/>
        </w:rPr>
        <w:t>膜处理装置处理，</w:t>
      </w:r>
      <w:r>
        <w:rPr>
          <w:rFonts w:asciiTheme="minorEastAsia" w:hAnsiTheme="minorEastAsia" w:eastAsiaTheme="minorEastAsia"/>
          <w:lang w:eastAsia="zh-CN"/>
        </w:rPr>
        <w:t>达到注水水质标准，进入污水储罐后由</w:t>
      </w:r>
      <w:r>
        <w:rPr>
          <w:rFonts w:hint="eastAsia" w:asciiTheme="minorEastAsia" w:hAnsiTheme="minorEastAsia" w:eastAsiaTheme="minorEastAsia"/>
          <w:lang w:eastAsia="zh-CN"/>
        </w:rPr>
        <w:t>喂</w:t>
      </w:r>
      <w:r>
        <w:rPr>
          <w:rFonts w:asciiTheme="minorEastAsia" w:hAnsiTheme="minorEastAsia" w:eastAsiaTheme="minorEastAsia"/>
          <w:lang w:eastAsia="zh-CN"/>
        </w:rPr>
        <w:t>水泵回注地层。</w:t>
      </w:r>
      <w:r>
        <w:rPr>
          <w:rFonts w:hint="eastAsia" w:asciiTheme="minorEastAsia" w:hAnsiTheme="minorEastAsia" w:eastAsiaTheme="minorEastAsia"/>
          <w:lang w:eastAsia="zh-CN"/>
        </w:rPr>
        <w:t>油田运营期产生的含油废水经过处理达标后回注地层，不对外排放。</w:t>
      </w:r>
      <w:r>
        <w:rPr>
          <w:rFonts w:asciiTheme="minorEastAsia" w:hAnsiTheme="minorEastAsia" w:eastAsiaTheme="minorEastAsia"/>
          <w:lang w:eastAsia="zh-CN"/>
        </w:rPr>
        <w:t>生活污水经</w:t>
      </w:r>
      <w:r>
        <w:rPr>
          <w:rFonts w:hint="eastAsia" w:asciiTheme="minorEastAsia" w:hAnsiTheme="minorEastAsia" w:eastAsiaTheme="minorEastAsia"/>
          <w:lang w:eastAsia="zh-CN"/>
        </w:rPr>
        <w:t>地埋式一体化污水处理设施处理后进入</w:t>
      </w:r>
      <w:r>
        <w:rPr>
          <w:rFonts w:asciiTheme="minorEastAsia" w:hAnsiTheme="minorEastAsia" w:eastAsiaTheme="minorEastAsia"/>
          <w:lang w:eastAsia="zh-CN"/>
        </w:rPr>
        <w:t>蒸发池</w:t>
      </w:r>
      <w:r>
        <w:rPr>
          <w:rFonts w:hint="eastAsia" w:asciiTheme="minorEastAsia" w:hAnsiTheme="minorEastAsia" w:eastAsiaTheme="minorEastAsia"/>
          <w:lang w:eastAsia="zh-CN"/>
        </w:rPr>
        <w:t>储存，</w:t>
      </w:r>
      <w:r>
        <w:rPr>
          <w:rFonts w:asciiTheme="minorEastAsia" w:hAnsiTheme="minorEastAsia" w:eastAsiaTheme="minorEastAsia"/>
          <w:lang w:eastAsia="zh-CN"/>
        </w:rPr>
        <w:t>部分用于绿化，部分用于洒水</w:t>
      </w:r>
      <w:r>
        <w:rPr>
          <w:rFonts w:hint="eastAsia" w:asciiTheme="minorEastAsia" w:hAnsiTheme="minorEastAsia" w:eastAsiaTheme="minorEastAsia"/>
          <w:lang w:eastAsia="zh-CN"/>
        </w:rPr>
        <w:t>抑尘，不外排</w:t>
      </w:r>
      <w:r>
        <w:rPr>
          <w:rFonts w:asciiTheme="minorEastAsia" w:hAnsiTheme="minorEastAsia" w:eastAsiaTheme="minorEastAsia"/>
          <w:lang w:eastAsia="zh-CN"/>
        </w:rPr>
        <w:t>。</w:t>
      </w:r>
    </w:p>
    <w:p w14:paraId="130F3BD3">
      <w:pPr>
        <w:widowControl/>
        <w:tabs>
          <w:tab w:val="left" w:pos="120"/>
        </w:tabs>
        <w:snapToGrid w:val="0"/>
        <w:ind w:firstLine="480"/>
        <w:jc w:val="left"/>
        <w:rPr>
          <w:rFonts w:asciiTheme="minorEastAsia" w:hAnsiTheme="minorEastAsia" w:eastAsiaTheme="minorEastAsia"/>
          <w:lang w:eastAsia="zh-CN"/>
        </w:rPr>
      </w:pPr>
      <w:r>
        <w:rPr>
          <w:rFonts w:hint="eastAsia" w:asciiTheme="minorEastAsia" w:hAnsiTheme="minorEastAsia" w:eastAsiaTheme="minorEastAsia"/>
          <w:lang w:eastAsia="zh-CN"/>
        </w:rPr>
        <w:t>乌里雅斯太油田建设营运期产生的生产废水和生活污水，通过处理后，均不外排，油田评价范围内没有长年地表河流，项目的建设运营对地表水环境影响较小。</w:t>
      </w:r>
    </w:p>
    <w:p w14:paraId="6E97A280">
      <w:pPr>
        <w:pStyle w:val="3"/>
        <w:rPr>
          <w:lang w:eastAsia="zh-CN"/>
        </w:rPr>
      </w:pPr>
      <w:bookmarkStart w:id="310" w:name="_Toc408413984"/>
      <w:r>
        <w:rPr>
          <w:lang w:eastAsia="zh-CN"/>
        </w:rPr>
        <w:t>6.</w:t>
      </w:r>
      <w:r>
        <w:rPr>
          <w:rFonts w:hint="eastAsia"/>
          <w:lang w:eastAsia="zh-CN"/>
        </w:rPr>
        <w:t>2地下水环境影响评价</w:t>
      </w:r>
      <w:bookmarkEnd w:id="310"/>
    </w:p>
    <w:bookmarkEnd w:id="306"/>
    <w:p w14:paraId="56DF15DC">
      <w:pPr>
        <w:pStyle w:val="4"/>
        <w:rPr>
          <w:lang w:eastAsia="zh-CN"/>
        </w:rPr>
      </w:pPr>
      <w:bookmarkStart w:id="311" w:name="_Toc338663547"/>
      <w:bookmarkStart w:id="312" w:name="_Toc408413985"/>
      <w:bookmarkStart w:id="313" w:name="_Toc280020081"/>
      <w:bookmarkStart w:id="314" w:name="_Toc279676663"/>
      <w:r>
        <w:rPr>
          <w:lang w:eastAsia="zh-CN"/>
        </w:rPr>
        <w:t>6.</w:t>
      </w:r>
      <w:r>
        <w:rPr>
          <w:rFonts w:hint="eastAsia"/>
          <w:lang w:eastAsia="zh-CN"/>
        </w:rPr>
        <w:t>2</w:t>
      </w:r>
      <w:r>
        <w:rPr>
          <w:lang w:eastAsia="zh-CN"/>
        </w:rPr>
        <w:t>.1水文</w:t>
      </w:r>
      <w:bookmarkEnd w:id="311"/>
      <w:r>
        <w:rPr>
          <w:lang w:eastAsia="zh-CN"/>
        </w:rPr>
        <w:t>地质</w:t>
      </w:r>
      <w:bookmarkEnd w:id="312"/>
    </w:p>
    <w:p w14:paraId="013A31C5">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6.</w:t>
      </w:r>
      <w:r>
        <w:rPr>
          <w:rFonts w:hint="eastAsia" w:asciiTheme="minorEastAsia" w:hAnsiTheme="minorEastAsia" w:eastAsiaTheme="minorEastAsia"/>
          <w:lang w:eastAsia="zh-CN"/>
        </w:rPr>
        <w:t>2</w:t>
      </w:r>
      <w:r>
        <w:rPr>
          <w:rFonts w:asciiTheme="minorEastAsia" w:hAnsiTheme="minorEastAsia" w:eastAsiaTheme="minorEastAsia"/>
          <w:lang w:eastAsia="zh-CN"/>
        </w:rPr>
        <w:t>.1</w:t>
      </w:r>
      <w:r>
        <w:rPr>
          <w:rFonts w:hint="eastAsia" w:asciiTheme="minorEastAsia" w:hAnsiTheme="minorEastAsia" w:eastAsiaTheme="minorEastAsia"/>
          <w:lang w:eastAsia="zh-CN"/>
        </w:rPr>
        <w:t>.1</w:t>
      </w:r>
      <w:r>
        <w:rPr>
          <w:rFonts w:asciiTheme="minorEastAsia" w:hAnsiTheme="minorEastAsia" w:eastAsiaTheme="minorEastAsia"/>
          <w:lang w:eastAsia="zh-CN"/>
        </w:rPr>
        <w:t>区域水文地质</w:t>
      </w:r>
    </w:p>
    <w:p w14:paraId="5DE41A74">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1、区域地形</w:t>
      </w:r>
    </w:p>
    <w:p w14:paraId="1FCD0F5B">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东乌旗地势开阔，波状起状，整个区域分为两个部分，北部为</w:t>
      </w:r>
      <w:r>
        <w:rPr>
          <w:rFonts w:hint="eastAsia" w:asciiTheme="minorEastAsia" w:hAnsiTheme="minorEastAsia" w:eastAsiaTheme="minorEastAsia"/>
          <w:lang w:eastAsia="zh-CN"/>
        </w:rPr>
        <w:t>低</w:t>
      </w:r>
      <w:r>
        <w:rPr>
          <w:rFonts w:asciiTheme="minorEastAsia" w:hAnsiTheme="minorEastAsia" w:eastAsiaTheme="minorEastAsia"/>
          <w:lang w:eastAsia="zh-CN"/>
        </w:rPr>
        <w:t>山丘陵，南部为乌拉盖沉降带的东沉降区-乌拉盖盆地东北边缘，东部靠近大兴安岭，具有山地地貌特征，西部具有内蒙古高原区的低山丘陵特征。因此，区内总的地势是由东北向西南倾斜，地面开阔平坦，起伏不大，景观单调，海拔在855.1～1334.9m之间。最高峰是贺斯格乌拉东北部的乌兰哈达，海拔1334.9m，最低处是乌拉盖河下游西南的河谷平原。全</w:t>
      </w:r>
      <w:r>
        <w:rPr>
          <w:rFonts w:hint="eastAsia" w:asciiTheme="minorEastAsia" w:hAnsiTheme="minorEastAsia" w:eastAsiaTheme="minorEastAsia"/>
          <w:lang w:eastAsia="zh-CN"/>
        </w:rPr>
        <w:t>旗</w:t>
      </w:r>
      <w:r>
        <w:rPr>
          <w:rFonts w:asciiTheme="minorEastAsia" w:hAnsiTheme="minorEastAsia" w:eastAsiaTheme="minorEastAsia"/>
          <w:lang w:eastAsia="zh-CN"/>
        </w:rPr>
        <w:t xml:space="preserve">由低山丘陵、沟谷和平滩地组成，大部分山地和丘陵较平缓。区内低山丘陵与河谷平原多呈NW-SE、NE～SW和WE向叶脉状排列。东北部乌拉盖河以东的中低山区，坡度一般在10-15°地势较为平缓，山顶呈浑圆状，上面覆有薄层砂土。   </w:t>
      </w:r>
    </w:p>
    <w:p w14:paraId="600446E4">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乌拉盖河水系形成了大面积的河流冲积、洪积平原。河谷中有30～50m厚的上新统及全新统的沉积物，组成河谷平原，上游两岸，且主要在东岸有玄武岩陡壁，壁高在20m以上，为玄武岩高台地，呈长条状展布，台地海拔约1000～1300m。</w:t>
      </w:r>
    </w:p>
    <w:p w14:paraId="0B70546D">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在河谷平原的外缘有部分倾斜平原，海拔在850～l 060m之间，呈裙带状展布，主要由上更新统冲洪积中粗砂、砂砾石组成，由山前向河床倾斜，一般左右。</w:t>
      </w:r>
    </w:p>
    <w:p w14:paraId="5A67ED5E">
      <w:pPr>
        <w:widowControl/>
        <w:tabs>
          <w:tab w:val="left" w:pos="120"/>
        </w:tabs>
        <w:snapToGrid w:val="0"/>
        <w:ind w:firstLine="480"/>
        <w:jc w:val="left"/>
        <w:rPr>
          <w:rFonts w:asciiTheme="minorEastAsia" w:hAnsiTheme="minorEastAsia" w:eastAsiaTheme="minorEastAsia"/>
          <w:lang w:eastAsia="zh-CN"/>
        </w:rPr>
      </w:pPr>
      <w:r>
        <w:rPr>
          <w:rFonts w:hint="eastAsia" w:asciiTheme="minorEastAsia" w:hAnsiTheme="minorEastAsia" w:eastAsiaTheme="minorEastAsia"/>
          <w:lang w:eastAsia="zh-CN"/>
        </w:rPr>
        <w:t>全旗</w:t>
      </w:r>
      <w:r>
        <w:rPr>
          <w:rFonts w:asciiTheme="minorEastAsia" w:hAnsiTheme="minorEastAsia" w:eastAsiaTheme="minorEastAsia"/>
          <w:lang w:eastAsia="zh-CN"/>
        </w:rPr>
        <w:t>绝大</w:t>
      </w:r>
      <w:r>
        <w:rPr>
          <w:rFonts w:hint="eastAsia" w:asciiTheme="minorEastAsia" w:hAnsiTheme="minorEastAsia" w:eastAsiaTheme="minorEastAsia"/>
          <w:lang w:eastAsia="zh-CN"/>
        </w:rPr>
        <w:t>部分</w:t>
      </w:r>
      <w:r>
        <w:rPr>
          <w:rFonts w:asciiTheme="minorEastAsia" w:hAnsiTheme="minorEastAsia" w:eastAsiaTheme="minorEastAsia"/>
          <w:lang w:eastAsia="zh-CN"/>
        </w:rPr>
        <w:t>地区属低山丘陵，海拔在868～l000m之间，相对高差为40～1000m。丘陵区冲沟很少，多为宽广平坦的谷地，宽为200～500m，个别较宽，如哈拉盖图农牧场的野猪沟，宽达1000m。丘陵浑圆，风化壳厚，主要由花岗岩、片岩、玄武岩构成，顶峰相差不大。地面组成物质为残积、坡积、碎石、砂砾土层。</w:t>
      </w:r>
    </w:p>
    <w:p w14:paraId="7A854FD5">
      <w:pPr>
        <w:widowControl/>
        <w:tabs>
          <w:tab w:val="left" w:pos="120"/>
        </w:tabs>
        <w:snapToGrid w:val="0"/>
        <w:ind w:firstLine="480"/>
        <w:jc w:val="left"/>
        <w:outlineLvl w:val="0"/>
        <w:rPr>
          <w:rFonts w:asciiTheme="minorEastAsia" w:hAnsiTheme="minorEastAsia" w:eastAsiaTheme="minorEastAsia"/>
          <w:lang w:eastAsia="zh-CN"/>
        </w:rPr>
      </w:pPr>
      <w:r>
        <w:rPr>
          <w:rFonts w:asciiTheme="minorEastAsia" w:hAnsiTheme="minorEastAsia" w:eastAsiaTheme="minorEastAsia"/>
          <w:lang w:eastAsia="zh-CN"/>
        </w:rPr>
        <w:t>2、区域地貌</w:t>
      </w:r>
    </w:p>
    <w:p w14:paraId="28964C56">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东乌旗的地貌以带状结构突出，以丘陵和盆地为主体，河流阶地广泛发育为特色。</w:t>
      </w:r>
    </w:p>
    <w:p w14:paraId="51A88625">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该地区处于大兴安岭山地和内蒙古高原的衔接部位，因内应力和外应力作用的不同，显示了不同的地貌景观。按内外动力地质作用的关系及作用结果，将区内地貌形态划分为五种成因类型，十一种形态类型。</w:t>
      </w:r>
    </w:p>
    <w:p w14:paraId="38CACB94">
      <w:pPr>
        <w:widowControl/>
        <w:tabs>
          <w:tab w:val="left" w:pos="120"/>
        </w:tabs>
        <w:snapToGrid w:val="0"/>
        <w:ind w:firstLine="480"/>
        <w:jc w:val="left"/>
        <w:rPr>
          <w:rFonts w:asciiTheme="minorEastAsia" w:hAnsiTheme="minorEastAsia" w:eastAsiaTheme="minorEastAsia"/>
          <w:lang w:eastAsia="zh-CN"/>
        </w:rPr>
      </w:pPr>
      <w:r>
        <w:rPr>
          <w:rFonts w:hint="eastAsia" w:asciiTheme="minorEastAsia" w:hAnsiTheme="minorEastAsia" w:eastAsiaTheme="minorEastAsia"/>
          <w:lang w:eastAsia="zh-CN"/>
        </w:rPr>
        <w:t>（1）</w:t>
      </w:r>
      <w:r>
        <w:rPr>
          <w:rFonts w:asciiTheme="minorEastAsia" w:hAnsiTheme="minorEastAsia" w:eastAsiaTheme="minorEastAsia"/>
          <w:lang w:eastAsia="zh-CN"/>
        </w:rPr>
        <w:t>剥蚀构造地形(I)</w:t>
      </w:r>
    </w:p>
    <w:p w14:paraId="48064597">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基岩中低山(I 1)</w:t>
      </w:r>
    </w:p>
    <w:p w14:paraId="71714624">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主要分布于乌拉盖河以东，大兴安岭以西，由侏罗系上统火山碎屑岩组成，山顶呈浑圆状、圆顶状及脊状，高程1024～1262m，河谷较为发育，地形较为平缓，坡度一般在10～15°。山顶多有现代河土覆盖，切割深度150～250m。</w:t>
      </w:r>
    </w:p>
    <w:p w14:paraId="370B8B1C">
      <w:pPr>
        <w:widowControl/>
        <w:tabs>
          <w:tab w:val="left" w:pos="120"/>
        </w:tabs>
        <w:snapToGrid w:val="0"/>
        <w:ind w:firstLine="480"/>
        <w:jc w:val="left"/>
        <w:rPr>
          <w:rFonts w:asciiTheme="minorEastAsia" w:hAnsiTheme="minorEastAsia" w:eastAsiaTheme="minorEastAsia"/>
          <w:lang w:eastAsia="zh-CN"/>
        </w:rPr>
      </w:pPr>
      <w:r>
        <w:rPr>
          <w:rFonts w:hint="eastAsia" w:asciiTheme="minorEastAsia" w:hAnsiTheme="minorEastAsia" w:eastAsiaTheme="minorEastAsia"/>
          <w:lang w:eastAsia="zh-CN"/>
        </w:rPr>
        <w:t>（2）</w:t>
      </w:r>
      <w:r>
        <w:rPr>
          <w:rFonts w:asciiTheme="minorEastAsia" w:hAnsiTheme="minorEastAsia" w:eastAsiaTheme="minorEastAsia"/>
          <w:lang w:eastAsia="zh-CN"/>
        </w:rPr>
        <w:t>构造剥蚀地形(</w:t>
      </w:r>
      <w:r>
        <w:rPr>
          <w:rFonts w:hint="eastAsia" w:asciiTheme="minorEastAsia" w:hAnsiTheme="minorEastAsia" w:eastAsiaTheme="minorEastAsia"/>
          <w:lang w:eastAsia="zh-CN"/>
        </w:rPr>
        <w:t>Ⅱ</w:t>
      </w:r>
      <w:r>
        <w:rPr>
          <w:rFonts w:asciiTheme="minorEastAsia" w:hAnsiTheme="minorEastAsia" w:eastAsiaTheme="minorEastAsia"/>
          <w:lang w:eastAsia="zh-CN"/>
        </w:rPr>
        <w:t>)</w:t>
      </w:r>
    </w:p>
    <w:p w14:paraId="60D62E80">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低山丘陵(</w:t>
      </w:r>
      <w:r>
        <w:rPr>
          <w:rFonts w:hint="eastAsia" w:asciiTheme="minorEastAsia" w:hAnsiTheme="minorEastAsia" w:eastAsiaTheme="minorEastAsia"/>
          <w:lang w:eastAsia="zh-CN"/>
        </w:rPr>
        <w:t>Ⅱ</w:t>
      </w:r>
      <w:r>
        <w:rPr>
          <w:rFonts w:asciiTheme="minorEastAsia" w:hAnsiTheme="minorEastAsia" w:eastAsiaTheme="minorEastAsia"/>
          <w:lang w:eastAsia="zh-CN"/>
        </w:rPr>
        <w:t xml:space="preserve">2)  </w:t>
      </w:r>
    </w:p>
    <w:p w14:paraId="4240C0CA">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主要分布在乌拉盖河以西，是内蒙古高原的一部分，由侏罗系上统火山碎屑器系泥盆小碎岩，燕山期海西侵入岩松组成，高程900～1307m，最低侵蚀基准面916.4m，切割深度150～250m，山顶岩石裸露，呈圆顶、平顶及脊状。坡度在局部达500，山坡为直线形或凹形。山脉走向多为N～NE向，沟谷多N～W、向伸延，地形较缓，山顶及山坡植被稀疏，沟谷茂密，为天然优质牧场。</w:t>
      </w:r>
    </w:p>
    <w:p w14:paraId="04720D28">
      <w:pPr>
        <w:widowControl/>
        <w:tabs>
          <w:tab w:val="left" w:pos="120"/>
        </w:tabs>
        <w:snapToGrid w:val="0"/>
        <w:ind w:firstLine="480"/>
        <w:jc w:val="left"/>
        <w:rPr>
          <w:rFonts w:asciiTheme="minorEastAsia" w:hAnsiTheme="minorEastAsia" w:eastAsiaTheme="minorEastAsia"/>
          <w:lang w:eastAsia="zh-CN"/>
        </w:rPr>
      </w:pPr>
      <w:r>
        <w:rPr>
          <w:rFonts w:hint="eastAsia" w:asciiTheme="minorEastAsia" w:hAnsiTheme="minorEastAsia" w:eastAsiaTheme="minorEastAsia"/>
          <w:lang w:eastAsia="zh-CN"/>
        </w:rPr>
        <w:t>（3）</w:t>
      </w:r>
      <w:r>
        <w:rPr>
          <w:rFonts w:asciiTheme="minorEastAsia" w:hAnsiTheme="minorEastAsia" w:eastAsiaTheme="minorEastAsia"/>
          <w:lang w:eastAsia="zh-CN"/>
        </w:rPr>
        <w:t>剥蚀堆积地形(</w:t>
      </w:r>
      <w:r>
        <w:rPr>
          <w:rFonts w:hint="eastAsia" w:asciiTheme="minorEastAsia" w:hAnsiTheme="minorEastAsia" w:eastAsiaTheme="minorEastAsia"/>
          <w:lang w:eastAsia="zh-CN"/>
        </w:rPr>
        <w:t>Ⅲ</w:t>
      </w:r>
      <w:r>
        <w:rPr>
          <w:rFonts w:asciiTheme="minorEastAsia" w:hAnsiTheme="minorEastAsia" w:eastAsiaTheme="minorEastAsia"/>
          <w:lang w:eastAsia="zh-CN"/>
        </w:rPr>
        <w:t>)</w:t>
      </w:r>
    </w:p>
    <w:p w14:paraId="1FE1D41F">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河谷倾斜平原(</w:t>
      </w:r>
      <w:r>
        <w:rPr>
          <w:rFonts w:hint="eastAsia" w:asciiTheme="minorEastAsia" w:hAnsiTheme="minorEastAsia" w:eastAsiaTheme="minorEastAsia"/>
          <w:lang w:eastAsia="zh-CN"/>
        </w:rPr>
        <w:t>Ⅲ</w:t>
      </w:r>
      <w:r>
        <w:rPr>
          <w:rFonts w:asciiTheme="minorEastAsia" w:hAnsiTheme="minorEastAsia" w:eastAsiaTheme="minorEastAsia"/>
          <w:lang w:eastAsia="zh-CN"/>
        </w:rPr>
        <w:t>1)</w:t>
      </w:r>
    </w:p>
    <w:p w14:paraId="583F48B3">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主要分布在乌拉盖河两岸，由上更新统中粗砂、砂砾石组成，由山前微向河一般在3°左右，高程928～1061m。植被茂密，是天然优质草场。</w:t>
      </w:r>
    </w:p>
    <w:p w14:paraId="03BC5389">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沼泽化平原(</w:t>
      </w:r>
      <w:r>
        <w:rPr>
          <w:rFonts w:hint="eastAsia" w:asciiTheme="minorEastAsia" w:hAnsiTheme="minorEastAsia" w:eastAsiaTheme="minorEastAsia"/>
          <w:lang w:eastAsia="zh-CN"/>
        </w:rPr>
        <w:t>Ⅲ</w:t>
      </w:r>
      <w:r>
        <w:rPr>
          <w:rFonts w:asciiTheme="minorEastAsia" w:hAnsiTheme="minorEastAsia" w:eastAsiaTheme="minorEastAsia"/>
          <w:lang w:eastAsia="zh-CN"/>
        </w:rPr>
        <w:t>2)</w:t>
      </w:r>
    </w:p>
    <w:p w14:paraId="36CE3556">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分布于敦德诺尔流域内的中北部各大小湖沼的周边，地势较平坦，由南、北、向中西部倾斜，海拔高程910～950m，相对高差l0～20m，坡度1°～2°。岩性组成为全新统砂质粉土和砂层。植被较发育，地表有轻度盐渍化和沼泽化现象。</w:t>
      </w:r>
    </w:p>
    <w:p w14:paraId="1A93B41F">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山前倾斜平原(</w:t>
      </w:r>
      <w:r>
        <w:rPr>
          <w:rFonts w:hint="eastAsia" w:asciiTheme="minorEastAsia" w:hAnsiTheme="minorEastAsia" w:eastAsiaTheme="minorEastAsia"/>
          <w:lang w:eastAsia="zh-CN"/>
        </w:rPr>
        <w:t>Ⅲ</w:t>
      </w:r>
      <w:r>
        <w:rPr>
          <w:rFonts w:asciiTheme="minorEastAsia" w:hAnsiTheme="minorEastAsia" w:eastAsiaTheme="minorEastAsia"/>
          <w:lang w:eastAsia="zh-CN"/>
        </w:rPr>
        <w:t>3)</w:t>
      </w:r>
    </w:p>
    <w:p w14:paraId="2DD2D4CB">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分布在山区前缘与瓮地接触地带，主要由第四系上更新系统冲洪积砂质粘土、砂及砂砾石组成，地表平坦，微向盆地倾斜，坡度小于10°，高程850～900m。</w:t>
      </w:r>
    </w:p>
    <w:p w14:paraId="3CDEA397">
      <w:pPr>
        <w:widowControl/>
        <w:tabs>
          <w:tab w:val="left" w:pos="120"/>
        </w:tabs>
        <w:snapToGrid w:val="0"/>
        <w:ind w:firstLine="480"/>
        <w:jc w:val="left"/>
        <w:rPr>
          <w:rFonts w:asciiTheme="minorEastAsia" w:hAnsiTheme="minorEastAsia" w:eastAsiaTheme="minorEastAsia"/>
          <w:lang w:eastAsia="zh-CN"/>
        </w:rPr>
      </w:pPr>
      <w:r>
        <w:rPr>
          <w:rFonts w:hint="eastAsia" w:asciiTheme="minorEastAsia" w:hAnsiTheme="minorEastAsia" w:eastAsiaTheme="minorEastAsia"/>
          <w:lang w:eastAsia="zh-CN"/>
        </w:rPr>
        <w:t>（4）</w:t>
      </w:r>
      <w:r>
        <w:rPr>
          <w:rFonts w:asciiTheme="minorEastAsia" w:hAnsiTheme="minorEastAsia" w:eastAsiaTheme="minorEastAsia"/>
          <w:lang w:eastAsia="zh-CN"/>
        </w:rPr>
        <w:t>堆积地形(</w:t>
      </w:r>
      <w:r>
        <w:rPr>
          <w:rFonts w:hint="eastAsia" w:asciiTheme="minorEastAsia" w:hAnsiTheme="minorEastAsia" w:eastAsiaTheme="minorEastAsia"/>
          <w:lang w:eastAsia="zh-CN"/>
        </w:rPr>
        <w:t>Ⅳ</w:t>
      </w:r>
      <w:r>
        <w:rPr>
          <w:rFonts w:asciiTheme="minorEastAsia" w:hAnsiTheme="minorEastAsia" w:eastAsiaTheme="minorEastAsia"/>
          <w:lang w:eastAsia="zh-CN"/>
        </w:rPr>
        <w:t>)</w:t>
      </w:r>
    </w:p>
    <w:p w14:paraId="119E4FD7">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河谷平原(IV1)</w:t>
      </w:r>
    </w:p>
    <w:p w14:paraId="3CC2399F">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主要分布在乌拉盖河与色也勒吉河的河谷地带以及较大支流的沟谷。浑圆的长条线状河谷平原，海拔850～1056m，两冀为山地丘陵区，中间为河谷低洼地带。由全新统冲洪湖积砂砾层、粉细砂、亚砂土及砂质淤泥组成，宽2～5km，一般长40km，上下游倾斜度为10左右，大部分河谷中植被发育较好，草高一般在0.3~1.0m左右，局部草高过人，多为优良牧场。</w:t>
      </w:r>
    </w:p>
    <w:p w14:paraId="49CF1AC2">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枝状沟谷(</w:t>
      </w:r>
      <w:r>
        <w:rPr>
          <w:rFonts w:hint="eastAsia" w:asciiTheme="minorEastAsia" w:hAnsiTheme="minorEastAsia" w:eastAsiaTheme="minorEastAsia"/>
          <w:lang w:eastAsia="zh-CN"/>
        </w:rPr>
        <w:t>Ⅳ</w:t>
      </w:r>
      <w:r>
        <w:rPr>
          <w:rFonts w:asciiTheme="minorEastAsia" w:hAnsiTheme="minorEastAsia" w:eastAsiaTheme="minorEastAsia"/>
          <w:lang w:eastAsia="zh-CN"/>
        </w:rPr>
        <w:t>2)</w:t>
      </w:r>
    </w:p>
    <w:p w14:paraId="4CECC3F3">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主要分布在乌拉盖河与色也勒吉河的上游及两岸沟谷，由第四系上更新统坡及全新统冲洪积的黄沙土、砂砾石、亚砂土和亚粘土组成。谷坡多呈直线或融形，坡度20°～30°表面平坦，谷长一般大于10km，宽小于2km，由上游微向下倾斜，地面坡度1°～2°，表面植被茂密，是区内优良牧场。</w:t>
      </w:r>
    </w:p>
    <w:p w14:paraId="22B3A3D6">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垄岗状砂丘(</w:t>
      </w:r>
      <w:r>
        <w:rPr>
          <w:rFonts w:hint="eastAsia" w:asciiTheme="minorEastAsia" w:hAnsiTheme="minorEastAsia" w:eastAsiaTheme="minorEastAsia"/>
          <w:lang w:eastAsia="zh-CN"/>
        </w:rPr>
        <w:t>Ⅳ</w:t>
      </w:r>
      <w:r>
        <w:rPr>
          <w:rFonts w:asciiTheme="minorEastAsia" w:hAnsiTheme="minorEastAsia" w:eastAsiaTheme="minorEastAsia"/>
          <w:lang w:eastAsia="zh-CN"/>
        </w:rPr>
        <w:t>3)</w:t>
      </w:r>
    </w:p>
    <w:p w14:paraId="33D984C6">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分布在沙系沟，由全新统风成细砂组成。呈NE～SW向长条展布，低地多生长育柳条、芦苇等植被。</w:t>
      </w:r>
    </w:p>
    <w:p w14:paraId="17334C52">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湖沼洼地(</w:t>
      </w:r>
      <w:r>
        <w:rPr>
          <w:rFonts w:hint="eastAsia" w:asciiTheme="minorEastAsia" w:hAnsiTheme="minorEastAsia" w:eastAsiaTheme="minorEastAsia"/>
          <w:lang w:eastAsia="zh-CN"/>
        </w:rPr>
        <w:t>Ⅳ</w:t>
      </w:r>
      <w:r>
        <w:rPr>
          <w:rFonts w:asciiTheme="minorEastAsia" w:hAnsiTheme="minorEastAsia" w:eastAsiaTheme="minorEastAsia"/>
          <w:lang w:eastAsia="zh-CN"/>
        </w:rPr>
        <w:t>4)</w:t>
      </w:r>
    </w:p>
    <w:p w14:paraId="7221C19B">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分布在乌拉盖河及色也勒吉河沿岸低洼地带，由全新统湖泊相粘性土及粉细，洼地内植被稀疏，在中心部一般均有季节性积水洼地。</w:t>
      </w:r>
    </w:p>
    <w:p w14:paraId="7E82ECDB">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水碛台地(</w:t>
      </w:r>
      <w:r>
        <w:rPr>
          <w:rFonts w:hint="eastAsia" w:asciiTheme="minorEastAsia" w:hAnsiTheme="minorEastAsia" w:eastAsiaTheme="minorEastAsia"/>
          <w:lang w:eastAsia="zh-CN"/>
        </w:rPr>
        <w:t>Ⅳ</w:t>
      </w:r>
      <w:r>
        <w:rPr>
          <w:rFonts w:asciiTheme="minorEastAsia" w:hAnsiTheme="minorEastAsia" w:eastAsiaTheme="minorEastAsia"/>
          <w:lang w:eastAsia="zh-CN"/>
        </w:rPr>
        <w:t>5)</w:t>
      </w:r>
    </w:p>
    <w:p w14:paraId="1FAC0433">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零星分布在乌拉盖河中下游沿岸，面积45km，大部分在哈拉盖图牧场、乌拉盖牧场境内乌拉盖河左岸，一般高程890～900m，主要由下更新统水碛泥砾组成，台缘与河谷平原的坡角10°</w:t>
      </w:r>
      <w:r>
        <w:rPr>
          <w:rFonts w:hint="eastAsia" w:asciiTheme="minorEastAsia" w:hAnsiTheme="minorEastAsia" w:eastAsiaTheme="minorEastAsia"/>
          <w:lang w:eastAsia="zh-CN"/>
        </w:rPr>
        <w:t>～</w:t>
      </w:r>
      <w:r>
        <w:rPr>
          <w:rFonts w:asciiTheme="minorEastAsia" w:hAnsiTheme="minorEastAsia" w:eastAsiaTheme="minorEastAsia"/>
          <w:lang w:eastAsia="zh-CN"/>
        </w:rPr>
        <w:t>15°，植被较稀疏。</w:t>
      </w:r>
    </w:p>
    <w:p w14:paraId="0A69645E">
      <w:pPr>
        <w:widowControl/>
        <w:tabs>
          <w:tab w:val="left" w:pos="120"/>
        </w:tabs>
        <w:snapToGrid w:val="0"/>
        <w:ind w:firstLine="480"/>
        <w:jc w:val="left"/>
        <w:rPr>
          <w:rFonts w:asciiTheme="minorEastAsia" w:hAnsiTheme="minorEastAsia" w:eastAsiaTheme="minorEastAsia"/>
          <w:lang w:eastAsia="zh-CN"/>
        </w:rPr>
      </w:pPr>
      <w:r>
        <w:rPr>
          <w:rFonts w:hint="eastAsia" w:asciiTheme="minorEastAsia" w:hAnsiTheme="minorEastAsia" w:eastAsiaTheme="minorEastAsia"/>
          <w:lang w:eastAsia="zh-CN"/>
        </w:rPr>
        <w:t>（5）</w:t>
      </w:r>
      <w:r>
        <w:rPr>
          <w:rFonts w:asciiTheme="minorEastAsia" w:hAnsiTheme="minorEastAsia" w:eastAsiaTheme="minorEastAsia"/>
          <w:lang w:eastAsia="zh-CN"/>
        </w:rPr>
        <w:t>熔岩地形(V)</w:t>
      </w:r>
    </w:p>
    <w:p w14:paraId="26ED6318">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主要分布在乌拉盖河两侧，呈长条状分布，由上更新统、早更新统气孔状玄武岩组成，微向南倾斜，台面高程1000～1300m。</w:t>
      </w:r>
    </w:p>
    <w:p w14:paraId="0996EF57">
      <w:pPr>
        <w:widowControl/>
        <w:tabs>
          <w:tab w:val="left" w:pos="120"/>
        </w:tabs>
        <w:snapToGrid w:val="0"/>
        <w:ind w:firstLine="480"/>
        <w:jc w:val="left"/>
        <w:outlineLvl w:val="0"/>
        <w:rPr>
          <w:rFonts w:asciiTheme="minorEastAsia" w:hAnsiTheme="minorEastAsia" w:eastAsiaTheme="minorEastAsia"/>
          <w:lang w:eastAsia="zh-CN"/>
        </w:rPr>
      </w:pPr>
      <w:r>
        <w:rPr>
          <w:rFonts w:asciiTheme="minorEastAsia" w:hAnsiTheme="minorEastAsia" w:eastAsiaTheme="minorEastAsia"/>
          <w:lang w:eastAsia="zh-CN"/>
        </w:rPr>
        <w:t>3、地下水资源分布</w:t>
      </w:r>
    </w:p>
    <w:p w14:paraId="3228E4A1">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地下水资源主要分布在低山丘陵区、丘间盆地和乌拉盖盆地，现分述如下：</w:t>
      </w:r>
    </w:p>
    <w:p w14:paraId="48163477">
      <w:pPr>
        <w:widowControl/>
        <w:tabs>
          <w:tab w:val="left" w:pos="120"/>
        </w:tabs>
        <w:snapToGrid w:val="0"/>
        <w:ind w:firstLine="480"/>
        <w:jc w:val="left"/>
        <w:outlineLvl w:val="0"/>
        <w:rPr>
          <w:rFonts w:asciiTheme="minorEastAsia" w:hAnsiTheme="minorEastAsia" w:eastAsiaTheme="minorEastAsia"/>
          <w:lang w:eastAsia="zh-CN"/>
        </w:rPr>
      </w:pPr>
      <w:r>
        <w:rPr>
          <w:rFonts w:hint="eastAsia" w:asciiTheme="minorEastAsia" w:hAnsiTheme="minorEastAsia" w:eastAsiaTheme="minorEastAsia"/>
          <w:lang w:eastAsia="zh-CN"/>
        </w:rPr>
        <w:t>（1）</w:t>
      </w:r>
      <w:r>
        <w:rPr>
          <w:rFonts w:asciiTheme="minorEastAsia" w:hAnsiTheme="minorEastAsia" w:eastAsiaTheme="minorEastAsia"/>
          <w:lang w:eastAsia="zh-CN"/>
        </w:rPr>
        <w:t>低山丘陵区</w:t>
      </w:r>
    </w:p>
    <w:p w14:paraId="1334D283">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低山丘陵区包括努仁查干敖包至宝格达山一带低山丘陵和北部沿国界线一带的丘陵地带。前者为上侏罗统中酸性火山岩裂隙潜水及承压水，富水性好，水位埋深小于70m，单井最大出水量可达50m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/h(8寸口径，下同)，水质良好，矿化度小于1g/L，后者为古生界变质岩和花岗岩裂隙潜水及承压水，富水性差，水位埋深变化大，单井出水量小于110 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/h，矿化度小于1g/L。</w:t>
      </w:r>
    </w:p>
    <w:p w14:paraId="489F7586">
      <w:pPr>
        <w:widowControl/>
        <w:tabs>
          <w:tab w:val="left" w:pos="120"/>
        </w:tabs>
        <w:snapToGrid w:val="0"/>
        <w:ind w:firstLine="480"/>
        <w:jc w:val="left"/>
        <w:outlineLvl w:val="0"/>
        <w:rPr>
          <w:rFonts w:asciiTheme="minorEastAsia" w:hAnsiTheme="minorEastAsia" w:eastAsiaTheme="minorEastAsia"/>
          <w:lang w:eastAsia="zh-CN"/>
        </w:rPr>
      </w:pPr>
      <w:r>
        <w:rPr>
          <w:rFonts w:hint="eastAsia" w:asciiTheme="minorEastAsia" w:hAnsiTheme="minorEastAsia" w:eastAsiaTheme="minorEastAsia"/>
          <w:lang w:eastAsia="zh-CN"/>
        </w:rPr>
        <w:t>（2）</w:t>
      </w:r>
      <w:r>
        <w:rPr>
          <w:rFonts w:asciiTheme="minorEastAsia" w:hAnsiTheme="minorEastAsia" w:eastAsiaTheme="minorEastAsia"/>
          <w:lang w:eastAsia="zh-CN"/>
        </w:rPr>
        <w:t>丘间盆地</w:t>
      </w:r>
    </w:p>
    <w:p w14:paraId="0CC45524">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丘间盆地广泛分布于北部丘陵地区，与丘陵相间分布。全新统一上更新统冲洪积孔隙潜水与承压水广泛分布，潜水埋深较浅，甚至溢出地表。水位埋深一般小于10m，单井最大出水量50m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/h，矿化度小于1g/L，亦有全新统湖沼沉积砂岩、砂砾岩孔隙潜水及承压水分布，水位埋深为30～70m，单井最大出水量10～50m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/h，矿化度小于1g/L。</w:t>
      </w:r>
    </w:p>
    <w:p w14:paraId="2D763521">
      <w:pPr>
        <w:widowControl/>
        <w:tabs>
          <w:tab w:val="left" w:pos="120"/>
        </w:tabs>
        <w:snapToGrid w:val="0"/>
        <w:ind w:firstLine="480"/>
        <w:jc w:val="left"/>
        <w:outlineLvl w:val="0"/>
        <w:rPr>
          <w:rFonts w:asciiTheme="minorEastAsia" w:hAnsiTheme="minorEastAsia" w:eastAsiaTheme="minorEastAsia"/>
          <w:lang w:eastAsia="zh-CN"/>
        </w:rPr>
      </w:pPr>
      <w:r>
        <w:rPr>
          <w:rFonts w:hint="eastAsia" w:asciiTheme="minorEastAsia" w:hAnsiTheme="minorEastAsia" w:eastAsiaTheme="minorEastAsia"/>
          <w:lang w:eastAsia="zh-CN"/>
        </w:rPr>
        <w:t>（3）</w:t>
      </w:r>
      <w:r>
        <w:rPr>
          <w:rFonts w:asciiTheme="minorEastAsia" w:hAnsiTheme="minorEastAsia" w:eastAsiaTheme="minorEastAsia"/>
          <w:lang w:eastAsia="zh-CN"/>
        </w:rPr>
        <w:t>乌拉盖盆地</w:t>
      </w:r>
    </w:p>
    <w:p w14:paraId="31FDCAA3">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盆地内广泛分布全新统一上更新统冲湖积砂孔隙潜水及承压水，局部地区有下白垩系砂岩，砂砾岩孔隙潜水发育。沿河谷地带有全新统冲洪积砂、砂卵石孔隙潜水发育，富水性好，水位埋深小于10m，单井出水量50～100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/h，矿化度一般小于1g/L，个别地方可达到1～3g/L。</w:t>
      </w:r>
    </w:p>
    <w:p w14:paraId="7028337C">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6.</w:t>
      </w:r>
      <w:r>
        <w:rPr>
          <w:rFonts w:hint="eastAsia" w:asciiTheme="minorEastAsia" w:hAnsiTheme="minorEastAsia" w:eastAsiaTheme="minorEastAsia"/>
          <w:lang w:eastAsia="zh-CN"/>
        </w:rPr>
        <w:t>2</w:t>
      </w:r>
      <w:r>
        <w:rPr>
          <w:rFonts w:asciiTheme="minorEastAsia" w:hAnsiTheme="minorEastAsia" w:eastAsiaTheme="minorEastAsia"/>
          <w:lang w:eastAsia="zh-CN"/>
        </w:rPr>
        <w:t>.</w:t>
      </w:r>
      <w:r>
        <w:rPr>
          <w:rFonts w:hint="eastAsia" w:asciiTheme="minorEastAsia" w:hAnsiTheme="minorEastAsia" w:eastAsiaTheme="minorEastAsia"/>
          <w:lang w:eastAsia="zh-CN"/>
        </w:rPr>
        <w:t>1.</w:t>
      </w:r>
      <w:r>
        <w:rPr>
          <w:rFonts w:asciiTheme="minorEastAsia" w:hAnsiTheme="minorEastAsia" w:eastAsiaTheme="minorEastAsia"/>
          <w:lang w:eastAsia="zh-CN"/>
        </w:rPr>
        <w:t>2油田水文地质</w:t>
      </w:r>
    </w:p>
    <w:bookmarkEnd w:id="313"/>
    <w:bookmarkEnd w:id="314"/>
    <w:p w14:paraId="56451BF8">
      <w:pPr>
        <w:widowControl/>
        <w:tabs>
          <w:tab w:val="left" w:pos="120"/>
        </w:tabs>
        <w:snapToGrid w:val="0"/>
        <w:ind w:firstLine="480"/>
        <w:jc w:val="left"/>
        <w:rPr>
          <w:rFonts w:asciiTheme="minorEastAsia" w:hAnsiTheme="minorEastAsia" w:eastAsiaTheme="minorEastAsia"/>
          <w:lang w:eastAsia="zh-CN"/>
        </w:rPr>
      </w:pPr>
      <w:bookmarkStart w:id="315" w:name="_Toc279676704"/>
      <w:bookmarkStart w:id="316" w:name="_Toc280020103"/>
      <w:bookmarkStart w:id="317" w:name="_Toc338663553"/>
      <w:r>
        <w:rPr>
          <w:rFonts w:asciiTheme="minorEastAsia" w:hAnsiTheme="minorEastAsia" w:eastAsiaTheme="minorEastAsia"/>
          <w:lang w:eastAsia="zh-CN"/>
        </w:rPr>
        <w:t>1、地质构造</w:t>
      </w:r>
    </w:p>
    <w:p w14:paraId="6B8A3C17">
      <w:pPr>
        <w:widowControl/>
        <w:tabs>
          <w:tab w:val="left" w:pos="120"/>
        </w:tabs>
        <w:snapToGrid w:val="0"/>
        <w:ind w:firstLine="480"/>
        <w:jc w:val="left"/>
        <w:rPr>
          <w:rFonts w:asciiTheme="minorEastAsia" w:hAnsiTheme="minorEastAsia" w:eastAsiaTheme="minorEastAsia"/>
          <w:lang w:eastAsia="zh-CN"/>
        </w:rPr>
      </w:pPr>
      <w:r>
        <w:rPr>
          <w:rFonts w:hint="eastAsia" w:asciiTheme="minorEastAsia" w:hAnsiTheme="minorEastAsia" w:eastAsiaTheme="minorEastAsia"/>
          <w:lang w:eastAsia="zh-CN"/>
        </w:rPr>
        <w:t>油田</w:t>
      </w:r>
      <w:r>
        <w:rPr>
          <w:rFonts w:asciiTheme="minorEastAsia" w:hAnsiTheme="minorEastAsia" w:eastAsiaTheme="minorEastAsia"/>
          <w:lang w:eastAsia="zh-CN"/>
        </w:rPr>
        <w:t>所在区域位于新华夏构造体系的第三沉降区。地表分布有近东向的纬向构造带和西北向分布的华夏式构造带，大部分地区为新华夏构造所切割。</w:t>
      </w:r>
    </w:p>
    <w:p w14:paraId="7002F3D9">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本区各盆地最早形成于中生代的侏罗纪、白垩纪燕山运动时期。晚第三纪以来的构造运动在本区反应强烈，其剧烈的上升、下降和老地层的复活形成了乌拉盖、巴彦都兰等古河道，同时剥蚀夷平作用对近代地貌的形成也起重要作用，总之新构造运动对地下水的影响在本区表现明显。</w:t>
      </w:r>
    </w:p>
    <w:p w14:paraId="7440A655">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本区丘陵山区主要分布古生界地层，主要岩性为安山岩、凝灰岩、凝灰砂质岩等；中生界地层在区内主要为白垩系下统底层，分布于区内的乌拉盖盆地，此类地层上部为第四系松散堆积物覆盖，地表出露少，主要岩性为砂岩、砂砾岩、泥岩、硬砂岩，下限与侏罗系呈角度不整合；新生界地层在本区主要为第四系全新统、上更新统、中更新统，第三系上统。前者在区内的冲洪积、冲积平原内广泛分布，后者主要分布于盆地和高平原地带。</w:t>
      </w:r>
    </w:p>
    <w:p w14:paraId="3AE9099C">
      <w:pPr>
        <w:widowControl/>
        <w:tabs>
          <w:tab w:val="left" w:pos="120"/>
        </w:tabs>
        <w:snapToGrid w:val="0"/>
        <w:ind w:firstLine="480"/>
        <w:jc w:val="left"/>
        <w:outlineLvl w:val="0"/>
        <w:rPr>
          <w:rFonts w:asciiTheme="minorEastAsia" w:hAnsiTheme="minorEastAsia" w:eastAsiaTheme="minorEastAsia"/>
          <w:lang w:eastAsia="zh-CN"/>
        </w:rPr>
      </w:pPr>
      <w:r>
        <w:rPr>
          <w:rFonts w:asciiTheme="minorEastAsia" w:hAnsiTheme="minorEastAsia" w:eastAsiaTheme="minorEastAsia"/>
          <w:lang w:eastAsia="zh-CN"/>
        </w:rPr>
        <w:t>2、地下水类型及含水层特征</w:t>
      </w:r>
    </w:p>
    <w:p w14:paraId="056BE253">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油田区域处于高平原区，本区分布有第三系、白垩系地层，多呈水平分布，第三系洪层沉积在30-100m之上，白垩系灰色岩层沉积在30-</w:t>
      </w:r>
      <w:r>
        <w:rPr>
          <w:rFonts w:hint="eastAsia" w:asciiTheme="minorEastAsia" w:hAnsiTheme="minorEastAsia" w:eastAsiaTheme="minorEastAsia"/>
          <w:lang w:eastAsia="zh-CN"/>
        </w:rPr>
        <w:t>3</w:t>
      </w:r>
      <w:r>
        <w:rPr>
          <w:rFonts w:asciiTheme="minorEastAsia" w:hAnsiTheme="minorEastAsia" w:eastAsiaTheme="minorEastAsia"/>
          <w:lang w:eastAsia="zh-CN"/>
        </w:rPr>
        <w:t>00m之下。第三系、白垩系的砂岩、砂砾岩除下白垩统砂岩固结成岩外，其他均未固结，呈接触式微胶结或完全松散状态，地下水贮存较丰富。下白垩统白彦花组在区内分布范围广，含水层厚度大、颗粒较粗，是主要的含水地层。下白垩统砾岩、裂隙不发育，胶结程度高，含水甚微。枝状沟谷和盆地平原上部分布有第四系松散岩类堆积层，第三系泥岩、砂岩、砂砾岩，地下水类型第四系孔隙水、第三系碎屑岩类孔隙裂隙水。</w:t>
      </w:r>
    </w:p>
    <w:p w14:paraId="31348DE8">
      <w:pPr>
        <w:widowControl/>
        <w:tabs>
          <w:tab w:val="left" w:pos="120"/>
        </w:tabs>
        <w:snapToGrid w:val="0"/>
        <w:ind w:firstLine="480"/>
        <w:jc w:val="left"/>
        <w:outlineLvl w:val="0"/>
        <w:rPr>
          <w:rFonts w:asciiTheme="minorEastAsia" w:hAnsiTheme="minorEastAsia" w:eastAsiaTheme="minorEastAsia"/>
          <w:lang w:eastAsia="zh-CN"/>
        </w:rPr>
      </w:pPr>
      <w:r>
        <w:rPr>
          <w:rFonts w:asciiTheme="minorEastAsia" w:hAnsiTheme="minorEastAsia" w:eastAsiaTheme="minorEastAsia"/>
          <w:lang w:eastAsia="zh-CN"/>
        </w:rPr>
        <w:fldChar w:fldCharType="begin"/>
      </w:r>
      <w:r>
        <w:rPr>
          <w:rFonts w:asciiTheme="minorEastAsia" w:hAnsiTheme="minorEastAsia" w:eastAsiaTheme="minorEastAsia"/>
          <w:lang w:eastAsia="zh-CN"/>
        </w:rPr>
        <w:instrText xml:space="preserve"> = 1 \* GB3 </w:instrText>
      </w:r>
      <w:r>
        <w:rPr>
          <w:rFonts w:asciiTheme="minorEastAsia" w:hAnsiTheme="minorEastAsia" w:eastAsiaTheme="minorEastAsia"/>
          <w:lang w:eastAsia="zh-CN"/>
        </w:rPr>
        <w:fldChar w:fldCharType="separate"/>
      </w:r>
      <w:r>
        <w:rPr>
          <w:rFonts w:hint="eastAsia" w:asciiTheme="minorEastAsia" w:hAnsiTheme="minorEastAsia" w:eastAsiaTheme="minorEastAsia"/>
          <w:lang w:eastAsia="zh-CN"/>
        </w:rPr>
        <w:t>①</w:t>
      </w:r>
      <w:r>
        <w:rPr>
          <w:rFonts w:asciiTheme="minorEastAsia" w:hAnsiTheme="minorEastAsia" w:eastAsiaTheme="minorEastAsia"/>
          <w:lang w:eastAsia="zh-CN"/>
        </w:rPr>
        <w:fldChar w:fldCharType="end"/>
      </w:r>
      <w:r>
        <w:rPr>
          <w:rFonts w:asciiTheme="minorEastAsia" w:hAnsiTheme="minorEastAsia" w:eastAsiaTheme="minorEastAsia"/>
          <w:lang w:eastAsia="zh-CN"/>
        </w:rPr>
        <w:t>第四系松散岩类堆积层孔隙水</w:t>
      </w:r>
    </w:p>
    <w:p w14:paraId="3637A7D9">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第四系孔隙潜水主要分布在山前倾斜平原和沟谷内，含水层一般连续分布。含水层厚度由2m</w:t>
      </w:r>
      <w:r>
        <w:rPr>
          <w:rFonts w:hint="eastAsia" w:asciiTheme="minorEastAsia" w:hAnsiTheme="minorEastAsia" w:eastAsiaTheme="minorEastAsia"/>
          <w:lang w:eastAsia="zh-CN"/>
        </w:rPr>
        <w:t>～</w:t>
      </w:r>
      <w:r>
        <w:rPr>
          <w:rFonts w:asciiTheme="minorEastAsia" w:hAnsiTheme="minorEastAsia" w:eastAsiaTheme="minorEastAsia"/>
          <w:lang w:eastAsia="zh-CN"/>
        </w:rPr>
        <w:t>30m不等，水位埋深小于10m。受地貌、气候、岩性的影响和控制，水量差异大，一般小于1</w:t>
      </w:r>
      <w:r>
        <w:rPr>
          <w:rFonts w:hint="eastAsia" w:asciiTheme="minorEastAsia" w:hAnsiTheme="minorEastAsia" w:eastAsiaTheme="minorEastAsia"/>
          <w:lang w:eastAsia="zh-CN"/>
        </w:rPr>
        <w:t>.0</w:t>
      </w:r>
      <w:r>
        <w:rPr>
          <w:rFonts w:asciiTheme="minorEastAsia" w:hAnsiTheme="minorEastAsia" w:eastAsiaTheme="minorEastAsia"/>
          <w:lang w:eastAsia="zh-CN"/>
        </w:rPr>
        <w:t>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/h。由于迳流畅通、循环快，其水质较好，矿化度小于1g/L，水化学类型为HCO3—CaMg型水。</w:t>
      </w:r>
    </w:p>
    <w:p w14:paraId="0192029B">
      <w:pPr>
        <w:widowControl/>
        <w:tabs>
          <w:tab w:val="left" w:pos="120"/>
        </w:tabs>
        <w:snapToGrid w:val="0"/>
        <w:ind w:firstLine="480"/>
        <w:jc w:val="left"/>
        <w:outlineLvl w:val="0"/>
        <w:rPr>
          <w:rFonts w:asciiTheme="minorEastAsia" w:hAnsiTheme="minorEastAsia" w:eastAsiaTheme="minorEastAsia"/>
          <w:lang w:eastAsia="zh-CN"/>
        </w:rPr>
      </w:pPr>
      <w:r>
        <w:rPr>
          <w:rFonts w:asciiTheme="minorEastAsia" w:hAnsiTheme="minorEastAsia" w:eastAsiaTheme="minorEastAsia"/>
          <w:lang w:eastAsia="zh-CN"/>
        </w:rPr>
        <w:fldChar w:fldCharType="begin"/>
      </w:r>
      <w:r>
        <w:rPr>
          <w:rFonts w:asciiTheme="minorEastAsia" w:hAnsiTheme="minorEastAsia" w:eastAsiaTheme="minorEastAsia"/>
          <w:lang w:eastAsia="zh-CN"/>
        </w:rPr>
        <w:instrText xml:space="preserve"> = 2 \* GB3 </w:instrText>
      </w:r>
      <w:r>
        <w:rPr>
          <w:rFonts w:asciiTheme="minorEastAsia" w:hAnsiTheme="minorEastAsia" w:eastAsiaTheme="minorEastAsia"/>
          <w:lang w:eastAsia="zh-CN"/>
        </w:rPr>
        <w:fldChar w:fldCharType="separate"/>
      </w:r>
      <w:r>
        <w:rPr>
          <w:rFonts w:hint="eastAsia" w:asciiTheme="minorEastAsia" w:hAnsiTheme="minorEastAsia" w:eastAsiaTheme="minorEastAsia"/>
          <w:lang w:eastAsia="zh-CN"/>
        </w:rPr>
        <w:t>②</w:t>
      </w:r>
      <w:r>
        <w:rPr>
          <w:rFonts w:asciiTheme="minorEastAsia" w:hAnsiTheme="minorEastAsia" w:eastAsiaTheme="minorEastAsia"/>
          <w:lang w:eastAsia="zh-CN"/>
        </w:rPr>
        <w:fldChar w:fldCharType="end"/>
      </w:r>
      <w:r>
        <w:rPr>
          <w:rFonts w:asciiTheme="minorEastAsia" w:hAnsiTheme="minorEastAsia" w:eastAsiaTheme="minorEastAsia"/>
          <w:lang w:eastAsia="zh-CN"/>
        </w:rPr>
        <w:t>第三系、白垩系孔隙裂隙水</w:t>
      </w:r>
    </w:p>
    <w:p w14:paraId="714E2715">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孔隙裂隙水含水层岩性为上新统和白垩系下统的砂砾岩。此类型含水层局部埋深较大，一般在30m</w:t>
      </w:r>
      <w:r>
        <w:rPr>
          <w:rFonts w:hint="eastAsia" w:asciiTheme="minorEastAsia" w:hAnsiTheme="minorEastAsia" w:eastAsiaTheme="minorEastAsia"/>
          <w:lang w:eastAsia="zh-CN"/>
        </w:rPr>
        <w:t>～300m</w:t>
      </w:r>
      <w:r>
        <w:rPr>
          <w:rFonts w:asciiTheme="minorEastAsia" w:hAnsiTheme="minorEastAsia" w:eastAsiaTheme="minorEastAsia"/>
          <w:lang w:eastAsia="zh-CN"/>
        </w:rPr>
        <w:t>，单井水量也较高，在50m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/h以上。在南部含水层厚度逐渐变薄，单井水量也减少到10m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/h左右。含水层埋深22</w:t>
      </w:r>
      <w:r>
        <w:rPr>
          <w:rFonts w:hint="eastAsia" w:asciiTheme="minorEastAsia" w:hAnsiTheme="minorEastAsia" w:eastAsiaTheme="minorEastAsia"/>
          <w:lang w:eastAsia="zh-CN"/>
        </w:rPr>
        <w:t>～</w:t>
      </w:r>
      <w:r>
        <w:rPr>
          <w:rFonts w:asciiTheme="minorEastAsia" w:hAnsiTheme="minorEastAsia" w:eastAsiaTheme="minorEastAsia"/>
          <w:lang w:eastAsia="zh-CN"/>
        </w:rPr>
        <w:t>104m，含水层厚度8</w:t>
      </w:r>
      <w:r>
        <w:rPr>
          <w:rFonts w:hint="eastAsia" w:asciiTheme="minorEastAsia" w:hAnsiTheme="minorEastAsia" w:eastAsiaTheme="minorEastAsia"/>
          <w:lang w:eastAsia="zh-CN"/>
        </w:rPr>
        <w:t>～</w:t>
      </w:r>
      <w:r>
        <w:rPr>
          <w:rFonts w:asciiTheme="minorEastAsia" w:hAnsiTheme="minorEastAsia" w:eastAsiaTheme="minorEastAsia"/>
          <w:lang w:eastAsia="zh-CN"/>
        </w:rPr>
        <w:t>23m。此部分水化学类型均为HCO3—NaMg和HCO3.SO4-CaNa型水，矿化度普遍小于2g/L。第三系、白垩系孔隙裂隙水在乌里雅斯</w:t>
      </w:r>
      <w:r>
        <w:rPr>
          <w:rFonts w:hint="eastAsia" w:asciiTheme="minorEastAsia" w:hAnsiTheme="minorEastAsia" w:eastAsiaTheme="minorEastAsia"/>
          <w:lang w:eastAsia="zh-CN"/>
        </w:rPr>
        <w:t>太</w:t>
      </w:r>
      <w:r>
        <w:rPr>
          <w:rFonts w:asciiTheme="minorEastAsia" w:hAnsiTheme="minorEastAsia" w:eastAsiaTheme="minorEastAsia"/>
          <w:lang w:eastAsia="zh-CN"/>
        </w:rPr>
        <w:t>盆地主要分布于盆地西北部，呈NE向展布。主要岩性为第三系上统和白垩系下统的砂岩、砂砾岩。含水层顶板埋深在盆地中心最大可达</w:t>
      </w:r>
      <w:r>
        <w:rPr>
          <w:rFonts w:hint="eastAsia" w:asciiTheme="minorEastAsia" w:hAnsiTheme="minorEastAsia" w:eastAsiaTheme="minorEastAsia"/>
          <w:lang w:eastAsia="zh-CN"/>
        </w:rPr>
        <w:t>300</w:t>
      </w:r>
      <w:r>
        <w:rPr>
          <w:rFonts w:asciiTheme="minorEastAsia" w:hAnsiTheme="minorEastAsia" w:eastAsiaTheme="minorEastAsia"/>
          <w:lang w:eastAsia="zh-CN"/>
        </w:rPr>
        <w:t>m，厚度在10</w:t>
      </w:r>
      <w:r>
        <w:rPr>
          <w:rFonts w:hint="eastAsia" w:asciiTheme="minorEastAsia" w:hAnsiTheme="minorEastAsia" w:eastAsiaTheme="minorEastAsia"/>
          <w:lang w:eastAsia="zh-CN"/>
        </w:rPr>
        <w:t>～</w:t>
      </w:r>
      <w:r>
        <w:rPr>
          <w:rFonts w:asciiTheme="minorEastAsia" w:hAnsiTheme="minorEastAsia" w:eastAsiaTheme="minorEastAsia"/>
          <w:lang w:eastAsia="zh-CN"/>
        </w:rPr>
        <w:t>30m之间，单井水量10</w:t>
      </w:r>
      <w:r>
        <w:rPr>
          <w:rFonts w:hint="eastAsia" w:asciiTheme="minorEastAsia" w:hAnsiTheme="minorEastAsia" w:eastAsiaTheme="minorEastAsia"/>
          <w:lang w:eastAsia="zh-CN"/>
        </w:rPr>
        <w:t>～</w:t>
      </w:r>
      <w:r>
        <w:rPr>
          <w:rFonts w:asciiTheme="minorEastAsia" w:hAnsiTheme="minorEastAsia" w:eastAsiaTheme="minorEastAsia"/>
          <w:lang w:eastAsia="zh-CN"/>
        </w:rPr>
        <w:t>30m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/h。在盆地边缘部分水位埋深在10</w:t>
      </w:r>
      <w:r>
        <w:rPr>
          <w:rFonts w:hint="eastAsia" w:asciiTheme="minorEastAsia" w:hAnsiTheme="minorEastAsia" w:eastAsiaTheme="minorEastAsia"/>
          <w:lang w:eastAsia="zh-CN"/>
        </w:rPr>
        <w:t>～</w:t>
      </w:r>
      <w:r>
        <w:rPr>
          <w:rFonts w:asciiTheme="minorEastAsia" w:hAnsiTheme="minorEastAsia" w:eastAsiaTheme="minorEastAsia"/>
          <w:lang w:eastAsia="zh-CN"/>
        </w:rPr>
        <w:t>52m之间，单井水量多大于30m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/h，最大可达118.31m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/h。水化学类型以HCO</w:t>
      </w:r>
      <w:r>
        <w:rPr>
          <w:rFonts w:asciiTheme="minorEastAsia" w:hAnsiTheme="minorEastAsia" w:eastAsiaTheme="minorEastAsia"/>
          <w:vertAlign w:val="subscript"/>
          <w:lang w:eastAsia="zh-CN"/>
        </w:rPr>
        <w:t>3</w:t>
      </w:r>
      <w:r>
        <w:rPr>
          <w:rFonts w:asciiTheme="minorEastAsia" w:hAnsiTheme="minorEastAsia" w:eastAsiaTheme="minorEastAsia"/>
          <w:lang w:eastAsia="zh-CN"/>
        </w:rPr>
        <w:t>.SO</w:t>
      </w:r>
      <w:r>
        <w:rPr>
          <w:rFonts w:asciiTheme="minorEastAsia" w:hAnsiTheme="minorEastAsia" w:eastAsiaTheme="minorEastAsia"/>
          <w:vertAlign w:val="subscript"/>
          <w:lang w:eastAsia="zh-CN"/>
        </w:rPr>
        <w:t>4</w:t>
      </w:r>
      <w:r>
        <w:rPr>
          <w:rFonts w:asciiTheme="minorEastAsia" w:hAnsiTheme="minorEastAsia" w:eastAsiaTheme="minorEastAsia"/>
          <w:lang w:eastAsia="zh-CN"/>
        </w:rPr>
        <w:t>-NaMg型水为主，矿化度普遍小于2g/L，北部有面积不大区域矿化度在3</w:t>
      </w:r>
      <w:r>
        <w:rPr>
          <w:rFonts w:hint="eastAsia" w:asciiTheme="minorEastAsia" w:hAnsiTheme="minorEastAsia" w:eastAsiaTheme="minorEastAsia"/>
          <w:lang w:eastAsia="zh-CN"/>
        </w:rPr>
        <w:t>～</w:t>
      </w:r>
      <w:r>
        <w:rPr>
          <w:rFonts w:asciiTheme="minorEastAsia" w:hAnsiTheme="minorEastAsia" w:eastAsiaTheme="minorEastAsia"/>
          <w:lang w:eastAsia="zh-CN"/>
        </w:rPr>
        <w:t>5g/L之间。</w:t>
      </w:r>
    </w:p>
    <w:p w14:paraId="48F20BFA">
      <w:pPr>
        <w:ind w:firstLine="480"/>
        <w:rPr>
          <w:rFonts w:asciiTheme="minorEastAsia" w:hAnsiTheme="minorEastAsia" w:eastAsiaTheme="minorEastAsia"/>
          <w:lang w:eastAsia="zh-CN"/>
        </w:rPr>
      </w:pPr>
      <w:r>
        <w:rPr>
          <w:rFonts w:asciiTheme="minorEastAsia" w:hAnsiTheme="minorEastAsia" w:eastAsiaTheme="minorEastAsia"/>
          <w:lang w:eastAsia="zh-CN"/>
        </w:rPr>
        <w:t>乌里雅斯太油田综合水文地质图见图6.1-1。</w:t>
      </w:r>
    </w:p>
    <w:p w14:paraId="6BAFC0B0">
      <w:pPr>
        <w:pStyle w:val="4"/>
        <w:rPr>
          <w:lang w:eastAsia="zh-CN"/>
        </w:rPr>
      </w:pPr>
      <w:bookmarkStart w:id="318" w:name="_Toc408413986"/>
      <w:r>
        <w:rPr>
          <w:lang w:eastAsia="zh-CN"/>
        </w:rPr>
        <w:t>6.2</w:t>
      </w:r>
      <w:r>
        <w:rPr>
          <w:rFonts w:hint="eastAsia"/>
          <w:lang w:eastAsia="zh-CN"/>
        </w:rPr>
        <w:t>.2</w:t>
      </w:r>
      <w:r>
        <w:rPr>
          <w:lang w:eastAsia="zh-CN"/>
        </w:rPr>
        <w:t>地下水现状评价</w:t>
      </w:r>
      <w:bookmarkEnd w:id="318"/>
    </w:p>
    <w:p w14:paraId="73665F7B">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6.2.</w:t>
      </w:r>
      <w:r>
        <w:rPr>
          <w:rFonts w:hint="eastAsia" w:asciiTheme="minorEastAsia" w:hAnsiTheme="minorEastAsia" w:eastAsiaTheme="minorEastAsia"/>
          <w:lang w:eastAsia="zh-CN"/>
        </w:rPr>
        <w:t>2.</w:t>
      </w:r>
      <w:r>
        <w:rPr>
          <w:rFonts w:asciiTheme="minorEastAsia" w:hAnsiTheme="minorEastAsia" w:eastAsiaTheme="minorEastAsia"/>
          <w:lang w:eastAsia="zh-CN"/>
        </w:rPr>
        <w:t>1地下水现状监测</w:t>
      </w:r>
    </w:p>
    <w:p w14:paraId="6268B5FA">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本项目地下水现状监测由</w:t>
      </w:r>
      <w:r>
        <w:rPr>
          <w:rFonts w:hint="eastAsia" w:asciiTheme="minorEastAsia" w:hAnsiTheme="minorEastAsia" w:eastAsiaTheme="minorEastAsia"/>
          <w:lang w:eastAsia="zh-CN"/>
        </w:rPr>
        <w:t>正蓝旗</w:t>
      </w:r>
      <w:r>
        <w:rPr>
          <w:rFonts w:asciiTheme="minorEastAsia" w:hAnsiTheme="minorEastAsia" w:eastAsiaTheme="minorEastAsia"/>
          <w:lang w:eastAsia="zh-CN"/>
        </w:rPr>
        <w:t>环境保护监测站于201</w:t>
      </w:r>
      <w:r>
        <w:rPr>
          <w:rFonts w:hint="eastAsia" w:asciiTheme="minorEastAsia" w:hAnsiTheme="minorEastAsia" w:eastAsiaTheme="minorEastAsia"/>
          <w:lang w:eastAsia="zh-CN"/>
        </w:rPr>
        <w:t>4</w:t>
      </w:r>
      <w:r>
        <w:rPr>
          <w:rFonts w:asciiTheme="minorEastAsia" w:hAnsiTheme="minorEastAsia" w:eastAsiaTheme="minorEastAsia"/>
          <w:lang w:eastAsia="zh-CN"/>
        </w:rPr>
        <w:t>年</w:t>
      </w:r>
      <w:r>
        <w:rPr>
          <w:rFonts w:hint="eastAsia" w:asciiTheme="minorEastAsia" w:hAnsiTheme="minorEastAsia" w:eastAsiaTheme="minorEastAsia"/>
          <w:lang w:eastAsia="zh-CN"/>
        </w:rPr>
        <w:t>11</w:t>
      </w:r>
      <w:r>
        <w:rPr>
          <w:rFonts w:asciiTheme="minorEastAsia" w:hAnsiTheme="minorEastAsia" w:eastAsiaTheme="minorEastAsia"/>
          <w:lang w:eastAsia="zh-CN"/>
        </w:rPr>
        <w:t>月</w:t>
      </w:r>
      <w:r>
        <w:rPr>
          <w:rFonts w:hint="eastAsia" w:asciiTheme="minorEastAsia" w:hAnsiTheme="minorEastAsia" w:eastAsiaTheme="minorEastAsia"/>
          <w:lang w:eastAsia="zh-CN"/>
        </w:rPr>
        <w:t>25</w:t>
      </w:r>
      <w:r>
        <w:rPr>
          <w:rFonts w:asciiTheme="minorEastAsia" w:hAnsiTheme="minorEastAsia" w:eastAsiaTheme="minorEastAsia"/>
          <w:lang w:eastAsia="zh-CN"/>
        </w:rPr>
        <w:t>日进行监测。</w:t>
      </w:r>
    </w:p>
    <w:p w14:paraId="57AAC3B5">
      <w:pPr>
        <w:widowControl/>
        <w:tabs>
          <w:tab w:val="left" w:pos="120"/>
        </w:tabs>
        <w:snapToGrid w:val="0"/>
        <w:ind w:firstLine="480"/>
        <w:jc w:val="left"/>
        <w:outlineLvl w:val="0"/>
        <w:rPr>
          <w:rFonts w:asciiTheme="minorEastAsia" w:hAnsiTheme="minorEastAsia" w:eastAsiaTheme="minorEastAsia"/>
          <w:lang w:eastAsia="zh-CN"/>
        </w:rPr>
      </w:pPr>
      <w:bookmarkStart w:id="319" w:name="_Toc154297272"/>
      <w:bookmarkStart w:id="320" w:name="_Toc154297929"/>
      <w:r>
        <w:rPr>
          <w:rFonts w:asciiTheme="minorEastAsia" w:hAnsiTheme="minorEastAsia" w:eastAsiaTheme="minorEastAsia"/>
          <w:lang w:eastAsia="zh-CN"/>
        </w:rPr>
        <w:t>1、监测布点</w:t>
      </w:r>
    </w:p>
    <w:p w14:paraId="71F0D1F7">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本次地下水环境水质现状监测共设置3个水质监测点，</w:t>
      </w:r>
      <w:r>
        <w:rPr>
          <w:rFonts w:hint="eastAsia" w:asciiTheme="minorEastAsia" w:hAnsiTheme="minorEastAsia" w:eastAsiaTheme="minorEastAsia"/>
          <w:lang w:eastAsia="zh-CN"/>
        </w:rPr>
        <w:t>分别为1#最近牧民家水井，2#为雅斯联合站1号水源井（生活用水），3#为雅斯联合站3号水源井（生产用水）。</w:t>
      </w:r>
    </w:p>
    <w:p w14:paraId="02811C51">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本次地下现状监测共设置</w:t>
      </w:r>
      <w:r>
        <w:rPr>
          <w:rFonts w:hint="eastAsia" w:asciiTheme="minorEastAsia" w:hAnsiTheme="minorEastAsia" w:eastAsiaTheme="minorEastAsia"/>
          <w:lang w:eastAsia="zh-CN"/>
        </w:rPr>
        <w:t>4</w:t>
      </w:r>
      <w:r>
        <w:rPr>
          <w:rFonts w:asciiTheme="minorEastAsia" w:hAnsiTheme="minorEastAsia" w:eastAsiaTheme="minorEastAsia"/>
          <w:lang w:eastAsia="zh-CN"/>
        </w:rPr>
        <w:t>个水位监测点，</w:t>
      </w:r>
      <w:r>
        <w:rPr>
          <w:rFonts w:hint="eastAsia" w:asciiTheme="minorEastAsia" w:hAnsiTheme="minorEastAsia" w:eastAsiaTheme="minorEastAsia"/>
          <w:lang w:eastAsia="zh-CN"/>
        </w:rPr>
        <w:t>分别为最近牧民家水井，联合站1号水源井（生活用水），联合站2号水源井（生产用水），3号水源井（生产用水）。</w:t>
      </w:r>
    </w:p>
    <w:p w14:paraId="60F08CC7">
      <w:pPr>
        <w:widowControl/>
        <w:tabs>
          <w:tab w:val="left" w:pos="120"/>
        </w:tabs>
        <w:snapToGrid w:val="0"/>
        <w:ind w:firstLine="480"/>
        <w:jc w:val="left"/>
        <w:rPr>
          <w:rFonts w:asciiTheme="minorEastAsia" w:hAnsiTheme="minorEastAsia" w:eastAsiaTheme="minorEastAsia"/>
          <w:lang w:eastAsia="zh-CN"/>
        </w:rPr>
      </w:pPr>
      <w:r>
        <w:rPr>
          <w:rFonts w:hint="eastAsia" w:asciiTheme="minorEastAsia" w:hAnsiTheme="minorEastAsia" w:eastAsiaTheme="minorEastAsia"/>
          <w:lang w:eastAsia="zh-CN"/>
        </w:rPr>
        <w:t>地下水现状监测点位，见图5.1- 1环境现状监测点位图。</w:t>
      </w:r>
    </w:p>
    <w:p w14:paraId="75BAA50B">
      <w:pPr>
        <w:widowControl/>
        <w:tabs>
          <w:tab w:val="left" w:pos="120"/>
        </w:tabs>
        <w:snapToGrid w:val="0"/>
        <w:ind w:firstLine="480"/>
        <w:jc w:val="left"/>
        <w:outlineLvl w:val="0"/>
        <w:rPr>
          <w:rFonts w:asciiTheme="minorEastAsia" w:hAnsiTheme="minorEastAsia" w:eastAsiaTheme="minorEastAsia"/>
          <w:lang w:eastAsia="zh-CN"/>
        </w:rPr>
      </w:pPr>
      <w:r>
        <w:rPr>
          <w:rFonts w:asciiTheme="minorEastAsia" w:hAnsiTheme="minorEastAsia" w:eastAsiaTheme="minorEastAsia"/>
          <w:lang w:eastAsia="zh-CN"/>
        </w:rPr>
        <w:t>2、监测内容</w:t>
      </w:r>
    </w:p>
    <w:p w14:paraId="5CC6CB65">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本次地下水水质监测项目为：pH、总硬度、高锰酸盐指数、溶解性总固体、硝酸盐氮、亚硝酸盐、氨氮、硫酸盐、氯化物、氟化物、挥发酚、砷、六价铬、镉、汞、锰、铁、铅、石油类、细菌总数、总大肠菌群共2</w:t>
      </w:r>
      <w:r>
        <w:rPr>
          <w:rFonts w:hint="eastAsia" w:asciiTheme="minorEastAsia" w:hAnsiTheme="minorEastAsia" w:eastAsiaTheme="minorEastAsia"/>
          <w:lang w:eastAsia="zh-CN"/>
        </w:rPr>
        <w:t>1</w:t>
      </w:r>
      <w:r>
        <w:rPr>
          <w:rFonts w:asciiTheme="minorEastAsia" w:hAnsiTheme="minorEastAsia" w:eastAsiaTheme="minorEastAsia"/>
          <w:lang w:eastAsia="zh-CN"/>
        </w:rPr>
        <w:t>项。</w:t>
      </w:r>
    </w:p>
    <w:p w14:paraId="5CB59A7F">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地下水位监测主要记录</w:t>
      </w:r>
      <w:r>
        <w:rPr>
          <w:rFonts w:hint="eastAsia" w:asciiTheme="minorEastAsia" w:hAnsiTheme="minorEastAsia" w:eastAsiaTheme="minorEastAsia"/>
          <w:lang w:eastAsia="zh-CN"/>
        </w:rPr>
        <w:t>：</w:t>
      </w:r>
      <w:r>
        <w:rPr>
          <w:rFonts w:asciiTheme="minorEastAsia" w:hAnsiTheme="minorEastAsia" w:eastAsiaTheme="minorEastAsia"/>
          <w:lang w:eastAsia="zh-CN"/>
        </w:rPr>
        <w:t>井深、水</w:t>
      </w:r>
      <w:r>
        <w:rPr>
          <w:rFonts w:hint="eastAsia" w:asciiTheme="minorEastAsia" w:hAnsiTheme="minorEastAsia" w:eastAsiaTheme="minorEastAsia"/>
          <w:lang w:eastAsia="zh-CN"/>
        </w:rPr>
        <w:t>深</w:t>
      </w:r>
      <w:r>
        <w:rPr>
          <w:rFonts w:asciiTheme="minorEastAsia" w:hAnsiTheme="minorEastAsia" w:eastAsiaTheme="minorEastAsia"/>
          <w:lang w:eastAsia="zh-CN"/>
        </w:rPr>
        <w:t>、水温、井位坐标</w:t>
      </w:r>
      <w:r>
        <w:rPr>
          <w:rFonts w:hint="eastAsia" w:asciiTheme="minorEastAsia" w:hAnsiTheme="minorEastAsia" w:eastAsiaTheme="minorEastAsia"/>
          <w:lang w:eastAsia="zh-CN"/>
        </w:rPr>
        <w:t>等4项</w:t>
      </w:r>
      <w:r>
        <w:rPr>
          <w:rFonts w:asciiTheme="minorEastAsia" w:hAnsiTheme="minorEastAsia" w:eastAsiaTheme="minorEastAsia"/>
          <w:lang w:eastAsia="zh-CN"/>
        </w:rPr>
        <w:t>。</w:t>
      </w:r>
    </w:p>
    <w:p w14:paraId="473E084B">
      <w:pPr>
        <w:widowControl/>
        <w:tabs>
          <w:tab w:val="left" w:pos="120"/>
        </w:tabs>
        <w:snapToGrid w:val="0"/>
        <w:ind w:firstLine="480"/>
        <w:jc w:val="left"/>
        <w:outlineLvl w:val="0"/>
        <w:rPr>
          <w:rFonts w:asciiTheme="minorEastAsia" w:hAnsiTheme="minorEastAsia" w:eastAsiaTheme="minorEastAsia"/>
          <w:lang w:eastAsia="zh-CN"/>
        </w:rPr>
      </w:pPr>
      <w:r>
        <w:rPr>
          <w:rFonts w:hint="eastAsia" w:asciiTheme="minorEastAsia" w:hAnsiTheme="minorEastAsia" w:eastAsiaTheme="minorEastAsia"/>
          <w:lang w:eastAsia="zh-CN"/>
        </w:rPr>
        <w:t>3</w:t>
      </w:r>
      <w:r>
        <w:rPr>
          <w:rFonts w:asciiTheme="minorEastAsia" w:hAnsiTheme="minorEastAsia" w:eastAsiaTheme="minorEastAsia"/>
          <w:lang w:eastAsia="zh-CN"/>
        </w:rPr>
        <w:t>、水质监测时间及频率</w:t>
      </w:r>
    </w:p>
    <w:p w14:paraId="57E85E26">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地下水水质监测时间为</w:t>
      </w:r>
      <w:r>
        <w:rPr>
          <w:rFonts w:hint="eastAsia" w:asciiTheme="minorEastAsia" w:hAnsiTheme="minorEastAsia" w:eastAsiaTheme="minorEastAsia"/>
          <w:lang w:eastAsia="zh-CN"/>
        </w:rPr>
        <w:t>2014年11月25日</w:t>
      </w:r>
      <w:r>
        <w:rPr>
          <w:rFonts w:asciiTheme="minorEastAsia" w:hAnsiTheme="minorEastAsia" w:eastAsiaTheme="minorEastAsia"/>
          <w:lang w:eastAsia="zh-CN"/>
        </w:rPr>
        <w:t>，</w:t>
      </w:r>
      <w:r>
        <w:rPr>
          <w:rFonts w:hint="eastAsia" w:asciiTheme="minorEastAsia" w:hAnsiTheme="minorEastAsia" w:eastAsiaTheme="minorEastAsia"/>
          <w:lang w:eastAsia="zh-CN"/>
        </w:rPr>
        <w:t>各监测点监测1次，连续监测1天</w:t>
      </w:r>
      <w:r>
        <w:rPr>
          <w:rFonts w:asciiTheme="minorEastAsia" w:hAnsiTheme="minorEastAsia" w:eastAsiaTheme="minorEastAsia"/>
          <w:lang w:eastAsia="zh-CN"/>
        </w:rPr>
        <w:t>。</w:t>
      </w:r>
    </w:p>
    <w:p w14:paraId="4C8ABCAE">
      <w:pPr>
        <w:widowControl/>
        <w:tabs>
          <w:tab w:val="left" w:pos="120"/>
        </w:tabs>
        <w:snapToGrid w:val="0"/>
        <w:ind w:firstLine="480"/>
        <w:jc w:val="left"/>
        <w:outlineLvl w:val="0"/>
        <w:rPr>
          <w:rFonts w:asciiTheme="minorEastAsia" w:hAnsiTheme="minorEastAsia" w:eastAsiaTheme="minorEastAsia"/>
          <w:lang w:eastAsia="zh-CN"/>
        </w:rPr>
      </w:pPr>
      <w:r>
        <w:rPr>
          <w:rFonts w:hint="eastAsia" w:asciiTheme="minorEastAsia" w:hAnsiTheme="minorEastAsia" w:eastAsiaTheme="minorEastAsia"/>
          <w:lang w:eastAsia="zh-CN"/>
        </w:rPr>
        <w:t>4</w:t>
      </w:r>
      <w:r>
        <w:rPr>
          <w:rFonts w:asciiTheme="minorEastAsia" w:hAnsiTheme="minorEastAsia" w:eastAsiaTheme="minorEastAsia"/>
          <w:lang w:eastAsia="zh-CN"/>
        </w:rPr>
        <w:t>、监测分析方法</w:t>
      </w:r>
      <w:bookmarkEnd w:id="319"/>
      <w:bookmarkEnd w:id="320"/>
    </w:p>
    <w:p w14:paraId="674810C5">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本项目地下水的采样按照《水质采样设计技术规定》(GB12997—91)、《水质采样技术指导》(GB12998—91)及《水质采样样品的保存和管理技术规范》(GB 12999—91)所规定的方法进行。分析方法见表6.2-1。</w:t>
      </w:r>
    </w:p>
    <w:p w14:paraId="0ADDEA7C">
      <w:pPr>
        <w:spacing w:line="240" w:lineRule="auto"/>
        <w:ind w:firstLine="482"/>
        <w:rPr>
          <w:b/>
          <w:snapToGrid w:val="0"/>
          <w:lang w:eastAsia="zh-CN"/>
        </w:rPr>
      </w:pPr>
      <w:r>
        <w:rPr>
          <w:b/>
          <w:snapToGrid w:val="0"/>
          <w:lang w:eastAsia="zh-CN"/>
        </w:rPr>
        <w:t xml:space="preserve">表6.2-1  </w:t>
      </w:r>
      <w:r>
        <w:rPr>
          <w:rFonts w:hint="eastAsia"/>
          <w:b/>
          <w:snapToGrid w:val="0"/>
          <w:lang w:eastAsia="zh-CN"/>
        </w:rPr>
        <w:t xml:space="preserve">   </w:t>
      </w:r>
      <w:r>
        <w:rPr>
          <w:b/>
          <w:snapToGrid w:val="0"/>
          <w:lang w:eastAsia="zh-CN"/>
        </w:rPr>
        <w:t>地下水环境质量现状监测项目分析方法</w:t>
      </w:r>
    </w:p>
    <w:tbl>
      <w:tblPr>
        <w:tblStyle w:val="76"/>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1588"/>
        <w:gridCol w:w="2825"/>
        <w:gridCol w:w="2375"/>
        <w:gridCol w:w="1882"/>
      </w:tblGrid>
      <w:tr w14:paraId="743D22F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588" w:type="dxa"/>
            <w:vAlign w:val="center"/>
          </w:tcPr>
          <w:p w14:paraId="0385E7D2">
            <w:pPr>
              <w:pStyle w:val="518"/>
              <w:rPr>
                <w:szCs w:val="21"/>
              </w:rPr>
            </w:pPr>
            <w:r>
              <w:rPr>
                <w:szCs w:val="21"/>
              </w:rPr>
              <w:t>项目</w:t>
            </w:r>
          </w:p>
        </w:tc>
        <w:tc>
          <w:tcPr>
            <w:tcW w:w="2825" w:type="dxa"/>
            <w:vAlign w:val="center"/>
          </w:tcPr>
          <w:p w14:paraId="57AF5210">
            <w:pPr>
              <w:pStyle w:val="518"/>
              <w:rPr>
                <w:szCs w:val="21"/>
              </w:rPr>
            </w:pPr>
            <w:r>
              <w:rPr>
                <w:szCs w:val="21"/>
              </w:rPr>
              <w:t>分析方法</w:t>
            </w:r>
          </w:p>
        </w:tc>
        <w:tc>
          <w:tcPr>
            <w:tcW w:w="2375" w:type="dxa"/>
            <w:vAlign w:val="center"/>
          </w:tcPr>
          <w:p w14:paraId="035FC831">
            <w:pPr>
              <w:pStyle w:val="518"/>
              <w:rPr>
                <w:szCs w:val="21"/>
                <w:lang w:eastAsia="zh-CN"/>
              </w:rPr>
            </w:pPr>
            <w:r>
              <w:rPr>
                <w:szCs w:val="21"/>
                <w:lang w:eastAsia="zh-CN"/>
              </w:rPr>
              <w:t>分析方法标准号或来源</w:t>
            </w:r>
          </w:p>
        </w:tc>
        <w:tc>
          <w:tcPr>
            <w:tcW w:w="1882" w:type="dxa"/>
            <w:vAlign w:val="center"/>
          </w:tcPr>
          <w:p w14:paraId="71F86851">
            <w:pPr>
              <w:pStyle w:val="518"/>
              <w:rPr>
                <w:szCs w:val="21"/>
                <w:lang w:eastAsia="zh-CN"/>
              </w:rPr>
            </w:pPr>
            <w:r>
              <w:rPr>
                <w:szCs w:val="21"/>
                <w:lang w:eastAsia="zh-CN"/>
              </w:rPr>
              <w:t>方法检出限或</w:t>
            </w:r>
          </w:p>
          <w:p w14:paraId="09CD429F">
            <w:pPr>
              <w:pStyle w:val="518"/>
              <w:rPr>
                <w:szCs w:val="21"/>
                <w:lang w:eastAsia="zh-CN"/>
              </w:rPr>
            </w:pPr>
            <w:r>
              <w:rPr>
                <w:szCs w:val="21"/>
                <w:lang w:eastAsia="zh-CN"/>
              </w:rPr>
              <w:t>测定范围</w:t>
            </w:r>
          </w:p>
        </w:tc>
      </w:tr>
      <w:tr w14:paraId="701030F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588" w:type="dxa"/>
            <w:vAlign w:val="center"/>
          </w:tcPr>
          <w:p w14:paraId="2EC1058A">
            <w:pPr>
              <w:pStyle w:val="518"/>
              <w:rPr>
                <w:szCs w:val="21"/>
              </w:rPr>
            </w:pPr>
            <w:r>
              <w:rPr>
                <w:szCs w:val="21"/>
              </w:rPr>
              <w:t>pH</w:t>
            </w:r>
          </w:p>
        </w:tc>
        <w:tc>
          <w:tcPr>
            <w:tcW w:w="2825" w:type="dxa"/>
            <w:vAlign w:val="center"/>
          </w:tcPr>
          <w:p w14:paraId="7B50C666">
            <w:pPr>
              <w:pStyle w:val="518"/>
              <w:rPr>
                <w:szCs w:val="21"/>
              </w:rPr>
            </w:pPr>
            <w:r>
              <w:rPr>
                <w:szCs w:val="21"/>
              </w:rPr>
              <w:t>玻璃电极法</w:t>
            </w:r>
          </w:p>
        </w:tc>
        <w:tc>
          <w:tcPr>
            <w:tcW w:w="2375" w:type="dxa"/>
            <w:vAlign w:val="center"/>
          </w:tcPr>
          <w:p w14:paraId="7874BA56">
            <w:pPr>
              <w:pStyle w:val="518"/>
              <w:rPr>
                <w:szCs w:val="21"/>
              </w:rPr>
            </w:pPr>
            <w:r>
              <w:rPr>
                <w:szCs w:val="21"/>
              </w:rPr>
              <w:t>GB6920-86</w:t>
            </w:r>
          </w:p>
        </w:tc>
        <w:tc>
          <w:tcPr>
            <w:tcW w:w="1882" w:type="dxa"/>
            <w:vAlign w:val="center"/>
          </w:tcPr>
          <w:p w14:paraId="1906461F">
            <w:pPr>
              <w:pStyle w:val="518"/>
              <w:rPr>
                <w:szCs w:val="21"/>
              </w:rPr>
            </w:pPr>
            <w:r>
              <w:rPr>
                <w:szCs w:val="21"/>
              </w:rPr>
              <w:t>--</w:t>
            </w:r>
          </w:p>
        </w:tc>
      </w:tr>
      <w:tr w14:paraId="7D7699C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588" w:type="dxa"/>
            <w:vAlign w:val="center"/>
          </w:tcPr>
          <w:p w14:paraId="0022B216">
            <w:pPr>
              <w:pStyle w:val="518"/>
              <w:rPr>
                <w:szCs w:val="21"/>
              </w:rPr>
            </w:pPr>
            <w:r>
              <w:rPr>
                <w:szCs w:val="21"/>
              </w:rPr>
              <w:t>总硬度</w:t>
            </w:r>
          </w:p>
        </w:tc>
        <w:tc>
          <w:tcPr>
            <w:tcW w:w="2825" w:type="dxa"/>
            <w:vAlign w:val="center"/>
          </w:tcPr>
          <w:p w14:paraId="6118933B">
            <w:pPr>
              <w:pStyle w:val="518"/>
              <w:rPr>
                <w:szCs w:val="21"/>
              </w:rPr>
            </w:pPr>
            <w:r>
              <w:rPr>
                <w:szCs w:val="21"/>
              </w:rPr>
              <w:t>EDTA滴定法</w:t>
            </w:r>
          </w:p>
        </w:tc>
        <w:tc>
          <w:tcPr>
            <w:tcW w:w="2375" w:type="dxa"/>
            <w:vAlign w:val="center"/>
          </w:tcPr>
          <w:p w14:paraId="3949A771">
            <w:pPr>
              <w:pStyle w:val="518"/>
              <w:rPr>
                <w:szCs w:val="21"/>
              </w:rPr>
            </w:pPr>
            <w:r>
              <w:rPr>
                <w:szCs w:val="21"/>
              </w:rPr>
              <w:t>GB7477-87</w:t>
            </w:r>
          </w:p>
        </w:tc>
        <w:tc>
          <w:tcPr>
            <w:tcW w:w="1882" w:type="dxa"/>
            <w:vAlign w:val="center"/>
          </w:tcPr>
          <w:p w14:paraId="4ED14398">
            <w:pPr>
              <w:pStyle w:val="518"/>
              <w:rPr>
                <w:szCs w:val="21"/>
              </w:rPr>
            </w:pPr>
            <w:r>
              <w:rPr>
                <w:szCs w:val="21"/>
              </w:rPr>
              <w:t>0.05mmol/L</w:t>
            </w:r>
          </w:p>
        </w:tc>
      </w:tr>
      <w:tr w14:paraId="5B8C6D7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588" w:type="dxa"/>
            <w:vAlign w:val="center"/>
          </w:tcPr>
          <w:p w14:paraId="2AFFBE91">
            <w:pPr>
              <w:pStyle w:val="518"/>
              <w:rPr>
                <w:szCs w:val="21"/>
              </w:rPr>
            </w:pPr>
            <w:r>
              <w:rPr>
                <w:szCs w:val="21"/>
              </w:rPr>
              <w:t>氟化物</w:t>
            </w:r>
          </w:p>
        </w:tc>
        <w:tc>
          <w:tcPr>
            <w:tcW w:w="2825" w:type="dxa"/>
            <w:vAlign w:val="center"/>
          </w:tcPr>
          <w:p w14:paraId="030F5EC7">
            <w:pPr>
              <w:pStyle w:val="518"/>
              <w:rPr>
                <w:szCs w:val="21"/>
              </w:rPr>
            </w:pPr>
            <w:r>
              <w:rPr>
                <w:szCs w:val="21"/>
              </w:rPr>
              <w:t>离子选择电极法</w:t>
            </w:r>
          </w:p>
        </w:tc>
        <w:tc>
          <w:tcPr>
            <w:tcW w:w="2375" w:type="dxa"/>
            <w:vAlign w:val="center"/>
          </w:tcPr>
          <w:p w14:paraId="7DCA94C1">
            <w:pPr>
              <w:pStyle w:val="518"/>
              <w:rPr>
                <w:szCs w:val="21"/>
              </w:rPr>
            </w:pPr>
            <w:r>
              <w:rPr>
                <w:szCs w:val="21"/>
              </w:rPr>
              <w:t>GB7484-87</w:t>
            </w:r>
          </w:p>
        </w:tc>
        <w:tc>
          <w:tcPr>
            <w:tcW w:w="1882" w:type="dxa"/>
            <w:vAlign w:val="center"/>
          </w:tcPr>
          <w:p w14:paraId="0839A44F">
            <w:pPr>
              <w:pStyle w:val="518"/>
              <w:rPr>
                <w:szCs w:val="21"/>
              </w:rPr>
            </w:pPr>
            <w:r>
              <w:rPr>
                <w:szCs w:val="21"/>
              </w:rPr>
              <w:t>0.05 mg/L</w:t>
            </w:r>
          </w:p>
        </w:tc>
      </w:tr>
      <w:tr w14:paraId="22AF391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588" w:type="dxa"/>
            <w:vAlign w:val="center"/>
          </w:tcPr>
          <w:p w14:paraId="255B39F1">
            <w:pPr>
              <w:pStyle w:val="518"/>
              <w:rPr>
                <w:szCs w:val="21"/>
              </w:rPr>
            </w:pPr>
            <w:r>
              <w:rPr>
                <w:szCs w:val="21"/>
              </w:rPr>
              <w:t>氯化物</w:t>
            </w:r>
          </w:p>
        </w:tc>
        <w:tc>
          <w:tcPr>
            <w:tcW w:w="2825" w:type="dxa"/>
            <w:vAlign w:val="center"/>
          </w:tcPr>
          <w:p w14:paraId="1480E94B">
            <w:pPr>
              <w:pStyle w:val="518"/>
              <w:rPr>
                <w:szCs w:val="21"/>
              </w:rPr>
            </w:pPr>
            <w:r>
              <w:rPr>
                <w:szCs w:val="21"/>
              </w:rPr>
              <w:t>硝酸银滴定法</w:t>
            </w:r>
          </w:p>
        </w:tc>
        <w:tc>
          <w:tcPr>
            <w:tcW w:w="2375" w:type="dxa"/>
            <w:vAlign w:val="center"/>
          </w:tcPr>
          <w:p w14:paraId="24EA594D">
            <w:pPr>
              <w:pStyle w:val="518"/>
              <w:rPr>
                <w:szCs w:val="21"/>
              </w:rPr>
            </w:pPr>
            <w:r>
              <w:rPr>
                <w:szCs w:val="21"/>
              </w:rPr>
              <w:t>GB11896-89</w:t>
            </w:r>
          </w:p>
        </w:tc>
        <w:tc>
          <w:tcPr>
            <w:tcW w:w="1882" w:type="dxa"/>
            <w:vAlign w:val="center"/>
          </w:tcPr>
          <w:p w14:paraId="736CE6DD">
            <w:pPr>
              <w:pStyle w:val="518"/>
              <w:rPr>
                <w:szCs w:val="21"/>
              </w:rPr>
            </w:pPr>
            <w:r>
              <w:rPr>
                <w:szCs w:val="21"/>
              </w:rPr>
              <w:t>10 mg/L</w:t>
            </w:r>
          </w:p>
        </w:tc>
      </w:tr>
      <w:tr w14:paraId="76289B0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588" w:type="dxa"/>
            <w:vAlign w:val="center"/>
          </w:tcPr>
          <w:p w14:paraId="76CCEC70">
            <w:pPr>
              <w:pStyle w:val="518"/>
              <w:rPr>
                <w:szCs w:val="21"/>
              </w:rPr>
            </w:pPr>
            <w:r>
              <w:rPr>
                <w:szCs w:val="21"/>
              </w:rPr>
              <w:t>硫酸盐</w:t>
            </w:r>
          </w:p>
        </w:tc>
        <w:tc>
          <w:tcPr>
            <w:tcW w:w="2825" w:type="dxa"/>
            <w:vAlign w:val="center"/>
          </w:tcPr>
          <w:p w14:paraId="77BB3B62">
            <w:pPr>
              <w:pStyle w:val="518"/>
              <w:rPr>
                <w:szCs w:val="21"/>
              </w:rPr>
            </w:pPr>
            <w:r>
              <w:rPr>
                <w:szCs w:val="21"/>
              </w:rPr>
              <w:t>铬酸钡光度法</w:t>
            </w:r>
          </w:p>
        </w:tc>
        <w:tc>
          <w:tcPr>
            <w:tcW w:w="2375" w:type="dxa"/>
            <w:vAlign w:val="center"/>
          </w:tcPr>
          <w:p w14:paraId="0933FF71">
            <w:pPr>
              <w:pStyle w:val="518"/>
              <w:rPr>
                <w:szCs w:val="21"/>
                <w:lang w:eastAsia="zh-CN"/>
              </w:rPr>
            </w:pPr>
            <w:r>
              <w:rPr>
                <w:szCs w:val="21"/>
                <w:lang w:eastAsia="zh-CN"/>
              </w:rPr>
              <w:t>《水和废水监测分析方法》（第四版）（增补版）</w:t>
            </w:r>
          </w:p>
        </w:tc>
        <w:tc>
          <w:tcPr>
            <w:tcW w:w="1882" w:type="dxa"/>
            <w:vAlign w:val="center"/>
          </w:tcPr>
          <w:p w14:paraId="37247A57">
            <w:pPr>
              <w:pStyle w:val="518"/>
              <w:rPr>
                <w:szCs w:val="21"/>
              </w:rPr>
            </w:pPr>
            <w:r>
              <w:rPr>
                <w:szCs w:val="21"/>
              </w:rPr>
              <w:t>8 mg/L</w:t>
            </w:r>
          </w:p>
        </w:tc>
      </w:tr>
      <w:tr w14:paraId="58262F1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588" w:type="dxa"/>
            <w:vAlign w:val="center"/>
          </w:tcPr>
          <w:p w14:paraId="15321398">
            <w:pPr>
              <w:pStyle w:val="518"/>
              <w:rPr>
                <w:szCs w:val="21"/>
              </w:rPr>
            </w:pPr>
            <w:r>
              <w:rPr>
                <w:szCs w:val="21"/>
              </w:rPr>
              <w:t>六价铬</w:t>
            </w:r>
          </w:p>
        </w:tc>
        <w:tc>
          <w:tcPr>
            <w:tcW w:w="2825" w:type="dxa"/>
            <w:vAlign w:val="center"/>
          </w:tcPr>
          <w:p w14:paraId="62EEEF72">
            <w:pPr>
              <w:pStyle w:val="518"/>
              <w:rPr>
                <w:szCs w:val="21"/>
                <w:lang w:eastAsia="zh-CN"/>
              </w:rPr>
            </w:pPr>
            <w:r>
              <w:rPr>
                <w:szCs w:val="21"/>
                <w:lang w:eastAsia="zh-CN"/>
              </w:rPr>
              <w:t>二苯碳酰二肼分光光度法</w:t>
            </w:r>
          </w:p>
        </w:tc>
        <w:tc>
          <w:tcPr>
            <w:tcW w:w="2375" w:type="dxa"/>
            <w:vAlign w:val="center"/>
          </w:tcPr>
          <w:p w14:paraId="4273F234">
            <w:pPr>
              <w:pStyle w:val="518"/>
              <w:rPr>
                <w:szCs w:val="21"/>
              </w:rPr>
            </w:pPr>
            <w:r>
              <w:rPr>
                <w:szCs w:val="21"/>
              </w:rPr>
              <w:t>GB7467-87</w:t>
            </w:r>
          </w:p>
        </w:tc>
        <w:tc>
          <w:tcPr>
            <w:tcW w:w="1882" w:type="dxa"/>
            <w:vAlign w:val="center"/>
          </w:tcPr>
          <w:p w14:paraId="5286CC1F">
            <w:pPr>
              <w:pStyle w:val="518"/>
              <w:rPr>
                <w:szCs w:val="21"/>
              </w:rPr>
            </w:pPr>
            <w:r>
              <w:rPr>
                <w:szCs w:val="21"/>
              </w:rPr>
              <w:t>0.004 mg/L</w:t>
            </w:r>
          </w:p>
        </w:tc>
      </w:tr>
      <w:tr w14:paraId="04D4051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588" w:type="dxa"/>
            <w:vAlign w:val="center"/>
          </w:tcPr>
          <w:p w14:paraId="4C993F47">
            <w:pPr>
              <w:pStyle w:val="518"/>
              <w:rPr>
                <w:szCs w:val="21"/>
              </w:rPr>
            </w:pPr>
            <w:r>
              <w:rPr>
                <w:szCs w:val="21"/>
              </w:rPr>
              <w:t>镉</w:t>
            </w:r>
          </w:p>
        </w:tc>
        <w:tc>
          <w:tcPr>
            <w:tcW w:w="2825" w:type="dxa"/>
            <w:vAlign w:val="center"/>
          </w:tcPr>
          <w:p w14:paraId="15463F52">
            <w:pPr>
              <w:pStyle w:val="518"/>
              <w:rPr>
                <w:szCs w:val="21"/>
                <w:lang w:eastAsia="zh-CN"/>
              </w:rPr>
            </w:pPr>
            <w:r>
              <w:rPr>
                <w:szCs w:val="21"/>
                <w:lang w:eastAsia="zh-CN"/>
              </w:rPr>
              <w:t>石墨炉原子吸收分光光度法</w:t>
            </w:r>
          </w:p>
        </w:tc>
        <w:tc>
          <w:tcPr>
            <w:tcW w:w="2375" w:type="dxa"/>
            <w:vAlign w:val="center"/>
          </w:tcPr>
          <w:p w14:paraId="7784CD27">
            <w:pPr>
              <w:pStyle w:val="518"/>
              <w:rPr>
                <w:szCs w:val="21"/>
                <w:lang w:eastAsia="zh-CN"/>
              </w:rPr>
            </w:pPr>
            <w:r>
              <w:rPr>
                <w:szCs w:val="21"/>
                <w:lang w:eastAsia="zh-CN"/>
              </w:rPr>
              <w:t>《水和废水监测分析方法》（第四版）（增补版）</w:t>
            </w:r>
          </w:p>
        </w:tc>
        <w:tc>
          <w:tcPr>
            <w:tcW w:w="1882" w:type="dxa"/>
            <w:vAlign w:val="center"/>
          </w:tcPr>
          <w:p w14:paraId="5F4F5606">
            <w:pPr>
              <w:pStyle w:val="518"/>
              <w:rPr>
                <w:szCs w:val="21"/>
              </w:rPr>
            </w:pPr>
            <w:r>
              <w:rPr>
                <w:szCs w:val="21"/>
              </w:rPr>
              <w:t>0.0001 mg/L</w:t>
            </w:r>
          </w:p>
        </w:tc>
      </w:tr>
      <w:tr w14:paraId="3D0B52B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588" w:type="dxa"/>
            <w:vAlign w:val="center"/>
          </w:tcPr>
          <w:p w14:paraId="4F7562DB">
            <w:pPr>
              <w:pStyle w:val="518"/>
              <w:rPr>
                <w:szCs w:val="21"/>
              </w:rPr>
            </w:pPr>
            <w:r>
              <w:rPr>
                <w:szCs w:val="21"/>
              </w:rPr>
              <w:t>铅</w:t>
            </w:r>
          </w:p>
        </w:tc>
        <w:tc>
          <w:tcPr>
            <w:tcW w:w="2825" w:type="dxa"/>
            <w:vAlign w:val="center"/>
          </w:tcPr>
          <w:p w14:paraId="65C586B4">
            <w:pPr>
              <w:pStyle w:val="518"/>
              <w:rPr>
                <w:szCs w:val="21"/>
                <w:lang w:eastAsia="zh-CN"/>
              </w:rPr>
            </w:pPr>
            <w:r>
              <w:rPr>
                <w:szCs w:val="21"/>
                <w:lang w:eastAsia="zh-CN"/>
              </w:rPr>
              <w:t>石墨炉原子吸收分光光度法</w:t>
            </w:r>
          </w:p>
        </w:tc>
        <w:tc>
          <w:tcPr>
            <w:tcW w:w="2375" w:type="dxa"/>
            <w:vAlign w:val="center"/>
          </w:tcPr>
          <w:p w14:paraId="7F5D934A">
            <w:pPr>
              <w:pStyle w:val="518"/>
              <w:rPr>
                <w:szCs w:val="21"/>
                <w:lang w:eastAsia="zh-CN"/>
              </w:rPr>
            </w:pPr>
            <w:r>
              <w:rPr>
                <w:szCs w:val="21"/>
                <w:lang w:eastAsia="zh-CN"/>
              </w:rPr>
              <w:t>《水和废水监测分析方法》（第四版）（增补版）</w:t>
            </w:r>
          </w:p>
        </w:tc>
        <w:tc>
          <w:tcPr>
            <w:tcW w:w="1882" w:type="dxa"/>
            <w:vAlign w:val="center"/>
          </w:tcPr>
          <w:p w14:paraId="2FEA5A8E">
            <w:pPr>
              <w:pStyle w:val="518"/>
              <w:rPr>
                <w:szCs w:val="21"/>
              </w:rPr>
            </w:pPr>
            <w:r>
              <w:rPr>
                <w:szCs w:val="21"/>
              </w:rPr>
              <w:t>0.001 mg/L</w:t>
            </w:r>
          </w:p>
        </w:tc>
      </w:tr>
      <w:tr w14:paraId="05207EC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588" w:type="dxa"/>
            <w:vAlign w:val="center"/>
          </w:tcPr>
          <w:p w14:paraId="252A3F2E">
            <w:pPr>
              <w:pStyle w:val="518"/>
              <w:rPr>
                <w:szCs w:val="21"/>
              </w:rPr>
            </w:pPr>
            <w:r>
              <w:rPr>
                <w:szCs w:val="21"/>
              </w:rPr>
              <w:t>挥发酚</w:t>
            </w:r>
          </w:p>
        </w:tc>
        <w:tc>
          <w:tcPr>
            <w:tcW w:w="2825" w:type="dxa"/>
            <w:vAlign w:val="center"/>
          </w:tcPr>
          <w:p w14:paraId="70336FEF">
            <w:pPr>
              <w:pStyle w:val="518"/>
              <w:rPr>
                <w:szCs w:val="21"/>
                <w:lang w:eastAsia="zh-CN"/>
              </w:rPr>
            </w:pPr>
            <w:r>
              <w:rPr>
                <w:szCs w:val="21"/>
                <w:lang w:eastAsia="zh-CN"/>
              </w:rPr>
              <w:t>蒸馏后—4-氨基安替比林分光光度法</w:t>
            </w:r>
          </w:p>
        </w:tc>
        <w:tc>
          <w:tcPr>
            <w:tcW w:w="2375" w:type="dxa"/>
            <w:vAlign w:val="center"/>
          </w:tcPr>
          <w:p w14:paraId="5C002D2C">
            <w:pPr>
              <w:pStyle w:val="518"/>
              <w:rPr>
                <w:szCs w:val="21"/>
              </w:rPr>
            </w:pPr>
            <w:r>
              <w:rPr>
                <w:szCs w:val="21"/>
              </w:rPr>
              <w:t>GB7490-87</w:t>
            </w:r>
          </w:p>
        </w:tc>
        <w:tc>
          <w:tcPr>
            <w:tcW w:w="1882" w:type="dxa"/>
            <w:vAlign w:val="center"/>
          </w:tcPr>
          <w:p w14:paraId="7F98F89F">
            <w:pPr>
              <w:pStyle w:val="518"/>
              <w:rPr>
                <w:szCs w:val="21"/>
              </w:rPr>
            </w:pPr>
            <w:r>
              <w:rPr>
                <w:szCs w:val="21"/>
              </w:rPr>
              <w:t>0.002 mg/L</w:t>
            </w:r>
          </w:p>
        </w:tc>
      </w:tr>
      <w:tr w14:paraId="00E7769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588" w:type="dxa"/>
            <w:vAlign w:val="center"/>
          </w:tcPr>
          <w:p w14:paraId="2AC40EDA">
            <w:pPr>
              <w:pStyle w:val="518"/>
              <w:rPr>
                <w:szCs w:val="21"/>
              </w:rPr>
            </w:pPr>
            <w:r>
              <w:rPr>
                <w:szCs w:val="21"/>
              </w:rPr>
              <w:t>砷</w:t>
            </w:r>
          </w:p>
        </w:tc>
        <w:tc>
          <w:tcPr>
            <w:tcW w:w="2825" w:type="dxa"/>
            <w:vAlign w:val="center"/>
          </w:tcPr>
          <w:p w14:paraId="596304AF">
            <w:pPr>
              <w:pStyle w:val="518"/>
              <w:rPr>
                <w:szCs w:val="21"/>
              </w:rPr>
            </w:pPr>
            <w:r>
              <w:rPr>
                <w:szCs w:val="21"/>
              </w:rPr>
              <w:t>原子荧光法</w:t>
            </w:r>
          </w:p>
        </w:tc>
        <w:tc>
          <w:tcPr>
            <w:tcW w:w="2375" w:type="dxa"/>
            <w:vAlign w:val="center"/>
          </w:tcPr>
          <w:p w14:paraId="3DC477B8">
            <w:pPr>
              <w:pStyle w:val="518"/>
              <w:rPr>
                <w:szCs w:val="21"/>
              </w:rPr>
            </w:pPr>
            <w:r>
              <w:rPr>
                <w:szCs w:val="21"/>
              </w:rPr>
              <w:t>SL327.1--2005</w:t>
            </w:r>
          </w:p>
        </w:tc>
        <w:tc>
          <w:tcPr>
            <w:tcW w:w="1882" w:type="dxa"/>
            <w:vAlign w:val="center"/>
          </w:tcPr>
          <w:p w14:paraId="50249B18">
            <w:pPr>
              <w:pStyle w:val="518"/>
              <w:rPr>
                <w:szCs w:val="21"/>
              </w:rPr>
            </w:pPr>
            <w:r>
              <w:rPr>
                <w:szCs w:val="21"/>
              </w:rPr>
              <w:t>0.0002 mg/L</w:t>
            </w:r>
          </w:p>
        </w:tc>
      </w:tr>
      <w:tr w14:paraId="06C85DD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588" w:type="dxa"/>
            <w:vAlign w:val="center"/>
          </w:tcPr>
          <w:p w14:paraId="6BAFDA13">
            <w:pPr>
              <w:pStyle w:val="518"/>
              <w:rPr>
                <w:szCs w:val="21"/>
              </w:rPr>
            </w:pPr>
            <w:r>
              <w:rPr>
                <w:szCs w:val="21"/>
              </w:rPr>
              <w:t>氰化物</w:t>
            </w:r>
          </w:p>
        </w:tc>
        <w:tc>
          <w:tcPr>
            <w:tcW w:w="2825" w:type="dxa"/>
            <w:vAlign w:val="center"/>
          </w:tcPr>
          <w:p w14:paraId="5FDAE4EC">
            <w:pPr>
              <w:pStyle w:val="518"/>
              <w:rPr>
                <w:szCs w:val="21"/>
                <w:lang w:eastAsia="zh-CN"/>
              </w:rPr>
            </w:pPr>
            <w:r>
              <w:rPr>
                <w:szCs w:val="21"/>
                <w:lang w:eastAsia="zh-CN"/>
              </w:rPr>
              <w:t>异烟酸-巴比妥酸分光光度法</w:t>
            </w:r>
          </w:p>
        </w:tc>
        <w:tc>
          <w:tcPr>
            <w:tcW w:w="2375" w:type="dxa"/>
            <w:vAlign w:val="center"/>
          </w:tcPr>
          <w:p w14:paraId="18CABF23">
            <w:pPr>
              <w:pStyle w:val="518"/>
              <w:rPr>
                <w:szCs w:val="21"/>
                <w:lang w:eastAsia="zh-CN"/>
              </w:rPr>
            </w:pPr>
            <w:r>
              <w:rPr>
                <w:szCs w:val="21"/>
                <w:lang w:eastAsia="zh-CN"/>
              </w:rPr>
              <w:t>《水和废水监测分析方法》（第四版）（增补版）</w:t>
            </w:r>
          </w:p>
        </w:tc>
        <w:tc>
          <w:tcPr>
            <w:tcW w:w="1882" w:type="dxa"/>
            <w:vAlign w:val="center"/>
          </w:tcPr>
          <w:p w14:paraId="4D3A6E7F">
            <w:pPr>
              <w:pStyle w:val="518"/>
              <w:rPr>
                <w:szCs w:val="21"/>
              </w:rPr>
            </w:pPr>
            <w:r>
              <w:rPr>
                <w:szCs w:val="21"/>
              </w:rPr>
              <w:t>0.001 mg/L</w:t>
            </w:r>
          </w:p>
        </w:tc>
      </w:tr>
      <w:tr w14:paraId="310D5BB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588" w:type="dxa"/>
            <w:vAlign w:val="center"/>
          </w:tcPr>
          <w:p w14:paraId="0D0294A5">
            <w:pPr>
              <w:pStyle w:val="518"/>
              <w:rPr>
                <w:szCs w:val="21"/>
              </w:rPr>
            </w:pPr>
            <w:r>
              <w:rPr>
                <w:szCs w:val="21"/>
              </w:rPr>
              <w:t>锰</w:t>
            </w:r>
          </w:p>
        </w:tc>
        <w:tc>
          <w:tcPr>
            <w:tcW w:w="2825" w:type="dxa"/>
            <w:vAlign w:val="center"/>
          </w:tcPr>
          <w:p w14:paraId="1FC2F6B8">
            <w:pPr>
              <w:pStyle w:val="518"/>
              <w:rPr>
                <w:szCs w:val="21"/>
              </w:rPr>
            </w:pPr>
            <w:r>
              <w:rPr>
                <w:szCs w:val="21"/>
              </w:rPr>
              <w:t>火焰原子吸收法</w:t>
            </w:r>
          </w:p>
        </w:tc>
        <w:tc>
          <w:tcPr>
            <w:tcW w:w="2375" w:type="dxa"/>
            <w:vAlign w:val="center"/>
          </w:tcPr>
          <w:p w14:paraId="7E9245D6">
            <w:pPr>
              <w:pStyle w:val="518"/>
              <w:rPr>
                <w:szCs w:val="21"/>
              </w:rPr>
            </w:pPr>
            <w:r>
              <w:rPr>
                <w:szCs w:val="21"/>
              </w:rPr>
              <w:t>GB/T11911-1989</w:t>
            </w:r>
          </w:p>
        </w:tc>
        <w:tc>
          <w:tcPr>
            <w:tcW w:w="1882" w:type="dxa"/>
            <w:vAlign w:val="center"/>
          </w:tcPr>
          <w:p w14:paraId="27EC6F7F">
            <w:pPr>
              <w:pStyle w:val="518"/>
              <w:rPr>
                <w:szCs w:val="21"/>
              </w:rPr>
            </w:pPr>
            <w:r>
              <w:rPr>
                <w:szCs w:val="21"/>
              </w:rPr>
              <w:t>0.01 mg/L</w:t>
            </w:r>
          </w:p>
        </w:tc>
      </w:tr>
      <w:tr w14:paraId="07909E9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588" w:type="dxa"/>
            <w:vAlign w:val="center"/>
          </w:tcPr>
          <w:p w14:paraId="2487EC16">
            <w:pPr>
              <w:pStyle w:val="518"/>
              <w:rPr>
                <w:szCs w:val="21"/>
              </w:rPr>
            </w:pPr>
            <w:r>
              <w:rPr>
                <w:szCs w:val="21"/>
              </w:rPr>
              <w:t>铁</w:t>
            </w:r>
          </w:p>
        </w:tc>
        <w:tc>
          <w:tcPr>
            <w:tcW w:w="2825" w:type="dxa"/>
            <w:vAlign w:val="center"/>
          </w:tcPr>
          <w:p w14:paraId="48E3E809">
            <w:pPr>
              <w:pStyle w:val="518"/>
              <w:rPr>
                <w:szCs w:val="21"/>
              </w:rPr>
            </w:pPr>
            <w:r>
              <w:rPr>
                <w:szCs w:val="21"/>
              </w:rPr>
              <w:t>火焰原子吸收法</w:t>
            </w:r>
          </w:p>
        </w:tc>
        <w:tc>
          <w:tcPr>
            <w:tcW w:w="2375" w:type="dxa"/>
            <w:vAlign w:val="center"/>
          </w:tcPr>
          <w:p w14:paraId="24FE786F">
            <w:pPr>
              <w:pStyle w:val="518"/>
              <w:rPr>
                <w:szCs w:val="21"/>
              </w:rPr>
            </w:pPr>
            <w:r>
              <w:rPr>
                <w:szCs w:val="21"/>
              </w:rPr>
              <w:t>GB/T11911-1989</w:t>
            </w:r>
          </w:p>
        </w:tc>
        <w:tc>
          <w:tcPr>
            <w:tcW w:w="1882" w:type="dxa"/>
            <w:vAlign w:val="center"/>
          </w:tcPr>
          <w:p w14:paraId="651BD897">
            <w:pPr>
              <w:pStyle w:val="518"/>
              <w:rPr>
                <w:szCs w:val="21"/>
              </w:rPr>
            </w:pPr>
            <w:r>
              <w:rPr>
                <w:szCs w:val="21"/>
              </w:rPr>
              <w:t>0.03 mg/L</w:t>
            </w:r>
          </w:p>
        </w:tc>
      </w:tr>
      <w:tr w14:paraId="2BAF811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588" w:type="dxa"/>
            <w:vAlign w:val="center"/>
          </w:tcPr>
          <w:p w14:paraId="0F6A987C">
            <w:pPr>
              <w:pStyle w:val="518"/>
              <w:rPr>
                <w:szCs w:val="21"/>
              </w:rPr>
            </w:pPr>
            <w:r>
              <w:rPr>
                <w:szCs w:val="21"/>
              </w:rPr>
              <w:t>硝酸盐氮</w:t>
            </w:r>
          </w:p>
        </w:tc>
        <w:tc>
          <w:tcPr>
            <w:tcW w:w="2825" w:type="dxa"/>
            <w:vAlign w:val="center"/>
          </w:tcPr>
          <w:p w14:paraId="78D81C0A">
            <w:pPr>
              <w:pStyle w:val="518"/>
              <w:rPr>
                <w:szCs w:val="21"/>
              </w:rPr>
            </w:pPr>
            <w:r>
              <w:rPr>
                <w:szCs w:val="21"/>
              </w:rPr>
              <w:t>酚二磺酸光度法</w:t>
            </w:r>
          </w:p>
        </w:tc>
        <w:tc>
          <w:tcPr>
            <w:tcW w:w="2375" w:type="dxa"/>
            <w:vAlign w:val="center"/>
          </w:tcPr>
          <w:p w14:paraId="78B46645">
            <w:pPr>
              <w:pStyle w:val="518"/>
              <w:rPr>
                <w:szCs w:val="21"/>
              </w:rPr>
            </w:pPr>
            <w:r>
              <w:rPr>
                <w:szCs w:val="21"/>
              </w:rPr>
              <w:t>GB7480-87</w:t>
            </w:r>
          </w:p>
        </w:tc>
        <w:tc>
          <w:tcPr>
            <w:tcW w:w="1882" w:type="dxa"/>
            <w:vAlign w:val="center"/>
          </w:tcPr>
          <w:p w14:paraId="2E1EE412">
            <w:pPr>
              <w:pStyle w:val="518"/>
              <w:rPr>
                <w:szCs w:val="21"/>
              </w:rPr>
            </w:pPr>
            <w:r>
              <w:rPr>
                <w:szCs w:val="21"/>
              </w:rPr>
              <w:t>0.02 mg/L</w:t>
            </w:r>
          </w:p>
        </w:tc>
      </w:tr>
      <w:tr w14:paraId="230EC6E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588" w:type="dxa"/>
            <w:vAlign w:val="center"/>
          </w:tcPr>
          <w:p w14:paraId="73B12456">
            <w:pPr>
              <w:pStyle w:val="518"/>
              <w:rPr>
                <w:szCs w:val="21"/>
              </w:rPr>
            </w:pPr>
            <w:r>
              <w:rPr>
                <w:szCs w:val="21"/>
              </w:rPr>
              <w:t>溶解性总固体</w:t>
            </w:r>
          </w:p>
        </w:tc>
        <w:tc>
          <w:tcPr>
            <w:tcW w:w="2825" w:type="dxa"/>
            <w:vAlign w:val="center"/>
          </w:tcPr>
          <w:p w14:paraId="5C37B09B">
            <w:pPr>
              <w:pStyle w:val="518"/>
              <w:rPr>
                <w:szCs w:val="21"/>
              </w:rPr>
            </w:pPr>
            <w:r>
              <w:rPr>
                <w:szCs w:val="21"/>
              </w:rPr>
              <w:t>重量法</w:t>
            </w:r>
          </w:p>
        </w:tc>
        <w:tc>
          <w:tcPr>
            <w:tcW w:w="2375" w:type="dxa"/>
            <w:vAlign w:val="center"/>
          </w:tcPr>
          <w:p w14:paraId="3B25859C">
            <w:pPr>
              <w:pStyle w:val="518"/>
              <w:rPr>
                <w:szCs w:val="21"/>
                <w:lang w:eastAsia="zh-CN"/>
              </w:rPr>
            </w:pPr>
            <w:r>
              <w:rPr>
                <w:szCs w:val="21"/>
                <w:lang w:eastAsia="zh-CN"/>
              </w:rPr>
              <w:t>《水和废水监测分析方法》（第四版）（增补版）</w:t>
            </w:r>
          </w:p>
        </w:tc>
        <w:tc>
          <w:tcPr>
            <w:tcW w:w="1882" w:type="dxa"/>
            <w:vAlign w:val="center"/>
          </w:tcPr>
          <w:p w14:paraId="0110504E">
            <w:pPr>
              <w:pStyle w:val="518"/>
              <w:rPr>
                <w:szCs w:val="21"/>
              </w:rPr>
            </w:pPr>
            <w:r>
              <w:rPr>
                <w:szCs w:val="21"/>
              </w:rPr>
              <w:t>--</w:t>
            </w:r>
          </w:p>
        </w:tc>
      </w:tr>
      <w:tr w14:paraId="267970B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588" w:type="dxa"/>
            <w:vAlign w:val="center"/>
          </w:tcPr>
          <w:p w14:paraId="28F8B001">
            <w:pPr>
              <w:pStyle w:val="518"/>
              <w:rPr>
                <w:szCs w:val="21"/>
              </w:rPr>
            </w:pPr>
            <w:r>
              <w:rPr>
                <w:szCs w:val="21"/>
              </w:rPr>
              <w:t>石油类</w:t>
            </w:r>
          </w:p>
        </w:tc>
        <w:tc>
          <w:tcPr>
            <w:tcW w:w="2825" w:type="dxa"/>
            <w:vAlign w:val="center"/>
          </w:tcPr>
          <w:p w14:paraId="46BD69E8">
            <w:pPr>
              <w:pStyle w:val="518"/>
              <w:rPr>
                <w:szCs w:val="21"/>
              </w:rPr>
            </w:pPr>
            <w:r>
              <w:rPr>
                <w:szCs w:val="21"/>
              </w:rPr>
              <w:t>红外分光光度法</w:t>
            </w:r>
          </w:p>
        </w:tc>
        <w:tc>
          <w:tcPr>
            <w:tcW w:w="2375" w:type="dxa"/>
            <w:vAlign w:val="center"/>
          </w:tcPr>
          <w:p w14:paraId="7ED0A229">
            <w:pPr>
              <w:pStyle w:val="518"/>
              <w:rPr>
                <w:szCs w:val="21"/>
              </w:rPr>
            </w:pPr>
            <w:r>
              <w:rPr>
                <w:szCs w:val="21"/>
              </w:rPr>
              <w:t>GB/T16488-1996</w:t>
            </w:r>
          </w:p>
        </w:tc>
        <w:tc>
          <w:tcPr>
            <w:tcW w:w="1882" w:type="dxa"/>
            <w:vAlign w:val="center"/>
          </w:tcPr>
          <w:p w14:paraId="78A83C2A">
            <w:pPr>
              <w:pStyle w:val="518"/>
              <w:rPr>
                <w:szCs w:val="21"/>
              </w:rPr>
            </w:pPr>
            <w:r>
              <w:rPr>
                <w:szCs w:val="21"/>
              </w:rPr>
              <w:t>0.04 mg/L</w:t>
            </w:r>
          </w:p>
        </w:tc>
      </w:tr>
      <w:tr w14:paraId="153BBC2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588" w:type="dxa"/>
            <w:vAlign w:val="center"/>
          </w:tcPr>
          <w:p w14:paraId="583E6041">
            <w:pPr>
              <w:pStyle w:val="518"/>
              <w:rPr>
                <w:szCs w:val="21"/>
              </w:rPr>
            </w:pPr>
            <w:r>
              <w:rPr>
                <w:szCs w:val="21"/>
              </w:rPr>
              <w:t>氨氮</w:t>
            </w:r>
          </w:p>
        </w:tc>
        <w:tc>
          <w:tcPr>
            <w:tcW w:w="2825" w:type="dxa"/>
            <w:vAlign w:val="center"/>
          </w:tcPr>
          <w:p w14:paraId="6C94146E">
            <w:pPr>
              <w:pStyle w:val="518"/>
              <w:rPr>
                <w:szCs w:val="21"/>
              </w:rPr>
            </w:pPr>
            <w:r>
              <w:rPr>
                <w:szCs w:val="21"/>
              </w:rPr>
              <w:t>纳氏试剂比色法</w:t>
            </w:r>
          </w:p>
        </w:tc>
        <w:tc>
          <w:tcPr>
            <w:tcW w:w="2375" w:type="dxa"/>
            <w:vAlign w:val="center"/>
          </w:tcPr>
          <w:p w14:paraId="3E9C7A46">
            <w:pPr>
              <w:pStyle w:val="518"/>
              <w:rPr>
                <w:szCs w:val="21"/>
              </w:rPr>
            </w:pPr>
            <w:r>
              <w:rPr>
                <w:szCs w:val="21"/>
              </w:rPr>
              <w:t>GB7479-87</w:t>
            </w:r>
          </w:p>
        </w:tc>
        <w:tc>
          <w:tcPr>
            <w:tcW w:w="1882" w:type="dxa"/>
            <w:vAlign w:val="center"/>
          </w:tcPr>
          <w:p w14:paraId="3E33A6DF">
            <w:pPr>
              <w:pStyle w:val="518"/>
              <w:rPr>
                <w:szCs w:val="21"/>
              </w:rPr>
            </w:pPr>
            <w:r>
              <w:rPr>
                <w:szCs w:val="21"/>
              </w:rPr>
              <w:t>0.02mg/L</w:t>
            </w:r>
          </w:p>
        </w:tc>
      </w:tr>
      <w:tr w14:paraId="4DA68F4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588" w:type="dxa"/>
            <w:vAlign w:val="center"/>
          </w:tcPr>
          <w:p w14:paraId="442683CC">
            <w:pPr>
              <w:pStyle w:val="518"/>
              <w:rPr>
                <w:szCs w:val="21"/>
              </w:rPr>
            </w:pPr>
            <w:r>
              <w:rPr>
                <w:szCs w:val="21"/>
              </w:rPr>
              <w:t>汞</w:t>
            </w:r>
          </w:p>
        </w:tc>
        <w:tc>
          <w:tcPr>
            <w:tcW w:w="2825" w:type="dxa"/>
            <w:vAlign w:val="center"/>
          </w:tcPr>
          <w:p w14:paraId="298A31BA">
            <w:pPr>
              <w:pStyle w:val="518"/>
              <w:rPr>
                <w:szCs w:val="21"/>
              </w:rPr>
            </w:pPr>
            <w:r>
              <w:rPr>
                <w:szCs w:val="21"/>
              </w:rPr>
              <w:t>原子荧光法</w:t>
            </w:r>
          </w:p>
        </w:tc>
        <w:tc>
          <w:tcPr>
            <w:tcW w:w="2375" w:type="dxa"/>
            <w:vAlign w:val="center"/>
          </w:tcPr>
          <w:p w14:paraId="744C2948">
            <w:pPr>
              <w:pStyle w:val="518"/>
              <w:rPr>
                <w:szCs w:val="21"/>
              </w:rPr>
            </w:pPr>
            <w:r>
              <w:rPr>
                <w:szCs w:val="21"/>
              </w:rPr>
              <w:t>SL327.1--2005</w:t>
            </w:r>
          </w:p>
        </w:tc>
        <w:tc>
          <w:tcPr>
            <w:tcW w:w="1882" w:type="dxa"/>
            <w:vAlign w:val="center"/>
          </w:tcPr>
          <w:p w14:paraId="7BB7C26B">
            <w:pPr>
              <w:pStyle w:val="518"/>
              <w:rPr>
                <w:szCs w:val="21"/>
              </w:rPr>
            </w:pPr>
            <w:r>
              <w:rPr>
                <w:szCs w:val="21"/>
              </w:rPr>
              <w:t>0.00005 mg/L</w:t>
            </w:r>
          </w:p>
        </w:tc>
      </w:tr>
      <w:tr w14:paraId="488712E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588" w:type="dxa"/>
            <w:vAlign w:val="center"/>
          </w:tcPr>
          <w:p w14:paraId="745A0FE0">
            <w:pPr>
              <w:pStyle w:val="518"/>
              <w:rPr>
                <w:szCs w:val="21"/>
              </w:rPr>
            </w:pPr>
            <w:r>
              <w:rPr>
                <w:szCs w:val="21"/>
              </w:rPr>
              <w:t>亚硝酸盐氮</w:t>
            </w:r>
          </w:p>
        </w:tc>
        <w:tc>
          <w:tcPr>
            <w:tcW w:w="2825" w:type="dxa"/>
            <w:vAlign w:val="center"/>
          </w:tcPr>
          <w:p w14:paraId="34CD39B9">
            <w:pPr>
              <w:pStyle w:val="518"/>
              <w:rPr>
                <w:szCs w:val="21"/>
              </w:rPr>
            </w:pPr>
            <w:r>
              <w:rPr>
                <w:szCs w:val="21"/>
              </w:rPr>
              <w:t>N-(1-萘基)-乙二胺光度法</w:t>
            </w:r>
          </w:p>
        </w:tc>
        <w:tc>
          <w:tcPr>
            <w:tcW w:w="2375" w:type="dxa"/>
            <w:vAlign w:val="center"/>
          </w:tcPr>
          <w:p w14:paraId="4D8C832C">
            <w:pPr>
              <w:pStyle w:val="518"/>
              <w:rPr>
                <w:szCs w:val="21"/>
              </w:rPr>
            </w:pPr>
            <w:r>
              <w:rPr>
                <w:szCs w:val="21"/>
              </w:rPr>
              <w:t>GB7493-87</w:t>
            </w:r>
          </w:p>
        </w:tc>
        <w:tc>
          <w:tcPr>
            <w:tcW w:w="1882" w:type="dxa"/>
            <w:vAlign w:val="center"/>
          </w:tcPr>
          <w:p w14:paraId="1DB33C3F">
            <w:pPr>
              <w:pStyle w:val="518"/>
              <w:rPr>
                <w:szCs w:val="21"/>
              </w:rPr>
            </w:pPr>
            <w:r>
              <w:rPr>
                <w:szCs w:val="21"/>
              </w:rPr>
              <w:t>0.003 mg/L</w:t>
            </w:r>
          </w:p>
        </w:tc>
      </w:tr>
      <w:tr w14:paraId="78C451A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588" w:type="dxa"/>
            <w:vAlign w:val="center"/>
          </w:tcPr>
          <w:p w14:paraId="4E17F53A">
            <w:pPr>
              <w:pStyle w:val="518"/>
              <w:rPr>
                <w:szCs w:val="21"/>
              </w:rPr>
            </w:pPr>
            <w:r>
              <w:rPr>
                <w:szCs w:val="21"/>
              </w:rPr>
              <w:t>高锰酸盐指数</w:t>
            </w:r>
          </w:p>
        </w:tc>
        <w:tc>
          <w:tcPr>
            <w:tcW w:w="2825" w:type="dxa"/>
            <w:vAlign w:val="center"/>
          </w:tcPr>
          <w:p w14:paraId="5E91C173">
            <w:pPr>
              <w:pStyle w:val="518"/>
              <w:rPr>
                <w:szCs w:val="21"/>
              </w:rPr>
            </w:pPr>
            <w:r>
              <w:rPr>
                <w:szCs w:val="21"/>
              </w:rPr>
              <w:t>酸性法</w:t>
            </w:r>
          </w:p>
        </w:tc>
        <w:tc>
          <w:tcPr>
            <w:tcW w:w="2375" w:type="dxa"/>
            <w:vAlign w:val="center"/>
          </w:tcPr>
          <w:p w14:paraId="7283D807">
            <w:pPr>
              <w:pStyle w:val="518"/>
              <w:rPr>
                <w:szCs w:val="21"/>
              </w:rPr>
            </w:pPr>
            <w:r>
              <w:rPr>
                <w:szCs w:val="21"/>
              </w:rPr>
              <w:t>GB11892-89</w:t>
            </w:r>
          </w:p>
        </w:tc>
        <w:tc>
          <w:tcPr>
            <w:tcW w:w="1882" w:type="dxa"/>
            <w:vAlign w:val="center"/>
          </w:tcPr>
          <w:p w14:paraId="538D9A4E">
            <w:pPr>
              <w:pStyle w:val="518"/>
              <w:rPr>
                <w:szCs w:val="21"/>
              </w:rPr>
            </w:pPr>
            <w:r>
              <w:rPr>
                <w:szCs w:val="21"/>
              </w:rPr>
              <w:t>0.5 mg/L</w:t>
            </w:r>
          </w:p>
        </w:tc>
      </w:tr>
    </w:tbl>
    <w:p w14:paraId="0ACD2BDF">
      <w:pPr>
        <w:widowControl/>
        <w:tabs>
          <w:tab w:val="left" w:pos="120"/>
        </w:tabs>
        <w:snapToGrid w:val="0"/>
        <w:ind w:firstLine="480"/>
        <w:jc w:val="left"/>
        <w:rPr>
          <w:rFonts w:asciiTheme="minorEastAsia" w:hAnsiTheme="minorEastAsia" w:eastAsiaTheme="minorEastAsia"/>
          <w:lang w:eastAsia="zh-CN"/>
        </w:rPr>
      </w:pPr>
    </w:p>
    <w:p w14:paraId="24BDE3AF">
      <w:pPr>
        <w:widowControl/>
        <w:tabs>
          <w:tab w:val="left" w:pos="120"/>
        </w:tabs>
        <w:snapToGrid w:val="0"/>
        <w:ind w:firstLine="480"/>
        <w:jc w:val="left"/>
        <w:rPr>
          <w:rFonts w:asciiTheme="minorEastAsia" w:hAnsiTheme="minorEastAsia" w:eastAsiaTheme="minorEastAsia"/>
          <w:lang w:eastAsia="zh-CN"/>
        </w:rPr>
      </w:pPr>
      <w:r>
        <w:rPr>
          <w:rFonts w:hint="eastAsia" w:asciiTheme="minorEastAsia" w:hAnsiTheme="minorEastAsia" w:eastAsiaTheme="minorEastAsia"/>
          <w:lang w:eastAsia="zh-CN"/>
        </w:rPr>
        <w:t>5</w:t>
      </w:r>
      <w:r>
        <w:rPr>
          <w:rFonts w:asciiTheme="minorEastAsia" w:hAnsiTheme="minorEastAsia" w:eastAsiaTheme="minorEastAsia"/>
          <w:lang w:eastAsia="zh-CN"/>
        </w:rPr>
        <w:t>、监测结果</w:t>
      </w:r>
    </w:p>
    <w:p w14:paraId="2CE4E6F3">
      <w:pPr>
        <w:widowControl/>
        <w:tabs>
          <w:tab w:val="left" w:pos="120"/>
        </w:tabs>
        <w:snapToGrid w:val="0"/>
        <w:ind w:firstLine="480"/>
        <w:jc w:val="left"/>
        <w:rPr>
          <w:rFonts w:asciiTheme="minorEastAsia" w:hAnsiTheme="minorEastAsia" w:eastAsiaTheme="minorEastAsia"/>
          <w:lang w:eastAsia="zh-CN"/>
        </w:rPr>
      </w:pPr>
      <w:r>
        <w:rPr>
          <w:rFonts w:hint="eastAsia" w:asciiTheme="minorEastAsia" w:hAnsiTheme="minorEastAsia" w:eastAsiaTheme="minorEastAsia"/>
          <w:lang w:eastAsia="zh-CN"/>
        </w:rPr>
        <w:t>地下水现状监测</w:t>
      </w:r>
      <w:r>
        <w:rPr>
          <w:rFonts w:asciiTheme="minorEastAsia" w:hAnsiTheme="minorEastAsia" w:eastAsiaTheme="minorEastAsia"/>
          <w:lang w:eastAsia="zh-CN"/>
        </w:rPr>
        <w:t>水井基本情况见表6.2-2，水质监测结果见表6.2-3。</w:t>
      </w:r>
    </w:p>
    <w:p w14:paraId="4B267895">
      <w:pPr>
        <w:widowControl/>
        <w:tabs>
          <w:tab w:val="left" w:pos="120"/>
        </w:tabs>
        <w:snapToGrid w:val="0"/>
        <w:ind w:firstLine="480"/>
        <w:jc w:val="left"/>
        <w:rPr>
          <w:rFonts w:asciiTheme="minorEastAsia" w:hAnsiTheme="minorEastAsia" w:eastAsiaTheme="minorEastAsia"/>
          <w:lang w:eastAsia="zh-CN"/>
        </w:rPr>
      </w:pPr>
    </w:p>
    <w:p w14:paraId="2B296F1D">
      <w:pPr>
        <w:spacing w:line="240" w:lineRule="auto"/>
        <w:ind w:firstLine="788" w:firstLineChars="327"/>
        <w:rPr>
          <w:b/>
          <w:lang w:eastAsia="zh-CN"/>
        </w:rPr>
      </w:pPr>
      <w:r>
        <w:rPr>
          <w:b/>
        </w:rPr>
        <w:t>表</w:t>
      </w:r>
      <w:r>
        <w:rPr>
          <w:b/>
          <w:lang w:eastAsia="zh-CN"/>
        </w:rPr>
        <w:t>6.2-2</w:t>
      </w:r>
      <w:r>
        <w:rPr>
          <w:b/>
        </w:rPr>
        <w:t xml:space="preserve">  </w:t>
      </w:r>
      <w:r>
        <w:rPr>
          <w:rFonts w:hint="eastAsia"/>
          <w:b/>
          <w:lang w:eastAsia="zh-CN"/>
        </w:rPr>
        <w:t xml:space="preserve">     监测</w:t>
      </w:r>
      <w:r>
        <w:rPr>
          <w:b/>
          <w:lang w:eastAsia="zh-CN"/>
        </w:rPr>
        <w:t>水井基本情况</w:t>
      </w:r>
    </w:p>
    <w:tbl>
      <w:tblPr>
        <w:tblStyle w:val="76"/>
        <w:tblW w:w="861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7"/>
        <w:gridCol w:w="1701"/>
        <w:gridCol w:w="992"/>
        <w:gridCol w:w="1276"/>
        <w:gridCol w:w="1276"/>
        <w:gridCol w:w="1134"/>
        <w:gridCol w:w="1417"/>
      </w:tblGrid>
      <w:tr w14:paraId="78D540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17" w:type="dxa"/>
            <w:vMerge w:val="restart"/>
            <w:vAlign w:val="center"/>
          </w:tcPr>
          <w:p w14:paraId="34AA04E8">
            <w:pPr>
              <w:pStyle w:val="518"/>
              <w:rPr>
                <w:szCs w:val="21"/>
                <w:lang w:eastAsia="zh-CN"/>
              </w:rPr>
            </w:pPr>
            <w:r>
              <w:rPr>
                <w:rFonts w:hint="eastAsia"/>
                <w:szCs w:val="21"/>
                <w:lang w:eastAsia="zh-CN"/>
              </w:rPr>
              <w:t>编号</w:t>
            </w:r>
          </w:p>
        </w:tc>
        <w:tc>
          <w:tcPr>
            <w:tcW w:w="1701" w:type="dxa"/>
            <w:vMerge w:val="restart"/>
            <w:vAlign w:val="center"/>
          </w:tcPr>
          <w:p w14:paraId="308B075F">
            <w:pPr>
              <w:pStyle w:val="518"/>
              <w:rPr>
                <w:szCs w:val="21"/>
                <w:lang w:eastAsia="zh-CN"/>
              </w:rPr>
            </w:pPr>
            <w:r>
              <w:rPr>
                <w:szCs w:val="21"/>
                <w:lang w:eastAsia="zh-CN"/>
              </w:rPr>
              <w:t>采样点</w:t>
            </w:r>
            <w:r>
              <w:rPr>
                <w:rFonts w:hint="eastAsia"/>
                <w:szCs w:val="21"/>
                <w:lang w:eastAsia="zh-CN"/>
              </w:rPr>
              <w:t>位</w:t>
            </w:r>
          </w:p>
        </w:tc>
        <w:tc>
          <w:tcPr>
            <w:tcW w:w="4678" w:type="dxa"/>
            <w:gridSpan w:val="4"/>
            <w:tcBorders>
              <w:bottom w:val="single" w:color="auto" w:sz="4" w:space="0"/>
              <w:right w:val="single" w:color="auto" w:sz="4" w:space="0"/>
            </w:tcBorders>
          </w:tcPr>
          <w:p w14:paraId="0BF1D9D7">
            <w:pPr>
              <w:pStyle w:val="518"/>
              <w:rPr>
                <w:szCs w:val="21"/>
              </w:rPr>
            </w:pPr>
            <w:r>
              <w:rPr>
                <w:szCs w:val="21"/>
              </w:rPr>
              <w:t>相关参数</w:t>
            </w:r>
          </w:p>
        </w:tc>
        <w:tc>
          <w:tcPr>
            <w:tcW w:w="1417" w:type="dxa"/>
            <w:vMerge w:val="restart"/>
            <w:tcBorders>
              <w:left w:val="single" w:color="auto" w:sz="4" w:space="0"/>
              <w:right w:val="single" w:color="auto" w:sz="12" w:space="0"/>
            </w:tcBorders>
          </w:tcPr>
          <w:p w14:paraId="07C24646">
            <w:pPr>
              <w:pStyle w:val="518"/>
              <w:rPr>
                <w:szCs w:val="21"/>
                <w:lang w:eastAsia="zh-CN"/>
              </w:rPr>
            </w:pPr>
            <w:r>
              <w:rPr>
                <w:rFonts w:hint="eastAsia"/>
                <w:szCs w:val="21"/>
                <w:lang w:eastAsia="zh-CN"/>
              </w:rPr>
              <w:t>备注</w:t>
            </w:r>
          </w:p>
        </w:tc>
      </w:tr>
      <w:tr w14:paraId="70CA53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17" w:type="dxa"/>
            <w:vMerge w:val="continue"/>
            <w:vAlign w:val="center"/>
          </w:tcPr>
          <w:p w14:paraId="7B14AF5B">
            <w:pPr>
              <w:pStyle w:val="518"/>
              <w:rPr>
                <w:szCs w:val="21"/>
              </w:rPr>
            </w:pPr>
          </w:p>
        </w:tc>
        <w:tc>
          <w:tcPr>
            <w:tcW w:w="1701" w:type="dxa"/>
            <w:vMerge w:val="continue"/>
            <w:vAlign w:val="center"/>
          </w:tcPr>
          <w:p w14:paraId="58826FE7">
            <w:pPr>
              <w:pStyle w:val="518"/>
              <w:rPr>
                <w:szCs w:val="21"/>
              </w:rPr>
            </w:pPr>
          </w:p>
        </w:tc>
        <w:tc>
          <w:tcPr>
            <w:tcW w:w="992" w:type="dxa"/>
            <w:vAlign w:val="center"/>
          </w:tcPr>
          <w:p w14:paraId="7E002B8A">
            <w:pPr>
              <w:pStyle w:val="518"/>
              <w:rPr>
                <w:szCs w:val="21"/>
                <w:lang w:eastAsia="zh-CN"/>
              </w:rPr>
            </w:pPr>
            <w:r>
              <w:rPr>
                <w:szCs w:val="21"/>
              </w:rPr>
              <w:t>井深</w:t>
            </w:r>
            <w:r>
              <w:rPr>
                <w:rFonts w:hint="eastAsia"/>
                <w:szCs w:val="21"/>
                <w:lang w:eastAsia="zh-CN"/>
              </w:rPr>
              <w:t>（m）</w:t>
            </w:r>
          </w:p>
        </w:tc>
        <w:tc>
          <w:tcPr>
            <w:tcW w:w="1276" w:type="dxa"/>
            <w:vAlign w:val="center"/>
          </w:tcPr>
          <w:p w14:paraId="519A068A">
            <w:pPr>
              <w:pStyle w:val="518"/>
              <w:rPr>
                <w:szCs w:val="21"/>
                <w:lang w:eastAsia="zh-CN"/>
              </w:rPr>
            </w:pPr>
            <w:r>
              <w:rPr>
                <w:szCs w:val="21"/>
              </w:rPr>
              <w:t>水</w:t>
            </w:r>
            <w:r>
              <w:rPr>
                <w:rFonts w:hint="eastAsia"/>
                <w:szCs w:val="21"/>
                <w:lang w:eastAsia="zh-CN"/>
              </w:rPr>
              <w:t>深（m）</w:t>
            </w:r>
          </w:p>
        </w:tc>
        <w:tc>
          <w:tcPr>
            <w:tcW w:w="1276" w:type="dxa"/>
          </w:tcPr>
          <w:p w14:paraId="47B0D42F">
            <w:pPr>
              <w:pStyle w:val="518"/>
              <w:rPr>
                <w:szCs w:val="21"/>
                <w:lang w:eastAsia="zh-CN"/>
              </w:rPr>
            </w:pPr>
            <w:r>
              <w:rPr>
                <w:rFonts w:hint="eastAsia"/>
                <w:szCs w:val="21"/>
                <w:lang w:eastAsia="zh-CN"/>
              </w:rPr>
              <w:t>埋深（m）</w:t>
            </w:r>
          </w:p>
        </w:tc>
        <w:tc>
          <w:tcPr>
            <w:tcW w:w="1134" w:type="dxa"/>
            <w:tcBorders>
              <w:right w:val="single" w:color="auto" w:sz="4" w:space="0"/>
            </w:tcBorders>
            <w:vAlign w:val="center"/>
          </w:tcPr>
          <w:p w14:paraId="1FA2E8E7">
            <w:pPr>
              <w:pStyle w:val="518"/>
              <w:rPr>
                <w:szCs w:val="21"/>
              </w:rPr>
            </w:pPr>
            <w:r>
              <w:rPr>
                <w:rFonts w:hint="eastAsia"/>
                <w:szCs w:val="21"/>
                <w:lang w:eastAsia="zh-CN"/>
              </w:rPr>
              <w:t>取水层位</w:t>
            </w:r>
          </w:p>
        </w:tc>
        <w:tc>
          <w:tcPr>
            <w:tcW w:w="1417" w:type="dxa"/>
            <w:vMerge w:val="continue"/>
            <w:tcBorders>
              <w:left w:val="single" w:color="auto" w:sz="4" w:space="0"/>
              <w:right w:val="single" w:color="auto" w:sz="12" w:space="0"/>
            </w:tcBorders>
            <w:vAlign w:val="center"/>
          </w:tcPr>
          <w:p w14:paraId="36686A01">
            <w:pPr>
              <w:pStyle w:val="518"/>
              <w:rPr>
                <w:szCs w:val="21"/>
              </w:rPr>
            </w:pPr>
          </w:p>
        </w:tc>
      </w:tr>
      <w:tr w14:paraId="35F7B2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17" w:type="dxa"/>
            <w:vAlign w:val="center"/>
          </w:tcPr>
          <w:p w14:paraId="51C4A2E0">
            <w:pPr>
              <w:pStyle w:val="518"/>
              <w:rPr>
                <w:szCs w:val="21"/>
                <w:lang w:eastAsia="zh-CN"/>
              </w:rPr>
            </w:pPr>
            <w:r>
              <w:rPr>
                <w:rFonts w:hint="eastAsia"/>
                <w:szCs w:val="21"/>
                <w:lang w:eastAsia="zh-CN"/>
              </w:rPr>
              <w:t>1</w:t>
            </w:r>
          </w:p>
        </w:tc>
        <w:tc>
          <w:tcPr>
            <w:tcW w:w="1701" w:type="dxa"/>
            <w:vAlign w:val="center"/>
          </w:tcPr>
          <w:p w14:paraId="5B7935BE">
            <w:pPr>
              <w:pStyle w:val="518"/>
              <w:rPr>
                <w:szCs w:val="21"/>
                <w:lang w:eastAsia="zh-CN"/>
              </w:rPr>
            </w:pPr>
            <w:r>
              <w:rPr>
                <w:rFonts w:hint="eastAsia"/>
                <w:szCs w:val="21"/>
                <w:lang w:eastAsia="zh-CN"/>
              </w:rPr>
              <w:t>最近牧民家水井</w:t>
            </w:r>
          </w:p>
        </w:tc>
        <w:tc>
          <w:tcPr>
            <w:tcW w:w="992" w:type="dxa"/>
            <w:vAlign w:val="center"/>
          </w:tcPr>
          <w:p w14:paraId="42CE49FA">
            <w:pPr>
              <w:pStyle w:val="518"/>
              <w:rPr>
                <w:szCs w:val="21"/>
                <w:lang w:eastAsia="zh-CN"/>
              </w:rPr>
            </w:pPr>
            <w:r>
              <w:rPr>
                <w:rFonts w:hint="eastAsia"/>
                <w:szCs w:val="21"/>
                <w:lang w:eastAsia="zh-CN"/>
              </w:rPr>
              <w:t>60</w:t>
            </w:r>
          </w:p>
        </w:tc>
        <w:tc>
          <w:tcPr>
            <w:tcW w:w="1276" w:type="dxa"/>
            <w:vAlign w:val="center"/>
          </w:tcPr>
          <w:p w14:paraId="1D10388E">
            <w:pPr>
              <w:pStyle w:val="518"/>
              <w:rPr>
                <w:szCs w:val="21"/>
                <w:lang w:eastAsia="zh-CN"/>
              </w:rPr>
            </w:pPr>
            <w:r>
              <w:rPr>
                <w:rFonts w:hint="eastAsia"/>
                <w:szCs w:val="21"/>
                <w:lang w:eastAsia="zh-CN"/>
              </w:rPr>
              <w:t>30</w:t>
            </w:r>
          </w:p>
        </w:tc>
        <w:tc>
          <w:tcPr>
            <w:tcW w:w="1276" w:type="dxa"/>
            <w:vAlign w:val="center"/>
          </w:tcPr>
          <w:p w14:paraId="7A7A5444">
            <w:pPr>
              <w:pStyle w:val="518"/>
              <w:rPr>
                <w:szCs w:val="21"/>
                <w:lang w:eastAsia="zh-CN"/>
              </w:rPr>
            </w:pPr>
            <w:r>
              <w:rPr>
                <w:rFonts w:hint="eastAsia"/>
                <w:szCs w:val="21"/>
                <w:lang w:eastAsia="zh-CN"/>
              </w:rPr>
              <w:t>200</w:t>
            </w:r>
          </w:p>
        </w:tc>
        <w:tc>
          <w:tcPr>
            <w:tcW w:w="1134" w:type="dxa"/>
            <w:vMerge w:val="restart"/>
            <w:tcBorders>
              <w:right w:val="single" w:color="auto" w:sz="4" w:space="0"/>
            </w:tcBorders>
            <w:vAlign w:val="center"/>
          </w:tcPr>
          <w:p w14:paraId="43DF6C56">
            <w:pPr>
              <w:pStyle w:val="518"/>
              <w:rPr>
                <w:bCs/>
                <w:szCs w:val="21"/>
                <w:lang w:eastAsia="zh-CN"/>
              </w:rPr>
            </w:pPr>
            <w:r>
              <w:rPr>
                <w:bCs/>
                <w:szCs w:val="21"/>
                <w:lang w:eastAsia="zh-CN"/>
              </w:rPr>
              <w:t>第三系、</w:t>
            </w:r>
          </w:p>
          <w:p w14:paraId="58BDE228">
            <w:pPr>
              <w:pStyle w:val="518"/>
              <w:rPr>
                <w:bCs/>
                <w:szCs w:val="21"/>
                <w:lang w:eastAsia="zh-CN"/>
              </w:rPr>
            </w:pPr>
            <w:r>
              <w:rPr>
                <w:bCs/>
                <w:szCs w:val="21"/>
                <w:lang w:eastAsia="zh-CN"/>
              </w:rPr>
              <w:t>白垩系</w:t>
            </w:r>
          </w:p>
          <w:p w14:paraId="6CBB5673">
            <w:pPr>
              <w:pStyle w:val="518"/>
              <w:rPr>
                <w:szCs w:val="21"/>
                <w:lang w:eastAsia="zh-CN"/>
              </w:rPr>
            </w:pPr>
            <w:r>
              <w:rPr>
                <w:bCs/>
                <w:szCs w:val="21"/>
                <w:lang w:eastAsia="zh-CN"/>
              </w:rPr>
              <w:t>孔隙裂隙水</w:t>
            </w:r>
          </w:p>
        </w:tc>
        <w:tc>
          <w:tcPr>
            <w:tcW w:w="1417" w:type="dxa"/>
            <w:vMerge w:val="restart"/>
            <w:tcBorders>
              <w:left w:val="single" w:color="auto" w:sz="4" w:space="0"/>
            </w:tcBorders>
            <w:vAlign w:val="center"/>
          </w:tcPr>
          <w:p w14:paraId="133D11E1">
            <w:pPr>
              <w:widowControl/>
              <w:spacing w:line="240" w:lineRule="auto"/>
              <w:ind w:firstLine="0" w:firstLineChars="0"/>
              <w:jc w:val="left"/>
              <w:rPr>
                <w:spacing w:val="-8"/>
                <w:sz w:val="21"/>
                <w:szCs w:val="21"/>
                <w:lang w:eastAsia="zh-CN"/>
              </w:rPr>
            </w:pPr>
            <w:r>
              <w:rPr>
                <w:rFonts w:hint="eastAsia"/>
                <w:spacing w:val="-8"/>
                <w:sz w:val="21"/>
                <w:szCs w:val="21"/>
                <w:lang w:eastAsia="zh-CN"/>
              </w:rPr>
              <w:t>水质、水位监测点位</w:t>
            </w:r>
          </w:p>
        </w:tc>
      </w:tr>
      <w:tr w14:paraId="083E60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17" w:type="dxa"/>
            <w:vAlign w:val="center"/>
          </w:tcPr>
          <w:p w14:paraId="092E763C">
            <w:pPr>
              <w:pStyle w:val="518"/>
              <w:rPr>
                <w:szCs w:val="21"/>
                <w:lang w:eastAsia="zh-CN"/>
              </w:rPr>
            </w:pPr>
            <w:r>
              <w:rPr>
                <w:rFonts w:hint="eastAsia"/>
                <w:szCs w:val="21"/>
                <w:lang w:eastAsia="zh-CN"/>
              </w:rPr>
              <w:t>2</w:t>
            </w:r>
          </w:p>
        </w:tc>
        <w:tc>
          <w:tcPr>
            <w:tcW w:w="1701" w:type="dxa"/>
            <w:vAlign w:val="center"/>
          </w:tcPr>
          <w:p w14:paraId="1C9780DC">
            <w:pPr>
              <w:pStyle w:val="518"/>
              <w:rPr>
                <w:szCs w:val="21"/>
                <w:lang w:eastAsia="zh-CN"/>
              </w:rPr>
            </w:pPr>
            <w:r>
              <w:rPr>
                <w:szCs w:val="21"/>
              </w:rPr>
              <w:t>1#</w:t>
            </w:r>
            <w:r>
              <w:rPr>
                <w:szCs w:val="21"/>
                <w:lang w:eastAsia="zh-CN"/>
              </w:rPr>
              <w:t>水源井</w:t>
            </w:r>
          </w:p>
        </w:tc>
        <w:tc>
          <w:tcPr>
            <w:tcW w:w="992" w:type="dxa"/>
            <w:vAlign w:val="center"/>
          </w:tcPr>
          <w:p w14:paraId="434CE96C">
            <w:pPr>
              <w:pStyle w:val="518"/>
              <w:rPr>
                <w:szCs w:val="21"/>
                <w:lang w:eastAsia="zh-CN"/>
              </w:rPr>
            </w:pPr>
            <w:r>
              <w:rPr>
                <w:rFonts w:hint="eastAsia"/>
                <w:szCs w:val="21"/>
                <w:lang w:eastAsia="zh-CN"/>
              </w:rPr>
              <w:t>80</w:t>
            </w:r>
          </w:p>
        </w:tc>
        <w:tc>
          <w:tcPr>
            <w:tcW w:w="1276" w:type="dxa"/>
            <w:vAlign w:val="center"/>
          </w:tcPr>
          <w:p w14:paraId="606A435C">
            <w:pPr>
              <w:pStyle w:val="518"/>
              <w:rPr>
                <w:szCs w:val="21"/>
                <w:lang w:eastAsia="zh-CN"/>
              </w:rPr>
            </w:pPr>
            <w:r>
              <w:rPr>
                <w:rFonts w:hint="eastAsia"/>
                <w:szCs w:val="21"/>
                <w:lang w:eastAsia="zh-CN"/>
              </w:rPr>
              <w:t>50</w:t>
            </w:r>
          </w:p>
        </w:tc>
        <w:tc>
          <w:tcPr>
            <w:tcW w:w="1276" w:type="dxa"/>
            <w:vAlign w:val="center"/>
          </w:tcPr>
          <w:p w14:paraId="502A5933">
            <w:pPr>
              <w:pStyle w:val="518"/>
              <w:rPr>
                <w:szCs w:val="21"/>
                <w:lang w:eastAsia="zh-CN"/>
              </w:rPr>
            </w:pPr>
            <w:r>
              <w:rPr>
                <w:rFonts w:hint="eastAsia"/>
                <w:szCs w:val="21"/>
                <w:lang w:eastAsia="zh-CN"/>
              </w:rPr>
              <w:t>200</w:t>
            </w:r>
          </w:p>
        </w:tc>
        <w:tc>
          <w:tcPr>
            <w:tcW w:w="1134" w:type="dxa"/>
            <w:vMerge w:val="continue"/>
            <w:tcBorders>
              <w:right w:val="single" w:color="auto" w:sz="4" w:space="0"/>
            </w:tcBorders>
            <w:vAlign w:val="center"/>
          </w:tcPr>
          <w:p w14:paraId="6B3FA594">
            <w:pPr>
              <w:pStyle w:val="518"/>
              <w:rPr>
                <w:szCs w:val="21"/>
                <w:lang w:eastAsia="zh-CN"/>
              </w:rPr>
            </w:pPr>
          </w:p>
        </w:tc>
        <w:tc>
          <w:tcPr>
            <w:tcW w:w="1417" w:type="dxa"/>
            <w:vMerge w:val="continue"/>
            <w:tcBorders>
              <w:left w:val="single" w:color="auto" w:sz="4" w:space="0"/>
            </w:tcBorders>
            <w:vAlign w:val="center"/>
          </w:tcPr>
          <w:p w14:paraId="0DE5EC2E">
            <w:pPr>
              <w:pStyle w:val="518"/>
              <w:rPr>
                <w:szCs w:val="21"/>
                <w:lang w:eastAsia="zh-CN"/>
              </w:rPr>
            </w:pPr>
          </w:p>
        </w:tc>
      </w:tr>
      <w:tr w14:paraId="37B52B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17" w:type="dxa"/>
            <w:vAlign w:val="center"/>
          </w:tcPr>
          <w:p w14:paraId="11D465D5">
            <w:pPr>
              <w:pStyle w:val="518"/>
              <w:rPr>
                <w:szCs w:val="21"/>
                <w:lang w:eastAsia="zh-CN"/>
              </w:rPr>
            </w:pPr>
            <w:r>
              <w:rPr>
                <w:rFonts w:hint="eastAsia"/>
                <w:szCs w:val="21"/>
                <w:lang w:eastAsia="zh-CN"/>
              </w:rPr>
              <w:t>3</w:t>
            </w:r>
          </w:p>
        </w:tc>
        <w:tc>
          <w:tcPr>
            <w:tcW w:w="1701" w:type="dxa"/>
            <w:vAlign w:val="center"/>
          </w:tcPr>
          <w:p w14:paraId="2911885A">
            <w:pPr>
              <w:pStyle w:val="518"/>
              <w:rPr>
                <w:szCs w:val="21"/>
              </w:rPr>
            </w:pPr>
            <w:r>
              <w:rPr>
                <w:szCs w:val="21"/>
              </w:rPr>
              <w:t>3#水源井</w:t>
            </w:r>
          </w:p>
        </w:tc>
        <w:tc>
          <w:tcPr>
            <w:tcW w:w="992" w:type="dxa"/>
            <w:vAlign w:val="center"/>
          </w:tcPr>
          <w:p w14:paraId="0B1D053B">
            <w:pPr>
              <w:pStyle w:val="518"/>
              <w:rPr>
                <w:szCs w:val="21"/>
                <w:lang w:eastAsia="zh-CN"/>
              </w:rPr>
            </w:pPr>
            <w:r>
              <w:rPr>
                <w:szCs w:val="21"/>
                <w:lang w:eastAsia="zh-CN"/>
              </w:rPr>
              <w:t>250</w:t>
            </w:r>
          </w:p>
        </w:tc>
        <w:tc>
          <w:tcPr>
            <w:tcW w:w="1276" w:type="dxa"/>
            <w:vAlign w:val="center"/>
          </w:tcPr>
          <w:p w14:paraId="531BDFCD">
            <w:pPr>
              <w:pStyle w:val="518"/>
              <w:rPr>
                <w:szCs w:val="21"/>
                <w:lang w:eastAsia="zh-CN"/>
              </w:rPr>
            </w:pPr>
            <w:r>
              <w:rPr>
                <w:rFonts w:hint="eastAsia"/>
                <w:szCs w:val="21"/>
                <w:lang w:eastAsia="zh-CN"/>
              </w:rPr>
              <w:t>60</w:t>
            </w:r>
          </w:p>
        </w:tc>
        <w:tc>
          <w:tcPr>
            <w:tcW w:w="1276" w:type="dxa"/>
            <w:vAlign w:val="center"/>
          </w:tcPr>
          <w:p w14:paraId="0D26BD4A">
            <w:pPr>
              <w:pStyle w:val="518"/>
              <w:rPr>
                <w:szCs w:val="21"/>
                <w:lang w:eastAsia="zh-CN"/>
              </w:rPr>
            </w:pPr>
            <w:r>
              <w:rPr>
                <w:rFonts w:hint="eastAsia"/>
                <w:szCs w:val="21"/>
                <w:lang w:eastAsia="zh-CN"/>
              </w:rPr>
              <w:t>200</w:t>
            </w:r>
          </w:p>
        </w:tc>
        <w:tc>
          <w:tcPr>
            <w:tcW w:w="1134" w:type="dxa"/>
            <w:vMerge w:val="continue"/>
            <w:tcBorders>
              <w:right w:val="single" w:color="auto" w:sz="4" w:space="0"/>
            </w:tcBorders>
            <w:vAlign w:val="center"/>
          </w:tcPr>
          <w:p w14:paraId="77C53949">
            <w:pPr>
              <w:pStyle w:val="518"/>
              <w:rPr>
                <w:szCs w:val="21"/>
                <w:lang w:eastAsia="zh-CN"/>
              </w:rPr>
            </w:pPr>
          </w:p>
        </w:tc>
        <w:tc>
          <w:tcPr>
            <w:tcW w:w="1417" w:type="dxa"/>
            <w:vMerge w:val="continue"/>
            <w:tcBorders>
              <w:left w:val="single" w:color="auto" w:sz="4" w:space="0"/>
              <w:bottom w:val="single" w:color="auto" w:sz="4" w:space="0"/>
            </w:tcBorders>
            <w:vAlign w:val="center"/>
          </w:tcPr>
          <w:p w14:paraId="318DDC9A">
            <w:pPr>
              <w:pStyle w:val="518"/>
              <w:rPr>
                <w:szCs w:val="21"/>
                <w:lang w:eastAsia="zh-CN"/>
              </w:rPr>
            </w:pPr>
          </w:p>
        </w:tc>
      </w:tr>
      <w:tr w14:paraId="4B4EB5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17" w:type="dxa"/>
            <w:vAlign w:val="center"/>
          </w:tcPr>
          <w:p w14:paraId="2948D527">
            <w:pPr>
              <w:pStyle w:val="518"/>
              <w:rPr>
                <w:szCs w:val="21"/>
                <w:lang w:eastAsia="zh-CN"/>
              </w:rPr>
            </w:pPr>
            <w:r>
              <w:rPr>
                <w:rFonts w:hint="eastAsia"/>
                <w:szCs w:val="21"/>
                <w:lang w:eastAsia="zh-CN"/>
              </w:rPr>
              <w:t>4</w:t>
            </w:r>
          </w:p>
        </w:tc>
        <w:tc>
          <w:tcPr>
            <w:tcW w:w="1701" w:type="dxa"/>
            <w:vAlign w:val="center"/>
          </w:tcPr>
          <w:p w14:paraId="48A2F35E">
            <w:pPr>
              <w:pStyle w:val="518"/>
              <w:rPr>
                <w:szCs w:val="21"/>
              </w:rPr>
            </w:pPr>
            <w:r>
              <w:rPr>
                <w:rFonts w:hint="eastAsia"/>
                <w:szCs w:val="21"/>
                <w:lang w:eastAsia="zh-CN"/>
              </w:rPr>
              <w:t>2</w:t>
            </w:r>
            <w:r>
              <w:rPr>
                <w:szCs w:val="21"/>
              </w:rPr>
              <w:t>#水源井</w:t>
            </w:r>
          </w:p>
        </w:tc>
        <w:tc>
          <w:tcPr>
            <w:tcW w:w="992" w:type="dxa"/>
            <w:vAlign w:val="center"/>
          </w:tcPr>
          <w:p w14:paraId="0E3EED9E">
            <w:pPr>
              <w:pStyle w:val="518"/>
              <w:rPr>
                <w:szCs w:val="21"/>
                <w:lang w:eastAsia="zh-CN"/>
              </w:rPr>
            </w:pPr>
            <w:r>
              <w:rPr>
                <w:szCs w:val="21"/>
                <w:lang w:eastAsia="zh-CN"/>
              </w:rPr>
              <w:t>250</w:t>
            </w:r>
          </w:p>
        </w:tc>
        <w:tc>
          <w:tcPr>
            <w:tcW w:w="1276" w:type="dxa"/>
            <w:vAlign w:val="center"/>
          </w:tcPr>
          <w:p w14:paraId="35D2135E">
            <w:pPr>
              <w:pStyle w:val="518"/>
              <w:rPr>
                <w:szCs w:val="21"/>
                <w:lang w:eastAsia="zh-CN"/>
              </w:rPr>
            </w:pPr>
            <w:r>
              <w:rPr>
                <w:rFonts w:hint="eastAsia"/>
                <w:szCs w:val="21"/>
                <w:lang w:eastAsia="zh-CN"/>
              </w:rPr>
              <w:t>60</w:t>
            </w:r>
          </w:p>
        </w:tc>
        <w:tc>
          <w:tcPr>
            <w:tcW w:w="1276" w:type="dxa"/>
            <w:tcBorders>
              <w:right w:val="single" w:color="auto" w:sz="4" w:space="0"/>
            </w:tcBorders>
            <w:vAlign w:val="center"/>
          </w:tcPr>
          <w:p w14:paraId="2228B57D">
            <w:pPr>
              <w:pStyle w:val="518"/>
              <w:rPr>
                <w:szCs w:val="21"/>
                <w:lang w:eastAsia="zh-CN"/>
              </w:rPr>
            </w:pPr>
            <w:r>
              <w:rPr>
                <w:rFonts w:hint="eastAsia"/>
                <w:szCs w:val="21"/>
                <w:lang w:eastAsia="zh-CN"/>
              </w:rPr>
              <w:t>200</w:t>
            </w:r>
          </w:p>
        </w:tc>
        <w:tc>
          <w:tcPr>
            <w:tcW w:w="1134" w:type="dxa"/>
            <w:vMerge w:val="continue"/>
            <w:tcBorders>
              <w:left w:val="single" w:color="auto" w:sz="4" w:space="0"/>
              <w:right w:val="single" w:color="auto" w:sz="4" w:space="0"/>
            </w:tcBorders>
            <w:vAlign w:val="center"/>
          </w:tcPr>
          <w:p w14:paraId="15978EDC">
            <w:pPr>
              <w:pStyle w:val="518"/>
              <w:rPr>
                <w:szCs w:val="21"/>
                <w:lang w:eastAsia="zh-CN"/>
              </w:rPr>
            </w:pPr>
          </w:p>
        </w:tc>
        <w:tc>
          <w:tcPr>
            <w:tcW w:w="1417" w:type="dxa"/>
            <w:tcBorders>
              <w:top w:val="single" w:color="auto" w:sz="4" w:space="0"/>
              <w:left w:val="single" w:color="auto" w:sz="4" w:space="0"/>
            </w:tcBorders>
            <w:vAlign w:val="center"/>
          </w:tcPr>
          <w:p w14:paraId="2E978376">
            <w:pPr>
              <w:pStyle w:val="518"/>
              <w:rPr>
                <w:szCs w:val="21"/>
                <w:lang w:eastAsia="zh-CN"/>
              </w:rPr>
            </w:pPr>
            <w:r>
              <w:rPr>
                <w:rFonts w:hint="eastAsia"/>
                <w:szCs w:val="21"/>
                <w:lang w:eastAsia="zh-CN"/>
              </w:rPr>
              <w:t>水位监测点位</w:t>
            </w:r>
          </w:p>
        </w:tc>
      </w:tr>
    </w:tbl>
    <w:p w14:paraId="4DEA07BC">
      <w:pPr>
        <w:spacing w:line="240" w:lineRule="auto"/>
        <w:ind w:firstLine="482"/>
        <w:rPr>
          <w:b/>
          <w:lang w:eastAsia="zh-CN"/>
        </w:rPr>
      </w:pPr>
      <w:r>
        <w:rPr>
          <w:b/>
          <w:lang w:eastAsia="zh-CN"/>
        </w:rPr>
        <w:t xml:space="preserve">表6.2-3  </w:t>
      </w:r>
      <w:r>
        <w:rPr>
          <w:rFonts w:hint="eastAsia"/>
          <w:b/>
          <w:lang w:eastAsia="zh-CN"/>
        </w:rPr>
        <w:t xml:space="preserve">    地下水监测结果统计表</w:t>
      </w:r>
    </w:p>
    <w:tbl>
      <w:tblPr>
        <w:tblStyle w:val="76"/>
        <w:tblW w:w="5000" w:type="pct"/>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4"/>
        <w:gridCol w:w="2347"/>
        <w:gridCol w:w="1979"/>
        <w:gridCol w:w="1979"/>
      </w:tblGrid>
      <w:tr w14:paraId="581F7222">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04" w:type="pct"/>
            <w:vMerge w:val="restart"/>
            <w:vAlign w:val="center"/>
          </w:tcPr>
          <w:p w14:paraId="218D523B">
            <w:pPr>
              <w:pStyle w:val="574"/>
              <w:spacing w:line="240" w:lineRule="auto"/>
              <w:rPr>
                <w:rFonts w:ascii="Times New Roman" w:hAnsi="Times New Roman"/>
                <w:sz w:val="21"/>
                <w:szCs w:val="21"/>
              </w:rPr>
            </w:pPr>
            <w:r>
              <w:rPr>
                <w:rFonts w:ascii="Times New Roman" w:hAnsi="Times New Roman"/>
                <w:sz w:val="21"/>
                <w:szCs w:val="21"/>
              </w:rPr>
              <w:t>分析项目</w:t>
            </w:r>
          </w:p>
        </w:tc>
        <w:tc>
          <w:tcPr>
            <w:tcW w:w="3696" w:type="pct"/>
            <w:gridSpan w:val="3"/>
            <w:vAlign w:val="center"/>
          </w:tcPr>
          <w:p w14:paraId="0A0EADB5">
            <w:pPr>
              <w:pStyle w:val="574"/>
              <w:spacing w:line="240" w:lineRule="auto"/>
              <w:rPr>
                <w:rFonts w:ascii="Times New Roman" w:hAnsi="Times New Roman"/>
                <w:sz w:val="21"/>
                <w:szCs w:val="21"/>
              </w:rPr>
            </w:pPr>
            <w:r>
              <w:rPr>
                <w:rFonts w:ascii="Times New Roman" w:hAnsi="Times New Roman"/>
                <w:sz w:val="21"/>
                <w:szCs w:val="21"/>
              </w:rPr>
              <w:t>测定结果</w:t>
            </w:r>
          </w:p>
        </w:tc>
      </w:tr>
      <w:tr w14:paraId="57CDAF87">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04" w:type="pct"/>
            <w:vMerge w:val="continue"/>
            <w:vAlign w:val="center"/>
          </w:tcPr>
          <w:p w14:paraId="3A754AFF">
            <w:pPr>
              <w:pStyle w:val="574"/>
              <w:spacing w:line="240" w:lineRule="auto"/>
              <w:rPr>
                <w:rFonts w:ascii="Times New Roman" w:hAnsi="Times New Roman"/>
                <w:sz w:val="21"/>
                <w:szCs w:val="21"/>
              </w:rPr>
            </w:pPr>
          </w:p>
        </w:tc>
        <w:tc>
          <w:tcPr>
            <w:tcW w:w="1376" w:type="pct"/>
            <w:vAlign w:val="center"/>
          </w:tcPr>
          <w:p w14:paraId="070C0FD3">
            <w:pPr>
              <w:pStyle w:val="574"/>
              <w:spacing w:line="240" w:lineRule="auto"/>
              <w:rPr>
                <w:rFonts w:ascii="Times New Roman" w:hAnsi="Times New Roman"/>
                <w:sz w:val="21"/>
                <w:szCs w:val="21"/>
              </w:rPr>
            </w:pPr>
            <w:r>
              <w:rPr>
                <w:rFonts w:hint="eastAsia" w:ascii="Times New Roman" w:hAnsi="Times New Roman"/>
                <w:sz w:val="21"/>
                <w:szCs w:val="21"/>
              </w:rPr>
              <w:t>1#</w:t>
            </w:r>
          </w:p>
        </w:tc>
        <w:tc>
          <w:tcPr>
            <w:tcW w:w="1160" w:type="pct"/>
            <w:vAlign w:val="center"/>
          </w:tcPr>
          <w:p w14:paraId="0BCF5C1C">
            <w:pPr>
              <w:pStyle w:val="574"/>
              <w:spacing w:line="240" w:lineRule="auto"/>
              <w:rPr>
                <w:rFonts w:ascii="Times New Roman" w:hAnsi="Times New Roman"/>
                <w:sz w:val="21"/>
                <w:szCs w:val="21"/>
              </w:rPr>
            </w:pPr>
            <w:r>
              <w:rPr>
                <w:rFonts w:hint="eastAsia" w:ascii="Times New Roman" w:hAnsi="Times New Roman"/>
                <w:sz w:val="21"/>
                <w:szCs w:val="21"/>
              </w:rPr>
              <w:t>2#</w:t>
            </w:r>
          </w:p>
        </w:tc>
        <w:tc>
          <w:tcPr>
            <w:tcW w:w="1160" w:type="pct"/>
          </w:tcPr>
          <w:p w14:paraId="3E52C73D">
            <w:pPr>
              <w:pStyle w:val="574"/>
              <w:spacing w:line="240" w:lineRule="auto"/>
              <w:rPr>
                <w:rFonts w:ascii="Times New Roman" w:hAnsi="Times New Roman"/>
                <w:sz w:val="21"/>
                <w:szCs w:val="21"/>
              </w:rPr>
            </w:pPr>
            <w:r>
              <w:rPr>
                <w:rFonts w:hint="eastAsia" w:ascii="Times New Roman" w:hAnsi="Times New Roman"/>
                <w:sz w:val="21"/>
                <w:szCs w:val="21"/>
              </w:rPr>
              <w:t>3#</w:t>
            </w:r>
          </w:p>
        </w:tc>
      </w:tr>
      <w:tr w14:paraId="7CC17A72">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04" w:type="pct"/>
            <w:vAlign w:val="center"/>
          </w:tcPr>
          <w:p w14:paraId="0DAEFC1D">
            <w:pPr>
              <w:pStyle w:val="574"/>
              <w:spacing w:line="240" w:lineRule="auto"/>
              <w:rPr>
                <w:rFonts w:ascii="Times New Roman" w:hAnsi="Times New Roman"/>
                <w:sz w:val="21"/>
                <w:szCs w:val="21"/>
              </w:rPr>
            </w:pPr>
            <w:r>
              <w:rPr>
                <w:rFonts w:ascii="Times New Roman" w:hAnsi="Times New Roman"/>
                <w:sz w:val="21"/>
                <w:szCs w:val="21"/>
              </w:rPr>
              <w:t>pH</w:t>
            </w:r>
          </w:p>
        </w:tc>
        <w:tc>
          <w:tcPr>
            <w:tcW w:w="1376" w:type="pct"/>
            <w:vAlign w:val="center"/>
          </w:tcPr>
          <w:p w14:paraId="03167212">
            <w:pPr>
              <w:pStyle w:val="574"/>
              <w:spacing w:line="240" w:lineRule="auto"/>
              <w:rPr>
                <w:rFonts w:ascii="Times New Roman" w:hAnsi="Times New Roman"/>
                <w:sz w:val="21"/>
                <w:szCs w:val="21"/>
              </w:rPr>
            </w:pPr>
            <w:r>
              <w:rPr>
                <w:rFonts w:hint="eastAsia" w:ascii="Times New Roman" w:hAnsi="Times New Roman"/>
                <w:sz w:val="21"/>
                <w:szCs w:val="21"/>
              </w:rPr>
              <w:t>7.33</w:t>
            </w:r>
          </w:p>
        </w:tc>
        <w:tc>
          <w:tcPr>
            <w:tcW w:w="1160" w:type="pct"/>
            <w:vAlign w:val="center"/>
          </w:tcPr>
          <w:p w14:paraId="135D59D3">
            <w:pPr>
              <w:pStyle w:val="574"/>
              <w:spacing w:line="240" w:lineRule="auto"/>
              <w:rPr>
                <w:rFonts w:ascii="Times New Roman" w:hAnsi="Times New Roman"/>
                <w:sz w:val="21"/>
                <w:szCs w:val="21"/>
              </w:rPr>
            </w:pPr>
            <w:r>
              <w:rPr>
                <w:rFonts w:hint="eastAsia" w:ascii="Times New Roman" w:hAnsi="Times New Roman"/>
                <w:sz w:val="21"/>
                <w:szCs w:val="21"/>
              </w:rPr>
              <w:t>7.48</w:t>
            </w:r>
          </w:p>
        </w:tc>
        <w:tc>
          <w:tcPr>
            <w:tcW w:w="1160" w:type="pct"/>
          </w:tcPr>
          <w:p w14:paraId="7620E47D">
            <w:pPr>
              <w:pStyle w:val="574"/>
              <w:spacing w:line="240" w:lineRule="auto"/>
              <w:rPr>
                <w:rFonts w:ascii="Times New Roman" w:hAnsi="Times New Roman"/>
                <w:sz w:val="21"/>
                <w:szCs w:val="21"/>
              </w:rPr>
            </w:pPr>
            <w:r>
              <w:rPr>
                <w:rFonts w:hint="eastAsia" w:ascii="Times New Roman" w:hAnsi="Times New Roman"/>
                <w:sz w:val="21"/>
                <w:szCs w:val="21"/>
              </w:rPr>
              <w:t>7.50</w:t>
            </w:r>
          </w:p>
        </w:tc>
      </w:tr>
      <w:tr w14:paraId="4FA1F77E">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04" w:type="pct"/>
            <w:vAlign w:val="center"/>
          </w:tcPr>
          <w:p w14:paraId="698BC94B">
            <w:pPr>
              <w:pStyle w:val="574"/>
              <w:spacing w:line="240" w:lineRule="auto"/>
              <w:rPr>
                <w:rFonts w:ascii="Times New Roman" w:hAnsi="Times New Roman"/>
                <w:sz w:val="21"/>
                <w:szCs w:val="21"/>
              </w:rPr>
            </w:pPr>
            <w:r>
              <w:rPr>
                <w:rFonts w:hint="eastAsia" w:ascii="Times New Roman" w:hAnsi="Times New Roman"/>
                <w:sz w:val="21"/>
                <w:szCs w:val="21"/>
              </w:rPr>
              <w:t>高锰酸盐指数（</w:t>
            </w:r>
            <w:r>
              <w:rPr>
                <w:rFonts w:ascii="Times New Roman" w:hAnsi="Times New Roman"/>
                <w:sz w:val="21"/>
                <w:szCs w:val="21"/>
              </w:rPr>
              <w:t>mg/L</w:t>
            </w:r>
            <w:r>
              <w:rPr>
                <w:rFonts w:hint="eastAsia" w:ascii="Times New Roman" w:hAnsi="Times New Roman"/>
                <w:sz w:val="21"/>
                <w:szCs w:val="21"/>
              </w:rPr>
              <w:t>）</w:t>
            </w:r>
          </w:p>
        </w:tc>
        <w:tc>
          <w:tcPr>
            <w:tcW w:w="1376" w:type="pct"/>
            <w:vAlign w:val="center"/>
          </w:tcPr>
          <w:p w14:paraId="337C3052">
            <w:pPr>
              <w:pStyle w:val="574"/>
              <w:spacing w:line="240" w:lineRule="auto"/>
              <w:rPr>
                <w:rFonts w:ascii="Times New Roman" w:hAnsi="Times New Roman"/>
                <w:sz w:val="21"/>
                <w:szCs w:val="21"/>
              </w:rPr>
            </w:pPr>
            <w:r>
              <w:rPr>
                <w:rFonts w:hint="eastAsia" w:ascii="Times New Roman" w:hAnsi="Times New Roman"/>
                <w:sz w:val="21"/>
                <w:szCs w:val="21"/>
              </w:rPr>
              <w:t>1.71</w:t>
            </w:r>
          </w:p>
        </w:tc>
        <w:tc>
          <w:tcPr>
            <w:tcW w:w="1160" w:type="pct"/>
            <w:vAlign w:val="center"/>
          </w:tcPr>
          <w:p w14:paraId="76378F89">
            <w:pPr>
              <w:pStyle w:val="574"/>
              <w:spacing w:line="240" w:lineRule="auto"/>
              <w:rPr>
                <w:rFonts w:ascii="Times New Roman" w:hAnsi="Times New Roman"/>
                <w:sz w:val="21"/>
                <w:szCs w:val="21"/>
              </w:rPr>
            </w:pPr>
            <w:r>
              <w:rPr>
                <w:rFonts w:hint="eastAsia" w:ascii="Times New Roman" w:hAnsi="Times New Roman"/>
                <w:sz w:val="21"/>
                <w:szCs w:val="21"/>
              </w:rPr>
              <w:t>2.02</w:t>
            </w:r>
          </w:p>
        </w:tc>
        <w:tc>
          <w:tcPr>
            <w:tcW w:w="1160" w:type="pct"/>
          </w:tcPr>
          <w:p w14:paraId="347C94C3">
            <w:pPr>
              <w:pStyle w:val="574"/>
              <w:spacing w:line="240" w:lineRule="auto"/>
              <w:rPr>
                <w:rFonts w:ascii="Times New Roman" w:hAnsi="Times New Roman"/>
                <w:sz w:val="21"/>
                <w:szCs w:val="21"/>
              </w:rPr>
            </w:pPr>
            <w:r>
              <w:rPr>
                <w:rFonts w:hint="eastAsia" w:ascii="Times New Roman" w:hAnsi="Times New Roman"/>
                <w:sz w:val="21"/>
                <w:szCs w:val="21"/>
              </w:rPr>
              <w:t>1.84</w:t>
            </w:r>
          </w:p>
        </w:tc>
      </w:tr>
      <w:tr w14:paraId="2F9FC1AE">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04" w:type="pct"/>
            <w:vAlign w:val="center"/>
          </w:tcPr>
          <w:p w14:paraId="602DCEAB">
            <w:pPr>
              <w:pStyle w:val="574"/>
              <w:spacing w:line="240" w:lineRule="auto"/>
              <w:rPr>
                <w:rFonts w:ascii="Times New Roman" w:hAnsi="Times New Roman"/>
                <w:sz w:val="21"/>
                <w:szCs w:val="21"/>
              </w:rPr>
            </w:pPr>
            <w:r>
              <w:rPr>
                <w:rFonts w:ascii="Times New Roman" w:hAnsi="Times New Roman"/>
                <w:sz w:val="21"/>
                <w:szCs w:val="21"/>
              </w:rPr>
              <w:t>总硬度</w:t>
            </w:r>
            <w:r>
              <w:rPr>
                <w:rFonts w:hint="eastAsia" w:ascii="Times New Roman" w:hAnsi="Times New Roman"/>
                <w:sz w:val="21"/>
                <w:szCs w:val="21"/>
              </w:rPr>
              <w:t>（</w:t>
            </w:r>
            <w:r>
              <w:rPr>
                <w:rFonts w:ascii="Times New Roman" w:hAnsi="Times New Roman"/>
                <w:sz w:val="21"/>
                <w:szCs w:val="21"/>
              </w:rPr>
              <w:t>mg/L</w:t>
            </w:r>
            <w:r>
              <w:rPr>
                <w:rFonts w:hint="eastAsia" w:ascii="Times New Roman" w:hAnsi="Times New Roman"/>
                <w:sz w:val="21"/>
                <w:szCs w:val="21"/>
              </w:rPr>
              <w:t>）</w:t>
            </w:r>
          </w:p>
        </w:tc>
        <w:tc>
          <w:tcPr>
            <w:tcW w:w="1376" w:type="pct"/>
            <w:vAlign w:val="center"/>
          </w:tcPr>
          <w:p w14:paraId="6376E0DA">
            <w:pPr>
              <w:pStyle w:val="574"/>
              <w:spacing w:line="240" w:lineRule="auto"/>
              <w:rPr>
                <w:rFonts w:ascii="Times New Roman" w:hAnsi="Times New Roman"/>
                <w:sz w:val="21"/>
                <w:szCs w:val="21"/>
              </w:rPr>
            </w:pPr>
            <w:r>
              <w:rPr>
                <w:rFonts w:hint="eastAsia" w:ascii="Times New Roman" w:hAnsi="Times New Roman"/>
                <w:sz w:val="21"/>
                <w:szCs w:val="21"/>
              </w:rPr>
              <w:t>245</w:t>
            </w:r>
          </w:p>
        </w:tc>
        <w:tc>
          <w:tcPr>
            <w:tcW w:w="1160" w:type="pct"/>
            <w:vAlign w:val="center"/>
          </w:tcPr>
          <w:p w14:paraId="33AD8247">
            <w:pPr>
              <w:pStyle w:val="574"/>
              <w:spacing w:line="240" w:lineRule="auto"/>
              <w:rPr>
                <w:rFonts w:ascii="Times New Roman" w:hAnsi="Times New Roman"/>
                <w:sz w:val="21"/>
                <w:szCs w:val="21"/>
              </w:rPr>
            </w:pPr>
            <w:r>
              <w:rPr>
                <w:rFonts w:hint="eastAsia" w:ascii="Times New Roman" w:hAnsi="Times New Roman"/>
                <w:sz w:val="21"/>
                <w:szCs w:val="21"/>
              </w:rPr>
              <w:t>228</w:t>
            </w:r>
          </w:p>
        </w:tc>
        <w:tc>
          <w:tcPr>
            <w:tcW w:w="1160" w:type="pct"/>
          </w:tcPr>
          <w:p w14:paraId="736ED75B">
            <w:pPr>
              <w:pStyle w:val="574"/>
              <w:spacing w:line="240" w:lineRule="auto"/>
              <w:rPr>
                <w:rFonts w:ascii="Times New Roman" w:hAnsi="Times New Roman"/>
                <w:sz w:val="21"/>
                <w:szCs w:val="21"/>
              </w:rPr>
            </w:pPr>
            <w:r>
              <w:rPr>
                <w:rFonts w:hint="eastAsia" w:ascii="Times New Roman" w:hAnsi="Times New Roman"/>
                <w:sz w:val="21"/>
                <w:szCs w:val="21"/>
              </w:rPr>
              <w:t>240</w:t>
            </w:r>
          </w:p>
        </w:tc>
      </w:tr>
      <w:tr w14:paraId="6593DF0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04" w:type="pct"/>
            <w:vAlign w:val="center"/>
          </w:tcPr>
          <w:p w14:paraId="21C4F95C">
            <w:pPr>
              <w:pStyle w:val="574"/>
              <w:spacing w:line="240" w:lineRule="auto"/>
              <w:rPr>
                <w:rFonts w:ascii="Times New Roman" w:hAnsi="Times New Roman"/>
                <w:sz w:val="21"/>
                <w:szCs w:val="21"/>
              </w:rPr>
            </w:pPr>
            <w:r>
              <w:rPr>
                <w:rFonts w:hint="eastAsia" w:ascii="Times New Roman" w:hAnsi="Times New Roman"/>
                <w:sz w:val="21"/>
                <w:szCs w:val="21"/>
              </w:rPr>
              <w:t>硫酸盐（</w:t>
            </w:r>
            <w:r>
              <w:rPr>
                <w:rFonts w:ascii="Times New Roman" w:hAnsi="Times New Roman"/>
                <w:sz w:val="21"/>
                <w:szCs w:val="21"/>
              </w:rPr>
              <w:t>mg/L</w:t>
            </w:r>
            <w:r>
              <w:rPr>
                <w:rFonts w:hint="eastAsia" w:ascii="Times New Roman" w:hAnsi="Times New Roman"/>
                <w:sz w:val="21"/>
                <w:szCs w:val="21"/>
              </w:rPr>
              <w:t>）</w:t>
            </w:r>
          </w:p>
        </w:tc>
        <w:tc>
          <w:tcPr>
            <w:tcW w:w="1376" w:type="pct"/>
            <w:vAlign w:val="center"/>
          </w:tcPr>
          <w:p w14:paraId="4415DA5C">
            <w:pPr>
              <w:pStyle w:val="574"/>
              <w:spacing w:line="240" w:lineRule="auto"/>
              <w:rPr>
                <w:rFonts w:ascii="Times New Roman" w:hAnsi="Times New Roman"/>
                <w:sz w:val="21"/>
                <w:szCs w:val="21"/>
              </w:rPr>
            </w:pPr>
            <w:r>
              <w:rPr>
                <w:rFonts w:hint="eastAsia" w:ascii="Times New Roman" w:hAnsi="Times New Roman"/>
                <w:sz w:val="21"/>
                <w:szCs w:val="21"/>
              </w:rPr>
              <w:t>143.5</w:t>
            </w:r>
          </w:p>
        </w:tc>
        <w:tc>
          <w:tcPr>
            <w:tcW w:w="1160" w:type="pct"/>
            <w:vAlign w:val="center"/>
          </w:tcPr>
          <w:p w14:paraId="61C385E4">
            <w:pPr>
              <w:pStyle w:val="574"/>
              <w:spacing w:line="240" w:lineRule="auto"/>
              <w:rPr>
                <w:rFonts w:ascii="Times New Roman" w:hAnsi="Times New Roman"/>
                <w:sz w:val="21"/>
                <w:szCs w:val="21"/>
              </w:rPr>
            </w:pPr>
            <w:r>
              <w:rPr>
                <w:rFonts w:hint="eastAsia" w:ascii="Times New Roman" w:hAnsi="Times New Roman"/>
                <w:sz w:val="21"/>
                <w:szCs w:val="21"/>
              </w:rPr>
              <w:t>151.90</w:t>
            </w:r>
          </w:p>
        </w:tc>
        <w:tc>
          <w:tcPr>
            <w:tcW w:w="1160" w:type="pct"/>
          </w:tcPr>
          <w:p w14:paraId="15F039B8">
            <w:pPr>
              <w:pStyle w:val="574"/>
              <w:spacing w:line="240" w:lineRule="auto"/>
              <w:rPr>
                <w:rFonts w:ascii="Times New Roman" w:hAnsi="Times New Roman"/>
                <w:sz w:val="21"/>
                <w:szCs w:val="21"/>
              </w:rPr>
            </w:pPr>
            <w:r>
              <w:rPr>
                <w:rFonts w:hint="eastAsia" w:ascii="Times New Roman" w:hAnsi="Times New Roman"/>
                <w:sz w:val="21"/>
                <w:szCs w:val="21"/>
              </w:rPr>
              <w:t>155.28</w:t>
            </w:r>
          </w:p>
        </w:tc>
      </w:tr>
      <w:tr w14:paraId="0A653AC9">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04" w:type="pct"/>
            <w:vAlign w:val="center"/>
          </w:tcPr>
          <w:p w14:paraId="6F06C9D0">
            <w:pPr>
              <w:pStyle w:val="574"/>
              <w:spacing w:line="240" w:lineRule="auto"/>
              <w:rPr>
                <w:rFonts w:ascii="Times New Roman" w:hAnsi="Times New Roman"/>
                <w:sz w:val="21"/>
                <w:szCs w:val="21"/>
              </w:rPr>
            </w:pPr>
            <w:r>
              <w:rPr>
                <w:rFonts w:hint="eastAsia" w:ascii="Times New Roman" w:hAnsi="Times New Roman"/>
                <w:sz w:val="21"/>
                <w:szCs w:val="21"/>
              </w:rPr>
              <w:t>氯化物（</w:t>
            </w:r>
            <w:r>
              <w:rPr>
                <w:rFonts w:ascii="Times New Roman" w:hAnsi="Times New Roman"/>
                <w:sz w:val="21"/>
                <w:szCs w:val="21"/>
              </w:rPr>
              <w:t>mg/L</w:t>
            </w:r>
            <w:r>
              <w:rPr>
                <w:rFonts w:hint="eastAsia" w:ascii="Times New Roman" w:hAnsi="Times New Roman"/>
                <w:sz w:val="21"/>
                <w:szCs w:val="21"/>
              </w:rPr>
              <w:t>）</w:t>
            </w:r>
          </w:p>
        </w:tc>
        <w:tc>
          <w:tcPr>
            <w:tcW w:w="1376" w:type="pct"/>
            <w:vAlign w:val="center"/>
          </w:tcPr>
          <w:p w14:paraId="41948767">
            <w:pPr>
              <w:pStyle w:val="574"/>
              <w:spacing w:line="240" w:lineRule="auto"/>
              <w:rPr>
                <w:rFonts w:ascii="Times New Roman" w:hAnsi="Times New Roman"/>
                <w:sz w:val="21"/>
                <w:szCs w:val="21"/>
              </w:rPr>
            </w:pPr>
            <w:r>
              <w:rPr>
                <w:rFonts w:hint="eastAsia" w:ascii="Times New Roman" w:hAnsi="Times New Roman"/>
                <w:sz w:val="21"/>
                <w:szCs w:val="21"/>
              </w:rPr>
              <w:t>0.70</w:t>
            </w:r>
          </w:p>
        </w:tc>
        <w:tc>
          <w:tcPr>
            <w:tcW w:w="1160" w:type="pct"/>
            <w:vAlign w:val="center"/>
          </w:tcPr>
          <w:p w14:paraId="71F4844F">
            <w:pPr>
              <w:pStyle w:val="574"/>
              <w:spacing w:line="240" w:lineRule="auto"/>
              <w:rPr>
                <w:rFonts w:ascii="Times New Roman" w:hAnsi="Times New Roman"/>
                <w:sz w:val="21"/>
                <w:szCs w:val="21"/>
              </w:rPr>
            </w:pPr>
            <w:r>
              <w:rPr>
                <w:rFonts w:hint="eastAsia" w:ascii="Times New Roman" w:hAnsi="Times New Roman"/>
                <w:sz w:val="21"/>
                <w:szCs w:val="21"/>
              </w:rPr>
              <w:t>0.74</w:t>
            </w:r>
          </w:p>
        </w:tc>
        <w:tc>
          <w:tcPr>
            <w:tcW w:w="1160" w:type="pct"/>
          </w:tcPr>
          <w:p w14:paraId="7748BE7A">
            <w:pPr>
              <w:pStyle w:val="574"/>
              <w:spacing w:line="240" w:lineRule="auto"/>
              <w:rPr>
                <w:rFonts w:ascii="Times New Roman" w:hAnsi="Times New Roman"/>
                <w:sz w:val="21"/>
                <w:szCs w:val="21"/>
              </w:rPr>
            </w:pPr>
            <w:r>
              <w:rPr>
                <w:rFonts w:hint="eastAsia" w:ascii="Times New Roman" w:hAnsi="Times New Roman"/>
                <w:sz w:val="21"/>
                <w:szCs w:val="21"/>
              </w:rPr>
              <w:t>1.75</w:t>
            </w:r>
          </w:p>
        </w:tc>
      </w:tr>
      <w:tr w14:paraId="02B84F47">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04" w:type="pct"/>
            <w:vAlign w:val="center"/>
          </w:tcPr>
          <w:p w14:paraId="61AA10F6">
            <w:pPr>
              <w:pStyle w:val="574"/>
              <w:spacing w:line="240" w:lineRule="auto"/>
              <w:rPr>
                <w:rFonts w:ascii="Times New Roman" w:hAnsi="Times New Roman"/>
                <w:sz w:val="21"/>
                <w:szCs w:val="21"/>
              </w:rPr>
            </w:pPr>
            <w:r>
              <w:rPr>
                <w:rFonts w:ascii="Times New Roman" w:hAnsi="Times New Roman"/>
                <w:sz w:val="21"/>
                <w:szCs w:val="21"/>
              </w:rPr>
              <w:t>氨氮</w:t>
            </w:r>
            <w:r>
              <w:rPr>
                <w:rFonts w:hint="eastAsia" w:ascii="Times New Roman" w:hAnsi="Times New Roman"/>
                <w:sz w:val="21"/>
                <w:szCs w:val="21"/>
              </w:rPr>
              <w:t>（</w:t>
            </w:r>
            <w:r>
              <w:rPr>
                <w:rFonts w:ascii="Times New Roman" w:hAnsi="Times New Roman"/>
                <w:sz w:val="21"/>
                <w:szCs w:val="21"/>
              </w:rPr>
              <w:t>mg/L</w:t>
            </w:r>
            <w:r>
              <w:rPr>
                <w:rFonts w:hint="eastAsia" w:ascii="Times New Roman" w:hAnsi="Times New Roman"/>
                <w:sz w:val="21"/>
                <w:szCs w:val="21"/>
              </w:rPr>
              <w:t>）</w:t>
            </w:r>
          </w:p>
        </w:tc>
        <w:tc>
          <w:tcPr>
            <w:tcW w:w="1376" w:type="pct"/>
            <w:vAlign w:val="center"/>
          </w:tcPr>
          <w:p w14:paraId="560BC3AE">
            <w:pPr>
              <w:pStyle w:val="574"/>
              <w:spacing w:line="240" w:lineRule="auto"/>
              <w:rPr>
                <w:rFonts w:ascii="Times New Roman" w:hAnsi="Times New Roman"/>
                <w:sz w:val="21"/>
                <w:szCs w:val="21"/>
              </w:rPr>
            </w:pPr>
            <w:r>
              <w:rPr>
                <w:rFonts w:hint="eastAsia" w:ascii="Times New Roman" w:hAnsi="Times New Roman"/>
                <w:sz w:val="21"/>
                <w:szCs w:val="21"/>
              </w:rPr>
              <w:t>0.12</w:t>
            </w:r>
          </w:p>
        </w:tc>
        <w:tc>
          <w:tcPr>
            <w:tcW w:w="1160" w:type="pct"/>
            <w:vAlign w:val="center"/>
          </w:tcPr>
          <w:p w14:paraId="3BA479BC">
            <w:pPr>
              <w:pStyle w:val="574"/>
              <w:spacing w:line="240" w:lineRule="auto"/>
              <w:rPr>
                <w:rFonts w:ascii="Times New Roman" w:hAnsi="Times New Roman"/>
                <w:sz w:val="21"/>
                <w:szCs w:val="21"/>
              </w:rPr>
            </w:pPr>
            <w:r>
              <w:rPr>
                <w:rFonts w:hint="eastAsia" w:ascii="Times New Roman" w:hAnsi="Times New Roman"/>
                <w:sz w:val="21"/>
                <w:szCs w:val="21"/>
              </w:rPr>
              <w:t>0.13</w:t>
            </w:r>
          </w:p>
        </w:tc>
        <w:tc>
          <w:tcPr>
            <w:tcW w:w="1160" w:type="pct"/>
          </w:tcPr>
          <w:p w14:paraId="000C01CD">
            <w:pPr>
              <w:pStyle w:val="574"/>
              <w:spacing w:line="240" w:lineRule="auto"/>
              <w:rPr>
                <w:rFonts w:ascii="Times New Roman" w:hAnsi="Times New Roman"/>
                <w:sz w:val="21"/>
                <w:szCs w:val="21"/>
              </w:rPr>
            </w:pPr>
            <w:r>
              <w:rPr>
                <w:rFonts w:hint="eastAsia" w:ascii="Times New Roman" w:hAnsi="Times New Roman"/>
                <w:sz w:val="21"/>
                <w:szCs w:val="21"/>
              </w:rPr>
              <w:t>0.12</w:t>
            </w:r>
          </w:p>
        </w:tc>
      </w:tr>
      <w:tr w14:paraId="60450CCD">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04" w:type="pct"/>
            <w:vAlign w:val="center"/>
          </w:tcPr>
          <w:p w14:paraId="4A60526E">
            <w:pPr>
              <w:pStyle w:val="574"/>
              <w:spacing w:line="240" w:lineRule="auto"/>
              <w:rPr>
                <w:rFonts w:ascii="Times New Roman" w:hAnsi="Times New Roman"/>
                <w:sz w:val="21"/>
                <w:szCs w:val="21"/>
              </w:rPr>
            </w:pPr>
            <w:r>
              <w:rPr>
                <w:rFonts w:hint="eastAsia" w:ascii="Times New Roman" w:hAnsi="Times New Roman"/>
                <w:sz w:val="21"/>
                <w:szCs w:val="21"/>
              </w:rPr>
              <w:t>氟化物（</w:t>
            </w:r>
            <w:r>
              <w:rPr>
                <w:rFonts w:ascii="Times New Roman" w:hAnsi="Times New Roman"/>
                <w:sz w:val="21"/>
                <w:szCs w:val="21"/>
              </w:rPr>
              <w:t>mg/L</w:t>
            </w:r>
            <w:r>
              <w:rPr>
                <w:rFonts w:hint="eastAsia" w:ascii="Times New Roman" w:hAnsi="Times New Roman"/>
                <w:sz w:val="21"/>
                <w:szCs w:val="21"/>
              </w:rPr>
              <w:t>）</w:t>
            </w:r>
          </w:p>
        </w:tc>
        <w:tc>
          <w:tcPr>
            <w:tcW w:w="1376" w:type="pct"/>
            <w:vAlign w:val="center"/>
          </w:tcPr>
          <w:p w14:paraId="5041F1DC">
            <w:pPr>
              <w:pStyle w:val="574"/>
              <w:spacing w:line="240" w:lineRule="auto"/>
              <w:rPr>
                <w:rFonts w:ascii="Times New Roman" w:hAnsi="Times New Roman"/>
                <w:sz w:val="21"/>
                <w:szCs w:val="21"/>
              </w:rPr>
            </w:pPr>
            <w:r>
              <w:rPr>
                <w:rFonts w:hint="eastAsia" w:ascii="Times New Roman" w:hAnsi="Times New Roman"/>
                <w:sz w:val="21"/>
                <w:szCs w:val="21"/>
              </w:rPr>
              <w:t>0.74</w:t>
            </w:r>
          </w:p>
        </w:tc>
        <w:tc>
          <w:tcPr>
            <w:tcW w:w="1160" w:type="pct"/>
            <w:vAlign w:val="center"/>
          </w:tcPr>
          <w:p w14:paraId="4F2CA667">
            <w:pPr>
              <w:pStyle w:val="574"/>
              <w:spacing w:line="240" w:lineRule="auto"/>
              <w:rPr>
                <w:rFonts w:ascii="Times New Roman" w:hAnsi="Times New Roman"/>
                <w:sz w:val="21"/>
                <w:szCs w:val="21"/>
              </w:rPr>
            </w:pPr>
            <w:r>
              <w:rPr>
                <w:rFonts w:hint="eastAsia" w:ascii="Times New Roman" w:hAnsi="Times New Roman"/>
                <w:sz w:val="21"/>
                <w:szCs w:val="21"/>
              </w:rPr>
              <w:t>1.77</w:t>
            </w:r>
          </w:p>
        </w:tc>
        <w:tc>
          <w:tcPr>
            <w:tcW w:w="1160" w:type="pct"/>
          </w:tcPr>
          <w:p w14:paraId="57874A8E">
            <w:pPr>
              <w:pStyle w:val="574"/>
              <w:spacing w:line="240" w:lineRule="auto"/>
              <w:rPr>
                <w:rFonts w:ascii="Times New Roman" w:hAnsi="Times New Roman"/>
                <w:sz w:val="21"/>
                <w:szCs w:val="21"/>
              </w:rPr>
            </w:pPr>
            <w:r>
              <w:rPr>
                <w:rFonts w:hint="eastAsia" w:ascii="Times New Roman" w:hAnsi="Times New Roman"/>
                <w:sz w:val="21"/>
                <w:szCs w:val="21"/>
              </w:rPr>
              <w:t>0.75</w:t>
            </w:r>
          </w:p>
        </w:tc>
      </w:tr>
      <w:tr w14:paraId="3BFFDC46">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04" w:type="pct"/>
            <w:vAlign w:val="center"/>
          </w:tcPr>
          <w:p w14:paraId="72263C91">
            <w:pPr>
              <w:pStyle w:val="574"/>
              <w:spacing w:line="240" w:lineRule="auto"/>
              <w:rPr>
                <w:rFonts w:ascii="Times New Roman" w:hAnsi="Times New Roman"/>
                <w:sz w:val="21"/>
                <w:szCs w:val="21"/>
              </w:rPr>
            </w:pPr>
            <w:r>
              <w:rPr>
                <w:rFonts w:hint="eastAsia" w:ascii="Times New Roman" w:hAnsi="Times New Roman"/>
                <w:sz w:val="21"/>
                <w:szCs w:val="21"/>
              </w:rPr>
              <w:t>汞（</w:t>
            </w:r>
            <w:r>
              <w:rPr>
                <w:rFonts w:ascii="Times New Roman" w:hAnsi="Times New Roman"/>
                <w:sz w:val="21"/>
                <w:szCs w:val="21"/>
              </w:rPr>
              <w:t>mg/L</w:t>
            </w:r>
            <w:r>
              <w:rPr>
                <w:rFonts w:hint="eastAsia" w:ascii="Times New Roman" w:hAnsi="Times New Roman"/>
                <w:sz w:val="21"/>
                <w:szCs w:val="21"/>
              </w:rPr>
              <w:t>）</w:t>
            </w:r>
          </w:p>
        </w:tc>
        <w:tc>
          <w:tcPr>
            <w:tcW w:w="1376" w:type="pct"/>
            <w:vAlign w:val="center"/>
          </w:tcPr>
          <w:p w14:paraId="45C58780">
            <w:pPr>
              <w:pStyle w:val="574"/>
              <w:spacing w:line="240" w:lineRule="auto"/>
              <w:rPr>
                <w:rFonts w:ascii="Times New Roman" w:hAnsi="Times New Roman"/>
                <w:sz w:val="21"/>
                <w:szCs w:val="21"/>
              </w:rPr>
            </w:pPr>
            <w:r>
              <w:rPr>
                <w:rFonts w:hint="eastAsia" w:ascii="Times New Roman" w:hAnsi="Times New Roman"/>
                <w:sz w:val="21"/>
                <w:szCs w:val="21"/>
              </w:rPr>
              <w:t>0.0004</w:t>
            </w:r>
          </w:p>
        </w:tc>
        <w:tc>
          <w:tcPr>
            <w:tcW w:w="1160" w:type="pct"/>
            <w:vAlign w:val="center"/>
          </w:tcPr>
          <w:p w14:paraId="4F0DC56E">
            <w:pPr>
              <w:pStyle w:val="574"/>
              <w:spacing w:line="240" w:lineRule="auto"/>
              <w:rPr>
                <w:rFonts w:ascii="Times New Roman" w:hAnsi="Times New Roman"/>
                <w:sz w:val="21"/>
                <w:szCs w:val="21"/>
              </w:rPr>
            </w:pPr>
            <w:r>
              <w:rPr>
                <w:rFonts w:hint="eastAsia" w:ascii="Times New Roman" w:hAnsi="Times New Roman"/>
                <w:sz w:val="21"/>
                <w:szCs w:val="21"/>
              </w:rPr>
              <w:t>0.0003</w:t>
            </w:r>
          </w:p>
        </w:tc>
        <w:tc>
          <w:tcPr>
            <w:tcW w:w="1160" w:type="pct"/>
          </w:tcPr>
          <w:p w14:paraId="4B4BBB3E">
            <w:pPr>
              <w:pStyle w:val="574"/>
              <w:spacing w:line="240" w:lineRule="auto"/>
              <w:rPr>
                <w:rFonts w:ascii="Times New Roman" w:hAnsi="Times New Roman"/>
                <w:sz w:val="21"/>
                <w:szCs w:val="21"/>
              </w:rPr>
            </w:pPr>
            <w:r>
              <w:rPr>
                <w:rFonts w:hint="eastAsia" w:ascii="Times New Roman" w:hAnsi="Times New Roman"/>
                <w:sz w:val="21"/>
                <w:szCs w:val="21"/>
              </w:rPr>
              <w:t>0.0004</w:t>
            </w:r>
          </w:p>
        </w:tc>
      </w:tr>
      <w:tr w14:paraId="73CFDE3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04" w:type="pct"/>
            <w:vAlign w:val="center"/>
          </w:tcPr>
          <w:p w14:paraId="7FF3D802">
            <w:pPr>
              <w:pStyle w:val="574"/>
              <w:spacing w:line="240" w:lineRule="auto"/>
              <w:rPr>
                <w:rFonts w:ascii="Times New Roman" w:hAnsi="Times New Roman"/>
                <w:sz w:val="21"/>
                <w:szCs w:val="21"/>
              </w:rPr>
            </w:pPr>
            <w:r>
              <w:rPr>
                <w:rFonts w:hint="eastAsia" w:ascii="Times New Roman" w:hAnsi="Times New Roman"/>
                <w:sz w:val="21"/>
                <w:szCs w:val="21"/>
              </w:rPr>
              <w:t>砷（</w:t>
            </w:r>
            <w:r>
              <w:rPr>
                <w:rFonts w:ascii="Times New Roman" w:hAnsi="Times New Roman"/>
                <w:sz w:val="21"/>
                <w:szCs w:val="21"/>
              </w:rPr>
              <w:t>mg/L</w:t>
            </w:r>
            <w:r>
              <w:rPr>
                <w:rFonts w:hint="eastAsia" w:ascii="Times New Roman" w:hAnsi="Times New Roman"/>
                <w:sz w:val="21"/>
                <w:szCs w:val="21"/>
              </w:rPr>
              <w:t>）</w:t>
            </w:r>
          </w:p>
        </w:tc>
        <w:tc>
          <w:tcPr>
            <w:tcW w:w="1376" w:type="pct"/>
            <w:vAlign w:val="center"/>
          </w:tcPr>
          <w:p w14:paraId="169B9BBE">
            <w:pPr>
              <w:pStyle w:val="574"/>
              <w:spacing w:line="240" w:lineRule="auto"/>
              <w:rPr>
                <w:rFonts w:ascii="Times New Roman" w:hAnsi="Times New Roman"/>
                <w:sz w:val="21"/>
                <w:szCs w:val="21"/>
              </w:rPr>
            </w:pPr>
            <w:r>
              <w:rPr>
                <w:rFonts w:hint="eastAsia" w:ascii="Times New Roman" w:hAnsi="Times New Roman"/>
                <w:sz w:val="21"/>
                <w:szCs w:val="21"/>
              </w:rPr>
              <w:t>0.00083</w:t>
            </w:r>
          </w:p>
        </w:tc>
        <w:tc>
          <w:tcPr>
            <w:tcW w:w="1160" w:type="pct"/>
            <w:vAlign w:val="center"/>
          </w:tcPr>
          <w:p w14:paraId="2A5C1FBA">
            <w:pPr>
              <w:pStyle w:val="574"/>
              <w:spacing w:line="240" w:lineRule="auto"/>
              <w:rPr>
                <w:rFonts w:ascii="Times New Roman" w:hAnsi="Times New Roman"/>
                <w:sz w:val="21"/>
                <w:szCs w:val="21"/>
              </w:rPr>
            </w:pPr>
            <w:r>
              <w:rPr>
                <w:rFonts w:hint="eastAsia" w:ascii="Times New Roman" w:hAnsi="Times New Roman"/>
                <w:sz w:val="21"/>
                <w:szCs w:val="21"/>
              </w:rPr>
              <w:t>0.00109</w:t>
            </w:r>
          </w:p>
        </w:tc>
        <w:tc>
          <w:tcPr>
            <w:tcW w:w="1160" w:type="pct"/>
          </w:tcPr>
          <w:p w14:paraId="3704CE9A">
            <w:pPr>
              <w:pStyle w:val="574"/>
              <w:spacing w:line="240" w:lineRule="auto"/>
              <w:rPr>
                <w:rFonts w:ascii="Times New Roman" w:hAnsi="Times New Roman"/>
                <w:sz w:val="21"/>
                <w:szCs w:val="21"/>
              </w:rPr>
            </w:pPr>
            <w:r>
              <w:rPr>
                <w:rFonts w:hint="eastAsia" w:ascii="Times New Roman" w:hAnsi="Times New Roman"/>
                <w:sz w:val="21"/>
                <w:szCs w:val="21"/>
              </w:rPr>
              <w:t>0.00095</w:t>
            </w:r>
          </w:p>
        </w:tc>
      </w:tr>
      <w:tr w14:paraId="6C53DCD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04" w:type="pct"/>
            <w:vAlign w:val="center"/>
          </w:tcPr>
          <w:p w14:paraId="65A117FA">
            <w:pPr>
              <w:pStyle w:val="574"/>
              <w:spacing w:line="240" w:lineRule="auto"/>
              <w:rPr>
                <w:rFonts w:ascii="Times New Roman" w:hAnsi="Times New Roman"/>
                <w:sz w:val="21"/>
                <w:szCs w:val="21"/>
              </w:rPr>
            </w:pPr>
            <w:r>
              <w:rPr>
                <w:rFonts w:hint="eastAsia" w:ascii="Times New Roman" w:hAnsi="Times New Roman"/>
                <w:sz w:val="21"/>
                <w:szCs w:val="21"/>
              </w:rPr>
              <w:t>六价铬(</w:t>
            </w:r>
            <w:r>
              <w:rPr>
                <w:rFonts w:ascii="Times New Roman" w:hAnsi="Times New Roman"/>
                <w:sz w:val="21"/>
                <w:szCs w:val="21"/>
              </w:rPr>
              <w:t>mg/L</w:t>
            </w:r>
            <w:r>
              <w:rPr>
                <w:rFonts w:hint="eastAsia" w:ascii="Times New Roman" w:hAnsi="Times New Roman"/>
                <w:sz w:val="21"/>
                <w:szCs w:val="21"/>
              </w:rPr>
              <w:t>）</w:t>
            </w:r>
          </w:p>
        </w:tc>
        <w:tc>
          <w:tcPr>
            <w:tcW w:w="1376" w:type="pct"/>
            <w:vAlign w:val="center"/>
          </w:tcPr>
          <w:p w14:paraId="155CB054">
            <w:pPr>
              <w:pStyle w:val="574"/>
              <w:spacing w:line="240" w:lineRule="auto"/>
              <w:rPr>
                <w:rFonts w:ascii="Times New Roman" w:hAnsi="Times New Roman"/>
                <w:sz w:val="21"/>
                <w:szCs w:val="21"/>
              </w:rPr>
            </w:pPr>
            <w:r>
              <w:rPr>
                <w:rFonts w:hint="eastAsia" w:ascii="Times New Roman" w:hAnsi="Times New Roman"/>
                <w:sz w:val="21"/>
                <w:szCs w:val="21"/>
              </w:rPr>
              <w:t>0.004 L</w:t>
            </w:r>
          </w:p>
        </w:tc>
        <w:tc>
          <w:tcPr>
            <w:tcW w:w="1160" w:type="pct"/>
            <w:vAlign w:val="center"/>
          </w:tcPr>
          <w:p w14:paraId="65E0C7D3">
            <w:pPr>
              <w:pStyle w:val="574"/>
              <w:spacing w:line="240" w:lineRule="auto"/>
              <w:rPr>
                <w:rFonts w:ascii="Times New Roman" w:hAnsi="Times New Roman"/>
                <w:sz w:val="21"/>
                <w:szCs w:val="21"/>
              </w:rPr>
            </w:pPr>
            <w:r>
              <w:rPr>
                <w:rFonts w:hint="eastAsia" w:ascii="Times New Roman" w:hAnsi="Times New Roman"/>
                <w:sz w:val="21"/>
                <w:szCs w:val="21"/>
              </w:rPr>
              <w:t>0.004L</w:t>
            </w:r>
          </w:p>
        </w:tc>
        <w:tc>
          <w:tcPr>
            <w:tcW w:w="1160" w:type="pct"/>
          </w:tcPr>
          <w:p w14:paraId="563FBE68">
            <w:pPr>
              <w:pStyle w:val="574"/>
              <w:spacing w:line="240" w:lineRule="auto"/>
              <w:rPr>
                <w:rFonts w:ascii="Times New Roman" w:hAnsi="Times New Roman"/>
                <w:sz w:val="21"/>
                <w:szCs w:val="21"/>
              </w:rPr>
            </w:pPr>
            <w:r>
              <w:rPr>
                <w:rFonts w:hint="eastAsia" w:ascii="Times New Roman" w:hAnsi="Times New Roman"/>
                <w:sz w:val="21"/>
                <w:szCs w:val="21"/>
              </w:rPr>
              <w:t>0.004L</w:t>
            </w:r>
          </w:p>
        </w:tc>
      </w:tr>
      <w:tr w14:paraId="205BCDDE">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04" w:type="pct"/>
            <w:vAlign w:val="center"/>
          </w:tcPr>
          <w:p w14:paraId="432C6AA5">
            <w:pPr>
              <w:pStyle w:val="574"/>
              <w:spacing w:line="240" w:lineRule="auto"/>
              <w:rPr>
                <w:rFonts w:ascii="Times New Roman" w:hAnsi="Times New Roman"/>
                <w:sz w:val="21"/>
                <w:szCs w:val="21"/>
              </w:rPr>
            </w:pPr>
            <w:r>
              <w:rPr>
                <w:rFonts w:hint="eastAsia" w:ascii="Times New Roman" w:hAnsi="Times New Roman"/>
                <w:sz w:val="21"/>
                <w:szCs w:val="21"/>
              </w:rPr>
              <w:t>铅（</w:t>
            </w:r>
            <w:r>
              <w:rPr>
                <w:rFonts w:ascii="Times New Roman" w:hAnsi="Times New Roman"/>
                <w:sz w:val="21"/>
                <w:szCs w:val="21"/>
              </w:rPr>
              <w:t>mg/L</w:t>
            </w:r>
            <w:r>
              <w:rPr>
                <w:rFonts w:hint="eastAsia" w:ascii="Times New Roman" w:hAnsi="Times New Roman"/>
                <w:sz w:val="21"/>
                <w:szCs w:val="21"/>
              </w:rPr>
              <w:t>）</w:t>
            </w:r>
          </w:p>
        </w:tc>
        <w:tc>
          <w:tcPr>
            <w:tcW w:w="1376" w:type="pct"/>
            <w:vAlign w:val="center"/>
          </w:tcPr>
          <w:p w14:paraId="1E444491">
            <w:pPr>
              <w:pStyle w:val="574"/>
              <w:spacing w:line="240" w:lineRule="auto"/>
              <w:rPr>
                <w:rFonts w:ascii="Times New Roman" w:hAnsi="Times New Roman"/>
                <w:sz w:val="21"/>
                <w:szCs w:val="21"/>
              </w:rPr>
            </w:pPr>
            <w:r>
              <w:rPr>
                <w:rFonts w:hint="eastAsia" w:ascii="Times New Roman" w:hAnsi="Times New Roman"/>
                <w:sz w:val="21"/>
                <w:szCs w:val="21"/>
              </w:rPr>
              <w:t>0.004</w:t>
            </w:r>
          </w:p>
        </w:tc>
        <w:tc>
          <w:tcPr>
            <w:tcW w:w="1160" w:type="pct"/>
            <w:vAlign w:val="center"/>
          </w:tcPr>
          <w:p w14:paraId="7EB1FF65">
            <w:pPr>
              <w:pStyle w:val="574"/>
              <w:spacing w:line="240" w:lineRule="auto"/>
              <w:rPr>
                <w:rFonts w:ascii="Times New Roman" w:hAnsi="Times New Roman"/>
                <w:sz w:val="21"/>
                <w:szCs w:val="21"/>
              </w:rPr>
            </w:pPr>
            <w:r>
              <w:rPr>
                <w:rFonts w:hint="eastAsia" w:ascii="Times New Roman" w:hAnsi="Times New Roman"/>
                <w:sz w:val="21"/>
                <w:szCs w:val="21"/>
              </w:rPr>
              <w:t>0.004</w:t>
            </w:r>
          </w:p>
        </w:tc>
        <w:tc>
          <w:tcPr>
            <w:tcW w:w="1160" w:type="pct"/>
          </w:tcPr>
          <w:p w14:paraId="321DFCF1">
            <w:pPr>
              <w:pStyle w:val="574"/>
              <w:spacing w:line="240" w:lineRule="auto"/>
              <w:rPr>
                <w:rFonts w:ascii="Times New Roman" w:hAnsi="Times New Roman"/>
                <w:sz w:val="21"/>
                <w:szCs w:val="21"/>
              </w:rPr>
            </w:pPr>
            <w:r>
              <w:rPr>
                <w:rFonts w:hint="eastAsia" w:ascii="Times New Roman" w:hAnsi="Times New Roman"/>
                <w:sz w:val="21"/>
                <w:szCs w:val="21"/>
              </w:rPr>
              <w:t>0.002</w:t>
            </w:r>
          </w:p>
        </w:tc>
      </w:tr>
      <w:tr w14:paraId="759C583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04" w:type="pct"/>
            <w:vAlign w:val="center"/>
          </w:tcPr>
          <w:p w14:paraId="409E7AE5">
            <w:pPr>
              <w:pStyle w:val="574"/>
              <w:spacing w:line="240" w:lineRule="auto"/>
              <w:rPr>
                <w:rFonts w:ascii="Times New Roman" w:hAnsi="Times New Roman"/>
                <w:sz w:val="21"/>
                <w:szCs w:val="21"/>
              </w:rPr>
            </w:pPr>
            <w:r>
              <w:rPr>
                <w:rFonts w:hint="eastAsia" w:ascii="Times New Roman" w:hAnsi="Times New Roman"/>
                <w:sz w:val="21"/>
                <w:szCs w:val="21"/>
              </w:rPr>
              <w:t>镉</w:t>
            </w:r>
            <w:r>
              <w:rPr>
                <w:rFonts w:ascii="Times New Roman" w:hAnsi="Times New Roman"/>
                <w:sz w:val="21"/>
                <w:szCs w:val="21"/>
              </w:rPr>
              <w:t>（</w:t>
            </w:r>
            <w:r>
              <w:rPr>
                <w:rFonts w:hint="eastAsia" w:ascii="Times New Roman" w:hAnsi="Times New Roman"/>
                <w:sz w:val="21"/>
                <w:szCs w:val="21"/>
              </w:rPr>
              <w:t>m</w:t>
            </w:r>
            <w:r>
              <w:rPr>
                <w:rFonts w:ascii="Times New Roman" w:hAnsi="Times New Roman"/>
                <w:sz w:val="21"/>
                <w:szCs w:val="21"/>
              </w:rPr>
              <w:t>g/L）</w:t>
            </w:r>
          </w:p>
        </w:tc>
        <w:tc>
          <w:tcPr>
            <w:tcW w:w="1376" w:type="pct"/>
            <w:vAlign w:val="center"/>
          </w:tcPr>
          <w:p w14:paraId="05AAC10F">
            <w:pPr>
              <w:pStyle w:val="574"/>
              <w:spacing w:line="240" w:lineRule="auto"/>
              <w:rPr>
                <w:rFonts w:ascii="Times New Roman" w:hAnsi="Times New Roman"/>
                <w:sz w:val="21"/>
                <w:szCs w:val="21"/>
              </w:rPr>
            </w:pPr>
            <w:r>
              <w:rPr>
                <w:rFonts w:hint="eastAsia" w:ascii="Times New Roman" w:hAnsi="Times New Roman"/>
                <w:sz w:val="21"/>
                <w:szCs w:val="21"/>
              </w:rPr>
              <w:t>0.0024</w:t>
            </w:r>
          </w:p>
        </w:tc>
        <w:tc>
          <w:tcPr>
            <w:tcW w:w="1160" w:type="pct"/>
            <w:vAlign w:val="center"/>
          </w:tcPr>
          <w:p w14:paraId="6E433412">
            <w:pPr>
              <w:pStyle w:val="574"/>
              <w:spacing w:line="240" w:lineRule="auto"/>
              <w:rPr>
                <w:rFonts w:ascii="Times New Roman" w:hAnsi="Times New Roman"/>
                <w:sz w:val="21"/>
                <w:szCs w:val="21"/>
              </w:rPr>
            </w:pPr>
            <w:r>
              <w:rPr>
                <w:rFonts w:hint="eastAsia" w:ascii="Times New Roman" w:hAnsi="Times New Roman"/>
                <w:sz w:val="21"/>
                <w:szCs w:val="21"/>
              </w:rPr>
              <w:t>0.0025</w:t>
            </w:r>
          </w:p>
        </w:tc>
        <w:tc>
          <w:tcPr>
            <w:tcW w:w="1160" w:type="pct"/>
          </w:tcPr>
          <w:p w14:paraId="6736394F">
            <w:pPr>
              <w:pStyle w:val="574"/>
              <w:spacing w:line="240" w:lineRule="auto"/>
              <w:rPr>
                <w:rFonts w:ascii="Times New Roman" w:hAnsi="Times New Roman"/>
                <w:sz w:val="21"/>
                <w:szCs w:val="21"/>
              </w:rPr>
            </w:pPr>
            <w:r>
              <w:rPr>
                <w:rFonts w:hint="eastAsia" w:ascii="Times New Roman" w:hAnsi="Times New Roman"/>
                <w:sz w:val="21"/>
                <w:szCs w:val="21"/>
              </w:rPr>
              <w:t>0.0020</w:t>
            </w:r>
          </w:p>
        </w:tc>
      </w:tr>
      <w:tr w14:paraId="780D9A60">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04" w:type="pct"/>
            <w:vAlign w:val="center"/>
          </w:tcPr>
          <w:p w14:paraId="2219126A">
            <w:pPr>
              <w:pStyle w:val="574"/>
              <w:spacing w:line="240" w:lineRule="auto"/>
              <w:rPr>
                <w:rFonts w:ascii="Times New Roman" w:hAnsi="Times New Roman"/>
                <w:sz w:val="21"/>
                <w:szCs w:val="21"/>
              </w:rPr>
            </w:pPr>
            <w:r>
              <w:rPr>
                <w:rFonts w:hint="eastAsia" w:ascii="Times New Roman" w:hAnsi="Times New Roman"/>
                <w:sz w:val="21"/>
                <w:szCs w:val="21"/>
              </w:rPr>
              <w:t>锰（</w:t>
            </w:r>
            <w:r>
              <w:rPr>
                <w:rFonts w:ascii="Times New Roman" w:hAnsi="Times New Roman"/>
                <w:sz w:val="21"/>
                <w:szCs w:val="21"/>
              </w:rPr>
              <w:t>mg/L</w:t>
            </w:r>
            <w:r>
              <w:rPr>
                <w:rFonts w:hint="eastAsia" w:ascii="Times New Roman" w:hAnsi="Times New Roman"/>
                <w:sz w:val="21"/>
                <w:szCs w:val="21"/>
              </w:rPr>
              <w:t>）</w:t>
            </w:r>
          </w:p>
        </w:tc>
        <w:tc>
          <w:tcPr>
            <w:tcW w:w="1376" w:type="pct"/>
            <w:vAlign w:val="center"/>
          </w:tcPr>
          <w:p w14:paraId="73D51B3F">
            <w:pPr>
              <w:pStyle w:val="574"/>
              <w:spacing w:line="240" w:lineRule="auto"/>
              <w:rPr>
                <w:rFonts w:ascii="Times New Roman" w:hAnsi="Times New Roman"/>
                <w:sz w:val="21"/>
                <w:szCs w:val="21"/>
              </w:rPr>
            </w:pPr>
            <w:r>
              <w:rPr>
                <w:rFonts w:hint="eastAsia" w:ascii="Times New Roman" w:hAnsi="Times New Roman"/>
                <w:sz w:val="21"/>
                <w:szCs w:val="21"/>
              </w:rPr>
              <w:t>0.01 L</w:t>
            </w:r>
          </w:p>
        </w:tc>
        <w:tc>
          <w:tcPr>
            <w:tcW w:w="1160" w:type="pct"/>
            <w:vAlign w:val="center"/>
          </w:tcPr>
          <w:p w14:paraId="3D80A9CE">
            <w:pPr>
              <w:pStyle w:val="574"/>
              <w:spacing w:line="240" w:lineRule="auto"/>
              <w:rPr>
                <w:rFonts w:ascii="Times New Roman" w:hAnsi="Times New Roman"/>
                <w:sz w:val="21"/>
                <w:szCs w:val="21"/>
              </w:rPr>
            </w:pPr>
            <w:r>
              <w:rPr>
                <w:rFonts w:hint="eastAsia" w:ascii="Times New Roman" w:hAnsi="Times New Roman"/>
                <w:sz w:val="21"/>
                <w:szCs w:val="21"/>
              </w:rPr>
              <w:t>0.01L</w:t>
            </w:r>
          </w:p>
        </w:tc>
        <w:tc>
          <w:tcPr>
            <w:tcW w:w="1160" w:type="pct"/>
            <w:vAlign w:val="center"/>
          </w:tcPr>
          <w:p w14:paraId="0F4C791E">
            <w:pPr>
              <w:pStyle w:val="574"/>
              <w:spacing w:line="240" w:lineRule="auto"/>
              <w:rPr>
                <w:rFonts w:ascii="Times New Roman" w:hAnsi="Times New Roman"/>
                <w:sz w:val="21"/>
                <w:szCs w:val="21"/>
              </w:rPr>
            </w:pPr>
            <w:r>
              <w:rPr>
                <w:rFonts w:hint="eastAsia" w:ascii="Times New Roman" w:hAnsi="Times New Roman"/>
                <w:sz w:val="21"/>
                <w:szCs w:val="21"/>
              </w:rPr>
              <w:t>0.01 L</w:t>
            </w:r>
          </w:p>
        </w:tc>
      </w:tr>
      <w:tr w14:paraId="49583D05">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04" w:type="pct"/>
            <w:vAlign w:val="center"/>
          </w:tcPr>
          <w:p w14:paraId="28787169">
            <w:pPr>
              <w:pStyle w:val="574"/>
              <w:spacing w:line="240" w:lineRule="auto"/>
              <w:rPr>
                <w:rFonts w:ascii="Times New Roman" w:hAnsi="Times New Roman"/>
                <w:sz w:val="21"/>
                <w:szCs w:val="21"/>
              </w:rPr>
            </w:pPr>
            <w:r>
              <w:rPr>
                <w:rFonts w:hint="eastAsia" w:ascii="Times New Roman" w:hAnsi="Times New Roman"/>
                <w:sz w:val="21"/>
                <w:szCs w:val="21"/>
              </w:rPr>
              <w:t>铁（</w:t>
            </w:r>
            <w:r>
              <w:rPr>
                <w:rFonts w:ascii="Times New Roman" w:hAnsi="Times New Roman"/>
                <w:sz w:val="21"/>
                <w:szCs w:val="21"/>
              </w:rPr>
              <w:t>mg/L</w:t>
            </w:r>
            <w:r>
              <w:rPr>
                <w:rFonts w:hint="eastAsia" w:ascii="Times New Roman" w:hAnsi="Times New Roman"/>
                <w:sz w:val="21"/>
                <w:szCs w:val="21"/>
              </w:rPr>
              <w:t>）</w:t>
            </w:r>
          </w:p>
        </w:tc>
        <w:tc>
          <w:tcPr>
            <w:tcW w:w="1376" w:type="pct"/>
            <w:vAlign w:val="center"/>
          </w:tcPr>
          <w:p w14:paraId="754470E6">
            <w:pPr>
              <w:pStyle w:val="574"/>
              <w:spacing w:line="240" w:lineRule="auto"/>
              <w:rPr>
                <w:rFonts w:ascii="Times New Roman" w:hAnsi="Times New Roman"/>
                <w:sz w:val="21"/>
                <w:szCs w:val="21"/>
              </w:rPr>
            </w:pPr>
            <w:r>
              <w:rPr>
                <w:rFonts w:hint="eastAsia" w:ascii="Times New Roman" w:hAnsi="Times New Roman"/>
                <w:sz w:val="21"/>
                <w:szCs w:val="21"/>
              </w:rPr>
              <w:t>0.03L</w:t>
            </w:r>
          </w:p>
        </w:tc>
        <w:tc>
          <w:tcPr>
            <w:tcW w:w="1160" w:type="pct"/>
            <w:vAlign w:val="center"/>
          </w:tcPr>
          <w:p w14:paraId="466E8A72">
            <w:pPr>
              <w:pStyle w:val="574"/>
              <w:spacing w:line="240" w:lineRule="auto"/>
              <w:rPr>
                <w:rFonts w:ascii="Times New Roman" w:hAnsi="Times New Roman"/>
                <w:sz w:val="21"/>
                <w:szCs w:val="21"/>
              </w:rPr>
            </w:pPr>
            <w:r>
              <w:rPr>
                <w:rFonts w:hint="eastAsia" w:ascii="Times New Roman" w:hAnsi="Times New Roman"/>
                <w:sz w:val="21"/>
                <w:szCs w:val="21"/>
              </w:rPr>
              <w:t>0.03L</w:t>
            </w:r>
          </w:p>
        </w:tc>
        <w:tc>
          <w:tcPr>
            <w:tcW w:w="1160" w:type="pct"/>
            <w:vAlign w:val="center"/>
          </w:tcPr>
          <w:p w14:paraId="35F3A3B5">
            <w:pPr>
              <w:pStyle w:val="574"/>
              <w:spacing w:line="240" w:lineRule="auto"/>
              <w:rPr>
                <w:rFonts w:ascii="Times New Roman" w:hAnsi="Times New Roman"/>
                <w:sz w:val="21"/>
                <w:szCs w:val="21"/>
              </w:rPr>
            </w:pPr>
            <w:r>
              <w:rPr>
                <w:rFonts w:hint="eastAsia" w:ascii="Times New Roman" w:hAnsi="Times New Roman"/>
                <w:sz w:val="21"/>
                <w:szCs w:val="21"/>
              </w:rPr>
              <w:t>0.03L</w:t>
            </w:r>
          </w:p>
        </w:tc>
      </w:tr>
      <w:tr w14:paraId="2D1AAC5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04" w:type="pct"/>
            <w:vAlign w:val="center"/>
          </w:tcPr>
          <w:p w14:paraId="21A2E27C">
            <w:pPr>
              <w:pStyle w:val="574"/>
              <w:spacing w:line="240" w:lineRule="auto"/>
              <w:rPr>
                <w:rFonts w:ascii="Times New Roman" w:hAnsi="Times New Roman"/>
                <w:sz w:val="21"/>
                <w:szCs w:val="21"/>
              </w:rPr>
            </w:pPr>
            <w:r>
              <w:rPr>
                <w:rFonts w:hint="eastAsia" w:ascii="Times New Roman" w:hAnsi="Times New Roman"/>
                <w:sz w:val="21"/>
                <w:szCs w:val="21"/>
              </w:rPr>
              <w:t>挥发酚（</w:t>
            </w:r>
            <w:r>
              <w:rPr>
                <w:rFonts w:ascii="Times New Roman" w:hAnsi="Times New Roman"/>
                <w:sz w:val="21"/>
                <w:szCs w:val="21"/>
              </w:rPr>
              <w:t>mg/L</w:t>
            </w:r>
            <w:r>
              <w:rPr>
                <w:rFonts w:hint="eastAsia" w:ascii="Times New Roman" w:hAnsi="Times New Roman"/>
                <w:sz w:val="21"/>
                <w:szCs w:val="21"/>
              </w:rPr>
              <w:t>）</w:t>
            </w:r>
          </w:p>
        </w:tc>
        <w:tc>
          <w:tcPr>
            <w:tcW w:w="1376" w:type="pct"/>
            <w:vAlign w:val="center"/>
          </w:tcPr>
          <w:p w14:paraId="57024B6E">
            <w:pPr>
              <w:pStyle w:val="574"/>
              <w:spacing w:line="240" w:lineRule="auto"/>
              <w:rPr>
                <w:rFonts w:ascii="Times New Roman" w:hAnsi="Times New Roman"/>
                <w:sz w:val="21"/>
                <w:szCs w:val="21"/>
              </w:rPr>
            </w:pPr>
            <w:r>
              <w:rPr>
                <w:rFonts w:hint="eastAsia" w:ascii="Times New Roman" w:hAnsi="Times New Roman"/>
                <w:sz w:val="21"/>
                <w:szCs w:val="21"/>
              </w:rPr>
              <w:t>0.0003L</w:t>
            </w:r>
          </w:p>
        </w:tc>
        <w:tc>
          <w:tcPr>
            <w:tcW w:w="1160" w:type="pct"/>
            <w:vAlign w:val="center"/>
          </w:tcPr>
          <w:p w14:paraId="1D026B7A">
            <w:pPr>
              <w:pStyle w:val="574"/>
              <w:spacing w:line="240" w:lineRule="auto"/>
              <w:rPr>
                <w:rFonts w:ascii="Times New Roman" w:hAnsi="Times New Roman"/>
                <w:sz w:val="21"/>
                <w:szCs w:val="21"/>
              </w:rPr>
            </w:pPr>
            <w:r>
              <w:rPr>
                <w:rFonts w:hint="eastAsia" w:ascii="Times New Roman" w:hAnsi="Times New Roman"/>
                <w:sz w:val="21"/>
                <w:szCs w:val="21"/>
              </w:rPr>
              <w:t>0.0003L</w:t>
            </w:r>
          </w:p>
        </w:tc>
        <w:tc>
          <w:tcPr>
            <w:tcW w:w="1160" w:type="pct"/>
            <w:vAlign w:val="center"/>
          </w:tcPr>
          <w:p w14:paraId="0EB262F2">
            <w:pPr>
              <w:pStyle w:val="574"/>
              <w:spacing w:line="240" w:lineRule="auto"/>
              <w:rPr>
                <w:rFonts w:ascii="Times New Roman" w:hAnsi="Times New Roman"/>
                <w:sz w:val="21"/>
                <w:szCs w:val="21"/>
              </w:rPr>
            </w:pPr>
            <w:r>
              <w:rPr>
                <w:rFonts w:hint="eastAsia" w:ascii="Times New Roman" w:hAnsi="Times New Roman"/>
                <w:sz w:val="21"/>
                <w:szCs w:val="21"/>
              </w:rPr>
              <w:t>0.0003L</w:t>
            </w:r>
          </w:p>
        </w:tc>
      </w:tr>
      <w:tr w14:paraId="6FF197E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04" w:type="pct"/>
            <w:vAlign w:val="center"/>
          </w:tcPr>
          <w:p w14:paraId="040E543A">
            <w:pPr>
              <w:pStyle w:val="574"/>
              <w:spacing w:line="240" w:lineRule="auto"/>
              <w:rPr>
                <w:rFonts w:ascii="Times New Roman" w:hAnsi="Times New Roman"/>
                <w:sz w:val="21"/>
                <w:szCs w:val="21"/>
              </w:rPr>
            </w:pPr>
            <w:r>
              <w:rPr>
                <w:rFonts w:hint="eastAsia" w:ascii="Times New Roman" w:hAnsi="Times New Roman"/>
                <w:sz w:val="21"/>
                <w:szCs w:val="21"/>
              </w:rPr>
              <w:t>亚硝酸盐氮（</w:t>
            </w:r>
            <w:r>
              <w:rPr>
                <w:rFonts w:ascii="Times New Roman" w:hAnsi="Times New Roman"/>
                <w:sz w:val="21"/>
                <w:szCs w:val="21"/>
              </w:rPr>
              <w:t>mg/L</w:t>
            </w:r>
            <w:r>
              <w:rPr>
                <w:rFonts w:hint="eastAsia" w:ascii="Times New Roman" w:hAnsi="Times New Roman"/>
                <w:sz w:val="21"/>
                <w:szCs w:val="21"/>
              </w:rPr>
              <w:t>）</w:t>
            </w:r>
          </w:p>
        </w:tc>
        <w:tc>
          <w:tcPr>
            <w:tcW w:w="1376" w:type="pct"/>
            <w:vAlign w:val="center"/>
          </w:tcPr>
          <w:p w14:paraId="60BDCF79">
            <w:pPr>
              <w:pStyle w:val="574"/>
              <w:spacing w:line="240" w:lineRule="auto"/>
              <w:rPr>
                <w:rFonts w:ascii="Times New Roman" w:hAnsi="Times New Roman"/>
                <w:sz w:val="21"/>
                <w:szCs w:val="21"/>
              </w:rPr>
            </w:pPr>
            <w:r>
              <w:rPr>
                <w:rFonts w:hint="eastAsia" w:ascii="Times New Roman" w:hAnsi="Times New Roman"/>
                <w:sz w:val="21"/>
                <w:szCs w:val="21"/>
              </w:rPr>
              <w:t>0.009L</w:t>
            </w:r>
          </w:p>
        </w:tc>
        <w:tc>
          <w:tcPr>
            <w:tcW w:w="1160" w:type="pct"/>
            <w:vAlign w:val="center"/>
          </w:tcPr>
          <w:p w14:paraId="7342FD4C">
            <w:pPr>
              <w:pStyle w:val="574"/>
              <w:spacing w:line="240" w:lineRule="auto"/>
              <w:rPr>
                <w:rFonts w:ascii="Times New Roman" w:hAnsi="Times New Roman"/>
                <w:sz w:val="21"/>
                <w:szCs w:val="21"/>
              </w:rPr>
            </w:pPr>
            <w:r>
              <w:rPr>
                <w:rFonts w:hint="eastAsia" w:ascii="Times New Roman" w:hAnsi="Times New Roman"/>
                <w:sz w:val="21"/>
                <w:szCs w:val="21"/>
              </w:rPr>
              <w:t>0.009L</w:t>
            </w:r>
          </w:p>
        </w:tc>
        <w:tc>
          <w:tcPr>
            <w:tcW w:w="1160" w:type="pct"/>
            <w:vAlign w:val="center"/>
          </w:tcPr>
          <w:p w14:paraId="50FE3BDB">
            <w:pPr>
              <w:pStyle w:val="574"/>
              <w:spacing w:line="240" w:lineRule="auto"/>
              <w:rPr>
                <w:rFonts w:ascii="Times New Roman" w:hAnsi="Times New Roman"/>
                <w:sz w:val="21"/>
                <w:szCs w:val="21"/>
              </w:rPr>
            </w:pPr>
            <w:r>
              <w:rPr>
                <w:rFonts w:hint="eastAsia" w:ascii="Times New Roman" w:hAnsi="Times New Roman"/>
                <w:sz w:val="21"/>
                <w:szCs w:val="21"/>
              </w:rPr>
              <w:t>0.009L</w:t>
            </w:r>
          </w:p>
        </w:tc>
      </w:tr>
      <w:tr w14:paraId="7C408138">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04" w:type="pct"/>
            <w:vAlign w:val="center"/>
          </w:tcPr>
          <w:p w14:paraId="0A4B79A0">
            <w:pPr>
              <w:pStyle w:val="574"/>
              <w:spacing w:line="240" w:lineRule="auto"/>
              <w:rPr>
                <w:rFonts w:ascii="Times New Roman" w:hAnsi="Times New Roman"/>
                <w:sz w:val="21"/>
                <w:szCs w:val="21"/>
              </w:rPr>
            </w:pPr>
            <w:r>
              <w:rPr>
                <w:rFonts w:hint="eastAsia" w:ascii="Times New Roman" w:hAnsi="Times New Roman"/>
                <w:sz w:val="21"/>
                <w:szCs w:val="21"/>
              </w:rPr>
              <w:t>硝酸盐氮（</w:t>
            </w:r>
            <w:r>
              <w:rPr>
                <w:rFonts w:ascii="Times New Roman" w:hAnsi="Times New Roman"/>
                <w:sz w:val="21"/>
                <w:szCs w:val="21"/>
              </w:rPr>
              <w:t>mg/L</w:t>
            </w:r>
            <w:r>
              <w:rPr>
                <w:rFonts w:hint="eastAsia" w:ascii="Times New Roman" w:hAnsi="Times New Roman"/>
                <w:sz w:val="21"/>
                <w:szCs w:val="21"/>
              </w:rPr>
              <w:t>）</w:t>
            </w:r>
          </w:p>
        </w:tc>
        <w:tc>
          <w:tcPr>
            <w:tcW w:w="1376" w:type="pct"/>
            <w:vAlign w:val="center"/>
          </w:tcPr>
          <w:p w14:paraId="59FC3993">
            <w:pPr>
              <w:pStyle w:val="574"/>
              <w:spacing w:line="240" w:lineRule="auto"/>
              <w:rPr>
                <w:rFonts w:ascii="Times New Roman" w:hAnsi="Times New Roman"/>
                <w:sz w:val="21"/>
                <w:szCs w:val="21"/>
              </w:rPr>
            </w:pPr>
            <w:r>
              <w:rPr>
                <w:rFonts w:hint="eastAsia" w:ascii="Times New Roman" w:hAnsi="Times New Roman"/>
                <w:sz w:val="21"/>
                <w:szCs w:val="21"/>
              </w:rPr>
              <w:t>0.27</w:t>
            </w:r>
          </w:p>
        </w:tc>
        <w:tc>
          <w:tcPr>
            <w:tcW w:w="1160" w:type="pct"/>
            <w:vAlign w:val="center"/>
          </w:tcPr>
          <w:p w14:paraId="4CF8B18E">
            <w:pPr>
              <w:pStyle w:val="574"/>
              <w:spacing w:line="240" w:lineRule="auto"/>
              <w:rPr>
                <w:rFonts w:ascii="Times New Roman" w:hAnsi="Times New Roman"/>
                <w:sz w:val="21"/>
                <w:szCs w:val="21"/>
              </w:rPr>
            </w:pPr>
            <w:r>
              <w:rPr>
                <w:rFonts w:hint="eastAsia" w:ascii="Times New Roman" w:hAnsi="Times New Roman"/>
                <w:sz w:val="21"/>
                <w:szCs w:val="21"/>
              </w:rPr>
              <w:t>0.12</w:t>
            </w:r>
          </w:p>
        </w:tc>
        <w:tc>
          <w:tcPr>
            <w:tcW w:w="1160" w:type="pct"/>
          </w:tcPr>
          <w:p w14:paraId="3C6C7A16">
            <w:pPr>
              <w:pStyle w:val="574"/>
              <w:spacing w:line="240" w:lineRule="auto"/>
              <w:rPr>
                <w:rFonts w:ascii="Times New Roman" w:hAnsi="Times New Roman"/>
                <w:sz w:val="21"/>
                <w:szCs w:val="21"/>
              </w:rPr>
            </w:pPr>
            <w:r>
              <w:rPr>
                <w:rFonts w:hint="eastAsia" w:ascii="Times New Roman" w:hAnsi="Times New Roman"/>
                <w:sz w:val="21"/>
                <w:szCs w:val="21"/>
              </w:rPr>
              <w:t>1.09</w:t>
            </w:r>
          </w:p>
        </w:tc>
      </w:tr>
      <w:tr w14:paraId="4CB6C312">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04" w:type="pct"/>
            <w:vAlign w:val="center"/>
          </w:tcPr>
          <w:p w14:paraId="4032C194">
            <w:pPr>
              <w:pStyle w:val="574"/>
              <w:spacing w:line="240" w:lineRule="auto"/>
              <w:rPr>
                <w:rFonts w:ascii="Times New Roman" w:hAnsi="Times New Roman"/>
                <w:sz w:val="21"/>
                <w:szCs w:val="21"/>
              </w:rPr>
            </w:pPr>
            <w:r>
              <w:rPr>
                <w:rFonts w:hint="eastAsia" w:ascii="Times New Roman" w:hAnsi="Times New Roman"/>
                <w:sz w:val="21"/>
                <w:szCs w:val="21"/>
              </w:rPr>
              <w:t>溶解性总固体（</w:t>
            </w:r>
            <w:r>
              <w:rPr>
                <w:rFonts w:ascii="Times New Roman" w:hAnsi="Times New Roman"/>
                <w:sz w:val="21"/>
                <w:szCs w:val="21"/>
              </w:rPr>
              <w:t>mg/L</w:t>
            </w:r>
            <w:r>
              <w:rPr>
                <w:rFonts w:hint="eastAsia" w:ascii="Times New Roman" w:hAnsi="Times New Roman"/>
                <w:sz w:val="21"/>
                <w:szCs w:val="21"/>
              </w:rPr>
              <w:t>）</w:t>
            </w:r>
          </w:p>
        </w:tc>
        <w:tc>
          <w:tcPr>
            <w:tcW w:w="1376" w:type="pct"/>
            <w:vAlign w:val="center"/>
          </w:tcPr>
          <w:p w14:paraId="333FFCA5">
            <w:pPr>
              <w:pStyle w:val="574"/>
              <w:spacing w:line="240" w:lineRule="auto"/>
              <w:rPr>
                <w:rFonts w:ascii="Times New Roman" w:hAnsi="Times New Roman"/>
                <w:sz w:val="21"/>
                <w:szCs w:val="21"/>
              </w:rPr>
            </w:pPr>
            <w:r>
              <w:rPr>
                <w:rFonts w:hint="eastAsia" w:ascii="Times New Roman" w:hAnsi="Times New Roman"/>
                <w:sz w:val="21"/>
                <w:szCs w:val="21"/>
              </w:rPr>
              <w:t>665</w:t>
            </w:r>
          </w:p>
        </w:tc>
        <w:tc>
          <w:tcPr>
            <w:tcW w:w="1160" w:type="pct"/>
            <w:vAlign w:val="center"/>
          </w:tcPr>
          <w:p w14:paraId="7A6BE89E">
            <w:pPr>
              <w:pStyle w:val="574"/>
              <w:spacing w:line="240" w:lineRule="auto"/>
              <w:rPr>
                <w:rFonts w:ascii="Times New Roman" w:hAnsi="Times New Roman"/>
                <w:sz w:val="21"/>
                <w:szCs w:val="21"/>
              </w:rPr>
            </w:pPr>
            <w:r>
              <w:rPr>
                <w:rFonts w:hint="eastAsia" w:ascii="Times New Roman" w:hAnsi="Times New Roman"/>
                <w:sz w:val="21"/>
                <w:szCs w:val="21"/>
              </w:rPr>
              <w:t>603</w:t>
            </w:r>
          </w:p>
        </w:tc>
        <w:tc>
          <w:tcPr>
            <w:tcW w:w="1160" w:type="pct"/>
          </w:tcPr>
          <w:p w14:paraId="2AA84F63">
            <w:pPr>
              <w:pStyle w:val="574"/>
              <w:spacing w:line="240" w:lineRule="auto"/>
              <w:rPr>
                <w:rFonts w:ascii="Times New Roman" w:hAnsi="Times New Roman"/>
                <w:sz w:val="21"/>
                <w:szCs w:val="21"/>
              </w:rPr>
            </w:pPr>
            <w:r>
              <w:rPr>
                <w:rFonts w:hint="eastAsia" w:ascii="Times New Roman" w:hAnsi="Times New Roman"/>
                <w:sz w:val="21"/>
                <w:szCs w:val="21"/>
              </w:rPr>
              <w:t>681</w:t>
            </w:r>
          </w:p>
        </w:tc>
      </w:tr>
      <w:tr w14:paraId="44F9531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04" w:type="pct"/>
            <w:vAlign w:val="center"/>
          </w:tcPr>
          <w:p w14:paraId="7A2CE175">
            <w:pPr>
              <w:pStyle w:val="574"/>
              <w:spacing w:line="240" w:lineRule="auto"/>
              <w:rPr>
                <w:rFonts w:ascii="Times New Roman" w:hAnsi="Times New Roman"/>
                <w:sz w:val="21"/>
                <w:szCs w:val="21"/>
              </w:rPr>
            </w:pPr>
            <w:r>
              <w:rPr>
                <w:rFonts w:hint="eastAsia" w:ascii="Times New Roman" w:hAnsi="Times New Roman"/>
                <w:sz w:val="21"/>
                <w:szCs w:val="21"/>
              </w:rPr>
              <w:t>细菌总数（个/mL）</w:t>
            </w:r>
          </w:p>
        </w:tc>
        <w:tc>
          <w:tcPr>
            <w:tcW w:w="1376" w:type="pct"/>
            <w:vAlign w:val="center"/>
          </w:tcPr>
          <w:p w14:paraId="00F0AABE">
            <w:pPr>
              <w:pStyle w:val="574"/>
              <w:spacing w:line="240" w:lineRule="auto"/>
              <w:rPr>
                <w:rFonts w:ascii="Times New Roman" w:hAnsi="Times New Roman"/>
                <w:sz w:val="21"/>
                <w:szCs w:val="21"/>
              </w:rPr>
            </w:pPr>
            <w:r>
              <w:rPr>
                <w:rFonts w:hint="eastAsia" w:ascii="Times New Roman" w:hAnsi="Times New Roman"/>
                <w:sz w:val="21"/>
                <w:szCs w:val="21"/>
              </w:rPr>
              <w:t>未检出</w:t>
            </w:r>
          </w:p>
        </w:tc>
        <w:tc>
          <w:tcPr>
            <w:tcW w:w="1160" w:type="pct"/>
            <w:vAlign w:val="center"/>
          </w:tcPr>
          <w:p w14:paraId="12F1C864">
            <w:pPr>
              <w:pStyle w:val="574"/>
              <w:spacing w:line="240" w:lineRule="auto"/>
              <w:rPr>
                <w:rFonts w:ascii="Times New Roman" w:hAnsi="Times New Roman"/>
                <w:sz w:val="21"/>
                <w:szCs w:val="21"/>
              </w:rPr>
            </w:pPr>
            <w:r>
              <w:rPr>
                <w:rFonts w:hint="eastAsia" w:ascii="Times New Roman" w:hAnsi="Times New Roman"/>
                <w:sz w:val="21"/>
                <w:szCs w:val="21"/>
              </w:rPr>
              <w:t>未检出</w:t>
            </w:r>
          </w:p>
        </w:tc>
        <w:tc>
          <w:tcPr>
            <w:tcW w:w="1160" w:type="pct"/>
            <w:vAlign w:val="center"/>
          </w:tcPr>
          <w:p w14:paraId="7BD2BB06">
            <w:pPr>
              <w:pStyle w:val="574"/>
              <w:spacing w:line="240" w:lineRule="auto"/>
              <w:rPr>
                <w:rFonts w:ascii="Times New Roman" w:hAnsi="Times New Roman"/>
                <w:sz w:val="21"/>
                <w:szCs w:val="21"/>
              </w:rPr>
            </w:pPr>
            <w:r>
              <w:rPr>
                <w:rFonts w:hint="eastAsia" w:ascii="Times New Roman" w:hAnsi="Times New Roman"/>
                <w:sz w:val="21"/>
                <w:szCs w:val="21"/>
              </w:rPr>
              <w:t>未检出</w:t>
            </w:r>
          </w:p>
        </w:tc>
      </w:tr>
      <w:tr w14:paraId="493181C6">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04" w:type="pct"/>
            <w:vAlign w:val="center"/>
          </w:tcPr>
          <w:p w14:paraId="62E47FF1">
            <w:pPr>
              <w:pStyle w:val="574"/>
              <w:spacing w:line="240" w:lineRule="auto"/>
              <w:rPr>
                <w:rFonts w:ascii="Times New Roman" w:hAnsi="Times New Roman"/>
                <w:sz w:val="21"/>
                <w:szCs w:val="21"/>
              </w:rPr>
            </w:pPr>
            <w:r>
              <w:rPr>
                <w:rFonts w:hint="eastAsia" w:ascii="Times New Roman" w:hAnsi="Times New Roman"/>
                <w:sz w:val="21"/>
                <w:szCs w:val="21"/>
              </w:rPr>
              <w:t>大肠菌群（个/L）</w:t>
            </w:r>
          </w:p>
        </w:tc>
        <w:tc>
          <w:tcPr>
            <w:tcW w:w="1376" w:type="pct"/>
            <w:vAlign w:val="center"/>
          </w:tcPr>
          <w:p w14:paraId="7834B028">
            <w:pPr>
              <w:pStyle w:val="574"/>
              <w:spacing w:line="240" w:lineRule="auto"/>
              <w:rPr>
                <w:rFonts w:ascii="Times New Roman" w:hAnsi="Times New Roman"/>
                <w:sz w:val="21"/>
                <w:szCs w:val="21"/>
              </w:rPr>
            </w:pPr>
            <w:r>
              <w:rPr>
                <w:rFonts w:hint="eastAsia" w:ascii="Times New Roman" w:hAnsi="Times New Roman"/>
                <w:sz w:val="21"/>
                <w:szCs w:val="21"/>
              </w:rPr>
              <w:t>未检出</w:t>
            </w:r>
          </w:p>
        </w:tc>
        <w:tc>
          <w:tcPr>
            <w:tcW w:w="1160" w:type="pct"/>
            <w:vAlign w:val="center"/>
          </w:tcPr>
          <w:p w14:paraId="583FE5ED">
            <w:pPr>
              <w:pStyle w:val="574"/>
              <w:spacing w:line="240" w:lineRule="auto"/>
              <w:rPr>
                <w:rFonts w:ascii="Times New Roman" w:hAnsi="Times New Roman"/>
                <w:sz w:val="21"/>
                <w:szCs w:val="21"/>
              </w:rPr>
            </w:pPr>
            <w:r>
              <w:rPr>
                <w:rFonts w:hint="eastAsia" w:ascii="Times New Roman" w:hAnsi="Times New Roman"/>
                <w:sz w:val="21"/>
                <w:szCs w:val="21"/>
              </w:rPr>
              <w:t>未检出</w:t>
            </w:r>
          </w:p>
        </w:tc>
        <w:tc>
          <w:tcPr>
            <w:tcW w:w="1160" w:type="pct"/>
            <w:vAlign w:val="center"/>
          </w:tcPr>
          <w:p w14:paraId="354E9FAE">
            <w:pPr>
              <w:pStyle w:val="574"/>
              <w:spacing w:line="240" w:lineRule="auto"/>
              <w:rPr>
                <w:rFonts w:ascii="Times New Roman" w:hAnsi="Times New Roman"/>
                <w:sz w:val="21"/>
                <w:szCs w:val="21"/>
              </w:rPr>
            </w:pPr>
            <w:r>
              <w:rPr>
                <w:rFonts w:hint="eastAsia" w:ascii="Times New Roman" w:hAnsi="Times New Roman"/>
                <w:sz w:val="21"/>
                <w:szCs w:val="21"/>
              </w:rPr>
              <w:t>未检出</w:t>
            </w:r>
          </w:p>
        </w:tc>
      </w:tr>
      <w:tr w14:paraId="344C1526">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04" w:type="pct"/>
            <w:vAlign w:val="center"/>
          </w:tcPr>
          <w:p w14:paraId="0BFBB29A">
            <w:pPr>
              <w:pStyle w:val="574"/>
              <w:spacing w:line="240" w:lineRule="auto"/>
              <w:rPr>
                <w:rFonts w:ascii="Times New Roman" w:hAnsi="Times New Roman"/>
                <w:sz w:val="21"/>
                <w:szCs w:val="21"/>
              </w:rPr>
            </w:pPr>
            <w:r>
              <w:rPr>
                <w:rFonts w:hint="eastAsia" w:ascii="Times New Roman" w:hAnsi="Times New Roman"/>
                <w:sz w:val="21"/>
                <w:szCs w:val="21"/>
              </w:rPr>
              <w:t>石油类（</w:t>
            </w:r>
            <w:r>
              <w:rPr>
                <w:rFonts w:ascii="Times New Roman" w:hAnsi="Times New Roman"/>
                <w:sz w:val="21"/>
                <w:szCs w:val="21"/>
              </w:rPr>
              <w:t>mg/L</w:t>
            </w:r>
            <w:r>
              <w:rPr>
                <w:rFonts w:hint="eastAsia" w:ascii="Times New Roman" w:hAnsi="Times New Roman"/>
                <w:sz w:val="21"/>
                <w:szCs w:val="21"/>
              </w:rPr>
              <w:t>）</w:t>
            </w:r>
          </w:p>
        </w:tc>
        <w:tc>
          <w:tcPr>
            <w:tcW w:w="1376" w:type="pct"/>
            <w:vAlign w:val="center"/>
          </w:tcPr>
          <w:p w14:paraId="3CCC6EB2">
            <w:pPr>
              <w:pStyle w:val="574"/>
              <w:spacing w:line="240" w:lineRule="auto"/>
              <w:rPr>
                <w:rFonts w:ascii="Times New Roman" w:hAnsi="Times New Roman"/>
                <w:sz w:val="21"/>
                <w:szCs w:val="21"/>
              </w:rPr>
            </w:pPr>
            <w:r>
              <w:rPr>
                <w:rFonts w:hint="eastAsia" w:ascii="Times New Roman" w:hAnsi="Times New Roman"/>
                <w:sz w:val="21"/>
                <w:szCs w:val="21"/>
              </w:rPr>
              <w:t>0.04L</w:t>
            </w:r>
          </w:p>
        </w:tc>
        <w:tc>
          <w:tcPr>
            <w:tcW w:w="1160" w:type="pct"/>
            <w:vAlign w:val="center"/>
          </w:tcPr>
          <w:p w14:paraId="0DC453EE">
            <w:pPr>
              <w:pStyle w:val="574"/>
              <w:spacing w:line="240" w:lineRule="auto"/>
              <w:rPr>
                <w:rFonts w:ascii="Times New Roman" w:hAnsi="Times New Roman"/>
                <w:sz w:val="21"/>
                <w:szCs w:val="21"/>
              </w:rPr>
            </w:pPr>
            <w:r>
              <w:rPr>
                <w:rFonts w:hint="eastAsia" w:ascii="Times New Roman" w:hAnsi="Times New Roman"/>
                <w:sz w:val="21"/>
                <w:szCs w:val="21"/>
              </w:rPr>
              <w:t>0.04L</w:t>
            </w:r>
          </w:p>
        </w:tc>
        <w:tc>
          <w:tcPr>
            <w:tcW w:w="1160" w:type="pct"/>
          </w:tcPr>
          <w:p w14:paraId="145C90C6">
            <w:pPr>
              <w:pStyle w:val="574"/>
              <w:spacing w:line="240" w:lineRule="auto"/>
              <w:rPr>
                <w:rFonts w:ascii="Times New Roman" w:hAnsi="Times New Roman"/>
                <w:sz w:val="21"/>
                <w:szCs w:val="21"/>
              </w:rPr>
            </w:pPr>
            <w:r>
              <w:rPr>
                <w:rFonts w:hint="eastAsia" w:ascii="Times New Roman" w:hAnsi="Times New Roman"/>
                <w:sz w:val="21"/>
                <w:szCs w:val="21"/>
              </w:rPr>
              <w:t>0.04L</w:t>
            </w:r>
          </w:p>
        </w:tc>
      </w:tr>
    </w:tbl>
    <w:p w14:paraId="67301CA9">
      <w:pPr>
        <w:spacing w:line="240" w:lineRule="auto"/>
        <w:ind w:firstLine="361"/>
        <w:rPr>
          <w:b/>
          <w:sz w:val="18"/>
          <w:szCs w:val="18"/>
          <w:lang w:eastAsia="zh-CN"/>
        </w:rPr>
      </w:pPr>
      <w:r>
        <w:rPr>
          <w:b/>
          <w:sz w:val="18"/>
          <w:szCs w:val="18"/>
          <w:lang w:eastAsia="zh-CN"/>
        </w:rPr>
        <w:t>注：石油类参照《地表水环境质量标准》（GB 3838-2002）I类标准执行</w:t>
      </w:r>
      <w:r>
        <w:rPr>
          <w:rFonts w:hint="eastAsia"/>
          <w:b/>
          <w:sz w:val="18"/>
          <w:szCs w:val="18"/>
          <w:lang w:eastAsia="zh-CN"/>
        </w:rPr>
        <w:t>，</w:t>
      </w:r>
      <w:r>
        <w:rPr>
          <w:b/>
          <w:sz w:val="18"/>
          <w:szCs w:val="18"/>
          <w:lang w:eastAsia="zh-CN"/>
        </w:rPr>
        <w:t>L前为方法检出限。</w:t>
      </w:r>
    </w:p>
    <w:p w14:paraId="3ADB9503">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6.2.2地下水质量现状评价</w:t>
      </w:r>
    </w:p>
    <w:p w14:paraId="3E5BCCF5">
      <w:pPr>
        <w:widowControl/>
        <w:tabs>
          <w:tab w:val="left" w:pos="120"/>
        </w:tabs>
        <w:snapToGrid w:val="0"/>
        <w:ind w:firstLine="480"/>
        <w:jc w:val="left"/>
        <w:rPr>
          <w:rFonts w:asciiTheme="minorEastAsia" w:hAnsiTheme="minorEastAsia" w:eastAsiaTheme="minorEastAsia"/>
          <w:lang w:eastAsia="zh-CN"/>
        </w:rPr>
      </w:pPr>
      <w:r>
        <w:rPr>
          <w:rFonts w:hint="eastAsia" w:asciiTheme="minorEastAsia" w:hAnsiTheme="minorEastAsia" w:eastAsiaTheme="minorEastAsia"/>
          <w:lang w:eastAsia="zh-CN"/>
        </w:rPr>
        <w:t>1、评价方法</w:t>
      </w:r>
    </w:p>
    <w:p w14:paraId="2386AB2C">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地下水环境质量现状评价采用单项污染因子指数进行评价，结合地下水水质标准，对评价区水质优劣进行评述。</w:t>
      </w:r>
    </w:p>
    <w:p w14:paraId="4266BD6B">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水质指数的基本表达式为：</w:t>
      </w:r>
    </w:p>
    <w:p w14:paraId="5817D3EE">
      <w:pPr>
        <w:widowControl/>
        <w:tabs>
          <w:tab w:val="left" w:pos="120"/>
        </w:tabs>
        <w:snapToGrid w:val="0"/>
        <w:ind w:firstLine="1440" w:firstLineChars="600"/>
        <w:jc w:val="left"/>
        <w:outlineLvl w:val="0"/>
        <w:rPr>
          <w:rFonts w:asciiTheme="minorEastAsia" w:hAnsiTheme="minorEastAsia" w:eastAsiaTheme="minorEastAsia"/>
          <w:lang w:eastAsia="zh-CN"/>
        </w:rPr>
      </w:pPr>
      <w:r>
        <w:rPr>
          <w:rFonts w:asciiTheme="minorEastAsia" w:hAnsiTheme="minorEastAsia" w:eastAsiaTheme="minorEastAsia"/>
          <w:lang w:eastAsia="zh-CN"/>
        </w:rPr>
        <w:t>Ii=Ci/Coi</w:t>
      </w:r>
    </w:p>
    <w:p w14:paraId="66C23122">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式中：Ii－第i种污染物的水质污染指数</w:t>
      </w:r>
      <w:r>
        <w:rPr>
          <w:rFonts w:asciiTheme="minorEastAsia" w:hAnsiTheme="minorEastAsia" w:eastAsiaTheme="minorEastAsia"/>
          <w:lang w:eastAsia="zh-CN"/>
        </w:rPr>
        <w:tab/>
      </w:r>
    </w:p>
    <w:p w14:paraId="7F0A4F52">
      <w:pPr>
        <w:widowControl/>
        <w:tabs>
          <w:tab w:val="left" w:pos="120"/>
        </w:tabs>
        <w:snapToGrid w:val="0"/>
        <w:ind w:firstLine="1080" w:firstLineChars="450"/>
        <w:jc w:val="left"/>
        <w:rPr>
          <w:rFonts w:asciiTheme="minorEastAsia" w:hAnsiTheme="minorEastAsia" w:eastAsiaTheme="minorEastAsia"/>
          <w:lang w:eastAsia="zh-CN"/>
        </w:rPr>
      </w:pPr>
      <w:r>
        <w:rPr>
          <w:rFonts w:asciiTheme="minorEastAsia" w:hAnsiTheme="minorEastAsia" w:eastAsiaTheme="minorEastAsia"/>
          <w:lang w:eastAsia="zh-CN"/>
        </w:rPr>
        <w:t>Ci－地面水中第i种污染物的浓度 mg/l；</w:t>
      </w:r>
    </w:p>
    <w:p w14:paraId="6B49B1EE">
      <w:pPr>
        <w:widowControl/>
        <w:tabs>
          <w:tab w:val="left" w:pos="120"/>
        </w:tabs>
        <w:snapToGrid w:val="0"/>
        <w:ind w:firstLine="1080" w:firstLineChars="450"/>
        <w:jc w:val="left"/>
        <w:rPr>
          <w:rFonts w:asciiTheme="minorEastAsia" w:hAnsiTheme="minorEastAsia" w:eastAsiaTheme="minorEastAsia"/>
          <w:lang w:eastAsia="zh-CN"/>
        </w:rPr>
      </w:pPr>
      <w:r>
        <w:rPr>
          <w:rFonts w:asciiTheme="minorEastAsia" w:hAnsiTheme="minorEastAsia" w:eastAsiaTheme="minorEastAsia"/>
          <w:lang w:eastAsia="zh-CN"/>
        </w:rPr>
        <w:t>Coi－第i种污染物的评价标准 mg/l；</w:t>
      </w:r>
    </w:p>
    <w:p w14:paraId="3A70C1B1">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对于PH的水质指数表达为：</w:t>
      </w:r>
    </w:p>
    <w:p w14:paraId="30440AB9">
      <w:pPr>
        <w:widowControl/>
        <w:tabs>
          <w:tab w:val="left" w:pos="120"/>
        </w:tabs>
        <w:snapToGrid w:val="0"/>
        <w:ind w:firstLine="1080" w:firstLineChars="450"/>
        <w:jc w:val="left"/>
        <w:rPr>
          <w:rFonts w:asciiTheme="minorEastAsia" w:hAnsiTheme="minorEastAsia" w:eastAsiaTheme="minorEastAsia"/>
          <w:lang w:eastAsia="zh-CN"/>
        </w:rPr>
      </w:pPr>
      <w:r>
        <w:rPr>
          <w:rFonts w:asciiTheme="minorEastAsia" w:hAnsiTheme="minorEastAsia" w:eastAsiaTheme="minorEastAsia"/>
          <w:lang w:eastAsia="zh-CN"/>
        </w:rPr>
        <w:t xml:space="preserve">当PHj≤7.0时   SPH，j ＝（7.0-PHj）/(7.0-PHsd)   </w:t>
      </w:r>
    </w:p>
    <w:p w14:paraId="7627CAC1">
      <w:pPr>
        <w:widowControl/>
        <w:tabs>
          <w:tab w:val="left" w:pos="120"/>
        </w:tabs>
        <w:snapToGrid w:val="0"/>
        <w:ind w:firstLine="1080" w:firstLineChars="450"/>
        <w:jc w:val="left"/>
        <w:rPr>
          <w:rFonts w:asciiTheme="minorEastAsia" w:hAnsiTheme="minorEastAsia" w:eastAsiaTheme="minorEastAsia"/>
          <w:lang w:eastAsia="zh-CN"/>
        </w:rPr>
      </w:pPr>
      <w:r>
        <w:rPr>
          <w:rFonts w:asciiTheme="minorEastAsia" w:hAnsiTheme="minorEastAsia" w:eastAsiaTheme="minorEastAsia"/>
          <w:lang w:eastAsia="zh-CN"/>
        </w:rPr>
        <w:t xml:space="preserve">当PHj＞7时    SPH,j ＝（PHj-7.0）/(PHsu-7.0)  </w:t>
      </w:r>
    </w:p>
    <w:p w14:paraId="56376490">
      <w:pPr>
        <w:widowControl/>
        <w:tabs>
          <w:tab w:val="left" w:pos="120"/>
        </w:tabs>
        <w:snapToGrid w:val="0"/>
        <w:ind w:firstLine="1080" w:firstLineChars="450"/>
        <w:jc w:val="left"/>
        <w:rPr>
          <w:rFonts w:asciiTheme="minorEastAsia" w:hAnsiTheme="minorEastAsia" w:eastAsiaTheme="minorEastAsia"/>
          <w:lang w:eastAsia="zh-CN"/>
        </w:rPr>
      </w:pPr>
      <w:r>
        <w:rPr>
          <w:rFonts w:asciiTheme="minorEastAsia" w:hAnsiTheme="minorEastAsia" w:eastAsiaTheme="minorEastAsia"/>
          <w:lang w:eastAsia="zh-CN"/>
        </w:rPr>
        <w:t>式中：SPH,j－PH的标准指数</w:t>
      </w:r>
    </w:p>
    <w:p w14:paraId="5C4265A8">
      <w:pPr>
        <w:widowControl/>
        <w:tabs>
          <w:tab w:val="left" w:pos="120"/>
        </w:tabs>
        <w:snapToGrid w:val="0"/>
        <w:ind w:firstLine="1800" w:firstLineChars="750"/>
        <w:jc w:val="left"/>
        <w:rPr>
          <w:rFonts w:asciiTheme="minorEastAsia" w:hAnsiTheme="minorEastAsia" w:eastAsiaTheme="minorEastAsia"/>
          <w:lang w:eastAsia="zh-CN"/>
        </w:rPr>
      </w:pPr>
      <w:r>
        <w:rPr>
          <w:rFonts w:asciiTheme="minorEastAsia" w:hAnsiTheme="minorEastAsia" w:eastAsiaTheme="minorEastAsia"/>
          <w:lang w:eastAsia="zh-CN"/>
        </w:rPr>
        <w:t>PHj－监测点的PH值</w:t>
      </w:r>
    </w:p>
    <w:p w14:paraId="6B6ABDE9">
      <w:pPr>
        <w:widowControl/>
        <w:tabs>
          <w:tab w:val="left" w:pos="120"/>
        </w:tabs>
        <w:snapToGrid w:val="0"/>
        <w:ind w:firstLine="1800" w:firstLineChars="750"/>
        <w:jc w:val="left"/>
        <w:rPr>
          <w:rFonts w:asciiTheme="minorEastAsia" w:hAnsiTheme="minorEastAsia" w:eastAsiaTheme="minorEastAsia"/>
          <w:lang w:eastAsia="zh-CN"/>
        </w:rPr>
      </w:pPr>
      <w:r>
        <w:rPr>
          <w:rFonts w:asciiTheme="minorEastAsia" w:hAnsiTheme="minorEastAsia" w:eastAsiaTheme="minorEastAsia"/>
          <w:lang w:eastAsia="zh-CN"/>
        </w:rPr>
        <w:t>PHsd－地下水水质标准的PH值下限</w:t>
      </w:r>
    </w:p>
    <w:p w14:paraId="05C738B1">
      <w:pPr>
        <w:widowControl/>
        <w:tabs>
          <w:tab w:val="left" w:pos="120"/>
        </w:tabs>
        <w:snapToGrid w:val="0"/>
        <w:ind w:firstLine="1680" w:firstLineChars="700"/>
        <w:jc w:val="left"/>
        <w:rPr>
          <w:rFonts w:asciiTheme="minorEastAsia" w:hAnsiTheme="minorEastAsia" w:eastAsiaTheme="minorEastAsia"/>
          <w:lang w:eastAsia="zh-CN"/>
        </w:rPr>
      </w:pPr>
      <w:r>
        <w:rPr>
          <w:rFonts w:asciiTheme="minorEastAsia" w:hAnsiTheme="minorEastAsia" w:eastAsiaTheme="minorEastAsia"/>
          <w:lang w:eastAsia="zh-CN"/>
        </w:rPr>
        <w:t>PHsu－地下水水质标准的PH值上限</w:t>
      </w:r>
    </w:p>
    <w:p w14:paraId="7A7EAFD1">
      <w:pPr>
        <w:widowControl/>
        <w:tabs>
          <w:tab w:val="left" w:pos="120"/>
        </w:tabs>
        <w:snapToGrid w:val="0"/>
        <w:ind w:firstLine="480"/>
        <w:jc w:val="left"/>
        <w:rPr>
          <w:rFonts w:asciiTheme="minorEastAsia" w:hAnsiTheme="minorEastAsia" w:eastAsiaTheme="minorEastAsia"/>
          <w:lang w:eastAsia="zh-CN"/>
        </w:rPr>
      </w:pPr>
      <w:r>
        <w:rPr>
          <w:rFonts w:hint="eastAsia" w:asciiTheme="minorEastAsia" w:hAnsiTheme="minorEastAsia" w:eastAsiaTheme="minorEastAsia"/>
          <w:lang w:eastAsia="zh-CN"/>
        </w:rPr>
        <w:t>2、评价结果</w:t>
      </w:r>
    </w:p>
    <w:p w14:paraId="3529D11F">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地下水环境现状评价结果见表</w:t>
      </w:r>
      <w:r>
        <w:rPr>
          <w:rFonts w:hint="eastAsia" w:asciiTheme="minorEastAsia" w:hAnsiTheme="minorEastAsia" w:eastAsiaTheme="minorEastAsia"/>
          <w:lang w:eastAsia="zh-CN"/>
        </w:rPr>
        <w:t>6</w:t>
      </w:r>
      <w:r>
        <w:rPr>
          <w:rFonts w:asciiTheme="minorEastAsia" w:hAnsiTheme="minorEastAsia" w:eastAsiaTheme="minorEastAsia"/>
          <w:lang w:eastAsia="zh-CN"/>
        </w:rPr>
        <w:t>.2-</w:t>
      </w:r>
      <w:r>
        <w:rPr>
          <w:rFonts w:hint="eastAsia" w:asciiTheme="minorEastAsia" w:hAnsiTheme="minorEastAsia" w:eastAsiaTheme="minorEastAsia"/>
          <w:lang w:eastAsia="zh-CN"/>
        </w:rPr>
        <w:t>4</w:t>
      </w:r>
      <w:r>
        <w:rPr>
          <w:rFonts w:asciiTheme="minorEastAsia" w:hAnsiTheme="minorEastAsia" w:eastAsiaTheme="minorEastAsia"/>
          <w:lang w:eastAsia="zh-CN"/>
        </w:rPr>
        <w:t>。</w:t>
      </w:r>
    </w:p>
    <w:p w14:paraId="12F7B084">
      <w:pPr>
        <w:widowControl/>
        <w:tabs>
          <w:tab w:val="left" w:pos="120"/>
        </w:tabs>
        <w:snapToGrid w:val="0"/>
        <w:ind w:firstLine="480"/>
        <w:jc w:val="left"/>
        <w:rPr>
          <w:rFonts w:asciiTheme="minorEastAsia" w:hAnsiTheme="minorEastAsia" w:eastAsiaTheme="minorEastAsia"/>
          <w:lang w:eastAsia="zh-CN"/>
        </w:rPr>
      </w:pPr>
    </w:p>
    <w:p w14:paraId="6C25B928">
      <w:pPr>
        <w:widowControl/>
        <w:tabs>
          <w:tab w:val="left" w:pos="120"/>
        </w:tabs>
        <w:snapToGrid w:val="0"/>
        <w:ind w:firstLine="480"/>
        <w:jc w:val="left"/>
        <w:rPr>
          <w:rFonts w:asciiTheme="minorEastAsia" w:hAnsiTheme="minorEastAsia" w:eastAsiaTheme="minorEastAsia"/>
          <w:lang w:eastAsia="zh-CN"/>
        </w:rPr>
      </w:pPr>
    </w:p>
    <w:p w14:paraId="5BD80896">
      <w:pPr>
        <w:widowControl/>
        <w:tabs>
          <w:tab w:val="left" w:pos="120"/>
        </w:tabs>
        <w:snapToGrid w:val="0"/>
        <w:ind w:firstLine="480"/>
        <w:jc w:val="left"/>
        <w:rPr>
          <w:rFonts w:asciiTheme="minorEastAsia" w:hAnsiTheme="minorEastAsia" w:eastAsiaTheme="minorEastAsia"/>
          <w:lang w:eastAsia="zh-CN"/>
        </w:rPr>
      </w:pPr>
    </w:p>
    <w:p w14:paraId="6272A089">
      <w:pPr>
        <w:widowControl/>
        <w:tabs>
          <w:tab w:val="left" w:pos="120"/>
        </w:tabs>
        <w:snapToGrid w:val="0"/>
        <w:ind w:firstLine="480"/>
        <w:jc w:val="left"/>
        <w:rPr>
          <w:rFonts w:asciiTheme="minorEastAsia" w:hAnsiTheme="minorEastAsia" w:eastAsiaTheme="minorEastAsia"/>
          <w:lang w:eastAsia="zh-CN"/>
        </w:rPr>
      </w:pPr>
    </w:p>
    <w:p w14:paraId="5530D7F6">
      <w:pPr>
        <w:widowControl/>
        <w:tabs>
          <w:tab w:val="left" w:pos="120"/>
        </w:tabs>
        <w:snapToGrid w:val="0"/>
        <w:ind w:firstLine="480"/>
        <w:jc w:val="left"/>
        <w:rPr>
          <w:rFonts w:asciiTheme="minorEastAsia" w:hAnsiTheme="minorEastAsia" w:eastAsiaTheme="minorEastAsia"/>
          <w:lang w:eastAsia="zh-CN"/>
        </w:rPr>
      </w:pPr>
    </w:p>
    <w:p w14:paraId="3DDCA7C3">
      <w:pPr>
        <w:widowControl/>
        <w:tabs>
          <w:tab w:val="left" w:pos="120"/>
        </w:tabs>
        <w:snapToGrid w:val="0"/>
        <w:ind w:firstLine="480"/>
        <w:jc w:val="left"/>
        <w:rPr>
          <w:rFonts w:asciiTheme="minorEastAsia" w:hAnsiTheme="minorEastAsia" w:eastAsiaTheme="minorEastAsia"/>
          <w:lang w:eastAsia="zh-CN"/>
        </w:rPr>
      </w:pPr>
    </w:p>
    <w:p w14:paraId="52D20F71">
      <w:pPr>
        <w:widowControl/>
        <w:tabs>
          <w:tab w:val="left" w:pos="120"/>
        </w:tabs>
        <w:snapToGrid w:val="0"/>
        <w:ind w:firstLine="480"/>
        <w:jc w:val="left"/>
        <w:rPr>
          <w:rFonts w:asciiTheme="minorEastAsia" w:hAnsiTheme="minorEastAsia" w:eastAsiaTheme="minorEastAsia"/>
          <w:lang w:eastAsia="zh-CN"/>
        </w:rPr>
      </w:pPr>
    </w:p>
    <w:p w14:paraId="3C228BC4">
      <w:pPr>
        <w:widowControl/>
        <w:tabs>
          <w:tab w:val="left" w:pos="120"/>
        </w:tabs>
        <w:snapToGrid w:val="0"/>
        <w:ind w:firstLine="480"/>
        <w:jc w:val="left"/>
        <w:rPr>
          <w:rFonts w:asciiTheme="minorEastAsia" w:hAnsiTheme="minorEastAsia" w:eastAsiaTheme="minorEastAsia"/>
          <w:lang w:eastAsia="zh-CN"/>
        </w:rPr>
      </w:pPr>
    </w:p>
    <w:p w14:paraId="45A4879C">
      <w:pPr>
        <w:widowControl/>
        <w:tabs>
          <w:tab w:val="left" w:pos="120"/>
        </w:tabs>
        <w:snapToGrid w:val="0"/>
        <w:ind w:firstLine="480"/>
        <w:jc w:val="left"/>
        <w:rPr>
          <w:rFonts w:asciiTheme="minorEastAsia" w:hAnsiTheme="minorEastAsia" w:eastAsiaTheme="minorEastAsia"/>
          <w:lang w:eastAsia="zh-CN"/>
        </w:rPr>
      </w:pPr>
    </w:p>
    <w:p w14:paraId="3D007A82">
      <w:pPr>
        <w:widowControl/>
        <w:tabs>
          <w:tab w:val="left" w:pos="120"/>
        </w:tabs>
        <w:snapToGrid w:val="0"/>
        <w:ind w:firstLine="480"/>
        <w:jc w:val="left"/>
        <w:rPr>
          <w:rFonts w:asciiTheme="minorEastAsia" w:hAnsiTheme="minorEastAsia" w:eastAsiaTheme="minorEastAsia"/>
          <w:lang w:eastAsia="zh-CN"/>
        </w:rPr>
      </w:pPr>
    </w:p>
    <w:p w14:paraId="4711E365">
      <w:pPr>
        <w:widowControl/>
        <w:tabs>
          <w:tab w:val="left" w:pos="120"/>
        </w:tabs>
        <w:snapToGrid w:val="0"/>
        <w:ind w:firstLine="480"/>
        <w:jc w:val="left"/>
        <w:rPr>
          <w:rFonts w:asciiTheme="minorEastAsia" w:hAnsiTheme="minorEastAsia" w:eastAsiaTheme="minorEastAsia"/>
          <w:lang w:eastAsia="zh-CN"/>
        </w:rPr>
      </w:pPr>
    </w:p>
    <w:p w14:paraId="7ED6616D">
      <w:pPr>
        <w:widowControl/>
        <w:tabs>
          <w:tab w:val="left" w:pos="120"/>
        </w:tabs>
        <w:snapToGrid w:val="0"/>
        <w:ind w:firstLine="480"/>
        <w:jc w:val="left"/>
        <w:rPr>
          <w:rFonts w:asciiTheme="minorEastAsia" w:hAnsiTheme="minorEastAsia" w:eastAsiaTheme="minorEastAsia"/>
          <w:lang w:eastAsia="zh-CN"/>
        </w:rPr>
      </w:pPr>
    </w:p>
    <w:p w14:paraId="41078A1B">
      <w:pPr>
        <w:widowControl/>
        <w:tabs>
          <w:tab w:val="left" w:pos="120"/>
        </w:tabs>
        <w:snapToGrid w:val="0"/>
        <w:ind w:firstLine="480"/>
        <w:jc w:val="left"/>
        <w:rPr>
          <w:rFonts w:asciiTheme="minorEastAsia" w:hAnsiTheme="minorEastAsia" w:eastAsiaTheme="minorEastAsia"/>
          <w:lang w:eastAsia="zh-CN"/>
        </w:rPr>
      </w:pPr>
    </w:p>
    <w:p w14:paraId="108D7930">
      <w:pPr>
        <w:widowControl/>
        <w:tabs>
          <w:tab w:val="left" w:pos="120"/>
        </w:tabs>
        <w:snapToGrid w:val="0"/>
        <w:ind w:firstLine="480"/>
        <w:jc w:val="left"/>
        <w:rPr>
          <w:rFonts w:asciiTheme="minorEastAsia" w:hAnsiTheme="minorEastAsia" w:eastAsiaTheme="minorEastAsia"/>
          <w:lang w:eastAsia="zh-CN"/>
        </w:rPr>
      </w:pPr>
    </w:p>
    <w:p w14:paraId="2EA54CFF">
      <w:pPr>
        <w:widowControl/>
        <w:tabs>
          <w:tab w:val="left" w:pos="120"/>
        </w:tabs>
        <w:snapToGrid w:val="0"/>
        <w:ind w:firstLine="480"/>
        <w:jc w:val="left"/>
        <w:rPr>
          <w:rFonts w:asciiTheme="minorEastAsia" w:hAnsiTheme="minorEastAsia" w:eastAsiaTheme="minorEastAsia"/>
          <w:lang w:eastAsia="zh-CN"/>
        </w:rPr>
      </w:pPr>
    </w:p>
    <w:p w14:paraId="4CA74687">
      <w:pPr>
        <w:widowControl/>
        <w:tabs>
          <w:tab w:val="left" w:pos="120"/>
        </w:tabs>
        <w:snapToGrid w:val="0"/>
        <w:ind w:firstLine="480"/>
        <w:jc w:val="left"/>
        <w:rPr>
          <w:rFonts w:asciiTheme="minorEastAsia" w:hAnsiTheme="minorEastAsia" w:eastAsiaTheme="minorEastAsia"/>
          <w:lang w:eastAsia="zh-CN"/>
        </w:rPr>
      </w:pPr>
    </w:p>
    <w:p w14:paraId="0D2AD26E">
      <w:pPr>
        <w:spacing w:beforeLines="25" w:line="480" w:lineRule="exact"/>
        <w:ind w:firstLine="482"/>
        <w:rPr>
          <w:b/>
          <w:lang w:eastAsia="zh-CN"/>
        </w:rPr>
      </w:pPr>
      <w:r>
        <w:rPr>
          <w:b/>
          <w:lang w:eastAsia="zh-CN"/>
        </w:rPr>
        <w:t>表</w:t>
      </w:r>
      <w:r>
        <w:rPr>
          <w:rFonts w:hint="eastAsia"/>
          <w:b/>
          <w:lang w:eastAsia="zh-CN"/>
        </w:rPr>
        <w:t>6</w:t>
      </w:r>
      <w:r>
        <w:rPr>
          <w:b/>
          <w:lang w:eastAsia="zh-CN"/>
        </w:rPr>
        <w:t>.2-</w:t>
      </w:r>
      <w:r>
        <w:rPr>
          <w:rFonts w:hint="eastAsia"/>
          <w:b/>
          <w:lang w:eastAsia="zh-CN"/>
        </w:rPr>
        <w:t xml:space="preserve">4  </w:t>
      </w:r>
      <w:r>
        <w:rPr>
          <w:b/>
          <w:lang w:eastAsia="zh-CN"/>
        </w:rPr>
        <w:t xml:space="preserve"> </w:t>
      </w:r>
      <w:r>
        <w:rPr>
          <w:rFonts w:hint="eastAsia"/>
          <w:b/>
          <w:lang w:eastAsia="zh-CN"/>
        </w:rPr>
        <w:t xml:space="preserve">   </w:t>
      </w:r>
      <w:r>
        <w:rPr>
          <w:b/>
          <w:lang w:eastAsia="zh-CN"/>
        </w:rPr>
        <w:t>地下水环境现状评价结果</w:t>
      </w:r>
    </w:p>
    <w:tbl>
      <w:tblPr>
        <w:tblStyle w:val="76"/>
        <w:tblW w:w="5444" w:type="pct"/>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1091"/>
        <w:gridCol w:w="768"/>
        <w:gridCol w:w="903"/>
        <w:gridCol w:w="907"/>
        <w:gridCol w:w="1091"/>
        <w:gridCol w:w="951"/>
        <w:gridCol w:w="771"/>
        <w:gridCol w:w="964"/>
        <w:gridCol w:w="964"/>
      </w:tblGrid>
      <w:tr w14:paraId="58C8637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tcBorders>
              <w:left w:val="single" w:color="auto" w:sz="12" w:space="0"/>
            </w:tcBorders>
            <w:vAlign w:val="center"/>
          </w:tcPr>
          <w:p w14:paraId="54C4651E">
            <w:pPr>
              <w:pStyle w:val="574"/>
              <w:spacing w:line="240" w:lineRule="auto"/>
              <w:rPr>
                <w:rFonts w:asciiTheme="minorEastAsia" w:hAnsiTheme="minorEastAsia" w:eastAsiaTheme="minorEastAsia"/>
                <w:sz w:val="21"/>
                <w:szCs w:val="21"/>
              </w:rPr>
            </w:pPr>
            <w:r>
              <w:rPr>
                <w:rFonts w:asciiTheme="minorEastAsia" w:hAnsiTheme="minorEastAsia" w:eastAsiaTheme="minorEastAsia"/>
                <w:sz w:val="21"/>
                <w:szCs w:val="21"/>
              </w:rPr>
              <w:t>监测</w:t>
            </w:r>
          </w:p>
          <w:p w14:paraId="207F039F">
            <w:pPr>
              <w:pStyle w:val="574"/>
              <w:spacing w:line="240" w:lineRule="auto"/>
              <w:rPr>
                <w:rFonts w:asciiTheme="minorEastAsia" w:hAnsiTheme="minorEastAsia" w:eastAsiaTheme="minorEastAsia"/>
                <w:sz w:val="21"/>
                <w:szCs w:val="21"/>
              </w:rPr>
            </w:pPr>
            <w:r>
              <w:rPr>
                <w:rFonts w:asciiTheme="minorEastAsia" w:hAnsiTheme="minorEastAsia" w:eastAsiaTheme="minorEastAsia"/>
                <w:sz w:val="21"/>
                <w:szCs w:val="21"/>
              </w:rPr>
              <w:t>项目</w:t>
            </w:r>
          </w:p>
        </w:tc>
        <w:tc>
          <w:tcPr>
            <w:tcW w:w="587" w:type="pct"/>
            <w:vAlign w:val="center"/>
          </w:tcPr>
          <w:p w14:paraId="68A744BA">
            <w:pPr>
              <w:pStyle w:val="574"/>
              <w:spacing w:line="24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标准</w:t>
            </w:r>
          </w:p>
          <w:p w14:paraId="58B3054D">
            <w:pPr>
              <w:pStyle w:val="574"/>
              <w:spacing w:line="24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值</w:t>
            </w:r>
          </w:p>
        </w:tc>
        <w:tc>
          <w:tcPr>
            <w:tcW w:w="414" w:type="pct"/>
            <w:vAlign w:val="center"/>
          </w:tcPr>
          <w:p w14:paraId="4C833017">
            <w:pPr>
              <w:pStyle w:val="574"/>
              <w:spacing w:line="24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点位</w:t>
            </w:r>
          </w:p>
        </w:tc>
        <w:tc>
          <w:tcPr>
            <w:tcW w:w="486" w:type="pct"/>
            <w:vAlign w:val="center"/>
          </w:tcPr>
          <w:p w14:paraId="14B69CCF">
            <w:pPr>
              <w:pStyle w:val="574"/>
              <w:rPr>
                <w:rFonts w:asciiTheme="minorEastAsia" w:hAnsiTheme="minorEastAsia" w:eastAsiaTheme="minorEastAsia"/>
                <w:sz w:val="21"/>
                <w:szCs w:val="21"/>
              </w:rPr>
            </w:pPr>
            <w:r>
              <w:rPr>
                <w:rFonts w:asciiTheme="minorEastAsia" w:hAnsiTheme="minorEastAsia" w:eastAsiaTheme="minorEastAsia"/>
                <w:sz w:val="21"/>
                <w:szCs w:val="21"/>
              </w:rPr>
              <w:t>评价结果（P</w:t>
            </w:r>
            <w:r>
              <w:rPr>
                <w:rFonts w:asciiTheme="minorEastAsia" w:hAnsiTheme="minorEastAsia" w:eastAsiaTheme="minorEastAsia"/>
                <w:sz w:val="21"/>
                <w:szCs w:val="21"/>
                <w:vertAlign w:val="subscript"/>
              </w:rPr>
              <w:t>ij</w:t>
            </w:r>
            <w:r>
              <w:rPr>
                <w:rFonts w:asciiTheme="minorEastAsia" w:hAnsiTheme="minorEastAsia" w:eastAsiaTheme="minorEastAsia"/>
                <w:sz w:val="21"/>
                <w:szCs w:val="21"/>
              </w:rPr>
              <w:t>）</w:t>
            </w:r>
          </w:p>
        </w:tc>
        <w:tc>
          <w:tcPr>
            <w:tcW w:w="488" w:type="pct"/>
            <w:vAlign w:val="center"/>
          </w:tcPr>
          <w:p w14:paraId="3B85A527">
            <w:pPr>
              <w:pStyle w:val="574"/>
              <w:spacing w:line="240" w:lineRule="auto"/>
              <w:rPr>
                <w:rFonts w:asciiTheme="minorEastAsia" w:hAnsiTheme="minorEastAsia" w:eastAsiaTheme="minorEastAsia"/>
                <w:sz w:val="21"/>
                <w:szCs w:val="21"/>
              </w:rPr>
            </w:pPr>
            <w:r>
              <w:rPr>
                <w:rFonts w:asciiTheme="minorEastAsia" w:hAnsiTheme="minorEastAsia" w:eastAsiaTheme="minorEastAsia"/>
                <w:sz w:val="21"/>
                <w:szCs w:val="21"/>
              </w:rPr>
              <w:t>是否</w:t>
            </w:r>
          </w:p>
          <w:p w14:paraId="226836D9">
            <w:pPr>
              <w:pStyle w:val="574"/>
              <w:spacing w:line="240" w:lineRule="auto"/>
              <w:rPr>
                <w:rFonts w:asciiTheme="minorEastAsia" w:hAnsiTheme="minorEastAsia" w:eastAsiaTheme="minorEastAsia"/>
                <w:sz w:val="21"/>
                <w:szCs w:val="21"/>
              </w:rPr>
            </w:pPr>
            <w:r>
              <w:rPr>
                <w:rFonts w:asciiTheme="minorEastAsia" w:hAnsiTheme="minorEastAsia" w:eastAsiaTheme="minorEastAsia"/>
                <w:sz w:val="21"/>
                <w:szCs w:val="21"/>
              </w:rPr>
              <w:t>超标</w:t>
            </w:r>
          </w:p>
        </w:tc>
        <w:tc>
          <w:tcPr>
            <w:tcW w:w="587" w:type="pct"/>
            <w:vAlign w:val="center"/>
          </w:tcPr>
          <w:p w14:paraId="08AF4F58">
            <w:pPr>
              <w:pStyle w:val="574"/>
              <w:spacing w:line="240" w:lineRule="auto"/>
              <w:rPr>
                <w:rFonts w:asciiTheme="minorEastAsia" w:hAnsiTheme="minorEastAsia" w:eastAsiaTheme="minorEastAsia"/>
                <w:sz w:val="21"/>
                <w:szCs w:val="21"/>
              </w:rPr>
            </w:pPr>
            <w:r>
              <w:rPr>
                <w:rFonts w:asciiTheme="minorEastAsia" w:hAnsiTheme="minorEastAsia" w:eastAsiaTheme="minorEastAsia"/>
                <w:sz w:val="21"/>
                <w:szCs w:val="21"/>
              </w:rPr>
              <w:t>监测</w:t>
            </w:r>
          </w:p>
          <w:p w14:paraId="058F2D1E">
            <w:pPr>
              <w:pStyle w:val="574"/>
              <w:spacing w:line="240" w:lineRule="auto"/>
              <w:rPr>
                <w:rFonts w:asciiTheme="minorEastAsia" w:hAnsiTheme="minorEastAsia" w:eastAsiaTheme="minorEastAsia"/>
                <w:sz w:val="21"/>
                <w:szCs w:val="21"/>
              </w:rPr>
            </w:pPr>
            <w:r>
              <w:rPr>
                <w:rFonts w:asciiTheme="minorEastAsia" w:hAnsiTheme="minorEastAsia" w:eastAsiaTheme="minorEastAsia"/>
                <w:sz w:val="21"/>
                <w:szCs w:val="21"/>
              </w:rPr>
              <w:t>项目</w:t>
            </w:r>
          </w:p>
        </w:tc>
        <w:tc>
          <w:tcPr>
            <w:tcW w:w="512" w:type="pct"/>
            <w:vAlign w:val="center"/>
          </w:tcPr>
          <w:p w14:paraId="7AB61B8F">
            <w:pPr>
              <w:pStyle w:val="574"/>
              <w:spacing w:line="24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标准</w:t>
            </w:r>
          </w:p>
          <w:p w14:paraId="1DDCB746">
            <w:pPr>
              <w:pStyle w:val="574"/>
              <w:spacing w:line="24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值</w:t>
            </w:r>
          </w:p>
        </w:tc>
        <w:tc>
          <w:tcPr>
            <w:tcW w:w="415" w:type="pct"/>
            <w:vAlign w:val="center"/>
          </w:tcPr>
          <w:p w14:paraId="2B5BB12F">
            <w:pPr>
              <w:pStyle w:val="574"/>
              <w:spacing w:line="24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点位</w:t>
            </w:r>
          </w:p>
        </w:tc>
        <w:tc>
          <w:tcPr>
            <w:tcW w:w="519" w:type="pct"/>
            <w:vAlign w:val="center"/>
          </w:tcPr>
          <w:p w14:paraId="4A1866CB">
            <w:pPr>
              <w:pStyle w:val="574"/>
              <w:spacing w:line="240" w:lineRule="auto"/>
              <w:rPr>
                <w:rFonts w:asciiTheme="minorEastAsia" w:hAnsiTheme="minorEastAsia" w:eastAsiaTheme="minorEastAsia"/>
                <w:sz w:val="21"/>
                <w:szCs w:val="21"/>
              </w:rPr>
            </w:pPr>
            <w:r>
              <w:rPr>
                <w:rFonts w:asciiTheme="minorEastAsia" w:hAnsiTheme="minorEastAsia" w:eastAsiaTheme="minorEastAsia"/>
                <w:sz w:val="21"/>
                <w:szCs w:val="21"/>
              </w:rPr>
              <w:t>评价结果（P</w:t>
            </w:r>
            <w:r>
              <w:rPr>
                <w:rFonts w:asciiTheme="minorEastAsia" w:hAnsiTheme="minorEastAsia" w:eastAsiaTheme="minorEastAsia"/>
                <w:sz w:val="21"/>
                <w:szCs w:val="21"/>
                <w:vertAlign w:val="subscript"/>
              </w:rPr>
              <w:t>ij</w:t>
            </w:r>
            <w:r>
              <w:rPr>
                <w:rFonts w:asciiTheme="minorEastAsia" w:hAnsiTheme="minorEastAsia" w:eastAsiaTheme="minorEastAsia"/>
                <w:sz w:val="21"/>
                <w:szCs w:val="21"/>
              </w:rPr>
              <w:t>）</w:t>
            </w:r>
          </w:p>
        </w:tc>
        <w:tc>
          <w:tcPr>
            <w:tcW w:w="519" w:type="pct"/>
            <w:tcBorders>
              <w:right w:val="single" w:color="auto" w:sz="12" w:space="0"/>
            </w:tcBorders>
            <w:vAlign w:val="center"/>
          </w:tcPr>
          <w:p w14:paraId="7D459598">
            <w:pPr>
              <w:pStyle w:val="574"/>
              <w:spacing w:line="240" w:lineRule="auto"/>
              <w:rPr>
                <w:rFonts w:asciiTheme="minorEastAsia" w:hAnsiTheme="minorEastAsia" w:eastAsiaTheme="minorEastAsia"/>
                <w:sz w:val="21"/>
                <w:szCs w:val="21"/>
              </w:rPr>
            </w:pPr>
            <w:r>
              <w:rPr>
                <w:rFonts w:asciiTheme="minorEastAsia" w:hAnsiTheme="minorEastAsia" w:eastAsiaTheme="minorEastAsia"/>
                <w:sz w:val="21"/>
                <w:szCs w:val="21"/>
              </w:rPr>
              <w:t>是否</w:t>
            </w:r>
          </w:p>
          <w:p w14:paraId="25EA8058">
            <w:pPr>
              <w:pStyle w:val="574"/>
              <w:spacing w:line="240" w:lineRule="auto"/>
              <w:rPr>
                <w:rFonts w:asciiTheme="minorEastAsia" w:hAnsiTheme="minorEastAsia" w:eastAsiaTheme="minorEastAsia"/>
                <w:sz w:val="21"/>
                <w:szCs w:val="21"/>
              </w:rPr>
            </w:pPr>
            <w:r>
              <w:rPr>
                <w:rFonts w:asciiTheme="minorEastAsia" w:hAnsiTheme="minorEastAsia" w:eastAsiaTheme="minorEastAsia"/>
                <w:sz w:val="21"/>
                <w:szCs w:val="21"/>
              </w:rPr>
              <w:t>超标</w:t>
            </w:r>
          </w:p>
        </w:tc>
      </w:tr>
      <w:tr w14:paraId="0F625ABB">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72" w:type="pct"/>
            <w:vMerge w:val="restart"/>
            <w:tcBorders>
              <w:left w:val="single" w:color="auto" w:sz="12" w:space="0"/>
            </w:tcBorders>
            <w:vAlign w:val="center"/>
          </w:tcPr>
          <w:p w14:paraId="3FB001C8">
            <w:pPr>
              <w:pStyle w:val="574"/>
              <w:spacing w:line="24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PH</w:t>
            </w:r>
          </w:p>
        </w:tc>
        <w:tc>
          <w:tcPr>
            <w:tcW w:w="587" w:type="pct"/>
            <w:vMerge w:val="restart"/>
            <w:vAlign w:val="center"/>
          </w:tcPr>
          <w:p w14:paraId="24B35D3C">
            <w:pPr>
              <w:pStyle w:val="574"/>
              <w:spacing w:line="24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6.5-8.5</w:t>
            </w:r>
          </w:p>
        </w:tc>
        <w:tc>
          <w:tcPr>
            <w:tcW w:w="414" w:type="pct"/>
            <w:vAlign w:val="center"/>
          </w:tcPr>
          <w:p w14:paraId="71793868">
            <w:pPr>
              <w:pStyle w:val="574"/>
              <w:spacing w:line="24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486" w:type="pct"/>
            <w:vAlign w:val="center"/>
          </w:tcPr>
          <w:p w14:paraId="62C84042">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0.22</w:t>
            </w:r>
          </w:p>
        </w:tc>
        <w:tc>
          <w:tcPr>
            <w:tcW w:w="488" w:type="pct"/>
            <w:vAlign w:val="center"/>
          </w:tcPr>
          <w:p w14:paraId="6A71D57F">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c>
          <w:tcPr>
            <w:tcW w:w="587" w:type="pct"/>
            <w:vMerge w:val="restart"/>
            <w:vAlign w:val="center"/>
          </w:tcPr>
          <w:p w14:paraId="2D835171">
            <w:pPr>
              <w:pStyle w:val="574"/>
              <w:spacing w:line="24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镉</w:t>
            </w:r>
          </w:p>
          <w:p w14:paraId="3E7F92CE">
            <w:pPr>
              <w:pStyle w:val="574"/>
              <w:spacing w:line="240" w:lineRule="auto"/>
              <w:rPr>
                <w:rFonts w:asciiTheme="minorEastAsia" w:hAnsiTheme="minorEastAsia" w:eastAsiaTheme="minorEastAsia"/>
                <w:sz w:val="21"/>
                <w:szCs w:val="21"/>
              </w:rPr>
            </w:pPr>
            <w:r>
              <w:rPr>
                <w:rFonts w:hint="eastAsia" w:ascii="Times New Roman" w:hAnsi="Times New Roman"/>
                <w:sz w:val="21"/>
                <w:szCs w:val="21"/>
              </w:rPr>
              <w:t>（</w:t>
            </w:r>
            <w:r>
              <w:rPr>
                <w:rFonts w:ascii="Times New Roman" w:hAnsi="Times New Roman"/>
                <w:sz w:val="21"/>
                <w:szCs w:val="21"/>
              </w:rPr>
              <w:t>mg/L</w:t>
            </w:r>
            <w:r>
              <w:rPr>
                <w:rFonts w:hint="eastAsia" w:ascii="Times New Roman" w:hAnsi="Times New Roman"/>
                <w:sz w:val="21"/>
                <w:szCs w:val="21"/>
              </w:rPr>
              <w:t>）</w:t>
            </w:r>
          </w:p>
        </w:tc>
        <w:tc>
          <w:tcPr>
            <w:tcW w:w="512" w:type="pct"/>
            <w:vMerge w:val="restart"/>
            <w:vAlign w:val="center"/>
          </w:tcPr>
          <w:p w14:paraId="2F374305">
            <w:pPr>
              <w:pStyle w:val="574"/>
              <w:rPr>
                <w:rFonts w:asciiTheme="minorEastAsia" w:hAnsiTheme="minorEastAsia" w:eastAsiaTheme="minorEastAsia"/>
                <w:sz w:val="21"/>
                <w:szCs w:val="21"/>
              </w:rPr>
            </w:pPr>
            <w:r>
              <w:rPr>
                <w:rFonts w:asciiTheme="minorEastAsia" w:hAnsiTheme="minorEastAsia" w:eastAsiaTheme="minorEastAsia"/>
                <w:sz w:val="21"/>
                <w:szCs w:val="21"/>
              </w:rPr>
              <w:t>≤</w:t>
            </w:r>
            <w:r>
              <w:rPr>
                <w:rFonts w:hint="eastAsia" w:asciiTheme="minorEastAsia" w:hAnsiTheme="minorEastAsia" w:eastAsiaTheme="minorEastAsia"/>
                <w:sz w:val="21"/>
                <w:szCs w:val="21"/>
              </w:rPr>
              <w:t>0.01</w:t>
            </w:r>
          </w:p>
        </w:tc>
        <w:tc>
          <w:tcPr>
            <w:tcW w:w="415" w:type="pct"/>
            <w:vAlign w:val="center"/>
          </w:tcPr>
          <w:p w14:paraId="6A98E146">
            <w:pPr>
              <w:pStyle w:val="574"/>
              <w:spacing w:line="24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519" w:type="pct"/>
            <w:vAlign w:val="center"/>
          </w:tcPr>
          <w:p w14:paraId="66A80F28">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0.24</w:t>
            </w:r>
          </w:p>
        </w:tc>
        <w:tc>
          <w:tcPr>
            <w:tcW w:w="519" w:type="pct"/>
            <w:tcBorders>
              <w:right w:val="single" w:color="auto" w:sz="12" w:space="0"/>
            </w:tcBorders>
            <w:vAlign w:val="center"/>
          </w:tcPr>
          <w:p w14:paraId="6ABD5C8A">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r>
      <w:tr w14:paraId="2876E5AB">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472" w:type="pct"/>
            <w:vMerge w:val="continue"/>
            <w:tcBorders>
              <w:left w:val="single" w:color="auto" w:sz="12" w:space="0"/>
            </w:tcBorders>
            <w:vAlign w:val="center"/>
          </w:tcPr>
          <w:p w14:paraId="2A0A3D73">
            <w:pPr>
              <w:pStyle w:val="574"/>
              <w:spacing w:line="240" w:lineRule="auto"/>
              <w:ind w:firstLine="420"/>
              <w:rPr>
                <w:rFonts w:asciiTheme="minorEastAsia" w:hAnsiTheme="minorEastAsia" w:eastAsiaTheme="minorEastAsia"/>
                <w:sz w:val="21"/>
                <w:szCs w:val="21"/>
              </w:rPr>
            </w:pPr>
          </w:p>
        </w:tc>
        <w:tc>
          <w:tcPr>
            <w:tcW w:w="587" w:type="pct"/>
            <w:vMerge w:val="continue"/>
            <w:vAlign w:val="center"/>
          </w:tcPr>
          <w:p w14:paraId="1729A334">
            <w:pPr>
              <w:pStyle w:val="574"/>
              <w:spacing w:line="240" w:lineRule="auto"/>
              <w:ind w:firstLine="420"/>
              <w:rPr>
                <w:rFonts w:asciiTheme="minorEastAsia" w:hAnsiTheme="minorEastAsia" w:eastAsiaTheme="minorEastAsia"/>
                <w:sz w:val="21"/>
                <w:szCs w:val="21"/>
              </w:rPr>
            </w:pPr>
          </w:p>
        </w:tc>
        <w:tc>
          <w:tcPr>
            <w:tcW w:w="414" w:type="pct"/>
            <w:vAlign w:val="center"/>
          </w:tcPr>
          <w:p w14:paraId="1F1F12E7">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486" w:type="pct"/>
            <w:vAlign w:val="center"/>
          </w:tcPr>
          <w:p w14:paraId="4230412F">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0.32</w:t>
            </w:r>
          </w:p>
        </w:tc>
        <w:tc>
          <w:tcPr>
            <w:tcW w:w="488" w:type="pct"/>
            <w:vAlign w:val="center"/>
          </w:tcPr>
          <w:p w14:paraId="6A309EB8">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c>
          <w:tcPr>
            <w:tcW w:w="587" w:type="pct"/>
            <w:vMerge w:val="continue"/>
            <w:vAlign w:val="center"/>
          </w:tcPr>
          <w:p w14:paraId="7FA04A17">
            <w:pPr>
              <w:pStyle w:val="574"/>
              <w:spacing w:line="240" w:lineRule="auto"/>
              <w:ind w:firstLine="420"/>
              <w:rPr>
                <w:rFonts w:asciiTheme="minorEastAsia" w:hAnsiTheme="minorEastAsia" w:eastAsiaTheme="minorEastAsia"/>
                <w:sz w:val="21"/>
                <w:szCs w:val="21"/>
              </w:rPr>
            </w:pPr>
          </w:p>
        </w:tc>
        <w:tc>
          <w:tcPr>
            <w:tcW w:w="512" w:type="pct"/>
            <w:vMerge w:val="continue"/>
            <w:vAlign w:val="center"/>
          </w:tcPr>
          <w:p w14:paraId="466B803B">
            <w:pPr>
              <w:pStyle w:val="574"/>
              <w:rPr>
                <w:rFonts w:asciiTheme="minorEastAsia" w:hAnsiTheme="minorEastAsia" w:eastAsiaTheme="minorEastAsia"/>
                <w:sz w:val="21"/>
                <w:szCs w:val="21"/>
              </w:rPr>
            </w:pPr>
          </w:p>
        </w:tc>
        <w:tc>
          <w:tcPr>
            <w:tcW w:w="415" w:type="pct"/>
            <w:vAlign w:val="center"/>
          </w:tcPr>
          <w:p w14:paraId="0709537D">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519" w:type="pct"/>
            <w:vAlign w:val="center"/>
          </w:tcPr>
          <w:p w14:paraId="542C03F7">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0.25</w:t>
            </w:r>
          </w:p>
        </w:tc>
        <w:tc>
          <w:tcPr>
            <w:tcW w:w="519" w:type="pct"/>
            <w:tcBorders>
              <w:right w:val="single" w:color="auto" w:sz="12" w:space="0"/>
            </w:tcBorders>
            <w:vAlign w:val="center"/>
          </w:tcPr>
          <w:p w14:paraId="3DF80EFE">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r>
      <w:tr w14:paraId="23BFCAD2">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472" w:type="pct"/>
            <w:vMerge w:val="continue"/>
            <w:tcBorders>
              <w:left w:val="single" w:color="auto" w:sz="12" w:space="0"/>
            </w:tcBorders>
            <w:vAlign w:val="center"/>
          </w:tcPr>
          <w:p w14:paraId="55B84B67">
            <w:pPr>
              <w:pStyle w:val="574"/>
              <w:spacing w:line="240" w:lineRule="auto"/>
              <w:ind w:firstLine="420"/>
              <w:rPr>
                <w:rFonts w:asciiTheme="minorEastAsia" w:hAnsiTheme="minorEastAsia" w:eastAsiaTheme="minorEastAsia"/>
                <w:sz w:val="21"/>
                <w:szCs w:val="21"/>
              </w:rPr>
            </w:pPr>
          </w:p>
        </w:tc>
        <w:tc>
          <w:tcPr>
            <w:tcW w:w="587" w:type="pct"/>
            <w:vMerge w:val="continue"/>
            <w:vAlign w:val="center"/>
          </w:tcPr>
          <w:p w14:paraId="29EDC98C">
            <w:pPr>
              <w:pStyle w:val="574"/>
              <w:spacing w:line="240" w:lineRule="auto"/>
              <w:ind w:firstLine="420"/>
              <w:rPr>
                <w:rFonts w:asciiTheme="minorEastAsia" w:hAnsiTheme="minorEastAsia" w:eastAsiaTheme="minorEastAsia"/>
                <w:sz w:val="21"/>
                <w:szCs w:val="21"/>
              </w:rPr>
            </w:pPr>
          </w:p>
        </w:tc>
        <w:tc>
          <w:tcPr>
            <w:tcW w:w="414" w:type="pct"/>
            <w:vAlign w:val="center"/>
          </w:tcPr>
          <w:p w14:paraId="0F06387D">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3#</w:t>
            </w:r>
          </w:p>
        </w:tc>
        <w:tc>
          <w:tcPr>
            <w:tcW w:w="486" w:type="pct"/>
            <w:vAlign w:val="center"/>
          </w:tcPr>
          <w:p w14:paraId="2D01677A">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0.33</w:t>
            </w:r>
          </w:p>
        </w:tc>
        <w:tc>
          <w:tcPr>
            <w:tcW w:w="488" w:type="pct"/>
            <w:vAlign w:val="center"/>
          </w:tcPr>
          <w:p w14:paraId="07948EFD">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c>
          <w:tcPr>
            <w:tcW w:w="587" w:type="pct"/>
            <w:vMerge w:val="continue"/>
            <w:vAlign w:val="center"/>
          </w:tcPr>
          <w:p w14:paraId="009D6B66">
            <w:pPr>
              <w:pStyle w:val="574"/>
              <w:spacing w:line="240" w:lineRule="auto"/>
              <w:ind w:firstLine="420"/>
              <w:rPr>
                <w:rFonts w:asciiTheme="minorEastAsia" w:hAnsiTheme="minorEastAsia" w:eastAsiaTheme="minorEastAsia"/>
                <w:sz w:val="21"/>
                <w:szCs w:val="21"/>
              </w:rPr>
            </w:pPr>
          </w:p>
        </w:tc>
        <w:tc>
          <w:tcPr>
            <w:tcW w:w="512" w:type="pct"/>
            <w:vMerge w:val="continue"/>
            <w:vAlign w:val="center"/>
          </w:tcPr>
          <w:p w14:paraId="215817E7">
            <w:pPr>
              <w:pStyle w:val="574"/>
              <w:rPr>
                <w:rFonts w:asciiTheme="minorEastAsia" w:hAnsiTheme="minorEastAsia" w:eastAsiaTheme="minorEastAsia"/>
                <w:sz w:val="21"/>
                <w:szCs w:val="21"/>
              </w:rPr>
            </w:pPr>
          </w:p>
        </w:tc>
        <w:tc>
          <w:tcPr>
            <w:tcW w:w="415" w:type="pct"/>
            <w:vAlign w:val="center"/>
          </w:tcPr>
          <w:p w14:paraId="39FFD7E3">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3#</w:t>
            </w:r>
          </w:p>
        </w:tc>
        <w:tc>
          <w:tcPr>
            <w:tcW w:w="519" w:type="pct"/>
            <w:vAlign w:val="center"/>
          </w:tcPr>
          <w:p w14:paraId="2E1F6EDC">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0.20</w:t>
            </w:r>
          </w:p>
        </w:tc>
        <w:tc>
          <w:tcPr>
            <w:tcW w:w="519" w:type="pct"/>
            <w:tcBorders>
              <w:right w:val="single" w:color="auto" w:sz="12" w:space="0"/>
            </w:tcBorders>
            <w:vAlign w:val="center"/>
          </w:tcPr>
          <w:p w14:paraId="03DE9B9C">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r>
      <w:tr w14:paraId="48FC96E7">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472" w:type="pct"/>
            <w:vMerge w:val="restart"/>
            <w:tcBorders>
              <w:left w:val="single" w:color="auto" w:sz="12" w:space="0"/>
            </w:tcBorders>
            <w:vAlign w:val="center"/>
          </w:tcPr>
          <w:p w14:paraId="7DBEE078">
            <w:pPr>
              <w:pStyle w:val="574"/>
              <w:spacing w:line="24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高锰酸</w:t>
            </w:r>
          </w:p>
          <w:p w14:paraId="7941EC3F">
            <w:pPr>
              <w:pStyle w:val="574"/>
              <w:spacing w:line="24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盐指数</w:t>
            </w:r>
          </w:p>
        </w:tc>
        <w:tc>
          <w:tcPr>
            <w:tcW w:w="587" w:type="pct"/>
            <w:vMerge w:val="restart"/>
            <w:vAlign w:val="center"/>
          </w:tcPr>
          <w:p w14:paraId="017F2BD3">
            <w:pPr>
              <w:pStyle w:val="574"/>
              <w:spacing w:line="240" w:lineRule="auto"/>
              <w:rPr>
                <w:rFonts w:asciiTheme="minorEastAsia" w:hAnsiTheme="minorEastAsia" w:eastAsiaTheme="minorEastAsia"/>
                <w:sz w:val="21"/>
                <w:szCs w:val="21"/>
              </w:rPr>
            </w:pPr>
            <w:r>
              <w:rPr>
                <w:rFonts w:asciiTheme="minorEastAsia" w:hAnsiTheme="minorEastAsia" w:eastAsiaTheme="minorEastAsia"/>
                <w:sz w:val="21"/>
                <w:szCs w:val="21"/>
              </w:rPr>
              <w:t>≤</w:t>
            </w:r>
            <w:r>
              <w:rPr>
                <w:rFonts w:hint="eastAsia" w:asciiTheme="minorEastAsia" w:hAnsiTheme="minorEastAsia" w:eastAsiaTheme="minorEastAsia"/>
                <w:sz w:val="21"/>
                <w:szCs w:val="21"/>
              </w:rPr>
              <w:t>3.0</w:t>
            </w:r>
          </w:p>
          <w:p w14:paraId="43959D61">
            <w:pPr>
              <w:pStyle w:val="574"/>
              <w:spacing w:line="240" w:lineRule="auto"/>
              <w:rPr>
                <w:rFonts w:asciiTheme="minorEastAsia" w:hAnsiTheme="minorEastAsia" w:eastAsiaTheme="minorEastAsia"/>
                <w:sz w:val="21"/>
                <w:szCs w:val="21"/>
              </w:rPr>
            </w:pPr>
            <w:r>
              <w:rPr>
                <w:rFonts w:hint="eastAsia" w:ascii="Times New Roman" w:hAnsi="Times New Roman"/>
                <w:sz w:val="21"/>
                <w:szCs w:val="21"/>
              </w:rPr>
              <w:t>（</w:t>
            </w:r>
            <w:r>
              <w:rPr>
                <w:rFonts w:ascii="Times New Roman" w:hAnsi="Times New Roman"/>
                <w:sz w:val="21"/>
                <w:szCs w:val="21"/>
              </w:rPr>
              <w:t>mg/L</w:t>
            </w:r>
            <w:r>
              <w:rPr>
                <w:rFonts w:hint="eastAsia" w:ascii="Times New Roman" w:hAnsi="Times New Roman"/>
                <w:sz w:val="21"/>
                <w:szCs w:val="21"/>
              </w:rPr>
              <w:t>）</w:t>
            </w:r>
          </w:p>
        </w:tc>
        <w:tc>
          <w:tcPr>
            <w:tcW w:w="414" w:type="pct"/>
            <w:vAlign w:val="center"/>
          </w:tcPr>
          <w:p w14:paraId="3AA65D3E">
            <w:pPr>
              <w:pStyle w:val="574"/>
              <w:spacing w:line="24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486" w:type="pct"/>
            <w:vAlign w:val="center"/>
          </w:tcPr>
          <w:p w14:paraId="4542957A">
            <w:pPr>
              <w:pStyle w:val="574"/>
              <w:spacing w:line="24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0.57</w:t>
            </w:r>
          </w:p>
        </w:tc>
        <w:tc>
          <w:tcPr>
            <w:tcW w:w="488" w:type="pct"/>
            <w:vAlign w:val="center"/>
          </w:tcPr>
          <w:p w14:paraId="742874B5">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c>
          <w:tcPr>
            <w:tcW w:w="587" w:type="pct"/>
            <w:vMerge w:val="restart"/>
            <w:vAlign w:val="center"/>
          </w:tcPr>
          <w:p w14:paraId="22E6A06A">
            <w:pPr>
              <w:pStyle w:val="574"/>
              <w:spacing w:line="24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锰</w:t>
            </w:r>
          </w:p>
          <w:p w14:paraId="5E3F3346">
            <w:pPr>
              <w:pStyle w:val="574"/>
              <w:spacing w:line="240" w:lineRule="auto"/>
              <w:rPr>
                <w:rFonts w:asciiTheme="minorEastAsia" w:hAnsiTheme="minorEastAsia" w:eastAsiaTheme="minorEastAsia"/>
                <w:sz w:val="21"/>
                <w:szCs w:val="21"/>
              </w:rPr>
            </w:pPr>
            <w:r>
              <w:rPr>
                <w:rFonts w:hint="eastAsia" w:ascii="Times New Roman" w:hAnsi="Times New Roman"/>
                <w:sz w:val="21"/>
                <w:szCs w:val="21"/>
              </w:rPr>
              <w:t>（</w:t>
            </w:r>
            <w:r>
              <w:rPr>
                <w:rFonts w:ascii="Times New Roman" w:hAnsi="Times New Roman"/>
                <w:sz w:val="21"/>
                <w:szCs w:val="21"/>
              </w:rPr>
              <w:t>mg/L</w:t>
            </w:r>
            <w:r>
              <w:rPr>
                <w:rFonts w:hint="eastAsia" w:ascii="Times New Roman" w:hAnsi="Times New Roman"/>
                <w:sz w:val="21"/>
                <w:szCs w:val="21"/>
              </w:rPr>
              <w:t>）</w:t>
            </w:r>
          </w:p>
        </w:tc>
        <w:tc>
          <w:tcPr>
            <w:tcW w:w="512" w:type="pct"/>
            <w:vMerge w:val="restart"/>
            <w:vAlign w:val="center"/>
          </w:tcPr>
          <w:p w14:paraId="30CFA4C0">
            <w:pPr>
              <w:pStyle w:val="574"/>
              <w:rPr>
                <w:rFonts w:asciiTheme="minorEastAsia" w:hAnsiTheme="minorEastAsia" w:eastAsiaTheme="minorEastAsia"/>
                <w:sz w:val="21"/>
                <w:szCs w:val="21"/>
              </w:rPr>
            </w:pPr>
            <w:r>
              <w:rPr>
                <w:rFonts w:asciiTheme="minorEastAsia" w:hAnsiTheme="minorEastAsia" w:eastAsiaTheme="minorEastAsia"/>
                <w:sz w:val="21"/>
                <w:szCs w:val="21"/>
              </w:rPr>
              <w:t>≤</w:t>
            </w:r>
            <w:r>
              <w:rPr>
                <w:rFonts w:hint="eastAsia" w:asciiTheme="minorEastAsia" w:hAnsiTheme="minorEastAsia" w:eastAsiaTheme="minorEastAsia"/>
                <w:sz w:val="21"/>
                <w:szCs w:val="21"/>
              </w:rPr>
              <w:t>0.1</w:t>
            </w:r>
          </w:p>
        </w:tc>
        <w:tc>
          <w:tcPr>
            <w:tcW w:w="415" w:type="pct"/>
            <w:vAlign w:val="center"/>
          </w:tcPr>
          <w:p w14:paraId="069AFD93">
            <w:pPr>
              <w:pStyle w:val="574"/>
              <w:spacing w:line="24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519" w:type="pct"/>
            <w:vAlign w:val="center"/>
          </w:tcPr>
          <w:p w14:paraId="000CB714">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0.05</w:t>
            </w:r>
          </w:p>
        </w:tc>
        <w:tc>
          <w:tcPr>
            <w:tcW w:w="519" w:type="pct"/>
            <w:tcBorders>
              <w:right w:val="single" w:color="auto" w:sz="12" w:space="0"/>
            </w:tcBorders>
            <w:vAlign w:val="center"/>
          </w:tcPr>
          <w:p w14:paraId="6D59019E">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r>
      <w:tr w14:paraId="198856D7">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72" w:type="pct"/>
            <w:vMerge w:val="continue"/>
            <w:tcBorders>
              <w:left w:val="single" w:color="auto" w:sz="12" w:space="0"/>
            </w:tcBorders>
            <w:vAlign w:val="center"/>
          </w:tcPr>
          <w:p w14:paraId="2E69BCE7">
            <w:pPr>
              <w:pStyle w:val="574"/>
              <w:spacing w:line="240" w:lineRule="auto"/>
              <w:ind w:firstLine="420"/>
              <w:rPr>
                <w:rFonts w:asciiTheme="minorEastAsia" w:hAnsiTheme="minorEastAsia" w:eastAsiaTheme="minorEastAsia"/>
                <w:sz w:val="21"/>
                <w:szCs w:val="21"/>
              </w:rPr>
            </w:pPr>
          </w:p>
        </w:tc>
        <w:tc>
          <w:tcPr>
            <w:tcW w:w="587" w:type="pct"/>
            <w:vMerge w:val="continue"/>
            <w:vAlign w:val="center"/>
          </w:tcPr>
          <w:p w14:paraId="29E84A44">
            <w:pPr>
              <w:pStyle w:val="574"/>
              <w:spacing w:line="240" w:lineRule="auto"/>
              <w:ind w:firstLine="420"/>
              <w:rPr>
                <w:rFonts w:asciiTheme="minorEastAsia" w:hAnsiTheme="minorEastAsia" w:eastAsiaTheme="minorEastAsia"/>
                <w:sz w:val="21"/>
                <w:szCs w:val="21"/>
              </w:rPr>
            </w:pPr>
          </w:p>
        </w:tc>
        <w:tc>
          <w:tcPr>
            <w:tcW w:w="414" w:type="pct"/>
            <w:vAlign w:val="center"/>
          </w:tcPr>
          <w:p w14:paraId="38BAFFF0">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486" w:type="pct"/>
            <w:vAlign w:val="center"/>
          </w:tcPr>
          <w:p w14:paraId="3631D404">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0.67</w:t>
            </w:r>
          </w:p>
        </w:tc>
        <w:tc>
          <w:tcPr>
            <w:tcW w:w="488" w:type="pct"/>
            <w:vAlign w:val="center"/>
          </w:tcPr>
          <w:p w14:paraId="710AB9B7">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c>
          <w:tcPr>
            <w:tcW w:w="587" w:type="pct"/>
            <w:vMerge w:val="continue"/>
            <w:vAlign w:val="center"/>
          </w:tcPr>
          <w:p w14:paraId="65401587">
            <w:pPr>
              <w:pStyle w:val="574"/>
              <w:spacing w:line="240" w:lineRule="auto"/>
              <w:ind w:firstLine="420"/>
              <w:rPr>
                <w:rFonts w:asciiTheme="minorEastAsia" w:hAnsiTheme="minorEastAsia" w:eastAsiaTheme="minorEastAsia"/>
                <w:sz w:val="21"/>
                <w:szCs w:val="21"/>
              </w:rPr>
            </w:pPr>
          </w:p>
        </w:tc>
        <w:tc>
          <w:tcPr>
            <w:tcW w:w="512" w:type="pct"/>
            <w:vMerge w:val="continue"/>
            <w:vAlign w:val="center"/>
          </w:tcPr>
          <w:p w14:paraId="5ACC7BD5">
            <w:pPr>
              <w:pStyle w:val="574"/>
              <w:rPr>
                <w:rFonts w:asciiTheme="minorEastAsia" w:hAnsiTheme="minorEastAsia" w:eastAsiaTheme="minorEastAsia"/>
                <w:sz w:val="21"/>
                <w:szCs w:val="21"/>
              </w:rPr>
            </w:pPr>
          </w:p>
        </w:tc>
        <w:tc>
          <w:tcPr>
            <w:tcW w:w="415" w:type="pct"/>
            <w:vAlign w:val="center"/>
          </w:tcPr>
          <w:p w14:paraId="6878E034">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519" w:type="pct"/>
            <w:vAlign w:val="center"/>
          </w:tcPr>
          <w:p w14:paraId="579997E1">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0.05</w:t>
            </w:r>
          </w:p>
        </w:tc>
        <w:tc>
          <w:tcPr>
            <w:tcW w:w="519" w:type="pct"/>
            <w:tcBorders>
              <w:right w:val="single" w:color="auto" w:sz="12" w:space="0"/>
            </w:tcBorders>
            <w:vAlign w:val="center"/>
          </w:tcPr>
          <w:p w14:paraId="02411815">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r>
      <w:tr w14:paraId="7D1D075F">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72" w:type="pct"/>
            <w:vMerge w:val="continue"/>
            <w:tcBorders>
              <w:left w:val="single" w:color="auto" w:sz="12" w:space="0"/>
            </w:tcBorders>
            <w:vAlign w:val="center"/>
          </w:tcPr>
          <w:p w14:paraId="7AAF8DCC">
            <w:pPr>
              <w:pStyle w:val="574"/>
              <w:spacing w:line="240" w:lineRule="auto"/>
              <w:ind w:firstLine="420"/>
              <w:rPr>
                <w:rFonts w:asciiTheme="minorEastAsia" w:hAnsiTheme="minorEastAsia" w:eastAsiaTheme="minorEastAsia"/>
                <w:sz w:val="21"/>
                <w:szCs w:val="21"/>
              </w:rPr>
            </w:pPr>
          </w:p>
        </w:tc>
        <w:tc>
          <w:tcPr>
            <w:tcW w:w="587" w:type="pct"/>
            <w:vMerge w:val="continue"/>
            <w:vAlign w:val="center"/>
          </w:tcPr>
          <w:p w14:paraId="0748A2A9">
            <w:pPr>
              <w:pStyle w:val="574"/>
              <w:spacing w:line="240" w:lineRule="auto"/>
              <w:ind w:firstLine="420"/>
              <w:rPr>
                <w:rFonts w:asciiTheme="minorEastAsia" w:hAnsiTheme="minorEastAsia" w:eastAsiaTheme="minorEastAsia"/>
                <w:sz w:val="21"/>
                <w:szCs w:val="21"/>
              </w:rPr>
            </w:pPr>
          </w:p>
        </w:tc>
        <w:tc>
          <w:tcPr>
            <w:tcW w:w="414" w:type="pct"/>
            <w:vAlign w:val="center"/>
          </w:tcPr>
          <w:p w14:paraId="02965F59">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3#</w:t>
            </w:r>
          </w:p>
        </w:tc>
        <w:tc>
          <w:tcPr>
            <w:tcW w:w="486" w:type="pct"/>
            <w:vAlign w:val="center"/>
          </w:tcPr>
          <w:p w14:paraId="029DC75D">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0.61</w:t>
            </w:r>
          </w:p>
        </w:tc>
        <w:tc>
          <w:tcPr>
            <w:tcW w:w="488" w:type="pct"/>
            <w:vAlign w:val="center"/>
          </w:tcPr>
          <w:p w14:paraId="79E1AA6C">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c>
          <w:tcPr>
            <w:tcW w:w="587" w:type="pct"/>
            <w:vMerge w:val="continue"/>
            <w:vAlign w:val="center"/>
          </w:tcPr>
          <w:p w14:paraId="16C02183">
            <w:pPr>
              <w:pStyle w:val="574"/>
              <w:spacing w:line="240" w:lineRule="auto"/>
              <w:ind w:firstLine="420"/>
              <w:rPr>
                <w:rFonts w:asciiTheme="minorEastAsia" w:hAnsiTheme="minorEastAsia" w:eastAsiaTheme="minorEastAsia"/>
                <w:sz w:val="21"/>
                <w:szCs w:val="21"/>
              </w:rPr>
            </w:pPr>
          </w:p>
        </w:tc>
        <w:tc>
          <w:tcPr>
            <w:tcW w:w="512" w:type="pct"/>
            <w:vMerge w:val="continue"/>
            <w:vAlign w:val="center"/>
          </w:tcPr>
          <w:p w14:paraId="4C8AF483">
            <w:pPr>
              <w:pStyle w:val="574"/>
              <w:ind w:firstLine="420"/>
              <w:rPr>
                <w:rFonts w:asciiTheme="minorEastAsia" w:hAnsiTheme="minorEastAsia" w:eastAsiaTheme="minorEastAsia"/>
                <w:sz w:val="21"/>
                <w:szCs w:val="21"/>
              </w:rPr>
            </w:pPr>
          </w:p>
        </w:tc>
        <w:tc>
          <w:tcPr>
            <w:tcW w:w="415" w:type="pct"/>
            <w:vAlign w:val="center"/>
          </w:tcPr>
          <w:p w14:paraId="16A571F7">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3#</w:t>
            </w:r>
          </w:p>
        </w:tc>
        <w:tc>
          <w:tcPr>
            <w:tcW w:w="519" w:type="pct"/>
            <w:vAlign w:val="center"/>
          </w:tcPr>
          <w:p w14:paraId="4AE69D6B">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0.05</w:t>
            </w:r>
          </w:p>
        </w:tc>
        <w:tc>
          <w:tcPr>
            <w:tcW w:w="519" w:type="pct"/>
            <w:tcBorders>
              <w:right w:val="single" w:color="auto" w:sz="12" w:space="0"/>
            </w:tcBorders>
            <w:vAlign w:val="center"/>
          </w:tcPr>
          <w:p w14:paraId="4BEBA33B">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r>
      <w:tr w14:paraId="63C2F1EC">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72" w:type="pct"/>
            <w:vMerge w:val="restart"/>
            <w:tcBorders>
              <w:left w:val="single" w:color="auto" w:sz="12" w:space="0"/>
            </w:tcBorders>
            <w:vAlign w:val="center"/>
          </w:tcPr>
          <w:p w14:paraId="242F938C">
            <w:pPr>
              <w:pStyle w:val="574"/>
              <w:spacing w:line="24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总硬度</w:t>
            </w:r>
          </w:p>
        </w:tc>
        <w:tc>
          <w:tcPr>
            <w:tcW w:w="587" w:type="pct"/>
            <w:vMerge w:val="restart"/>
            <w:vAlign w:val="center"/>
          </w:tcPr>
          <w:p w14:paraId="00DBEBE0">
            <w:pPr>
              <w:pStyle w:val="574"/>
              <w:spacing w:line="240" w:lineRule="auto"/>
              <w:rPr>
                <w:rFonts w:asciiTheme="minorEastAsia" w:hAnsiTheme="minorEastAsia" w:eastAsiaTheme="minorEastAsia"/>
                <w:sz w:val="21"/>
                <w:szCs w:val="21"/>
              </w:rPr>
            </w:pPr>
            <w:r>
              <w:rPr>
                <w:rFonts w:asciiTheme="minorEastAsia" w:hAnsiTheme="minorEastAsia" w:eastAsiaTheme="minorEastAsia"/>
                <w:sz w:val="21"/>
                <w:szCs w:val="21"/>
              </w:rPr>
              <w:t>≤</w:t>
            </w:r>
            <w:r>
              <w:rPr>
                <w:rFonts w:hint="eastAsia" w:asciiTheme="minorEastAsia" w:hAnsiTheme="minorEastAsia" w:eastAsiaTheme="minorEastAsia"/>
                <w:sz w:val="21"/>
                <w:szCs w:val="21"/>
              </w:rPr>
              <w:t>450</w:t>
            </w:r>
          </w:p>
          <w:p w14:paraId="51E10404">
            <w:pPr>
              <w:pStyle w:val="574"/>
              <w:spacing w:line="240" w:lineRule="auto"/>
              <w:rPr>
                <w:rFonts w:asciiTheme="minorEastAsia" w:hAnsiTheme="minorEastAsia" w:eastAsiaTheme="minorEastAsia"/>
                <w:sz w:val="21"/>
                <w:szCs w:val="21"/>
              </w:rPr>
            </w:pPr>
            <w:r>
              <w:rPr>
                <w:rFonts w:hint="eastAsia" w:ascii="Times New Roman" w:hAnsi="Times New Roman"/>
                <w:sz w:val="21"/>
                <w:szCs w:val="21"/>
              </w:rPr>
              <w:t>（</w:t>
            </w:r>
            <w:r>
              <w:rPr>
                <w:rFonts w:ascii="Times New Roman" w:hAnsi="Times New Roman"/>
                <w:sz w:val="21"/>
                <w:szCs w:val="21"/>
              </w:rPr>
              <w:t>mg/L</w:t>
            </w:r>
            <w:r>
              <w:rPr>
                <w:rFonts w:hint="eastAsia" w:ascii="Times New Roman" w:hAnsi="Times New Roman"/>
                <w:sz w:val="21"/>
                <w:szCs w:val="21"/>
              </w:rPr>
              <w:t>）</w:t>
            </w:r>
          </w:p>
        </w:tc>
        <w:tc>
          <w:tcPr>
            <w:tcW w:w="414" w:type="pct"/>
            <w:vAlign w:val="center"/>
          </w:tcPr>
          <w:p w14:paraId="276A9D1A">
            <w:pPr>
              <w:pStyle w:val="574"/>
              <w:spacing w:line="24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486" w:type="pct"/>
            <w:vAlign w:val="center"/>
          </w:tcPr>
          <w:p w14:paraId="70832428">
            <w:pPr>
              <w:pStyle w:val="574"/>
              <w:spacing w:line="24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0.54</w:t>
            </w:r>
          </w:p>
        </w:tc>
        <w:tc>
          <w:tcPr>
            <w:tcW w:w="488" w:type="pct"/>
            <w:vAlign w:val="center"/>
          </w:tcPr>
          <w:p w14:paraId="2D64550E">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c>
          <w:tcPr>
            <w:tcW w:w="587" w:type="pct"/>
            <w:vMerge w:val="restart"/>
            <w:vAlign w:val="center"/>
          </w:tcPr>
          <w:p w14:paraId="37DDAF3B">
            <w:pPr>
              <w:pStyle w:val="574"/>
              <w:spacing w:line="24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铁</w:t>
            </w:r>
          </w:p>
          <w:p w14:paraId="684D8430">
            <w:pPr>
              <w:pStyle w:val="574"/>
              <w:spacing w:line="240" w:lineRule="auto"/>
              <w:rPr>
                <w:rFonts w:asciiTheme="minorEastAsia" w:hAnsiTheme="minorEastAsia" w:eastAsiaTheme="minorEastAsia"/>
                <w:sz w:val="21"/>
                <w:szCs w:val="21"/>
              </w:rPr>
            </w:pPr>
            <w:r>
              <w:rPr>
                <w:rFonts w:hint="eastAsia" w:ascii="Times New Roman" w:hAnsi="Times New Roman"/>
                <w:sz w:val="21"/>
                <w:szCs w:val="21"/>
              </w:rPr>
              <w:t>（</w:t>
            </w:r>
            <w:r>
              <w:rPr>
                <w:rFonts w:ascii="Times New Roman" w:hAnsi="Times New Roman"/>
                <w:sz w:val="21"/>
                <w:szCs w:val="21"/>
              </w:rPr>
              <w:t>mg/L</w:t>
            </w:r>
            <w:r>
              <w:rPr>
                <w:rFonts w:hint="eastAsia" w:ascii="Times New Roman" w:hAnsi="Times New Roman"/>
                <w:sz w:val="21"/>
                <w:szCs w:val="21"/>
              </w:rPr>
              <w:t>）</w:t>
            </w:r>
          </w:p>
        </w:tc>
        <w:tc>
          <w:tcPr>
            <w:tcW w:w="512" w:type="pct"/>
            <w:vMerge w:val="restart"/>
            <w:vAlign w:val="center"/>
          </w:tcPr>
          <w:p w14:paraId="6B32F8B1">
            <w:pPr>
              <w:pStyle w:val="574"/>
              <w:rPr>
                <w:rFonts w:asciiTheme="minorEastAsia" w:hAnsiTheme="minorEastAsia" w:eastAsiaTheme="minorEastAsia"/>
                <w:sz w:val="21"/>
                <w:szCs w:val="21"/>
              </w:rPr>
            </w:pPr>
            <w:r>
              <w:rPr>
                <w:rFonts w:asciiTheme="minorEastAsia" w:hAnsiTheme="minorEastAsia" w:eastAsiaTheme="minorEastAsia"/>
                <w:sz w:val="21"/>
                <w:szCs w:val="21"/>
              </w:rPr>
              <w:t>≤</w:t>
            </w:r>
            <w:r>
              <w:rPr>
                <w:rFonts w:hint="eastAsia" w:asciiTheme="minorEastAsia" w:hAnsiTheme="minorEastAsia" w:eastAsiaTheme="minorEastAsia"/>
                <w:sz w:val="21"/>
                <w:szCs w:val="21"/>
              </w:rPr>
              <w:t>0.3</w:t>
            </w:r>
          </w:p>
        </w:tc>
        <w:tc>
          <w:tcPr>
            <w:tcW w:w="415" w:type="pct"/>
            <w:vAlign w:val="center"/>
          </w:tcPr>
          <w:p w14:paraId="56AE66D6">
            <w:pPr>
              <w:pStyle w:val="574"/>
              <w:spacing w:line="24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519" w:type="pct"/>
            <w:vAlign w:val="center"/>
          </w:tcPr>
          <w:p w14:paraId="47875F87">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0.05</w:t>
            </w:r>
          </w:p>
        </w:tc>
        <w:tc>
          <w:tcPr>
            <w:tcW w:w="519" w:type="pct"/>
            <w:tcBorders>
              <w:right w:val="single" w:color="auto" w:sz="12" w:space="0"/>
            </w:tcBorders>
            <w:vAlign w:val="center"/>
          </w:tcPr>
          <w:p w14:paraId="65C98224">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r>
      <w:tr w14:paraId="462F3225">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472" w:type="pct"/>
            <w:vMerge w:val="continue"/>
            <w:tcBorders>
              <w:left w:val="single" w:color="auto" w:sz="12" w:space="0"/>
            </w:tcBorders>
            <w:vAlign w:val="center"/>
          </w:tcPr>
          <w:p w14:paraId="27FE21B5">
            <w:pPr>
              <w:pStyle w:val="574"/>
              <w:spacing w:line="240" w:lineRule="auto"/>
              <w:ind w:firstLine="420"/>
              <w:rPr>
                <w:rFonts w:asciiTheme="minorEastAsia" w:hAnsiTheme="minorEastAsia" w:eastAsiaTheme="minorEastAsia"/>
                <w:sz w:val="21"/>
                <w:szCs w:val="21"/>
              </w:rPr>
            </w:pPr>
          </w:p>
        </w:tc>
        <w:tc>
          <w:tcPr>
            <w:tcW w:w="587" w:type="pct"/>
            <w:vMerge w:val="continue"/>
            <w:vAlign w:val="center"/>
          </w:tcPr>
          <w:p w14:paraId="00015FDE">
            <w:pPr>
              <w:pStyle w:val="574"/>
              <w:spacing w:line="240" w:lineRule="auto"/>
              <w:ind w:firstLine="420"/>
              <w:rPr>
                <w:rFonts w:asciiTheme="minorEastAsia" w:hAnsiTheme="minorEastAsia" w:eastAsiaTheme="minorEastAsia"/>
                <w:sz w:val="21"/>
                <w:szCs w:val="21"/>
              </w:rPr>
            </w:pPr>
          </w:p>
        </w:tc>
        <w:tc>
          <w:tcPr>
            <w:tcW w:w="414" w:type="pct"/>
            <w:vAlign w:val="center"/>
          </w:tcPr>
          <w:p w14:paraId="7D189C20">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486" w:type="pct"/>
            <w:vAlign w:val="center"/>
          </w:tcPr>
          <w:p w14:paraId="1F2D6501">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0.51</w:t>
            </w:r>
          </w:p>
        </w:tc>
        <w:tc>
          <w:tcPr>
            <w:tcW w:w="488" w:type="pct"/>
            <w:vAlign w:val="center"/>
          </w:tcPr>
          <w:p w14:paraId="79D2B6D1">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c>
          <w:tcPr>
            <w:tcW w:w="587" w:type="pct"/>
            <w:vMerge w:val="continue"/>
            <w:vAlign w:val="center"/>
          </w:tcPr>
          <w:p w14:paraId="554957E0">
            <w:pPr>
              <w:pStyle w:val="574"/>
              <w:spacing w:line="240" w:lineRule="auto"/>
              <w:ind w:firstLine="420"/>
              <w:rPr>
                <w:rFonts w:asciiTheme="minorEastAsia" w:hAnsiTheme="minorEastAsia" w:eastAsiaTheme="minorEastAsia"/>
                <w:sz w:val="21"/>
                <w:szCs w:val="21"/>
              </w:rPr>
            </w:pPr>
          </w:p>
        </w:tc>
        <w:tc>
          <w:tcPr>
            <w:tcW w:w="512" w:type="pct"/>
            <w:vMerge w:val="continue"/>
            <w:vAlign w:val="center"/>
          </w:tcPr>
          <w:p w14:paraId="5027107B">
            <w:pPr>
              <w:pStyle w:val="574"/>
              <w:rPr>
                <w:rFonts w:asciiTheme="minorEastAsia" w:hAnsiTheme="minorEastAsia" w:eastAsiaTheme="minorEastAsia"/>
                <w:sz w:val="21"/>
                <w:szCs w:val="21"/>
              </w:rPr>
            </w:pPr>
          </w:p>
        </w:tc>
        <w:tc>
          <w:tcPr>
            <w:tcW w:w="415" w:type="pct"/>
            <w:vAlign w:val="center"/>
          </w:tcPr>
          <w:p w14:paraId="25DF93D0">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519" w:type="pct"/>
            <w:vAlign w:val="center"/>
          </w:tcPr>
          <w:p w14:paraId="1B304F1F">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0.05</w:t>
            </w:r>
          </w:p>
        </w:tc>
        <w:tc>
          <w:tcPr>
            <w:tcW w:w="519" w:type="pct"/>
            <w:tcBorders>
              <w:right w:val="single" w:color="auto" w:sz="12" w:space="0"/>
            </w:tcBorders>
            <w:vAlign w:val="center"/>
          </w:tcPr>
          <w:p w14:paraId="02027CE5">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r>
      <w:tr w14:paraId="7967240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472" w:type="pct"/>
            <w:vMerge w:val="continue"/>
            <w:tcBorders>
              <w:left w:val="single" w:color="auto" w:sz="12" w:space="0"/>
            </w:tcBorders>
            <w:vAlign w:val="center"/>
          </w:tcPr>
          <w:p w14:paraId="780CC976">
            <w:pPr>
              <w:pStyle w:val="574"/>
              <w:spacing w:line="240" w:lineRule="auto"/>
              <w:ind w:firstLine="420"/>
              <w:rPr>
                <w:rFonts w:asciiTheme="minorEastAsia" w:hAnsiTheme="minorEastAsia" w:eastAsiaTheme="minorEastAsia"/>
                <w:sz w:val="21"/>
                <w:szCs w:val="21"/>
              </w:rPr>
            </w:pPr>
          </w:p>
        </w:tc>
        <w:tc>
          <w:tcPr>
            <w:tcW w:w="587" w:type="pct"/>
            <w:vMerge w:val="continue"/>
            <w:vAlign w:val="center"/>
          </w:tcPr>
          <w:p w14:paraId="45ABDC06">
            <w:pPr>
              <w:pStyle w:val="574"/>
              <w:spacing w:line="240" w:lineRule="auto"/>
              <w:ind w:firstLine="420"/>
              <w:rPr>
                <w:rFonts w:asciiTheme="minorEastAsia" w:hAnsiTheme="minorEastAsia" w:eastAsiaTheme="minorEastAsia"/>
                <w:sz w:val="21"/>
                <w:szCs w:val="21"/>
              </w:rPr>
            </w:pPr>
          </w:p>
        </w:tc>
        <w:tc>
          <w:tcPr>
            <w:tcW w:w="414" w:type="pct"/>
            <w:vAlign w:val="center"/>
          </w:tcPr>
          <w:p w14:paraId="197C9871">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3#</w:t>
            </w:r>
          </w:p>
        </w:tc>
        <w:tc>
          <w:tcPr>
            <w:tcW w:w="486" w:type="pct"/>
            <w:vAlign w:val="center"/>
          </w:tcPr>
          <w:p w14:paraId="3AA9C870">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0.53</w:t>
            </w:r>
          </w:p>
        </w:tc>
        <w:tc>
          <w:tcPr>
            <w:tcW w:w="488" w:type="pct"/>
            <w:vAlign w:val="center"/>
          </w:tcPr>
          <w:p w14:paraId="39B8E30F">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c>
          <w:tcPr>
            <w:tcW w:w="587" w:type="pct"/>
            <w:vMerge w:val="continue"/>
            <w:vAlign w:val="center"/>
          </w:tcPr>
          <w:p w14:paraId="1B499F24">
            <w:pPr>
              <w:pStyle w:val="574"/>
              <w:spacing w:line="240" w:lineRule="auto"/>
              <w:rPr>
                <w:rFonts w:asciiTheme="minorEastAsia" w:hAnsiTheme="minorEastAsia" w:eastAsiaTheme="minorEastAsia"/>
                <w:sz w:val="21"/>
                <w:szCs w:val="21"/>
              </w:rPr>
            </w:pPr>
          </w:p>
        </w:tc>
        <w:tc>
          <w:tcPr>
            <w:tcW w:w="512" w:type="pct"/>
            <w:vMerge w:val="continue"/>
            <w:vAlign w:val="center"/>
          </w:tcPr>
          <w:p w14:paraId="46F63532">
            <w:pPr>
              <w:pStyle w:val="574"/>
              <w:ind w:firstLine="420"/>
              <w:rPr>
                <w:rFonts w:asciiTheme="minorEastAsia" w:hAnsiTheme="minorEastAsia" w:eastAsiaTheme="minorEastAsia"/>
                <w:sz w:val="21"/>
                <w:szCs w:val="21"/>
              </w:rPr>
            </w:pPr>
          </w:p>
        </w:tc>
        <w:tc>
          <w:tcPr>
            <w:tcW w:w="415" w:type="pct"/>
            <w:vAlign w:val="center"/>
          </w:tcPr>
          <w:p w14:paraId="73C79D35">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3#</w:t>
            </w:r>
          </w:p>
        </w:tc>
        <w:tc>
          <w:tcPr>
            <w:tcW w:w="519" w:type="pct"/>
            <w:vAlign w:val="center"/>
          </w:tcPr>
          <w:p w14:paraId="2C7D91E5">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0.05</w:t>
            </w:r>
          </w:p>
        </w:tc>
        <w:tc>
          <w:tcPr>
            <w:tcW w:w="519" w:type="pct"/>
            <w:tcBorders>
              <w:right w:val="single" w:color="auto" w:sz="12" w:space="0"/>
            </w:tcBorders>
            <w:vAlign w:val="center"/>
          </w:tcPr>
          <w:p w14:paraId="7F8FD104">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r>
      <w:tr w14:paraId="38C54A0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72" w:type="pct"/>
            <w:vMerge w:val="restart"/>
            <w:tcBorders>
              <w:left w:val="single" w:color="auto" w:sz="12" w:space="0"/>
            </w:tcBorders>
            <w:vAlign w:val="center"/>
          </w:tcPr>
          <w:p w14:paraId="420B8486">
            <w:pPr>
              <w:pStyle w:val="574"/>
              <w:spacing w:line="24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硫酸盐</w:t>
            </w:r>
          </w:p>
        </w:tc>
        <w:tc>
          <w:tcPr>
            <w:tcW w:w="587" w:type="pct"/>
            <w:vMerge w:val="restart"/>
            <w:vAlign w:val="center"/>
          </w:tcPr>
          <w:p w14:paraId="6D77E3BB">
            <w:pPr>
              <w:pStyle w:val="574"/>
              <w:spacing w:line="240" w:lineRule="auto"/>
              <w:rPr>
                <w:rFonts w:asciiTheme="minorEastAsia" w:hAnsiTheme="minorEastAsia" w:eastAsiaTheme="minorEastAsia"/>
                <w:sz w:val="21"/>
                <w:szCs w:val="21"/>
              </w:rPr>
            </w:pPr>
            <w:r>
              <w:rPr>
                <w:rFonts w:asciiTheme="minorEastAsia" w:hAnsiTheme="minorEastAsia" w:eastAsiaTheme="minorEastAsia"/>
                <w:sz w:val="21"/>
                <w:szCs w:val="21"/>
              </w:rPr>
              <w:t>≤</w:t>
            </w:r>
            <w:r>
              <w:rPr>
                <w:rFonts w:hint="eastAsia" w:asciiTheme="minorEastAsia" w:hAnsiTheme="minorEastAsia" w:eastAsiaTheme="minorEastAsia"/>
                <w:sz w:val="21"/>
                <w:szCs w:val="21"/>
              </w:rPr>
              <w:t>250</w:t>
            </w:r>
          </w:p>
          <w:p w14:paraId="7B49543C">
            <w:pPr>
              <w:pStyle w:val="574"/>
              <w:spacing w:line="240" w:lineRule="auto"/>
              <w:rPr>
                <w:rFonts w:asciiTheme="minorEastAsia" w:hAnsiTheme="minorEastAsia" w:eastAsiaTheme="minorEastAsia"/>
                <w:sz w:val="21"/>
                <w:szCs w:val="21"/>
              </w:rPr>
            </w:pPr>
            <w:r>
              <w:rPr>
                <w:rFonts w:hint="eastAsia" w:ascii="Times New Roman" w:hAnsi="Times New Roman"/>
                <w:sz w:val="21"/>
                <w:szCs w:val="21"/>
              </w:rPr>
              <w:t>（</w:t>
            </w:r>
            <w:r>
              <w:rPr>
                <w:rFonts w:ascii="Times New Roman" w:hAnsi="Times New Roman"/>
                <w:sz w:val="21"/>
                <w:szCs w:val="21"/>
              </w:rPr>
              <w:t>mg/L</w:t>
            </w:r>
            <w:r>
              <w:rPr>
                <w:rFonts w:hint="eastAsia" w:ascii="Times New Roman" w:hAnsi="Times New Roman"/>
                <w:sz w:val="21"/>
                <w:szCs w:val="21"/>
              </w:rPr>
              <w:t>）</w:t>
            </w:r>
          </w:p>
        </w:tc>
        <w:tc>
          <w:tcPr>
            <w:tcW w:w="414" w:type="pct"/>
            <w:vAlign w:val="center"/>
          </w:tcPr>
          <w:p w14:paraId="2DA8F579">
            <w:pPr>
              <w:pStyle w:val="574"/>
              <w:spacing w:line="24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486" w:type="pct"/>
            <w:vAlign w:val="center"/>
          </w:tcPr>
          <w:p w14:paraId="0E4BB3E1">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0.57</w:t>
            </w:r>
          </w:p>
        </w:tc>
        <w:tc>
          <w:tcPr>
            <w:tcW w:w="488" w:type="pct"/>
            <w:vAlign w:val="center"/>
          </w:tcPr>
          <w:p w14:paraId="4C842084">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未</w:t>
            </w:r>
            <w:r>
              <w:rPr>
                <w:rFonts w:asciiTheme="minorEastAsia" w:hAnsiTheme="minorEastAsia" w:eastAsiaTheme="minorEastAsia"/>
                <w:sz w:val="21"/>
                <w:szCs w:val="21"/>
              </w:rPr>
              <w:t>超标</w:t>
            </w:r>
          </w:p>
        </w:tc>
        <w:tc>
          <w:tcPr>
            <w:tcW w:w="587" w:type="pct"/>
            <w:vMerge w:val="restart"/>
            <w:vAlign w:val="center"/>
          </w:tcPr>
          <w:p w14:paraId="61AA52DD">
            <w:pPr>
              <w:pStyle w:val="574"/>
              <w:spacing w:line="24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挥发酚</w:t>
            </w:r>
          </w:p>
          <w:p w14:paraId="3C6FC007">
            <w:pPr>
              <w:pStyle w:val="574"/>
              <w:spacing w:line="240" w:lineRule="auto"/>
              <w:rPr>
                <w:rFonts w:asciiTheme="minorEastAsia" w:hAnsiTheme="minorEastAsia" w:eastAsiaTheme="minorEastAsia"/>
                <w:sz w:val="21"/>
                <w:szCs w:val="21"/>
              </w:rPr>
            </w:pPr>
            <w:r>
              <w:rPr>
                <w:rFonts w:hint="eastAsia" w:ascii="Times New Roman" w:hAnsi="Times New Roman"/>
                <w:sz w:val="21"/>
                <w:szCs w:val="21"/>
              </w:rPr>
              <w:t>（</w:t>
            </w:r>
            <w:r>
              <w:rPr>
                <w:rFonts w:ascii="Times New Roman" w:hAnsi="Times New Roman"/>
                <w:sz w:val="21"/>
                <w:szCs w:val="21"/>
              </w:rPr>
              <w:t>mg/L</w:t>
            </w:r>
            <w:r>
              <w:rPr>
                <w:rFonts w:hint="eastAsia" w:ascii="Times New Roman" w:hAnsi="Times New Roman"/>
                <w:sz w:val="21"/>
                <w:szCs w:val="21"/>
              </w:rPr>
              <w:t>）</w:t>
            </w:r>
          </w:p>
        </w:tc>
        <w:tc>
          <w:tcPr>
            <w:tcW w:w="512" w:type="pct"/>
            <w:vMerge w:val="restart"/>
            <w:vAlign w:val="center"/>
          </w:tcPr>
          <w:p w14:paraId="2A3684C4">
            <w:pPr>
              <w:pStyle w:val="574"/>
              <w:rPr>
                <w:rFonts w:asciiTheme="minorEastAsia" w:hAnsiTheme="minorEastAsia" w:eastAsiaTheme="minorEastAsia"/>
                <w:sz w:val="21"/>
                <w:szCs w:val="21"/>
              </w:rPr>
            </w:pPr>
            <w:r>
              <w:rPr>
                <w:rFonts w:asciiTheme="minorEastAsia" w:hAnsiTheme="minorEastAsia" w:eastAsiaTheme="minorEastAsia"/>
                <w:sz w:val="21"/>
                <w:szCs w:val="21"/>
              </w:rPr>
              <w:t>≤</w:t>
            </w:r>
            <w:r>
              <w:rPr>
                <w:rFonts w:hint="eastAsia" w:asciiTheme="minorEastAsia" w:hAnsiTheme="minorEastAsia" w:eastAsiaTheme="minorEastAsia"/>
                <w:sz w:val="21"/>
                <w:szCs w:val="21"/>
              </w:rPr>
              <w:t>0.002</w:t>
            </w:r>
          </w:p>
        </w:tc>
        <w:tc>
          <w:tcPr>
            <w:tcW w:w="415" w:type="pct"/>
            <w:vAlign w:val="center"/>
          </w:tcPr>
          <w:p w14:paraId="01A20C7D">
            <w:pPr>
              <w:pStyle w:val="574"/>
              <w:spacing w:line="24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519" w:type="pct"/>
            <w:vAlign w:val="center"/>
          </w:tcPr>
          <w:p w14:paraId="14AE9E67">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0.075</w:t>
            </w:r>
          </w:p>
        </w:tc>
        <w:tc>
          <w:tcPr>
            <w:tcW w:w="519" w:type="pct"/>
            <w:tcBorders>
              <w:right w:val="single" w:color="auto" w:sz="12" w:space="0"/>
            </w:tcBorders>
            <w:vAlign w:val="center"/>
          </w:tcPr>
          <w:p w14:paraId="03C9FD5E">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r>
      <w:tr w14:paraId="6FE6D6E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472" w:type="pct"/>
            <w:vMerge w:val="continue"/>
            <w:tcBorders>
              <w:left w:val="single" w:color="auto" w:sz="12" w:space="0"/>
            </w:tcBorders>
            <w:vAlign w:val="center"/>
          </w:tcPr>
          <w:p w14:paraId="28CFB01B">
            <w:pPr>
              <w:pStyle w:val="574"/>
              <w:spacing w:line="240" w:lineRule="auto"/>
              <w:ind w:firstLine="420"/>
              <w:rPr>
                <w:rFonts w:asciiTheme="minorEastAsia" w:hAnsiTheme="minorEastAsia" w:eastAsiaTheme="minorEastAsia"/>
                <w:sz w:val="21"/>
                <w:szCs w:val="21"/>
              </w:rPr>
            </w:pPr>
          </w:p>
        </w:tc>
        <w:tc>
          <w:tcPr>
            <w:tcW w:w="587" w:type="pct"/>
            <w:vMerge w:val="continue"/>
            <w:vAlign w:val="center"/>
          </w:tcPr>
          <w:p w14:paraId="785CA50E">
            <w:pPr>
              <w:pStyle w:val="574"/>
              <w:spacing w:line="240" w:lineRule="auto"/>
              <w:ind w:firstLine="420"/>
              <w:rPr>
                <w:rFonts w:asciiTheme="minorEastAsia" w:hAnsiTheme="minorEastAsia" w:eastAsiaTheme="minorEastAsia"/>
                <w:sz w:val="21"/>
                <w:szCs w:val="21"/>
              </w:rPr>
            </w:pPr>
          </w:p>
        </w:tc>
        <w:tc>
          <w:tcPr>
            <w:tcW w:w="414" w:type="pct"/>
            <w:vAlign w:val="center"/>
          </w:tcPr>
          <w:p w14:paraId="2F0ECCA8">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486" w:type="pct"/>
            <w:vAlign w:val="center"/>
          </w:tcPr>
          <w:p w14:paraId="3441E652">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0.61</w:t>
            </w:r>
          </w:p>
        </w:tc>
        <w:tc>
          <w:tcPr>
            <w:tcW w:w="488" w:type="pct"/>
            <w:vAlign w:val="center"/>
          </w:tcPr>
          <w:p w14:paraId="1C240521">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未</w:t>
            </w:r>
            <w:r>
              <w:rPr>
                <w:rFonts w:asciiTheme="minorEastAsia" w:hAnsiTheme="minorEastAsia" w:eastAsiaTheme="minorEastAsia"/>
                <w:sz w:val="21"/>
                <w:szCs w:val="21"/>
              </w:rPr>
              <w:t>超标</w:t>
            </w:r>
          </w:p>
        </w:tc>
        <w:tc>
          <w:tcPr>
            <w:tcW w:w="587" w:type="pct"/>
            <w:vMerge w:val="continue"/>
            <w:vAlign w:val="center"/>
          </w:tcPr>
          <w:p w14:paraId="6BA70ACA">
            <w:pPr>
              <w:pStyle w:val="574"/>
              <w:spacing w:line="240" w:lineRule="auto"/>
              <w:rPr>
                <w:rFonts w:asciiTheme="minorEastAsia" w:hAnsiTheme="minorEastAsia" w:eastAsiaTheme="minorEastAsia"/>
                <w:sz w:val="21"/>
                <w:szCs w:val="21"/>
              </w:rPr>
            </w:pPr>
          </w:p>
        </w:tc>
        <w:tc>
          <w:tcPr>
            <w:tcW w:w="512" w:type="pct"/>
            <w:vMerge w:val="continue"/>
            <w:vAlign w:val="center"/>
          </w:tcPr>
          <w:p w14:paraId="28E553FD">
            <w:pPr>
              <w:pStyle w:val="574"/>
              <w:rPr>
                <w:rFonts w:asciiTheme="minorEastAsia" w:hAnsiTheme="minorEastAsia" w:eastAsiaTheme="minorEastAsia"/>
                <w:sz w:val="21"/>
                <w:szCs w:val="21"/>
              </w:rPr>
            </w:pPr>
          </w:p>
        </w:tc>
        <w:tc>
          <w:tcPr>
            <w:tcW w:w="415" w:type="pct"/>
            <w:vAlign w:val="center"/>
          </w:tcPr>
          <w:p w14:paraId="66E6D879">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519" w:type="pct"/>
            <w:vAlign w:val="center"/>
          </w:tcPr>
          <w:p w14:paraId="2B6B27BE">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0.075</w:t>
            </w:r>
          </w:p>
        </w:tc>
        <w:tc>
          <w:tcPr>
            <w:tcW w:w="519" w:type="pct"/>
            <w:tcBorders>
              <w:right w:val="single" w:color="auto" w:sz="12" w:space="0"/>
            </w:tcBorders>
            <w:vAlign w:val="center"/>
          </w:tcPr>
          <w:p w14:paraId="1E9B9E35">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r>
      <w:tr w14:paraId="42321810">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472" w:type="pct"/>
            <w:vMerge w:val="continue"/>
            <w:tcBorders>
              <w:left w:val="single" w:color="auto" w:sz="12" w:space="0"/>
            </w:tcBorders>
            <w:vAlign w:val="center"/>
          </w:tcPr>
          <w:p w14:paraId="1432E4F6">
            <w:pPr>
              <w:pStyle w:val="574"/>
              <w:spacing w:line="240" w:lineRule="auto"/>
              <w:ind w:firstLine="420"/>
              <w:rPr>
                <w:rFonts w:asciiTheme="minorEastAsia" w:hAnsiTheme="minorEastAsia" w:eastAsiaTheme="minorEastAsia"/>
                <w:sz w:val="21"/>
                <w:szCs w:val="21"/>
              </w:rPr>
            </w:pPr>
          </w:p>
        </w:tc>
        <w:tc>
          <w:tcPr>
            <w:tcW w:w="587" w:type="pct"/>
            <w:vMerge w:val="continue"/>
            <w:vAlign w:val="center"/>
          </w:tcPr>
          <w:p w14:paraId="6906585D">
            <w:pPr>
              <w:pStyle w:val="574"/>
              <w:spacing w:line="240" w:lineRule="auto"/>
              <w:ind w:firstLine="420"/>
              <w:rPr>
                <w:rFonts w:asciiTheme="minorEastAsia" w:hAnsiTheme="minorEastAsia" w:eastAsiaTheme="minorEastAsia"/>
                <w:sz w:val="21"/>
                <w:szCs w:val="21"/>
              </w:rPr>
            </w:pPr>
          </w:p>
        </w:tc>
        <w:tc>
          <w:tcPr>
            <w:tcW w:w="414" w:type="pct"/>
            <w:vAlign w:val="center"/>
          </w:tcPr>
          <w:p w14:paraId="244294D1">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3#</w:t>
            </w:r>
          </w:p>
        </w:tc>
        <w:tc>
          <w:tcPr>
            <w:tcW w:w="486" w:type="pct"/>
            <w:vAlign w:val="center"/>
          </w:tcPr>
          <w:p w14:paraId="1FECEDD4">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0.62</w:t>
            </w:r>
          </w:p>
        </w:tc>
        <w:tc>
          <w:tcPr>
            <w:tcW w:w="488" w:type="pct"/>
            <w:vAlign w:val="center"/>
          </w:tcPr>
          <w:p w14:paraId="275C70D8">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c>
          <w:tcPr>
            <w:tcW w:w="587" w:type="pct"/>
            <w:vMerge w:val="continue"/>
            <w:vAlign w:val="center"/>
          </w:tcPr>
          <w:p w14:paraId="60FE4CC9">
            <w:pPr>
              <w:pStyle w:val="574"/>
              <w:spacing w:line="240" w:lineRule="auto"/>
              <w:ind w:firstLine="420"/>
              <w:rPr>
                <w:rFonts w:asciiTheme="minorEastAsia" w:hAnsiTheme="minorEastAsia" w:eastAsiaTheme="minorEastAsia"/>
                <w:sz w:val="21"/>
                <w:szCs w:val="21"/>
              </w:rPr>
            </w:pPr>
          </w:p>
        </w:tc>
        <w:tc>
          <w:tcPr>
            <w:tcW w:w="512" w:type="pct"/>
            <w:vMerge w:val="continue"/>
            <w:vAlign w:val="center"/>
          </w:tcPr>
          <w:p w14:paraId="71A651EF">
            <w:pPr>
              <w:pStyle w:val="574"/>
              <w:ind w:firstLine="420"/>
              <w:rPr>
                <w:rFonts w:asciiTheme="minorEastAsia" w:hAnsiTheme="minorEastAsia" w:eastAsiaTheme="minorEastAsia"/>
                <w:sz w:val="21"/>
                <w:szCs w:val="21"/>
              </w:rPr>
            </w:pPr>
          </w:p>
        </w:tc>
        <w:tc>
          <w:tcPr>
            <w:tcW w:w="415" w:type="pct"/>
            <w:vAlign w:val="center"/>
          </w:tcPr>
          <w:p w14:paraId="7953790F">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3#</w:t>
            </w:r>
          </w:p>
        </w:tc>
        <w:tc>
          <w:tcPr>
            <w:tcW w:w="519" w:type="pct"/>
            <w:vAlign w:val="center"/>
          </w:tcPr>
          <w:p w14:paraId="11ADAA08">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0.075</w:t>
            </w:r>
          </w:p>
        </w:tc>
        <w:tc>
          <w:tcPr>
            <w:tcW w:w="519" w:type="pct"/>
            <w:tcBorders>
              <w:right w:val="single" w:color="auto" w:sz="12" w:space="0"/>
            </w:tcBorders>
            <w:vAlign w:val="center"/>
          </w:tcPr>
          <w:p w14:paraId="058EAE8A">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r>
      <w:tr w14:paraId="23C5C0B0">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472" w:type="pct"/>
            <w:vMerge w:val="restart"/>
            <w:tcBorders>
              <w:left w:val="single" w:color="auto" w:sz="12" w:space="0"/>
            </w:tcBorders>
            <w:vAlign w:val="center"/>
          </w:tcPr>
          <w:p w14:paraId="659038AA">
            <w:pPr>
              <w:pStyle w:val="574"/>
              <w:spacing w:line="24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氯化物</w:t>
            </w:r>
          </w:p>
        </w:tc>
        <w:tc>
          <w:tcPr>
            <w:tcW w:w="587" w:type="pct"/>
            <w:vMerge w:val="restart"/>
            <w:vAlign w:val="center"/>
          </w:tcPr>
          <w:p w14:paraId="7152DD98">
            <w:pPr>
              <w:pStyle w:val="574"/>
              <w:spacing w:line="240" w:lineRule="auto"/>
              <w:rPr>
                <w:rFonts w:asciiTheme="minorEastAsia" w:hAnsiTheme="minorEastAsia" w:eastAsiaTheme="minorEastAsia"/>
                <w:sz w:val="21"/>
                <w:szCs w:val="21"/>
              </w:rPr>
            </w:pPr>
            <w:r>
              <w:rPr>
                <w:rFonts w:asciiTheme="minorEastAsia" w:hAnsiTheme="minorEastAsia" w:eastAsiaTheme="minorEastAsia"/>
                <w:sz w:val="21"/>
                <w:szCs w:val="21"/>
              </w:rPr>
              <w:t>≤</w:t>
            </w:r>
            <w:r>
              <w:rPr>
                <w:rFonts w:hint="eastAsia" w:asciiTheme="minorEastAsia" w:hAnsiTheme="minorEastAsia" w:eastAsiaTheme="minorEastAsia"/>
                <w:sz w:val="21"/>
                <w:szCs w:val="21"/>
              </w:rPr>
              <w:t>250</w:t>
            </w:r>
          </w:p>
          <w:p w14:paraId="40783912">
            <w:pPr>
              <w:pStyle w:val="574"/>
              <w:spacing w:line="240" w:lineRule="auto"/>
              <w:rPr>
                <w:rFonts w:asciiTheme="minorEastAsia" w:hAnsiTheme="minorEastAsia" w:eastAsiaTheme="minorEastAsia"/>
                <w:sz w:val="21"/>
                <w:szCs w:val="21"/>
              </w:rPr>
            </w:pPr>
            <w:r>
              <w:rPr>
                <w:rFonts w:hint="eastAsia" w:ascii="Times New Roman" w:hAnsi="Times New Roman"/>
                <w:sz w:val="21"/>
                <w:szCs w:val="21"/>
              </w:rPr>
              <w:t>（</w:t>
            </w:r>
            <w:r>
              <w:rPr>
                <w:rFonts w:ascii="Times New Roman" w:hAnsi="Times New Roman"/>
                <w:sz w:val="21"/>
                <w:szCs w:val="21"/>
              </w:rPr>
              <w:t>mg/L</w:t>
            </w:r>
            <w:r>
              <w:rPr>
                <w:rFonts w:hint="eastAsia" w:ascii="Times New Roman" w:hAnsi="Times New Roman"/>
                <w:sz w:val="21"/>
                <w:szCs w:val="21"/>
              </w:rPr>
              <w:t>）</w:t>
            </w:r>
          </w:p>
        </w:tc>
        <w:tc>
          <w:tcPr>
            <w:tcW w:w="414" w:type="pct"/>
            <w:vAlign w:val="center"/>
          </w:tcPr>
          <w:p w14:paraId="378B2D8E">
            <w:pPr>
              <w:pStyle w:val="574"/>
              <w:spacing w:line="24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486" w:type="pct"/>
            <w:vAlign w:val="center"/>
          </w:tcPr>
          <w:p w14:paraId="024A83F7">
            <w:pPr>
              <w:pStyle w:val="574"/>
              <w:spacing w:line="24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0.003</w:t>
            </w:r>
          </w:p>
        </w:tc>
        <w:tc>
          <w:tcPr>
            <w:tcW w:w="488" w:type="pct"/>
            <w:vAlign w:val="center"/>
          </w:tcPr>
          <w:p w14:paraId="3F9D834E">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c>
          <w:tcPr>
            <w:tcW w:w="587" w:type="pct"/>
            <w:vMerge w:val="restart"/>
            <w:vAlign w:val="center"/>
          </w:tcPr>
          <w:p w14:paraId="6AEFDB30">
            <w:pPr>
              <w:pStyle w:val="574"/>
              <w:spacing w:line="24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亚硝酸盐氮</w:t>
            </w:r>
          </w:p>
          <w:p w14:paraId="79370A29">
            <w:pPr>
              <w:pStyle w:val="574"/>
              <w:spacing w:line="240" w:lineRule="auto"/>
              <w:rPr>
                <w:rFonts w:asciiTheme="minorEastAsia" w:hAnsiTheme="minorEastAsia" w:eastAsiaTheme="minorEastAsia"/>
                <w:sz w:val="21"/>
                <w:szCs w:val="21"/>
              </w:rPr>
            </w:pPr>
            <w:r>
              <w:rPr>
                <w:rFonts w:hint="eastAsia" w:ascii="Times New Roman" w:hAnsi="Times New Roman"/>
                <w:sz w:val="21"/>
                <w:szCs w:val="21"/>
              </w:rPr>
              <w:t>（</w:t>
            </w:r>
            <w:r>
              <w:rPr>
                <w:rFonts w:ascii="Times New Roman" w:hAnsi="Times New Roman"/>
                <w:sz w:val="21"/>
                <w:szCs w:val="21"/>
              </w:rPr>
              <w:t>mg/L</w:t>
            </w:r>
            <w:r>
              <w:rPr>
                <w:rFonts w:hint="eastAsia" w:ascii="Times New Roman" w:hAnsi="Times New Roman"/>
                <w:sz w:val="21"/>
                <w:szCs w:val="21"/>
              </w:rPr>
              <w:t>）</w:t>
            </w:r>
          </w:p>
        </w:tc>
        <w:tc>
          <w:tcPr>
            <w:tcW w:w="512" w:type="pct"/>
            <w:vMerge w:val="restart"/>
            <w:vAlign w:val="center"/>
          </w:tcPr>
          <w:p w14:paraId="27079D4A">
            <w:pPr>
              <w:pStyle w:val="574"/>
              <w:rPr>
                <w:rFonts w:asciiTheme="minorEastAsia" w:hAnsiTheme="minorEastAsia" w:eastAsiaTheme="minorEastAsia"/>
                <w:sz w:val="21"/>
                <w:szCs w:val="21"/>
              </w:rPr>
            </w:pPr>
            <w:r>
              <w:rPr>
                <w:rFonts w:asciiTheme="minorEastAsia" w:hAnsiTheme="minorEastAsia" w:eastAsiaTheme="minorEastAsia"/>
                <w:sz w:val="21"/>
                <w:szCs w:val="21"/>
              </w:rPr>
              <w:t>≤</w:t>
            </w:r>
            <w:r>
              <w:rPr>
                <w:rFonts w:hint="eastAsia" w:asciiTheme="minorEastAsia" w:hAnsiTheme="minorEastAsia" w:eastAsiaTheme="minorEastAsia"/>
                <w:sz w:val="21"/>
                <w:szCs w:val="21"/>
              </w:rPr>
              <w:t>0.02</w:t>
            </w:r>
          </w:p>
        </w:tc>
        <w:tc>
          <w:tcPr>
            <w:tcW w:w="415" w:type="pct"/>
            <w:vAlign w:val="center"/>
          </w:tcPr>
          <w:p w14:paraId="11EFD201">
            <w:pPr>
              <w:pStyle w:val="574"/>
              <w:spacing w:line="24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519" w:type="pct"/>
            <w:vAlign w:val="center"/>
          </w:tcPr>
          <w:p w14:paraId="5ACA7C9A">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0.225</w:t>
            </w:r>
          </w:p>
        </w:tc>
        <w:tc>
          <w:tcPr>
            <w:tcW w:w="519" w:type="pct"/>
            <w:tcBorders>
              <w:right w:val="single" w:color="auto" w:sz="12" w:space="0"/>
            </w:tcBorders>
            <w:vAlign w:val="center"/>
          </w:tcPr>
          <w:p w14:paraId="160F9CC0">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r>
      <w:tr w14:paraId="573C5AC8">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72" w:type="pct"/>
            <w:vMerge w:val="continue"/>
            <w:tcBorders>
              <w:left w:val="single" w:color="auto" w:sz="12" w:space="0"/>
            </w:tcBorders>
            <w:vAlign w:val="center"/>
          </w:tcPr>
          <w:p w14:paraId="6D4B9C46">
            <w:pPr>
              <w:pStyle w:val="574"/>
              <w:spacing w:line="240" w:lineRule="auto"/>
              <w:ind w:firstLine="420"/>
              <w:rPr>
                <w:rFonts w:asciiTheme="minorEastAsia" w:hAnsiTheme="minorEastAsia" w:eastAsiaTheme="minorEastAsia"/>
                <w:sz w:val="21"/>
                <w:szCs w:val="21"/>
              </w:rPr>
            </w:pPr>
          </w:p>
        </w:tc>
        <w:tc>
          <w:tcPr>
            <w:tcW w:w="587" w:type="pct"/>
            <w:vMerge w:val="continue"/>
            <w:vAlign w:val="center"/>
          </w:tcPr>
          <w:p w14:paraId="37DC0958">
            <w:pPr>
              <w:pStyle w:val="574"/>
              <w:spacing w:line="240" w:lineRule="auto"/>
              <w:ind w:firstLine="420"/>
              <w:rPr>
                <w:rFonts w:asciiTheme="minorEastAsia" w:hAnsiTheme="minorEastAsia" w:eastAsiaTheme="minorEastAsia"/>
                <w:sz w:val="21"/>
                <w:szCs w:val="21"/>
              </w:rPr>
            </w:pPr>
          </w:p>
        </w:tc>
        <w:tc>
          <w:tcPr>
            <w:tcW w:w="414" w:type="pct"/>
            <w:vAlign w:val="center"/>
          </w:tcPr>
          <w:p w14:paraId="5445FCA4">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486" w:type="pct"/>
            <w:vAlign w:val="center"/>
          </w:tcPr>
          <w:p w14:paraId="5E221553">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0.003</w:t>
            </w:r>
          </w:p>
        </w:tc>
        <w:tc>
          <w:tcPr>
            <w:tcW w:w="488" w:type="pct"/>
            <w:vAlign w:val="center"/>
          </w:tcPr>
          <w:p w14:paraId="10068E97">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c>
          <w:tcPr>
            <w:tcW w:w="587" w:type="pct"/>
            <w:vMerge w:val="continue"/>
            <w:vAlign w:val="center"/>
          </w:tcPr>
          <w:p w14:paraId="19E49C12">
            <w:pPr>
              <w:pStyle w:val="574"/>
              <w:spacing w:line="240" w:lineRule="auto"/>
              <w:ind w:firstLine="420"/>
              <w:rPr>
                <w:rFonts w:asciiTheme="minorEastAsia" w:hAnsiTheme="minorEastAsia" w:eastAsiaTheme="minorEastAsia"/>
                <w:sz w:val="21"/>
                <w:szCs w:val="21"/>
              </w:rPr>
            </w:pPr>
          </w:p>
        </w:tc>
        <w:tc>
          <w:tcPr>
            <w:tcW w:w="512" w:type="pct"/>
            <w:vMerge w:val="continue"/>
            <w:vAlign w:val="center"/>
          </w:tcPr>
          <w:p w14:paraId="52840891">
            <w:pPr>
              <w:pStyle w:val="574"/>
              <w:rPr>
                <w:rFonts w:asciiTheme="minorEastAsia" w:hAnsiTheme="minorEastAsia" w:eastAsiaTheme="minorEastAsia"/>
                <w:sz w:val="21"/>
                <w:szCs w:val="21"/>
              </w:rPr>
            </w:pPr>
          </w:p>
        </w:tc>
        <w:tc>
          <w:tcPr>
            <w:tcW w:w="415" w:type="pct"/>
            <w:vAlign w:val="center"/>
          </w:tcPr>
          <w:p w14:paraId="21CE7D1F">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519" w:type="pct"/>
            <w:vAlign w:val="center"/>
          </w:tcPr>
          <w:p w14:paraId="446B363E">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0.225</w:t>
            </w:r>
          </w:p>
        </w:tc>
        <w:tc>
          <w:tcPr>
            <w:tcW w:w="519" w:type="pct"/>
            <w:tcBorders>
              <w:right w:val="single" w:color="auto" w:sz="12" w:space="0"/>
            </w:tcBorders>
            <w:vAlign w:val="center"/>
          </w:tcPr>
          <w:p w14:paraId="4A1362B5">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r>
      <w:tr w14:paraId="4AA4F468">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72" w:type="pct"/>
            <w:vMerge w:val="continue"/>
            <w:tcBorders>
              <w:left w:val="single" w:color="auto" w:sz="12" w:space="0"/>
            </w:tcBorders>
            <w:vAlign w:val="center"/>
          </w:tcPr>
          <w:p w14:paraId="789E8E42">
            <w:pPr>
              <w:pStyle w:val="574"/>
              <w:spacing w:line="240" w:lineRule="auto"/>
              <w:ind w:firstLine="420"/>
              <w:rPr>
                <w:rFonts w:asciiTheme="minorEastAsia" w:hAnsiTheme="minorEastAsia" w:eastAsiaTheme="minorEastAsia"/>
                <w:sz w:val="21"/>
                <w:szCs w:val="21"/>
              </w:rPr>
            </w:pPr>
          </w:p>
        </w:tc>
        <w:tc>
          <w:tcPr>
            <w:tcW w:w="587" w:type="pct"/>
            <w:vMerge w:val="continue"/>
            <w:vAlign w:val="center"/>
          </w:tcPr>
          <w:p w14:paraId="54EBF29F">
            <w:pPr>
              <w:pStyle w:val="574"/>
              <w:spacing w:line="240" w:lineRule="auto"/>
              <w:ind w:firstLine="420"/>
              <w:rPr>
                <w:rFonts w:asciiTheme="minorEastAsia" w:hAnsiTheme="minorEastAsia" w:eastAsiaTheme="minorEastAsia"/>
                <w:sz w:val="21"/>
                <w:szCs w:val="21"/>
              </w:rPr>
            </w:pPr>
          </w:p>
        </w:tc>
        <w:tc>
          <w:tcPr>
            <w:tcW w:w="414" w:type="pct"/>
            <w:vAlign w:val="center"/>
          </w:tcPr>
          <w:p w14:paraId="059AFF1F">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3#</w:t>
            </w:r>
          </w:p>
        </w:tc>
        <w:tc>
          <w:tcPr>
            <w:tcW w:w="486" w:type="pct"/>
            <w:vAlign w:val="center"/>
          </w:tcPr>
          <w:p w14:paraId="6AD7B197">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0.007</w:t>
            </w:r>
          </w:p>
        </w:tc>
        <w:tc>
          <w:tcPr>
            <w:tcW w:w="488" w:type="pct"/>
            <w:vAlign w:val="center"/>
          </w:tcPr>
          <w:p w14:paraId="192A5CDB">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c>
          <w:tcPr>
            <w:tcW w:w="587" w:type="pct"/>
            <w:vMerge w:val="continue"/>
            <w:vAlign w:val="center"/>
          </w:tcPr>
          <w:p w14:paraId="2E4ED9D2">
            <w:pPr>
              <w:pStyle w:val="574"/>
              <w:spacing w:line="240" w:lineRule="auto"/>
              <w:rPr>
                <w:rFonts w:asciiTheme="minorEastAsia" w:hAnsiTheme="minorEastAsia" w:eastAsiaTheme="minorEastAsia"/>
                <w:sz w:val="21"/>
                <w:szCs w:val="21"/>
              </w:rPr>
            </w:pPr>
          </w:p>
        </w:tc>
        <w:tc>
          <w:tcPr>
            <w:tcW w:w="512" w:type="pct"/>
            <w:vMerge w:val="continue"/>
            <w:vAlign w:val="center"/>
          </w:tcPr>
          <w:p w14:paraId="57CEF196">
            <w:pPr>
              <w:pStyle w:val="574"/>
              <w:ind w:firstLine="420"/>
              <w:rPr>
                <w:rFonts w:asciiTheme="minorEastAsia" w:hAnsiTheme="minorEastAsia" w:eastAsiaTheme="minorEastAsia"/>
                <w:sz w:val="21"/>
                <w:szCs w:val="21"/>
              </w:rPr>
            </w:pPr>
          </w:p>
        </w:tc>
        <w:tc>
          <w:tcPr>
            <w:tcW w:w="415" w:type="pct"/>
            <w:vAlign w:val="center"/>
          </w:tcPr>
          <w:p w14:paraId="4D1E73DC">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3#</w:t>
            </w:r>
          </w:p>
        </w:tc>
        <w:tc>
          <w:tcPr>
            <w:tcW w:w="519" w:type="pct"/>
            <w:vAlign w:val="center"/>
          </w:tcPr>
          <w:p w14:paraId="4503C37E">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0.225</w:t>
            </w:r>
          </w:p>
        </w:tc>
        <w:tc>
          <w:tcPr>
            <w:tcW w:w="519" w:type="pct"/>
            <w:tcBorders>
              <w:right w:val="single" w:color="auto" w:sz="12" w:space="0"/>
            </w:tcBorders>
            <w:vAlign w:val="center"/>
          </w:tcPr>
          <w:p w14:paraId="7A401953">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r>
      <w:tr w14:paraId="2789C99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472" w:type="pct"/>
            <w:vMerge w:val="restart"/>
            <w:tcBorders>
              <w:left w:val="single" w:color="auto" w:sz="12" w:space="0"/>
            </w:tcBorders>
            <w:vAlign w:val="center"/>
          </w:tcPr>
          <w:p w14:paraId="72F4B5B4">
            <w:pPr>
              <w:pStyle w:val="574"/>
              <w:spacing w:line="24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氨氮</w:t>
            </w:r>
          </w:p>
        </w:tc>
        <w:tc>
          <w:tcPr>
            <w:tcW w:w="587" w:type="pct"/>
            <w:vMerge w:val="restart"/>
            <w:vAlign w:val="center"/>
          </w:tcPr>
          <w:p w14:paraId="692F10F9">
            <w:pPr>
              <w:pStyle w:val="574"/>
              <w:spacing w:line="240" w:lineRule="auto"/>
              <w:rPr>
                <w:rFonts w:asciiTheme="minorEastAsia" w:hAnsiTheme="minorEastAsia" w:eastAsiaTheme="minorEastAsia"/>
                <w:sz w:val="21"/>
                <w:szCs w:val="21"/>
              </w:rPr>
            </w:pPr>
            <w:r>
              <w:rPr>
                <w:rFonts w:asciiTheme="minorEastAsia" w:hAnsiTheme="minorEastAsia" w:eastAsiaTheme="minorEastAsia"/>
                <w:sz w:val="21"/>
                <w:szCs w:val="21"/>
              </w:rPr>
              <w:t>≤</w:t>
            </w:r>
            <w:r>
              <w:rPr>
                <w:rFonts w:hint="eastAsia" w:asciiTheme="minorEastAsia" w:hAnsiTheme="minorEastAsia" w:eastAsiaTheme="minorEastAsia"/>
                <w:sz w:val="21"/>
                <w:szCs w:val="21"/>
              </w:rPr>
              <w:t>0.2</w:t>
            </w:r>
          </w:p>
          <w:p w14:paraId="3219F47A">
            <w:pPr>
              <w:pStyle w:val="574"/>
              <w:spacing w:line="240" w:lineRule="auto"/>
              <w:rPr>
                <w:rFonts w:asciiTheme="minorEastAsia" w:hAnsiTheme="minorEastAsia" w:eastAsiaTheme="minorEastAsia"/>
                <w:sz w:val="21"/>
                <w:szCs w:val="21"/>
              </w:rPr>
            </w:pPr>
            <w:r>
              <w:rPr>
                <w:rFonts w:hint="eastAsia" w:ascii="Times New Roman" w:hAnsi="Times New Roman"/>
                <w:sz w:val="21"/>
                <w:szCs w:val="21"/>
              </w:rPr>
              <w:t>（</w:t>
            </w:r>
            <w:r>
              <w:rPr>
                <w:rFonts w:ascii="Times New Roman" w:hAnsi="Times New Roman"/>
                <w:sz w:val="21"/>
                <w:szCs w:val="21"/>
              </w:rPr>
              <w:t>mg/L</w:t>
            </w:r>
            <w:r>
              <w:rPr>
                <w:rFonts w:hint="eastAsia" w:ascii="Times New Roman" w:hAnsi="Times New Roman"/>
                <w:sz w:val="21"/>
                <w:szCs w:val="21"/>
              </w:rPr>
              <w:t>）</w:t>
            </w:r>
          </w:p>
        </w:tc>
        <w:tc>
          <w:tcPr>
            <w:tcW w:w="414" w:type="pct"/>
            <w:vAlign w:val="center"/>
          </w:tcPr>
          <w:p w14:paraId="19EB9960">
            <w:pPr>
              <w:pStyle w:val="574"/>
              <w:spacing w:line="24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486" w:type="pct"/>
            <w:vAlign w:val="center"/>
          </w:tcPr>
          <w:p w14:paraId="78620CAE">
            <w:pPr>
              <w:pStyle w:val="574"/>
              <w:spacing w:line="24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0.6</w:t>
            </w:r>
          </w:p>
        </w:tc>
        <w:tc>
          <w:tcPr>
            <w:tcW w:w="488" w:type="pct"/>
            <w:vAlign w:val="center"/>
          </w:tcPr>
          <w:p w14:paraId="7CEA0C1F">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c>
          <w:tcPr>
            <w:tcW w:w="587" w:type="pct"/>
            <w:vMerge w:val="restart"/>
            <w:vAlign w:val="center"/>
          </w:tcPr>
          <w:p w14:paraId="5EED179D">
            <w:pPr>
              <w:pStyle w:val="574"/>
              <w:spacing w:line="24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硝酸盐氮</w:t>
            </w:r>
          </w:p>
          <w:p w14:paraId="2EA768B3">
            <w:pPr>
              <w:pStyle w:val="574"/>
              <w:spacing w:line="240" w:lineRule="auto"/>
              <w:rPr>
                <w:rFonts w:asciiTheme="minorEastAsia" w:hAnsiTheme="minorEastAsia" w:eastAsiaTheme="minorEastAsia"/>
                <w:sz w:val="21"/>
                <w:szCs w:val="21"/>
              </w:rPr>
            </w:pPr>
            <w:r>
              <w:rPr>
                <w:rFonts w:hint="eastAsia" w:ascii="Times New Roman" w:hAnsi="Times New Roman"/>
                <w:sz w:val="21"/>
                <w:szCs w:val="21"/>
              </w:rPr>
              <w:t>（</w:t>
            </w:r>
            <w:r>
              <w:rPr>
                <w:rFonts w:ascii="Times New Roman" w:hAnsi="Times New Roman"/>
                <w:sz w:val="21"/>
                <w:szCs w:val="21"/>
              </w:rPr>
              <w:t>mg/L</w:t>
            </w:r>
            <w:r>
              <w:rPr>
                <w:rFonts w:hint="eastAsia" w:ascii="Times New Roman" w:hAnsi="Times New Roman"/>
                <w:sz w:val="21"/>
                <w:szCs w:val="21"/>
              </w:rPr>
              <w:t>）</w:t>
            </w:r>
          </w:p>
        </w:tc>
        <w:tc>
          <w:tcPr>
            <w:tcW w:w="512" w:type="pct"/>
            <w:vMerge w:val="restart"/>
            <w:vAlign w:val="center"/>
          </w:tcPr>
          <w:p w14:paraId="75D7A335">
            <w:pPr>
              <w:pStyle w:val="574"/>
              <w:rPr>
                <w:rFonts w:asciiTheme="minorEastAsia" w:hAnsiTheme="minorEastAsia" w:eastAsiaTheme="minorEastAsia"/>
                <w:sz w:val="21"/>
                <w:szCs w:val="21"/>
              </w:rPr>
            </w:pPr>
            <w:r>
              <w:rPr>
                <w:rFonts w:asciiTheme="minorEastAsia" w:hAnsiTheme="minorEastAsia" w:eastAsiaTheme="minorEastAsia"/>
                <w:sz w:val="21"/>
                <w:szCs w:val="21"/>
              </w:rPr>
              <w:t>≤</w:t>
            </w:r>
            <w:r>
              <w:rPr>
                <w:rFonts w:hint="eastAsia" w:asciiTheme="minorEastAsia" w:hAnsiTheme="minorEastAsia" w:eastAsiaTheme="minorEastAsia"/>
                <w:sz w:val="21"/>
                <w:szCs w:val="21"/>
              </w:rPr>
              <w:t>20</w:t>
            </w:r>
          </w:p>
        </w:tc>
        <w:tc>
          <w:tcPr>
            <w:tcW w:w="415" w:type="pct"/>
            <w:vAlign w:val="center"/>
          </w:tcPr>
          <w:p w14:paraId="45083E40">
            <w:pPr>
              <w:pStyle w:val="574"/>
              <w:spacing w:line="24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519" w:type="pct"/>
            <w:vAlign w:val="center"/>
          </w:tcPr>
          <w:p w14:paraId="7DED9C41">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0.014</w:t>
            </w:r>
          </w:p>
        </w:tc>
        <w:tc>
          <w:tcPr>
            <w:tcW w:w="519" w:type="pct"/>
            <w:tcBorders>
              <w:right w:val="single" w:color="auto" w:sz="12" w:space="0"/>
            </w:tcBorders>
            <w:vAlign w:val="center"/>
          </w:tcPr>
          <w:p w14:paraId="3925A8E3">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r>
      <w:tr w14:paraId="2FBC1EF6">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72" w:type="pct"/>
            <w:vMerge w:val="continue"/>
            <w:tcBorders>
              <w:left w:val="single" w:color="auto" w:sz="12" w:space="0"/>
            </w:tcBorders>
            <w:vAlign w:val="center"/>
          </w:tcPr>
          <w:p w14:paraId="4636D7B6">
            <w:pPr>
              <w:pStyle w:val="574"/>
              <w:spacing w:line="240" w:lineRule="auto"/>
              <w:ind w:firstLine="420"/>
              <w:rPr>
                <w:rFonts w:asciiTheme="minorEastAsia" w:hAnsiTheme="minorEastAsia" w:eastAsiaTheme="minorEastAsia"/>
                <w:sz w:val="21"/>
                <w:szCs w:val="21"/>
              </w:rPr>
            </w:pPr>
          </w:p>
        </w:tc>
        <w:tc>
          <w:tcPr>
            <w:tcW w:w="587" w:type="pct"/>
            <w:vMerge w:val="continue"/>
            <w:vAlign w:val="center"/>
          </w:tcPr>
          <w:p w14:paraId="254294E8">
            <w:pPr>
              <w:pStyle w:val="574"/>
              <w:spacing w:line="240" w:lineRule="auto"/>
              <w:ind w:firstLine="420"/>
              <w:rPr>
                <w:rFonts w:asciiTheme="minorEastAsia" w:hAnsiTheme="minorEastAsia" w:eastAsiaTheme="minorEastAsia"/>
                <w:sz w:val="21"/>
                <w:szCs w:val="21"/>
              </w:rPr>
            </w:pPr>
          </w:p>
        </w:tc>
        <w:tc>
          <w:tcPr>
            <w:tcW w:w="414" w:type="pct"/>
            <w:vAlign w:val="center"/>
          </w:tcPr>
          <w:p w14:paraId="78E56D36">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486" w:type="pct"/>
            <w:vAlign w:val="center"/>
          </w:tcPr>
          <w:p w14:paraId="23788DF8">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0.65</w:t>
            </w:r>
          </w:p>
        </w:tc>
        <w:tc>
          <w:tcPr>
            <w:tcW w:w="488" w:type="pct"/>
            <w:vAlign w:val="center"/>
          </w:tcPr>
          <w:p w14:paraId="44C95D45">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c>
          <w:tcPr>
            <w:tcW w:w="587" w:type="pct"/>
            <w:vMerge w:val="continue"/>
            <w:vAlign w:val="center"/>
          </w:tcPr>
          <w:p w14:paraId="1A03AD48">
            <w:pPr>
              <w:pStyle w:val="574"/>
              <w:spacing w:line="240" w:lineRule="auto"/>
              <w:rPr>
                <w:rFonts w:asciiTheme="minorEastAsia" w:hAnsiTheme="minorEastAsia" w:eastAsiaTheme="minorEastAsia"/>
                <w:sz w:val="21"/>
                <w:szCs w:val="21"/>
              </w:rPr>
            </w:pPr>
          </w:p>
        </w:tc>
        <w:tc>
          <w:tcPr>
            <w:tcW w:w="512" w:type="pct"/>
            <w:vMerge w:val="continue"/>
            <w:vAlign w:val="center"/>
          </w:tcPr>
          <w:p w14:paraId="2DD13BF7">
            <w:pPr>
              <w:pStyle w:val="574"/>
              <w:rPr>
                <w:rFonts w:asciiTheme="minorEastAsia" w:hAnsiTheme="minorEastAsia" w:eastAsiaTheme="minorEastAsia"/>
                <w:sz w:val="21"/>
                <w:szCs w:val="21"/>
              </w:rPr>
            </w:pPr>
          </w:p>
        </w:tc>
        <w:tc>
          <w:tcPr>
            <w:tcW w:w="415" w:type="pct"/>
            <w:vAlign w:val="center"/>
          </w:tcPr>
          <w:p w14:paraId="38DD597D">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519" w:type="pct"/>
            <w:vAlign w:val="center"/>
          </w:tcPr>
          <w:p w14:paraId="1CB5A9C2">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0.006</w:t>
            </w:r>
          </w:p>
        </w:tc>
        <w:tc>
          <w:tcPr>
            <w:tcW w:w="519" w:type="pct"/>
            <w:tcBorders>
              <w:right w:val="single" w:color="auto" w:sz="12" w:space="0"/>
            </w:tcBorders>
            <w:vAlign w:val="center"/>
          </w:tcPr>
          <w:p w14:paraId="5D6D67BF">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r>
      <w:tr w14:paraId="4ED9C7C7">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72" w:type="pct"/>
            <w:vMerge w:val="continue"/>
            <w:tcBorders>
              <w:left w:val="single" w:color="auto" w:sz="12" w:space="0"/>
            </w:tcBorders>
            <w:vAlign w:val="center"/>
          </w:tcPr>
          <w:p w14:paraId="142C1879">
            <w:pPr>
              <w:pStyle w:val="574"/>
              <w:spacing w:line="240" w:lineRule="auto"/>
              <w:ind w:firstLine="420"/>
              <w:rPr>
                <w:rFonts w:asciiTheme="minorEastAsia" w:hAnsiTheme="minorEastAsia" w:eastAsiaTheme="minorEastAsia"/>
                <w:sz w:val="21"/>
                <w:szCs w:val="21"/>
              </w:rPr>
            </w:pPr>
          </w:p>
        </w:tc>
        <w:tc>
          <w:tcPr>
            <w:tcW w:w="587" w:type="pct"/>
            <w:vMerge w:val="continue"/>
            <w:vAlign w:val="center"/>
          </w:tcPr>
          <w:p w14:paraId="25DD2508">
            <w:pPr>
              <w:pStyle w:val="574"/>
              <w:spacing w:line="240" w:lineRule="auto"/>
              <w:ind w:firstLine="420"/>
              <w:rPr>
                <w:rFonts w:asciiTheme="minorEastAsia" w:hAnsiTheme="minorEastAsia" w:eastAsiaTheme="minorEastAsia"/>
                <w:sz w:val="21"/>
                <w:szCs w:val="21"/>
              </w:rPr>
            </w:pPr>
          </w:p>
        </w:tc>
        <w:tc>
          <w:tcPr>
            <w:tcW w:w="414" w:type="pct"/>
            <w:vAlign w:val="center"/>
          </w:tcPr>
          <w:p w14:paraId="747FEF88">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3#</w:t>
            </w:r>
          </w:p>
        </w:tc>
        <w:tc>
          <w:tcPr>
            <w:tcW w:w="486" w:type="pct"/>
            <w:vAlign w:val="center"/>
          </w:tcPr>
          <w:p w14:paraId="62050AF6">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0.6</w:t>
            </w:r>
          </w:p>
        </w:tc>
        <w:tc>
          <w:tcPr>
            <w:tcW w:w="488" w:type="pct"/>
            <w:vAlign w:val="center"/>
          </w:tcPr>
          <w:p w14:paraId="78056BD3">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c>
          <w:tcPr>
            <w:tcW w:w="587" w:type="pct"/>
            <w:vMerge w:val="continue"/>
            <w:vAlign w:val="center"/>
          </w:tcPr>
          <w:p w14:paraId="29F55D87">
            <w:pPr>
              <w:pStyle w:val="574"/>
              <w:spacing w:line="240" w:lineRule="auto"/>
              <w:ind w:firstLine="420"/>
              <w:rPr>
                <w:rFonts w:asciiTheme="minorEastAsia" w:hAnsiTheme="minorEastAsia" w:eastAsiaTheme="minorEastAsia"/>
                <w:sz w:val="21"/>
                <w:szCs w:val="21"/>
              </w:rPr>
            </w:pPr>
          </w:p>
        </w:tc>
        <w:tc>
          <w:tcPr>
            <w:tcW w:w="512" w:type="pct"/>
            <w:vMerge w:val="continue"/>
            <w:vAlign w:val="center"/>
          </w:tcPr>
          <w:p w14:paraId="618F2FC8">
            <w:pPr>
              <w:pStyle w:val="574"/>
              <w:ind w:firstLine="420"/>
              <w:rPr>
                <w:rFonts w:asciiTheme="minorEastAsia" w:hAnsiTheme="minorEastAsia" w:eastAsiaTheme="minorEastAsia"/>
                <w:sz w:val="21"/>
                <w:szCs w:val="21"/>
              </w:rPr>
            </w:pPr>
          </w:p>
        </w:tc>
        <w:tc>
          <w:tcPr>
            <w:tcW w:w="415" w:type="pct"/>
            <w:vAlign w:val="center"/>
          </w:tcPr>
          <w:p w14:paraId="1E3C752F">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3#</w:t>
            </w:r>
          </w:p>
        </w:tc>
        <w:tc>
          <w:tcPr>
            <w:tcW w:w="519" w:type="pct"/>
            <w:vAlign w:val="center"/>
          </w:tcPr>
          <w:p w14:paraId="0936A160">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0.055</w:t>
            </w:r>
          </w:p>
        </w:tc>
        <w:tc>
          <w:tcPr>
            <w:tcW w:w="519" w:type="pct"/>
            <w:tcBorders>
              <w:right w:val="single" w:color="auto" w:sz="12" w:space="0"/>
            </w:tcBorders>
            <w:vAlign w:val="center"/>
          </w:tcPr>
          <w:p w14:paraId="689ED8C5">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r>
      <w:tr w14:paraId="193C45AB">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72" w:type="pct"/>
            <w:vMerge w:val="restart"/>
            <w:tcBorders>
              <w:left w:val="single" w:color="auto" w:sz="12" w:space="0"/>
            </w:tcBorders>
            <w:vAlign w:val="center"/>
          </w:tcPr>
          <w:p w14:paraId="321DBEBC">
            <w:pPr>
              <w:pStyle w:val="574"/>
              <w:spacing w:line="24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氟化物</w:t>
            </w:r>
          </w:p>
        </w:tc>
        <w:tc>
          <w:tcPr>
            <w:tcW w:w="587" w:type="pct"/>
            <w:vMerge w:val="restart"/>
            <w:vAlign w:val="center"/>
          </w:tcPr>
          <w:p w14:paraId="65A4F3AC">
            <w:pPr>
              <w:pStyle w:val="574"/>
              <w:spacing w:line="240" w:lineRule="auto"/>
              <w:rPr>
                <w:rFonts w:asciiTheme="minorEastAsia" w:hAnsiTheme="minorEastAsia" w:eastAsiaTheme="minorEastAsia"/>
                <w:sz w:val="21"/>
                <w:szCs w:val="21"/>
              </w:rPr>
            </w:pPr>
            <w:r>
              <w:rPr>
                <w:rFonts w:asciiTheme="minorEastAsia" w:hAnsiTheme="minorEastAsia" w:eastAsiaTheme="minorEastAsia"/>
                <w:sz w:val="21"/>
                <w:szCs w:val="21"/>
              </w:rPr>
              <w:t>≤</w:t>
            </w:r>
            <w:r>
              <w:rPr>
                <w:rFonts w:hint="eastAsia" w:asciiTheme="minorEastAsia" w:hAnsiTheme="minorEastAsia" w:eastAsiaTheme="minorEastAsia"/>
                <w:sz w:val="21"/>
                <w:szCs w:val="21"/>
              </w:rPr>
              <w:t>1.0</w:t>
            </w:r>
          </w:p>
          <w:p w14:paraId="41BE3075">
            <w:pPr>
              <w:pStyle w:val="574"/>
              <w:spacing w:line="240" w:lineRule="auto"/>
              <w:rPr>
                <w:rFonts w:asciiTheme="minorEastAsia" w:hAnsiTheme="minorEastAsia" w:eastAsiaTheme="minorEastAsia"/>
                <w:sz w:val="21"/>
                <w:szCs w:val="21"/>
              </w:rPr>
            </w:pPr>
            <w:r>
              <w:rPr>
                <w:rFonts w:hint="eastAsia" w:ascii="Times New Roman" w:hAnsi="Times New Roman"/>
                <w:sz w:val="21"/>
                <w:szCs w:val="21"/>
              </w:rPr>
              <w:t>（</w:t>
            </w:r>
            <w:r>
              <w:rPr>
                <w:rFonts w:ascii="Times New Roman" w:hAnsi="Times New Roman"/>
                <w:sz w:val="21"/>
                <w:szCs w:val="21"/>
              </w:rPr>
              <w:t>mg/L</w:t>
            </w:r>
            <w:r>
              <w:rPr>
                <w:rFonts w:hint="eastAsia" w:ascii="Times New Roman" w:hAnsi="Times New Roman"/>
                <w:sz w:val="21"/>
                <w:szCs w:val="21"/>
              </w:rPr>
              <w:t>）</w:t>
            </w:r>
          </w:p>
        </w:tc>
        <w:tc>
          <w:tcPr>
            <w:tcW w:w="414" w:type="pct"/>
            <w:vAlign w:val="center"/>
          </w:tcPr>
          <w:p w14:paraId="2E712E9F">
            <w:pPr>
              <w:pStyle w:val="574"/>
              <w:spacing w:line="24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486" w:type="pct"/>
            <w:vAlign w:val="center"/>
          </w:tcPr>
          <w:p w14:paraId="571F6F9B">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0.74</w:t>
            </w:r>
          </w:p>
        </w:tc>
        <w:tc>
          <w:tcPr>
            <w:tcW w:w="488" w:type="pct"/>
            <w:vAlign w:val="center"/>
          </w:tcPr>
          <w:p w14:paraId="529F4BD9">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c>
          <w:tcPr>
            <w:tcW w:w="587" w:type="pct"/>
            <w:vMerge w:val="restart"/>
            <w:vAlign w:val="center"/>
          </w:tcPr>
          <w:p w14:paraId="258E9B74">
            <w:pPr>
              <w:pStyle w:val="574"/>
              <w:spacing w:line="24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溶解性总固体</w:t>
            </w:r>
          </w:p>
          <w:p w14:paraId="1E70C205">
            <w:pPr>
              <w:pStyle w:val="574"/>
              <w:spacing w:line="240" w:lineRule="auto"/>
              <w:rPr>
                <w:rFonts w:asciiTheme="minorEastAsia" w:hAnsiTheme="minorEastAsia" w:eastAsiaTheme="minorEastAsia"/>
                <w:sz w:val="21"/>
                <w:szCs w:val="21"/>
              </w:rPr>
            </w:pPr>
            <w:r>
              <w:rPr>
                <w:rFonts w:hint="eastAsia" w:ascii="Times New Roman" w:hAnsi="Times New Roman"/>
                <w:sz w:val="21"/>
                <w:szCs w:val="21"/>
              </w:rPr>
              <w:t>（</w:t>
            </w:r>
            <w:r>
              <w:rPr>
                <w:rFonts w:ascii="Times New Roman" w:hAnsi="Times New Roman"/>
                <w:sz w:val="21"/>
                <w:szCs w:val="21"/>
              </w:rPr>
              <w:t>mg/L</w:t>
            </w:r>
            <w:r>
              <w:rPr>
                <w:rFonts w:hint="eastAsia" w:ascii="Times New Roman" w:hAnsi="Times New Roman"/>
                <w:sz w:val="21"/>
                <w:szCs w:val="21"/>
              </w:rPr>
              <w:t>）</w:t>
            </w:r>
          </w:p>
        </w:tc>
        <w:tc>
          <w:tcPr>
            <w:tcW w:w="512" w:type="pct"/>
            <w:vMerge w:val="restart"/>
            <w:vAlign w:val="center"/>
          </w:tcPr>
          <w:p w14:paraId="30578D84">
            <w:pPr>
              <w:pStyle w:val="574"/>
              <w:rPr>
                <w:rFonts w:asciiTheme="minorEastAsia" w:hAnsiTheme="minorEastAsia" w:eastAsiaTheme="minorEastAsia"/>
                <w:sz w:val="21"/>
                <w:szCs w:val="21"/>
              </w:rPr>
            </w:pPr>
            <w:r>
              <w:rPr>
                <w:rFonts w:asciiTheme="minorEastAsia" w:hAnsiTheme="minorEastAsia" w:eastAsiaTheme="minorEastAsia"/>
                <w:sz w:val="21"/>
                <w:szCs w:val="21"/>
              </w:rPr>
              <w:t>≤</w:t>
            </w:r>
            <w:r>
              <w:rPr>
                <w:rFonts w:hint="eastAsia" w:asciiTheme="minorEastAsia" w:hAnsiTheme="minorEastAsia" w:eastAsiaTheme="minorEastAsia"/>
                <w:sz w:val="21"/>
                <w:szCs w:val="21"/>
              </w:rPr>
              <w:t>1000</w:t>
            </w:r>
          </w:p>
        </w:tc>
        <w:tc>
          <w:tcPr>
            <w:tcW w:w="415" w:type="pct"/>
            <w:vAlign w:val="center"/>
          </w:tcPr>
          <w:p w14:paraId="1E2810BD">
            <w:pPr>
              <w:pStyle w:val="574"/>
              <w:spacing w:line="24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519" w:type="pct"/>
            <w:vAlign w:val="center"/>
          </w:tcPr>
          <w:p w14:paraId="109AB7F6">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0.67</w:t>
            </w:r>
          </w:p>
        </w:tc>
        <w:tc>
          <w:tcPr>
            <w:tcW w:w="519" w:type="pct"/>
            <w:tcBorders>
              <w:right w:val="single" w:color="auto" w:sz="12" w:space="0"/>
            </w:tcBorders>
            <w:vAlign w:val="center"/>
          </w:tcPr>
          <w:p w14:paraId="3ECBB1E5">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r>
      <w:tr w14:paraId="2BD19EE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472" w:type="pct"/>
            <w:vMerge w:val="continue"/>
            <w:tcBorders>
              <w:left w:val="single" w:color="auto" w:sz="12" w:space="0"/>
            </w:tcBorders>
            <w:vAlign w:val="center"/>
          </w:tcPr>
          <w:p w14:paraId="1A58D62E">
            <w:pPr>
              <w:pStyle w:val="574"/>
              <w:spacing w:line="240" w:lineRule="auto"/>
              <w:ind w:firstLine="420"/>
              <w:rPr>
                <w:rFonts w:asciiTheme="minorEastAsia" w:hAnsiTheme="minorEastAsia" w:eastAsiaTheme="minorEastAsia"/>
                <w:sz w:val="21"/>
                <w:szCs w:val="21"/>
              </w:rPr>
            </w:pPr>
          </w:p>
        </w:tc>
        <w:tc>
          <w:tcPr>
            <w:tcW w:w="587" w:type="pct"/>
            <w:vMerge w:val="continue"/>
            <w:vAlign w:val="center"/>
          </w:tcPr>
          <w:p w14:paraId="48211A79">
            <w:pPr>
              <w:pStyle w:val="574"/>
              <w:spacing w:line="240" w:lineRule="auto"/>
              <w:ind w:firstLine="420"/>
              <w:rPr>
                <w:rFonts w:asciiTheme="minorEastAsia" w:hAnsiTheme="minorEastAsia" w:eastAsiaTheme="minorEastAsia"/>
                <w:sz w:val="21"/>
                <w:szCs w:val="21"/>
              </w:rPr>
            </w:pPr>
          </w:p>
        </w:tc>
        <w:tc>
          <w:tcPr>
            <w:tcW w:w="414" w:type="pct"/>
            <w:vAlign w:val="center"/>
          </w:tcPr>
          <w:p w14:paraId="6A4DDA00">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486" w:type="pct"/>
            <w:vAlign w:val="center"/>
          </w:tcPr>
          <w:p w14:paraId="0C556155">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1.77</w:t>
            </w:r>
          </w:p>
        </w:tc>
        <w:tc>
          <w:tcPr>
            <w:tcW w:w="488" w:type="pct"/>
            <w:vAlign w:val="center"/>
          </w:tcPr>
          <w:p w14:paraId="191B9364">
            <w:pPr>
              <w:pStyle w:val="574"/>
              <w:rPr>
                <w:rFonts w:asciiTheme="minorEastAsia" w:hAnsiTheme="minorEastAsia" w:eastAsiaTheme="minorEastAsia"/>
                <w:sz w:val="21"/>
                <w:szCs w:val="21"/>
              </w:rPr>
            </w:pPr>
            <w:r>
              <w:rPr>
                <w:rFonts w:asciiTheme="minorEastAsia" w:hAnsiTheme="minorEastAsia" w:eastAsiaTheme="minorEastAsia"/>
                <w:sz w:val="21"/>
                <w:szCs w:val="21"/>
              </w:rPr>
              <w:t>超标</w:t>
            </w:r>
          </w:p>
        </w:tc>
        <w:tc>
          <w:tcPr>
            <w:tcW w:w="587" w:type="pct"/>
            <w:vMerge w:val="continue"/>
            <w:vAlign w:val="center"/>
          </w:tcPr>
          <w:p w14:paraId="74F4480F">
            <w:pPr>
              <w:pStyle w:val="574"/>
              <w:ind w:firstLine="420"/>
              <w:rPr>
                <w:rFonts w:asciiTheme="minorEastAsia" w:hAnsiTheme="minorEastAsia" w:eastAsiaTheme="minorEastAsia"/>
                <w:sz w:val="21"/>
                <w:szCs w:val="21"/>
              </w:rPr>
            </w:pPr>
          </w:p>
        </w:tc>
        <w:tc>
          <w:tcPr>
            <w:tcW w:w="512" w:type="pct"/>
            <w:vMerge w:val="continue"/>
            <w:vAlign w:val="center"/>
          </w:tcPr>
          <w:p w14:paraId="4C43FF37">
            <w:pPr>
              <w:pStyle w:val="574"/>
              <w:ind w:firstLine="420"/>
              <w:rPr>
                <w:rFonts w:asciiTheme="minorEastAsia" w:hAnsiTheme="minorEastAsia" w:eastAsiaTheme="minorEastAsia"/>
                <w:sz w:val="21"/>
                <w:szCs w:val="21"/>
              </w:rPr>
            </w:pPr>
          </w:p>
        </w:tc>
        <w:tc>
          <w:tcPr>
            <w:tcW w:w="415" w:type="pct"/>
            <w:vAlign w:val="center"/>
          </w:tcPr>
          <w:p w14:paraId="489008DF">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519" w:type="pct"/>
            <w:vAlign w:val="center"/>
          </w:tcPr>
          <w:p w14:paraId="32A55540">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0.60</w:t>
            </w:r>
          </w:p>
        </w:tc>
        <w:tc>
          <w:tcPr>
            <w:tcW w:w="519" w:type="pct"/>
            <w:tcBorders>
              <w:right w:val="single" w:color="auto" w:sz="12" w:space="0"/>
            </w:tcBorders>
            <w:vAlign w:val="center"/>
          </w:tcPr>
          <w:p w14:paraId="0F9B2685">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r>
      <w:tr w14:paraId="5B34BB85">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472" w:type="pct"/>
            <w:vMerge w:val="continue"/>
            <w:tcBorders>
              <w:left w:val="single" w:color="auto" w:sz="12" w:space="0"/>
            </w:tcBorders>
            <w:vAlign w:val="center"/>
          </w:tcPr>
          <w:p w14:paraId="57385AF9">
            <w:pPr>
              <w:pStyle w:val="574"/>
              <w:spacing w:line="240" w:lineRule="auto"/>
              <w:ind w:firstLine="420"/>
              <w:rPr>
                <w:rFonts w:asciiTheme="minorEastAsia" w:hAnsiTheme="minorEastAsia" w:eastAsiaTheme="minorEastAsia"/>
                <w:sz w:val="21"/>
                <w:szCs w:val="21"/>
              </w:rPr>
            </w:pPr>
          </w:p>
        </w:tc>
        <w:tc>
          <w:tcPr>
            <w:tcW w:w="587" w:type="pct"/>
            <w:vMerge w:val="continue"/>
            <w:vAlign w:val="center"/>
          </w:tcPr>
          <w:p w14:paraId="6878FD42">
            <w:pPr>
              <w:pStyle w:val="574"/>
              <w:spacing w:line="240" w:lineRule="auto"/>
              <w:ind w:firstLine="420"/>
              <w:rPr>
                <w:rFonts w:asciiTheme="minorEastAsia" w:hAnsiTheme="minorEastAsia" w:eastAsiaTheme="minorEastAsia"/>
                <w:sz w:val="21"/>
                <w:szCs w:val="21"/>
              </w:rPr>
            </w:pPr>
          </w:p>
        </w:tc>
        <w:tc>
          <w:tcPr>
            <w:tcW w:w="414" w:type="pct"/>
            <w:vAlign w:val="center"/>
          </w:tcPr>
          <w:p w14:paraId="787555AC">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3#</w:t>
            </w:r>
          </w:p>
        </w:tc>
        <w:tc>
          <w:tcPr>
            <w:tcW w:w="486" w:type="pct"/>
            <w:vAlign w:val="center"/>
          </w:tcPr>
          <w:p w14:paraId="42C347B7">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0.75</w:t>
            </w:r>
          </w:p>
        </w:tc>
        <w:tc>
          <w:tcPr>
            <w:tcW w:w="488" w:type="pct"/>
            <w:vAlign w:val="center"/>
          </w:tcPr>
          <w:p w14:paraId="315D38E9">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c>
          <w:tcPr>
            <w:tcW w:w="587" w:type="pct"/>
            <w:vMerge w:val="continue"/>
            <w:vAlign w:val="center"/>
          </w:tcPr>
          <w:p w14:paraId="71A297B9">
            <w:pPr>
              <w:pStyle w:val="574"/>
              <w:ind w:firstLine="420"/>
              <w:rPr>
                <w:rFonts w:asciiTheme="minorEastAsia" w:hAnsiTheme="minorEastAsia" w:eastAsiaTheme="minorEastAsia"/>
                <w:sz w:val="21"/>
                <w:szCs w:val="21"/>
              </w:rPr>
            </w:pPr>
          </w:p>
        </w:tc>
        <w:tc>
          <w:tcPr>
            <w:tcW w:w="512" w:type="pct"/>
            <w:vMerge w:val="continue"/>
            <w:vAlign w:val="center"/>
          </w:tcPr>
          <w:p w14:paraId="0CAE7F6F">
            <w:pPr>
              <w:pStyle w:val="574"/>
              <w:ind w:firstLine="420"/>
              <w:rPr>
                <w:rFonts w:asciiTheme="minorEastAsia" w:hAnsiTheme="minorEastAsia" w:eastAsiaTheme="minorEastAsia"/>
                <w:sz w:val="21"/>
                <w:szCs w:val="21"/>
              </w:rPr>
            </w:pPr>
          </w:p>
        </w:tc>
        <w:tc>
          <w:tcPr>
            <w:tcW w:w="415" w:type="pct"/>
            <w:vAlign w:val="center"/>
          </w:tcPr>
          <w:p w14:paraId="2AAD7FBB">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3#</w:t>
            </w:r>
          </w:p>
        </w:tc>
        <w:tc>
          <w:tcPr>
            <w:tcW w:w="519" w:type="pct"/>
            <w:vAlign w:val="center"/>
          </w:tcPr>
          <w:p w14:paraId="09C2D43F">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0.68</w:t>
            </w:r>
          </w:p>
        </w:tc>
        <w:tc>
          <w:tcPr>
            <w:tcW w:w="519" w:type="pct"/>
            <w:tcBorders>
              <w:right w:val="single" w:color="auto" w:sz="12" w:space="0"/>
            </w:tcBorders>
            <w:vAlign w:val="center"/>
          </w:tcPr>
          <w:p w14:paraId="55BD3C3A">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r>
      <w:tr w14:paraId="532F2EE8">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472" w:type="pct"/>
            <w:vMerge w:val="restart"/>
            <w:tcBorders>
              <w:left w:val="single" w:color="auto" w:sz="12" w:space="0"/>
            </w:tcBorders>
            <w:vAlign w:val="center"/>
          </w:tcPr>
          <w:p w14:paraId="3D5A514F">
            <w:pPr>
              <w:pStyle w:val="574"/>
              <w:spacing w:line="24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汞</w:t>
            </w:r>
          </w:p>
        </w:tc>
        <w:tc>
          <w:tcPr>
            <w:tcW w:w="587" w:type="pct"/>
            <w:vMerge w:val="restart"/>
            <w:vAlign w:val="center"/>
          </w:tcPr>
          <w:p w14:paraId="65474F23">
            <w:pPr>
              <w:pStyle w:val="574"/>
              <w:spacing w:line="240" w:lineRule="auto"/>
              <w:rPr>
                <w:rFonts w:asciiTheme="minorEastAsia" w:hAnsiTheme="minorEastAsia" w:eastAsiaTheme="minorEastAsia"/>
                <w:sz w:val="21"/>
                <w:szCs w:val="21"/>
              </w:rPr>
            </w:pPr>
            <w:r>
              <w:rPr>
                <w:rFonts w:asciiTheme="minorEastAsia" w:hAnsiTheme="minorEastAsia" w:eastAsiaTheme="minorEastAsia"/>
                <w:sz w:val="21"/>
                <w:szCs w:val="21"/>
              </w:rPr>
              <w:t>≤</w:t>
            </w:r>
            <w:r>
              <w:rPr>
                <w:rFonts w:hint="eastAsia" w:asciiTheme="minorEastAsia" w:hAnsiTheme="minorEastAsia" w:eastAsiaTheme="minorEastAsia"/>
                <w:sz w:val="21"/>
                <w:szCs w:val="21"/>
              </w:rPr>
              <w:t>0.001</w:t>
            </w:r>
          </w:p>
          <w:p w14:paraId="0A05EDCB">
            <w:pPr>
              <w:pStyle w:val="574"/>
              <w:spacing w:line="240" w:lineRule="auto"/>
              <w:rPr>
                <w:rFonts w:asciiTheme="minorEastAsia" w:hAnsiTheme="minorEastAsia" w:eastAsiaTheme="minorEastAsia"/>
                <w:sz w:val="21"/>
                <w:szCs w:val="21"/>
              </w:rPr>
            </w:pPr>
            <w:r>
              <w:rPr>
                <w:rFonts w:hint="eastAsia" w:ascii="Times New Roman" w:hAnsi="Times New Roman"/>
                <w:sz w:val="21"/>
                <w:szCs w:val="21"/>
              </w:rPr>
              <w:t>（</w:t>
            </w:r>
            <w:r>
              <w:rPr>
                <w:rFonts w:ascii="Times New Roman" w:hAnsi="Times New Roman"/>
                <w:sz w:val="21"/>
                <w:szCs w:val="21"/>
              </w:rPr>
              <w:t>mg/L</w:t>
            </w:r>
            <w:r>
              <w:rPr>
                <w:rFonts w:hint="eastAsia" w:ascii="Times New Roman" w:hAnsi="Times New Roman"/>
                <w:sz w:val="21"/>
                <w:szCs w:val="21"/>
              </w:rPr>
              <w:t>）</w:t>
            </w:r>
          </w:p>
        </w:tc>
        <w:tc>
          <w:tcPr>
            <w:tcW w:w="414" w:type="pct"/>
            <w:vAlign w:val="center"/>
          </w:tcPr>
          <w:p w14:paraId="24726518">
            <w:pPr>
              <w:pStyle w:val="574"/>
              <w:spacing w:line="24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486" w:type="pct"/>
            <w:vAlign w:val="center"/>
          </w:tcPr>
          <w:p w14:paraId="385A5A1D">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0.4</w:t>
            </w:r>
          </w:p>
        </w:tc>
        <w:tc>
          <w:tcPr>
            <w:tcW w:w="488" w:type="pct"/>
            <w:vAlign w:val="center"/>
          </w:tcPr>
          <w:p w14:paraId="6EAD62DD">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c>
          <w:tcPr>
            <w:tcW w:w="587" w:type="pct"/>
            <w:vMerge w:val="restart"/>
            <w:vAlign w:val="center"/>
          </w:tcPr>
          <w:p w14:paraId="74DFA408">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细菌总数</w:t>
            </w:r>
          </w:p>
          <w:p w14:paraId="5C1AD336">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w:t>
            </w:r>
            <w:r>
              <w:rPr>
                <w:rFonts w:cs="楷体_GB2312" w:asciiTheme="minorEastAsia" w:hAnsiTheme="minorEastAsia" w:eastAsiaTheme="minorEastAsia"/>
                <w:sz w:val="21"/>
                <w:szCs w:val="21"/>
              </w:rPr>
              <w:t>个/</w:t>
            </w:r>
            <w:r>
              <w:rPr>
                <w:rFonts w:hint="eastAsia" w:cs="楷体_GB2312" w:asciiTheme="minorEastAsia" w:hAnsiTheme="minorEastAsia" w:eastAsiaTheme="minorEastAsia"/>
                <w:sz w:val="21"/>
                <w:szCs w:val="21"/>
              </w:rPr>
              <w:t>m</w:t>
            </w:r>
            <w:r>
              <w:rPr>
                <w:rFonts w:cs="楷体_GB2312" w:asciiTheme="minorEastAsia" w:hAnsiTheme="minorEastAsia" w:eastAsiaTheme="minorEastAsia"/>
                <w:sz w:val="21"/>
                <w:szCs w:val="21"/>
              </w:rPr>
              <w:t>L</w:t>
            </w:r>
            <w:r>
              <w:rPr>
                <w:rFonts w:hint="eastAsia" w:cs="楷体_GB2312" w:asciiTheme="minorEastAsia" w:hAnsiTheme="minorEastAsia" w:eastAsiaTheme="minorEastAsia"/>
                <w:sz w:val="21"/>
                <w:szCs w:val="21"/>
              </w:rPr>
              <w:t>）</w:t>
            </w:r>
          </w:p>
        </w:tc>
        <w:tc>
          <w:tcPr>
            <w:tcW w:w="512" w:type="pct"/>
            <w:vMerge w:val="restart"/>
            <w:vAlign w:val="center"/>
          </w:tcPr>
          <w:p w14:paraId="6A3F627B">
            <w:pPr>
              <w:pStyle w:val="574"/>
              <w:rPr>
                <w:rFonts w:asciiTheme="minorEastAsia" w:hAnsiTheme="minorEastAsia" w:eastAsiaTheme="minorEastAsia"/>
                <w:sz w:val="21"/>
                <w:szCs w:val="21"/>
              </w:rPr>
            </w:pPr>
            <w:r>
              <w:rPr>
                <w:rFonts w:asciiTheme="minorEastAsia" w:hAnsiTheme="minorEastAsia" w:eastAsiaTheme="minorEastAsia"/>
                <w:sz w:val="21"/>
                <w:szCs w:val="21"/>
              </w:rPr>
              <w:t>≤</w:t>
            </w:r>
            <w:r>
              <w:rPr>
                <w:rFonts w:hint="eastAsia" w:asciiTheme="minorEastAsia" w:hAnsiTheme="minorEastAsia" w:eastAsiaTheme="minorEastAsia"/>
                <w:sz w:val="21"/>
                <w:szCs w:val="21"/>
              </w:rPr>
              <w:t>100</w:t>
            </w:r>
          </w:p>
        </w:tc>
        <w:tc>
          <w:tcPr>
            <w:tcW w:w="415" w:type="pct"/>
            <w:vAlign w:val="center"/>
          </w:tcPr>
          <w:p w14:paraId="06FEADFF">
            <w:pPr>
              <w:pStyle w:val="574"/>
              <w:spacing w:line="24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519" w:type="pct"/>
            <w:vAlign w:val="center"/>
          </w:tcPr>
          <w:p w14:paraId="34378058">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519" w:type="pct"/>
            <w:tcBorders>
              <w:right w:val="single" w:color="auto" w:sz="12" w:space="0"/>
            </w:tcBorders>
            <w:vAlign w:val="center"/>
          </w:tcPr>
          <w:p w14:paraId="544C8EEE">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r>
      <w:tr w14:paraId="6D8EC76E">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72" w:type="pct"/>
            <w:vMerge w:val="continue"/>
            <w:tcBorders>
              <w:left w:val="single" w:color="auto" w:sz="12" w:space="0"/>
            </w:tcBorders>
            <w:vAlign w:val="center"/>
          </w:tcPr>
          <w:p w14:paraId="15474020">
            <w:pPr>
              <w:pStyle w:val="574"/>
              <w:spacing w:line="240" w:lineRule="auto"/>
              <w:ind w:firstLine="420"/>
              <w:rPr>
                <w:rFonts w:asciiTheme="minorEastAsia" w:hAnsiTheme="minorEastAsia" w:eastAsiaTheme="minorEastAsia"/>
                <w:sz w:val="21"/>
                <w:szCs w:val="21"/>
              </w:rPr>
            </w:pPr>
          </w:p>
        </w:tc>
        <w:tc>
          <w:tcPr>
            <w:tcW w:w="587" w:type="pct"/>
            <w:vMerge w:val="continue"/>
            <w:vAlign w:val="center"/>
          </w:tcPr>
          <w:p w14:paraId="33CB626D">
            <w:pPr>
              <w:pStyle w:val="574"/>
              <w:spacing w:line="240" w:lineRule="auto"/>
              <w:ind w:firstLine="420"/>
              <w:rPr>
                <w:rFonts w:asciiTheme="minorEastAsia" w:hAnsiTheme="minorEastAsia" w:eastAsiaTheme="minorEastAsia"/>
                <w:sz w:val="21"/>
                <w:szCs w:val="21"/>
              </w:rPr>
            </w:pPr>
          </w:p>
        </w:tc>
        <w:tc>
          <w:tcPr>
            <w:tcW w:w="414" w:type="pct"/>
            <w:vAlign w:val="center"/>
          </w:tcPr>
          <w:p w14:paraId="7535C089">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486" w:type="pct"/>
            <w:vAlign w:val="center"/>
          </w:tcPr>
          <w:p w14:paraId="2C9A25B3">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0.3</w:t>
            </w:r>
          </w:p>
        </w:tc>
        <w:tc>
          <w:tcPr>
            <w:tcW w:w="488" w:type="pct"/>
            <w:vAlign w:val="center"/>
          </w:tcPr>
          <w:p w14:paraId="36EE2843">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c>
          <w:tcPr>
            <w:tcW w:w="587" w:type="pct"/>
            <w:vMerge w:val="continue"/>
            <w:vAlign w:val="center"/>
          </w:tcPr>
          <w:p w14:paraId="7C60D616">
            <w:pPr>
              <w:pStyle w:val="574"/>
              <w:rPr>
                <w:rFonts w:asciiTheme="minorEastAsia" w:hAnsiTheme="minorEastAsia" w:eastAsiaTheme="minorEastAsia"/>
                <w:sz w:val="21"/>
                <w:szCs w:val="21"/>
              </w:rPr>
            </w:pPr>
          </w:p>
        </w:tc>
        <w:tc>
          <w:tcPr>
            <w:tcW w:w="512" w:type="pct"/>
            <w:vMerge w:val="continue"/>
            <w:vAlign w:val="center"/>
          </w:tcPr>
          <w:p w14:paraId="422B10A0">
            <w:pPr>
              <w:pStyle w:val="574"/>
              <w:rPr>
                <w:rFonts w:asciiTheme="minorEastAsia" w:hAnsiTheme="minorEastAsia" w:eastAsiaTheme="minorEastAsia"/>
                <w:sz w:val="21"/>
                <w:szCs w:val="21"/>
              </w:rPr>
            </w:pPr>
          </w:p>
        </w:tc>
        <w:tc>
          <w:tcPr>
            <w:tcW w:w="415" w:type="pct"/>
            <w:vAlign w:val="center"/>
          </w:tcPr>
          <w:p w14:paraId="563097F4">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519" w:type="pct"/>
            <w:vAlign w:val="center"/>
          </w:tcPr>
          <w:p w14:paraId="7415474A">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519" w:type="pct"/>
            <w:tcBorders>
              <w:right w:val="single" w:color="auto" w:sz="12" w:space="0"/>
            </w:tcBorders>
            <w:vAlign w:val="center"/>
          </w:tcPr>
          <w:p w14:paraId="7D12E902">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r>
      <w:tr w14:paraId="7E81E470">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472" w:type="pct"/>
            <w:vMerge w:val="continue"/>
            <w:tcBorders>
              <w:left w:val="single" w:color="auto" w:sz="12" w:space="0"/>
            </w:tcBorders>
            <w:vAlign w:val="center"/>
          </w:tcPr>
          <w:p w14:paraId="2435634B">
            <w:pPr>
              <w:pStyle w:val="574"/>
              <w:spacing w:line="240" w:lineRule="auto"/>
              <w:ind w:firstLine="420"/>
              <w:rPr>
                <w:rFonts w:asciiTheme="minorEastAsia" w:hAnsiTheme="minorEastAsia" w:eastAsiaTheme="minorEastAsia"/>
                <w:sz w:val="21"/>
                <w:szCs w:val="21"/>
              </w:rPr>
            </w:pPr>
          </w:p>
        </w:tc>
        <w:tc>
          <w:tcPr>
            <w:tcW w:w="587" w:type="pct"/>
            <w:vMerge w:val="continue"/>
            <w:vAlign w:val="center"/>
          </w:tcPr>
          <w:p w14:paraId="0DCD94CF">
            <w:pPr>
              <w:pStyle w:val="574"/>
              <w:spacing w:line="240" w:lineRule="auto"/>
              <w:ind w:firstLine="420"/>
              <w:rPr>
                <w:rFonts w:asciiTheme="minorEastAsia" w:hAnsiTheme="minorEastAsia" w:eastAsiaTheme="minorEastAsia"/>
                <w:sz w:val="21"/>
                <w:szCs w:val="21"/>
              </w:rPr>
            </w:pPr>
          </w:p>
        </w:tc>
        <w:tc>
          <w:tcPr>
            <w:tcW w:w="414" w:type="pct"/>
            <w:vAlign w:val="center"/>
          </w:tcPr>
          <w:p w14:paraId="5052B010">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3#</w:t>
            </w:r>
          </w:p>
        </w:tc>
        <w:tc>
          <w:tcPr>
            <w:tcW w:w="486" w:type="pct"/>
            <w:vAlign w:val="center"/>
          </w:tcPr>
          <w:p w14:paraId="175D5CAC">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0.4</w:t>
            </w:r>
          </w:p>
        </w:tc>
        <w:tc>
          <w:tcPr>
            <w:tcW w:w="488" w:type="pct"/>
            <w:vAlign w:val="center"/>
          </w:tcPr>
          <w:p w14:paraId="671F8C2B">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c>
          <w:tcPr>
            <w:tcW w:w="587" w:type="pct"/>
            <w:vMerge w:val="continue"/>
            <w:vAlign w:val="center"/>
          </w:tcPr>
          <w:p w14:paraId="15D237B4">
            <w:pPr>
              <w:pStyle w:val="574"/>
              <w:ind w:firstLine="420"/>
              <w:rPr>
                <w:rFonts w:asciiTheme="minorEastAsia" w:hAnsiTheme="minorEastAsia" w:eastAsiaTheme="minorEastAsia"/>
                <w:sz w:val="21"/>
                <w:szCs w:val="21"/>
              </w:rPr>
            </w:pPr>
          </w:p>
        </w:tc>
        <w:tc>
          <w:tcPr>
            <w:tcW w:w="512" w:type="pct"/>
            <w:vMerge w:val="continue"/>
            <w:vAlign w:val="center"/>
          </w:tcPr>
          <w:p w14:paraId="15CF966B">
            <w:pPr>
              <w:pStyle w:val="574"/>
              <w:ind w:firstLine="420"/>
              <w:rPr>
                <w:rFonts w:asciiTheme="minorEastAsia" w:hAnsiTheme="minorEastAsia" w:eastAsiaTheme="minorEastAsia"/>
                <w:sz w:val="21"/>
                <w:szCs w:val="21"/>
              </w:rPr>
            </w:pPr>
          </w:p>
        </w:tc>
        <w:tc>
          <w:tcPr>
            <w:tcW w:w="415" w:type="pct"/>
            <w:vAlign w:val="center"/>
          </w:tcPr>
          <w:p w14:paraId="6750A0C0">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3#</w:t>
            </w:r>
          </w:p>
        </w:tc>
        <w:tc>
          <w:tcPr>
            <w:tcW w:w="519" w:type="pct"/>
            <w:vAlign w:val="center"/>
          </w:tcPr>
          <w:p w14:paraId="4AEE7FC1">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519" w:type="pct"/>
            <w:tcBorders>
              <w:right w:val="single" w:color="auto" w:sz="12" w:space="0"/>
            </w:tcBorders>
            <w:vAlign w:val="center"/>
          </w:tcPr>
          <w:p w14:paraId="50D10D5E">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r>
      <w:tr w14:paraId="404FE510">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 w:hRule="atLeast"/>
          <w:jc w:val="center"/>
        </w:trPr>
        <w:tc>
          <w:tcPr>
            <w:tcW w:w="472" w:type="pct"/>
            <w:vMerge w:val="restart"/>
            <w:tcBorders>
              <w:left w:val="single" w:color="auto" w:sz="12" w:space="0"/>
            </w:tcBorders>
            <w:vAlign w:val="center"/>
          </w:tcPr>
          <w:p w14:paraId="3EB0DA5C">
            <w:pPr>
              <w:pStyle w:val="574"/>
              <w:spacing w:line="24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砷</w:t>
            </w:r>
          </w:p>
        </w:tc>
        <w:tc>
          <w:tcPr>
            <w:tcW w:w="587" w:type="pct"/>
            <w:vMerge w:val="restart"/>
            <w:vAlign w:val="center"/>
          </w:tcPr>
          <w:p w14:paraId="49EDC313">
            <w:pPr>
              <w:pStyle w:val="574"/>
              <w:spacing w:line="240" w:lineRule="auto"/>
              <w:rPr>
                <w:rFonts w:asciiTheme="minorEastAsia" w:hAnsiTheme="minorEastAsia" w:eastAsiaTheme="minorEastAsia"/>
                <w:sz w:val="21"/>
                <w:szCs w:val="21"/>
              </w:rPr>
            </w:pPr>
            <w:r>
              <w:rPr>
                <w:rFonts w:asciiTheme="minorEastAsia" w:hAnsiTheme="minorEastAsia" w:eastAsiaTheme="minorEastAsia"/>
                <w:sz w:val="21"/>
                <w:szCs w:val="21"/>
              </w:rPr>
              <w:t>≤</w:t>
            </w:r>
            <w:r>
              <w:rPr>
                <w:rFonts w:hint="eastAsia" w:asciiTheme="minorEastAsia" w:hAnsiTheme="minorEastAsia" w:eastAsiaTheme="minorEastAsia"/>
                <w:sz w:val="21"/>
                <w:szCs w:val="21"/>
              </w:rPr>
              <w:t>0.05</w:t>
            </w:r>
          </w:p>
          <w:p w14:paraId="3961461D">
            <w:pPr>
              <w:pStyle w:val="574"/>
              <w:spacing w:line="240" w:lineRule="auto"/>
              <w:rPr>
                <w:rFonts w:asciiTheme="minorEastAsia" w:hAnsiTheme="minorEastAsia" w:eastAsiaTheme="minorEastAsia"/>
                <w:sz w:val="21"/>
                <w:szCs w:val="21"/>
              </w:rPr>
            </w:pPr>
            <w:r>
              <w:rPr>
                <w:rFonts w:hint="eastAsia" w:ascii="Times New Roman" w:hAnsi="Times New Roman"/>
                <w:sz w:val="21"/>
                <w:szCs w:val="21"/>
              </w:rPr>
              <w:t>（</w:t>
            </w:r>
            <w:r>
              <w:rPr>
                <w:rFonts w:ascii="Times New Roman" w:hAnsi="Times New Roman"/>
                <w:sz w:val="21"/>
                <w:szCs w:val="21"/>
              </w:rPr>
              <w:t>mg/L</w:t>
            </w:r>
            <w:r>
              <w:rPr>
                <w:rFonts w:hint="eastAsia" w:ascii="Times New Roman" w:hAnsi="Times New Roman"/>
                <w:sz w:val="21"/>
                <w:szCs w:val="21"/>
              </w:rPr>
              <w:t>）</w:t>
            </w:r>
          </w:p>
        </w:tc>
        <w:tc>
          <w:tcPr>
            <w:tcW w:w="414" w:type="pct"/>
            <w:vAlign w:val="center"/>
          </w:tcPr>
          <w:p w14:paraId="6314B15B">
            <w:pPr>
              <w:pStyle w:val="574"/>
              <w:spacing w:line="24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486" w:type="pct"/>
            <w:vAlign w:val="center"/>
          </w:tcPr>
          <w:p w14:paraId="646E661C">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0.017</w:t>
            </w:r>
          </w:p>
        </w:tc>
        <w:tc>
          <w:tcPr>
            <w:tcW w:w="488" w:type="pct"/>
            <w:vAlign w:val="center"/>
          </w:tcPr>
          <w:p w14:paraId="5678700B">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c>
          <w:tcPr>
            <w:tcW w:w="587" w:type="pct"/>
            <w:vMerge w:val="restart"/>
            <w:vAlign w:val="center"/>
          </w:tcPr>
          <w:p w14:paraId="1B4F94CC">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大肠菌群</w:t>
            </w:r>
          </w:p>
          <w:p w14:paraId="4B164595">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w:t>
            </w:r>
            <w:r>
              <w:rPr>
                <w:rFonts w:cs="楷体_GB2312" w:asciiTheme="minorEastAsia" w:hAnsiTheme="minorEastAsia" w:eastAsiaTheme="minorEastAsia"/>
                <w:sz w:val="21"/>
                <w:szCs w:val="21"/>
              </w:rPr>
              <w:t>个/L</w:t>
            </w:r>
            <w:r>
              <w:rPr>
                <w:rFonts w:hint="eastAsia" w:cs="楷体_GB2312" w:asciiTheme="minorEastAsia" w:hAnsiTheme="minorEastAsia" w:eastAsiaTheme="minorEastAsia"/>
                <w:sz w:val="21"/>
                <w:szCs w:val="21"/>
              </w:rPr>
              <w:t>）</w:t>
            </w:r>
          </w:p>
        </w:tc>
        <w:tc>
          <w:tcPr>
            <w:tcW w:w="512" w:type="pct"/>
            <w:vMerge w:val="restart"/>
            <w:vAlign w:val="center"/>
          </w:tcPr>
          <w:p w14:paraId="68B69863">
            <w:pPr>
              <w:pStyle w:val="574"/>
              <w:rPr>
                <w:rFonts w:asciiTheme="minorEastAsia" w:hAnsiTheme="minorEastAsia" w:eastAsiaTheme="minorEastAsia"/>
                <w:sz w:val="21"/>
                <w:szCs w:val="21"/>
              </w:rPr>
            </w:pPr>
            <w:r>
              <w:rPr>
                <w:rFonts w:asciiTheme="minorEastAsia" w:hAnsiTheme="minorEastAsia" w:eastAsiaTheme="minorEastAsia"/>
                <w:sz w:val="21"/>
                <w:szCs w:val="21"/>
              </w:rPr>
              <w:t>≤</w:t>
            </w:r>
            <w:r>
              <w:rPr>
                <w:rFonts w:hint="eastAsia" w:asciiTheme="minorEastAsia" w:hAnsiTheme="minorEastAsia" w:eastAsiaTheme="minorEastAsia"/>
                <w:sz w:val="21"/>
                <w:szCs w:val="21"/>
              </w:rPr>
              <w:t>3.0</w:t>
            </w:r>
          </w:p>
        </w:tc>
        <w:tc>
          <w:tcPr>
            <w:tcW w:w="415" w:type="pct"/>
            <w:vAlign w:val="center"/>
          </w:tcPr>
          <w:p w14:paraId="0B054098">
            <w:pPr>
              <w:pStyle w:val="574"/>
              <w:spacing w:line="24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519" w:type="pct"/>
            <w:vAlign w:val="center"/>
          </w:tcPr>
          <w:p w14:paraId="51EAE650">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519" w:type="pct"/>
            <w:tcBorders>
              <w:right w:val="single" w:color="auto" w:sz="12" w:space="0"/>
            </w:tcBorders>
            <w:vAlign w:val="center"/>
          </w:tcPr>
          <w:p w14:paraId="3814C159">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r>
      <w:tr w14:paraId="27CA8A9E">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72" w:type="pct"/>
            <w:vMerge w:val="continue"/>
            <w:tcBorders>
              <w:left w:val="single" w:color="auto" w:sz="12" w:space="0"/>
            </w:tcBorders>
            <w:vAlign w:val="center"/>
          </w:tcPr>
          <w:p w14:paraId="75D4C7CA">
            <w:pPr>
              <w:pStyle w:val="574"/>
              <w:spacing w:line="240" w:lineRule="auto"/>
              <w:ind w:firstLine="420"/>
              <w:rPr>
                <w:rFonts w:asciiTheme="minorEastAsia" w:hAnsiTheme="minorEastAsia" w:eastAsiaTheme="minorEastAsia"/>
                <w:sz w:val="21"/>
                <w:szCs w:val="21"/>
              </w:rPr>
            </w:pPr>
          </w:p>
        </w:tc>
        <w:tc>
          <w:tcPr>
            <w:tcW w:w="587" w:type="pct"/>
            <w:vMerge w:val="continue"/>
            <w:vAlign w:val="center"/>
          </w:tcPr>
          <w:p w14:paraId="1DEBC2A0">
            <w:pPr>
              <w:pStyle w:val="574"/>
              <w:spacing w:line="240" w:lineRule="auto"/>
              <w:ind w:firstLine="420"/>
              <w:rPr>
                <w:rFonts w:asciiTheme="minorEastAsia" w:hAnsiTheme="minorEastAsia" w:eastAsiaTheme="minorEastAsia"/>
                <w:sz w:val="21"/>
                <w:szCs w:val="21"/>
              </w:rPr>
            </w:pPr>
          </w:p>
        </w:tc>
        <w:tc>
          <w:tcPr>
            <w:tcW w:w="414" w:type="pct"/>
            <w:vAlign w:val="center"/>
          </w:tcPr>
          <w:p w14:paraId="1DAAEDEB">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486" w:type="pct"/>
            <w:vAlign w:val="center"/>
          </w:tcPr>
          <w:p w14:paraId="4F914044">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0.02</w:t>
            </w:r>
          </w:p>
        </w:tc>
        <w:tc>
          <w:tcPr>
            <w:tcW w:w="488" w:type="pct"/>
            <w:vAlign w:val="center"/>
          </w:tcPr>
          <w:p w14:paraId="3103511C">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c>
          <w:tcPr>
            <w:tcW w:w="587" w:type="pct"/>
            <w:vMerge w:val="continue"/>
            <w:vAlign w:val="center"/>
          </w:tcPr>
          <w:p w14:paraId="1CE7A78B">
            <w:pPr>
              <w:pStyle w:val="574"/>
              <w:rPr>
                <w:rFonts w:asciiTheme="minorEastAsia" w:hAnsiTheme="minorEastAsia" w:eastAsiaTheme="minorEastAsia"/>
                <w:sz w:val="21"/>
                <w:szCs w:val="21"/>
              </w:rPr>
            </w:pPr>
          </w:p>
        </w:tc>
        <w:tc>
          <w:tcPr>
            <w:tcW w:w="512" w:type="pct"/>
            <w:vMerge w:val="continue"/>
            <w:vAlign w:val="center"/>
          </w:tcPr>
          <w:p w14:paraId="31F6FDAE">
            <w:pPr>
              <w:pStyle w:val="574"/>
              <w:rPr>
                <w:rFonts w:asciiTheme="minorEastAsia" w:hAnsiTheme="minorEastAsia" w:eastAsiaTheme="minorEastAsia"/>
                <w:sz w:val="21"/>
                <w:szCs w:val="21"/>
              </w:rPr>
            </w:pPr>
          </w:p>
        </w:tc>
        <w:tc>
          <w:tcPr>
            <w:tcW w:w="415" w:type="pct"/>
            <w:vAlign w:val="center"/>
          </w:tcPr>
          <w:p w14:paraId="1A704D18">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519" w:type="pct"/>
            <w:vAlign w:val="center"/>
          </w:tcPr>
          <w:p w14:paraId="53195787">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519" w:type="pct"/>
            <w:tcBorders>
              <w:right w:val="single" w:color="auto" w:sz="12" w:space="0"/>
            </w:tcBorders>
            <w:vAlign w:val="center"/>
          </w:tcPr>
          <w:p w14:paraId="718EFDB3">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r>
      <w:tr w14:paraId="0C9C0BF7">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72" w:type="pct"/>
            <w:vMerge w:val="continue"/>
            <w:tcBorders>
              <w:left w:val="single" w:color="auto" w:sz="12" w:space="0"/>
            </w:tcBorders>
            <w:vAlign w:val="center"/>
          </w:tcPr>
          <w:p w14:paraId="1314509D">
            <w:pPr>
              <w:pStyle w:val="574"/>
              <w:spacing w:line="240" w:lineRule="auto"/>
              <w:ind w:firstLine="420"/>
              <w:rPr>
                <w:rFonts w:asciiTheme="minorEastAsia" w:hAnsiTheme="minorEastAsia" w:eastAsiaTheme="minorEastAsia"/>
                <w:sz w:val="21"/>
                <w:szCs w:val="21"/>
              </w:rPr>
            </w:pPr>
          </w:p>
        </w:tc>
        <w:tc>
          <w:tcPr>
            <w:tcW w:w="587" w:type="pct"/>
            <w:vMerge w:val="continue"/>
            <w:vAlign w:val="center"/>
          </w:tcPr>
          <w:p w14:paraId="501645CD">
            <w:pPr>
              <w:pStyle w:val="574"/>
              <w:spacing w:line="240" w:lineRule="auto"/>
              <w:ind w:firstLine="420"/>
              <w:rPr>
                <w:rFonts w:asciiTheme="minorEastAsia" w:hAnsiTheme="minorEastAsia" w:eastAsiaTheme="minorEastAsia"/>
                <w:sz w:val="21"/>
                <w:szCs w:val="21"/>
              </w:rPr>
            </w:pPr>
          </w:p>
        </w:tc>
        <w:tc>
          <w:tcPr>
            <w:tcW w:w="414" w:type="pct"/>
            <w:vAlign w:val="center"/>
          </w:tcPr>
          <w:p w14:paraId="4CA09F55">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3#</w:t>
            </w:r>
          </w:p>
        </w:tc>
        <w:tc>
          <w:tcPr>
            <w:tcW w:w="486" w:type="pct"/>
            <w:vAlign w:val="center"/>
          </w:tcPr>
          <w:p w14:paraId="3E275163">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0.019</w:t>
            </w:r>
          </w:p>
        </w:tc>
        <w:tc>
          <w:tcPr>
            <w:tcW w:w="488" w:type="pct"/>
            <w:vAlign w:val="center"/>
          </w:tcPr>
          <w:p w14:paraId="04E7F1F3">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c>
          <w:tcPr>
            <w:tcW w:w="587" w:type="pct"/>
            <w:vMerge w:val="continue"/>
            <w:vAlign w:val="center"/>
          </w:tcPr>
          <w:p w14:paraId="08F6E7D3">
            <w:pPr>
              <w:pStyle w:val="574"/>
              <w:ind w:firstLine="420"/>
              <w:rPr>
                <w:rFonts w:asciiTheme="minorEastAsia" w:hAnsiTheme="minorEastAsia" w:eastAsiaTheme="minorEastAsia"/>
                <w:sz w:val="21"/>
                <w:szCs w:val="21"/>
              </w:rPr>
            </w:pPr>
          </w:p>
        </w:tc>
        <w:tc>
          <w:tcPr>
            <w:tcW w:w="512" w:type="pct"/>
            <w:vMerge w:val="continue"/>
            <w:vAlign w:val="center"/>
          </w:tcPr>
          <w:p w14:paraId="536A3FA4">
            <w:pPr>
              <w:pStyle w:val="574"/>
              <w:ind w:firstLine="420"/>
              <w:rPr>
                <w:rFonts w:asciiTheme="minorEastAsia" w:hAnsiTheme="minorEastAsia" w:eastAsiaTheme="minorEastAsia"/>
                <w:sz w:val="21"/>
                <w:szCs w:val="21"/>
              </w:rPr>
            </w:pPr>
          </w:p>
        </w:tc>
        <w:tc>
          <w:tcPr>
            <w:tcW w:w="415" w:type="pct"/>
            <w:vAlign w:val="center"/>
          </w:tcPr>
          <w:p w14:paraId="73646472">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3#</w:t>
            </w:r>
          </w:p>
        </w:tc>
        <w:tc>
          <w:tcPr>
            <w:tcW w:w="519" w:type="pct"/>
            <w:vAlign w:val="center"/>
          </w:tcPr>
          <w:p w14:paraId="6BE022FA">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w:t>
            </w:r>
          </w:p>
        </w:tc>
        <w:tc>
          <w:tcPr>
            <w:tcW w:w="519" w:type="pct"/>
            <w:tcBorders>
              <w:right w:val="single" w:color="auto" w:sz="12" w:space="0"/>
            </w:tcBorders>
            <w:vAlign w:val="center"/>
          </w:tcPr>
          <w:p w14:paraId="41FD534B">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r>
      <w:tr w14:paraId="2F9DA766">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72" w:type="pct"/>
            <w:vMerge w:val="restart"/>
            <w:tcBorders>
              <w:left w:val="single" w:color="auto" w:sz="12" w:space="0"/>
            </w:tcBorders>
            <w:vAlign w:val="center"/>
          </w:tcPr>
          <w:p w14:paraId="011192AF">
            <w:pPr>
              <w:pStyle w:val="574"/>
              <w:spacing w:line="24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六价铬</w:t>
            </w:r>
          </w:p>
        </w:tc>
        <w:tc>
          <w:tcPr>
            <w:tcW w:w="587" w:type="pct"/>
            <w:vMerge w:val="restart"/>
            <w:vAlign w:val="center"/>
          </w:tcPr>
          <w:p w14:paraId="047937FA">
            <w:pPr>
              <w:pStyle w:val="574"/>
              <w:spacing w:line="240" w:lineRule="auto"/>
              <w:rPr>
                <w:rFonts w:asciiTheme="minorEastAsia" w:hAnsiTheme="minorEastAsia" w:eastAsiaTheme="minorEastAsia"/>
                <w:sz w:val="21"/>
                <w:szCs w:val="21"/>
              </w:rPr>
            </w:pPr>
            <w:r>
              <w:rPr>
                <w:rFonts w:asciiTheme="minorEastAsia" w:hAnsiTheme="minorEastAsia" w:eastAsiaTheme="minorEastAsia"/>
                <w:sz w:val="21"/>
                <w:szCs w:val="21"/>
              </w:rPr>
              <w:t>≤</w:t>
            </w:r>
            <w:r>
              <w:rPr>
                <w:rFonts w:hint="eastAsia" w:asciiTheme="minorEastAsia" w:hAnsiTheme="minorEastAsia" w:eastAsiaTheme="minorEastAsia"/>
                <w:sz w:val="21"/>
                <w:szCs w:val="21"/>
              </w:rPr>
              <w:t>0.05</w:t>
            </w:r>
          </w:p>
          <w:p w14:paraId="7AC0A46A">
            <w:pPr>
              <w:pStyle w:val="574"/>
              <w:spacing w:line="240" w:lineRule="auto"/>
              <w:rPr>
                <w:rFonts w:asciiTheme="minorEastAsia" w:hAnsiTheme="minorEastAsia" w:eastAsiaTheme="minorEastAsia"/>
                <w:sz w:val="21"/>
                <w:szCs w:val="21"/>
              </w:rPr>
            </w:pPr>
            <w:r>
              <w:rPr>
                <w:rFonts w:hint="eastAsia" w:ascii="Times New Roman" w:hAnsi="Times New Roman"/>
                <w:sz w:val="21"/>
                <w:szCs w:val="21"/>
              </w:rPr>
              <w:t>（</w:t>
            </w:r>
            <w:r>
              <w:rPr>
                <w:rFonts w:ascii="Times New Roman" w:hAnsi="Times New Roman"/>
                <w:sz w:val="21"/>
                <w:szCs w:val="21"/>
              </w:rPr>
              <w:t>mg/L</w:t>
            </w:r>
            <w:r>
              <w:rPr>
                <w:rFonts w:hint="eastAsia" w:ascii="Times New Roman" w:hAnsi="Times New Roman"/>
                <w:sz w:val="21"/>
                <w:szCs w:val="21"/>
              </w:rPr>
              <w:t>）</w:t>
            </w:r>
          </w:p>
        </w:tc>
        <w:tc>
          <w:tcPr>
            <w:tcW w:w="414" w:type="pct"/>
            <w:vAlign w:val="center"/>
          </w:tcPr>
          <w:p w14:paraId="2C6C2BC1">
            <w:pPr>
              <w:pStyle w:val="574"/>
              <w:spacing w:line="24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486" w:type="pct"/>
            <w:vAlign w:val="center"/>
          </w:tcPr>
          <w:p w14:paraId="5C0D6DEB">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0.04</w:t>
            </w:r>
          </w:p>
        </w:tc>
        <w:tc>
          <w:tcPr>
            <w:tcW w:w="488" w:type="pct"/>
            <w:vAlign w:val="center"/>
          </w:tcPr>
          <w:p w14:paraId="6299BCC6">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c>
          <w:tcPr>
            <w:tcW w:w="587" w:type="pct"/>
            <w:vMerge w:val="restart"/>
            <w:vAlign w:val="center"/>
          </w:tcPr>
          <w:p w14:paraId="04041306">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石油类</w:t>
            </w:r>
          </w:p>
          <w:p w14:paraId="5CE44ECE">
            <w:pPr>
              <w:pStyle w:val="574"/>
              <w:rPr>
                <w:rFonts w:asciiTheme="minorEastAsia" w:hAnsiTheme="minorEastAsia" w:eastAsiaTheme="minorEastAsia"/>
                <w:sz w:val="21"/>
                <w:szCs w:val="21"/>
              </w:rPr>
            </w:pPr>
            <w:r>
              <w:rPr>
                <w:rFonts w:hint="eastAsia" w:ascii="Times New Roman" w:hAnsi="Times New Roman"/>
                <w:sz w:val="21"/>
                <w:szCs w:val="21"/>
              </w:rPr>
              <w:t>（</w:t>
            </w:r>
            <w:r>
              <w:rPr>
                <w:rFonts w:ascii="Times New Roman" w:hAnsi="Times New Roman"/>
                <w:sz w:val="21"/>
                <w:szCs w:val="21"/>
              </w:rPr>
              <w:t>mg/L</w:t>
            </w:r>
            <w:r>
              <w:rPr>
                <w:rFonts w:hint="eastAsia" w:ascii="Times New Roman" w:hAnsi="Times New Roman"/>
                <w:sz w:val="21"/>
                <w:szCs w:val="21"/>
              </w:rPr>
              <w:t>）</w:t>
            </w:r>
          </w:p>
        </w:tc>
        <w:tc>
          <w:tcPr>
            <w:tcW w:w="512" w:type="pct"/>
            <w:vMerge w:val="restart"/>
            <w:vAlign w:val="center"/>
          </w:tcPr>
          <w:p w14:paraId="187F3FDC">
            <w:pPr>
              <w:pStyle w:val="574"/>
              <w:rPr>
                <w:rFonts w:asciiTheme="minorEastAsia" w:hAnsiTheme="minorEastAsia" w:eastAsiaTheme="minorEastAsia"/>
                <w:sz w:val="21"/>
                <w:szCs w:val="21"/>
              </w:rPr>
            </w:pPr>
            <w:r>
              <w:rPr>
                <w:rFonts w:asciiTheme="minorEastAsia" w:hAnsiTheme="minorEastAsia" w:eastAsiaTheme="minorEastAsia"/>
                <w:sz w:val="21"/>
                <w:szCs w:val="21"/>
              </w:rPr>
              <w:t>≤</w:t>
            </w:r>
            <w:r>
              <w:rPr>
                <w:rFonts w:hint="eastAsia" w:asciiTheme="minorEastAsia" w:hAnsiTheme="minorEastAsia" w:eastAsiaTheme="minorEastAsia"/>
                <w:sz w:val="21"/>
                <w:szCs w:val="21"/>
              </w:rPr>
              <w:t>0.05</w:t>
            </w:r>
          </w:p>
        </w:tc>
        <w:tc>
          <w:tcPr>
            <w:tcW w:w="415" w:type="pct"/>
            <w:vAlign w:val="center"/>
          </w:tcPr>
          <w:p w14:paraId="3D0585AA">
            <w:pPr>
              <w:pStyle w:val="574"/>
              <w:spacing w:line="24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519" w:type="pct"/>
            <w:vAlign w:val="center"/>
          </w:tcPr>
          <w:p w14:paraId="058E574B">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0.4</w:t>
            </w:r>
          </w:p>
        </w:tc>
        <w:tc>
          <w:tcPr>
            <w:tcW w:w="519" w:type="pct"/>
            <w:tcBorders>
              <w:right w:val="single" w:color="auto" w:sz="12" w:space="0"/>
            </w:tcBorders>
            <w:vAlign w:val="center"/>
          </w:tcPr>
          <w:p w14:paraId="3623C39B">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r>
      <w:tr w14:paraId="11623E3C">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472" w:type="pct"/>
            <w:vMerge w:val="continue"/>
            <w:tcBorders>
              <w:left w:val="single" w:color="auto" w:sz="12" w:space="0"/>
            </w:tcBorders>
            <w:vAlign w:val="center"/>
          </w:tcPr>
          <w:p w14:paraId="3DC677BE">
            <w:pPr>
              <w:pStyle w:val="574"/>
              <w:spacing w:line="240" w:lineRule="auto"/>
              <w:ind w:firstLine="420"/>
              <w:rPr>
                <w:rFonts w:asciiTheme="minorEastAsia" w:hAnsiTheme="minorEastAsia" w:eastAsiaTheme="minorEastAsia"/>
                <w:sz w:val="21"/>
                <w:szCs w:val="21"/>
              </w:rPr>
            </w:pPr>
          </w:p>
        </w:tc>
        <w:tc>
          <w:tcPr>
            <w:tcW w:w="587" w:type="pct"/>
            <w:vMerge w:val="continue"/>
            <w:vAlign w:val="center"/>
          </w:tcPr>
          <w:p w14:paraId="504800AB">
            <w:pPr>
              <w:pStyle w:val="574"/>
              <w:spacing w:line="240" w:lineRule="auto"/>
              <w:ind w:firstLine="420"/>
              <w:rPr>
                <w:rFonts w:asciiTheme="minorEastAsia" w:hAnsiTheme="minorEastAsia" w:eastAsiaTheme="minorEastAsia"/>
                <w:sz w:val="21"/>
                <w:szCs w:val="21"/>
              </w:rPr>
            </w:pPr>
          </w:p>
        </w:tc>
        <w:tc>
          <w:tcPr>
            <w:tcW w:w="414" w:type="pct"/>
            <w:vAlign w:val="center"/>
          </w:tcPr>
          <w:p w14:paraId="3CDCA302">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486" w:type="pct"/>
            <w:vAlign w:val="center"/>
          </w:tcPr>
          <w:p w14:paraId="01D31910">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0.04</w:t>
            </w:r>
          </w:p>
        </w:tc>
        <w:tc>
          <w:tcPr>
            <w:tcW w:w="488" w:type="pct"/>
            <w:vAlign w:val="center"/>
          </w:tcPr>
          <w:p w14:paraId="435D64BC">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c>
          <w:tcPr>
            <w:tcW w:w="587" w:type="pct"/>
            <w:vMerge w:val="continue"/>
            <w:vAlign w:val="center"/>
          </w:tcPr>
          <w:p w14:paraId="7D511045">
            <w:pPr>
              <w:pStyle w:val="574"/>
              <w:rPr>
                <w:rFonts w:asciiTheme="minorEastAsia" w:hAnsiTheme="minorEastAsia" w:eastAsiaTheme="minorEastAsia"/>
                <w:sz w:val="21"/>
                <w:szCs w:val="21"/>
              </w:rPr>
            </w:pPr>
          </w:p>
        </w:tc>
        <w:tc>
          <w:tcPr>
            <w:tcW w:w="512" w:type="pct"/>
            <w:vMerge w:val="continue"/>
            <w:vAlign w:val="center"/>
          </w:tcPr>
          <w:p w14:paraId="061DD0F9">
            <w:pPr>
              <w:pStyle w:val="574"/>
              <w:rPr>
                <w:rFonts w:asciiTheme="minorEastAsia" w:hAnsiTheme="minorEastAsia" w:eastAsiaTheme="minorEastAsia"/>
                <w:sz w:val="21"/>
                <w:szCs w:val="21"/>
              </w:rPr>
            </w:pPr>
          </w:p>
        </w:tc>
        <w:tc>
          <w:tcPr>
            <w:tcW w:w="415" w:type="pct"/>
            <w:vAlign w:val="center"/>
          </w:tcPr>
          <w:p w14:paraId="468F8EDB">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519" w:type="pct"/>
            <w:vAlign w:val="center"/>
          </w:tcPr>
          <w:p w14:paraId="13C63FD5">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0.4</w:t>
            </w:r>
          </w:p>
        </w:tc>
        <w:tc>
          <w:tcPr>
            <w:tcW w:w="519" w:type="pct"/>
            <w:tcBorders>
              <w:right w:val="single" w:color="auto" w:sz="12" w:space="0"/>
            </w:tcBorders>
            <w:vAlign w:val="center"/>
          </w:tcPr>
          <w:p w14:paraId="11D206EF">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r>
      <w:tr w14:paraId="274F5ABD">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472" w:type="pct"/>
            <w:vMerge w:val="continue"/>
            <w:tcBorders>
              <w:left w:val="single" w:color="auto" w:sz="12" w:space="0"/>
            </w:tcBorders>
            <w:vAlign w:val="center"/>
          </w:tcPr>
          <w:p w14:paraId="5A4659DC">
            <w:pPr>
              <w:pStyle w:val="574"/>
              <w:spacing w:line="240" w:lineRule="auto"/>
              <w:ind w:firstLine="420"/>
              <w:rPr>
                <w:rFonts w:asciiTheme="minorEastAsia" w:hAnsiTheme="minorEastAsia" w:eastAsiaTheme="minorEastAsia"/>
                <w:sz w:val="21"/>
                <w:szCs w:val="21"/>
              </w:rPr>
            </w:pPr>
          </w:p>
        </w:tc>
        <w:tc>
          <w:tcPr>
            <w:tcW w:w="587" w:type="pct"/>
            <w:vMerge w:val="continue"/>
            <w:vAlign w:val="center"/>
          </w:tcPr>
          <w:p w14:paraId="7144A262">
            <w:pPr>
              <w:pStyle w:val="574"/>
              <w:spacing w:line="240" w:lineRule="auto"/>
              <w:ind w:firstLine="420"/>
              <w:rPr>
                <w:rFonts w:asciiTheme="minorEastAsia" w:hAnsiTheme="minorEastAsia" w:eastAsiaTheme="minorEastAsia"/>
                <w:sz w:val="21"/>
                <w:szCs w:val="21"/>
              </w:rPr>
            </w:pPr>
          </w:p>
        </w:tc>
        <w:tc>
          <w:tcPr>
            <w:tcW w:w="414" w:type="pct"/>
            <w:vAlign w:val="center"/>
          </w:tcPr>
          <w:p w14:paraId="5349885A">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3#</w:t>
            </w:r>
          </w:p>
        </w:tc>
        <w:tc>
          <w:tcPr>
            <w:tcW w:w="486" w:type="pct"/>
            <w:vAlign w:val="center"/>
          </w:tcPr>
          <w:p w14:paraId="5CCBF538">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0.04</w:t>
            </w:r>
          </w:p>
        </w:tc>
        <w:tc>
          <w:tcPr>
            <w:tcW w:w="488" w:type="pct"/>
            <w:vAlign w:val="center"/>
          </w:tcPr>
          <w:p w14:paraId="49D1066F">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c>
          <w:tcPr>
            <w:tcW w:w="587" w:type="pct"/>
            <w:vMerge w:val="continue"/>
            <w:vAlign w:val="center"/>
          </w:tcPr>
          <w:p w14:paraId="7D525463">
            <w:pPr>
              <w:pStyle w:val="574"/>
              <w:ind w:firstLine="420"/>
              <w:rPr>
                <w:rFonts w:asciiTheme="minorEastAsia" w:hAnsiTheme="minorEastAsia" w:eastAsiaTheme="minorEastAsia"/>
                <w:sz w:val="21"/>
                <w:szCs w:val="21"/>
              </w:rPr>
            </w:pPr>
          </w:p>
        </w:tc>
        <w:tc>
          <w:tcPr>
            <w:tcW w:w="512" w:type="pct"/>
            <w:vMerge w:val="continue"/>
            <w:vAlign w:val="center"/>
          </w:tcPr>
          <w:p w14:paraId="5A01C26C">
            <w:pPr>
              <w:pStyle w:val="574"/>
              <w:ind w:firstLine="420"/>
              <w:rPr>
                <w:rFonts w:asciiTheme="minorEastAsia" w:hAnsiTheme="minorEastAsia" w:eastAsiaTheme="minorEastAsia"/>
                <w:sz w:val="21"/>
                <w:szCs w:val="21"/>
              </w:rPr>
            </w:pPr>
          </w:p>
        </w:tc>
        <w:tc>
          <w:tcPr>
            <w:tcW w:w="415" w:type="pct"/>
            <w:vAlign w:val="center"/>
          </w:tcPr>
          <w:p w14:paraId="71ED91F9">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3#</w:t>
            </w:r>
          </w:p>
        </w:tc>
        <w:tc>
          <w:tcPr>
            <w:tcW w:w="519" w:type="pct"/>
            <w:vAlign w:val="center"/>
          </w:tcPr>
          <w:p w14:paraId="21D63332">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0.4</w:t>
            </w:r>
          </w:p>
        </w:tc>
        <w:tc>
          <w:tcPr>
            <w:tcW w:w="519" w:type="pct"/>
            <w:tcBorders>
              <w:right w:val="single" w:color="auto" w:sz="12" w:space="0"/>
            </w:tcBorders>
            <w:vAlign w:val="center"/>
          </w:tcPr>
          <w:p w14:paraId="632E9F57">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r>
      <w:tr w14:paraId="7D8241FE">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72" w:type="pct"/>
            <w:vMerge w:val="restart"/>
            <w:tcBorders>
              <w:left w:val="single" w:color="auto" w:sz="12" w:space="0"/>
            </w:tcBorders>
            <w:vAlign w:val="center"/>
          </w:tcPr>
          <w:p w14:paraId="00016379">
            <w:pPr>
              <w:pStyle w:val="574"/>
              <w:spacing w:line="24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铅</w:t>
            </w:r>
          </w:p>
        </w:tc>
        <w:tc>
          <w:tcPr>
            <w:tcW w:w="587" w:type="pct"/>
            <w:vMerge w:val="restart"/>
            <w:vAlign w:val="center"/>
          </w:tcPr>
          <w:p w14:paraId="54A6928D">
            <w:pPr>
              <w:pStyle w:val="574"/>
              <w:spacing w:line="240" w:lineRule="auto"/>
              <w:rPr>
                <w:rFonts w:asciiTheme="minorEastAsia" w:hAnsiTheme="minorEastAsia" w:eastAsiaTheme="minorEastAsia"/>
                <w:sz w:val="21"/>
                <w:szCs w:val="21"/>
              </w:rPr>
            </w:pPr>
            <w:r>
              <w:rPr>
                <w:rFonts w:asciiTheme="minorEastAsia" w:hAnsiTheme="minorEastAsia" w:eastAsiaTheme="minorEastAsia"/>
                <w:sz w:val="21"/>
                <w:szCs w:val="21"/>
              </w:rPr>
              <w:t>≤</w:t>
            </w:r>
            <w:r>
              <w:rPr>
                <w:rFonts w:hint="eastAsia" w:asciiTheme="minorEastAsia" w:hAnsiTheme="minorEastAsia" w:eastAsiaTheme="minorEastAsia"/>
                <w:sz w:val="21"/>
                <w:szCs w:val="21"/>
              </w:rPr>
              <w:t>0.05</w:t>
            </w:r>
          </w:p>
          <w:p w14:paraId="7000642C">
            <w:pPr>
              <w:pStyle w:val="574"/>
              <w:spacing w:line="240" w:lineRule="auto"/>
              <w:rPr>
                <w:rFonts w:asciiTheme="minorEastAsia" w:hAnsiTheme="minorEastAsia" w:eastAsiaTheme="minorEastAsia"/>
                <w:sz w:val="21"/>
                <w:szCs w:val="21"/>
              </w:rPr>
            </w:pPr>
            <w:r>
              <w:rPr>
                <w:rFonts w:hint="eastAsia" w:ascii="Times New Roman" w:hAnsi="Times New Roman"/>
                <w:sz w:val="21"/>
                <w:szCs w:val="21"/>
              </w:rPr>
              <w:t>（</w:t>
            </w:r>
            <w:r>
              <w:rPr>
                <w:rFonts w:ascii="Times New Roman" w:hAnsi="Times New Roman"/>
                <w:sz w:val="21"/>
                <w:szCs w:val="21"/>
              </w:rPr>
              <w:t>mg/L</w:t>
            </w:r>
            <w:r>
              <w:rPr>
                <w:rFonts w:hint="eastAsia" w:ascii="Times New Roman" w:hAnsi="Times New Roman"/>
                <w:sz w:val="21"/>
                <w:szCs w:val="21"/>
              </w:rPr>
              <w:t>）</w:t>
            </w:r>
          </w:p>
        </w:tc>
        <w:tc>
          <w:tcPr>
            <w:tcW w:w="414" w:type="pct"/>
            <w:vAlign w:val="center"/>
          </w:tcPr>
          <w:p w14:paraId="583ADF24">
            <w:pPr>
              <w:pStyle w:val="574"/>
              <w:spacing w:line="24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1#</w:t>
            </w:r>
          </w:p>
        </w:tc>
        <w:tc>
          <w:tcPr>
            <w:tcW w:w="486" w:type="pct"/>
            <w:vAlign w:val="center"/>
          </w:tcPr>
          <w:p w14:paraId="4920759A">
            <w:pPr>
              <w:pStyle w:val="574"/>
              <w:spacing w:line="240" w:lineRule="auto"/>
              <w:rPr>
                <w:rFonts w:asciiTheme="minorEastAsia" w:hAnsiTheme="minorEastAsia" w:eastAsiaTheme="minorEastAsia"/>
                <w:sz w:val="21"/>
                <w:szCs w:val="21"/>
              </w:rPr>
            </w:pPr>
            <w:r>
              <w:rPr>
                <w:rFonts w:hint="eastAsia" w:asciiTheme="minorEastAsia" w:hAnsiTheme="minorEastAsia" w:eastAsiaTheme="minorEastAsia"/>
                <w:sz w:val="21"/>
                <w:szCs w:val="21"/>
              </w:rPr>
              <w:t>0.08</w:t>
            </w:r>
          </w:p>
        </w:tc>
        <w:tc>
          <w:tcPr>
            <w:tcW w:w="488" w:type="pct"/>
            <w:vAlign w:val="center"/>
          </w:tcPr>
          <w:p w14:paraId="0647E0AE">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c>
          <w:tcPr>
            <w:tcW w:w="587" w:type="pct"/>
            <w:vMerge w:val="restart"/>
            <w:vAlign w:val="center"/>
          </w:tcPr>
          <w:p w14:paraId="6DA9E544">
            <w:pPr>
              <w:pStyle w:val="574"/>
              <w:rPr>
                <w:rFonts w:asciiTheme="minorEastAsia" w:hAnsiTheme="minorEastAsia" w:eastAsiaTheme="minorEastAsia"/>
                <w:sz w:val="21"/>
                <w:szCs w:val="21"/>
              </w:rPr>
            </w:pPr>
          </w:p>
        </w:tc>
        <w:tc>
          <w:tcPr>
            <w:tcW w:w="512" w:type="pct"/>
            <w:vMerge w:val="restart"/>
            <w:vAlign w:val="center"/>
          </w:tcPr>
          <w:p w14:paraId="452C0925">
            <w:pPr>
              <w:pStyle w:val="574"/>
              <w:rPr>
                <w:rFonts w:asciiTheme="minorEastAsia" w:hAnsiTheme="minorEastAsia" w:eastAsiaTheme="minorEastAsia"/>
                <w:sz w:val="21"/>
                <w:szCs w:val="21"/>
              </w:rPr>
            </w:pPr>
          </w:p>
        </w:tc>
        <w:tc>
          <w:tcPr>
            <w:tcW w:w="415" w:type="pct"/>
            <w:vAlign w:val="center"/>
          </w:tcPr>
          <w:p w14:paraId="18A1B283">
            <w:pPr>
              <w:pStyle w:val="574"/>
              <w:rPr>
                <w:rFonts w:asciiTheme="minorEastAsia" w:hAnsiTheme="minorEastAsia" w:eastAsiaTheme="minorEastAsia"/>
                <w:sz w:val="21"/>
                <w:szCs w:val="21"/>
              </w:rPr>
            </w:pPr>
          </w:p>
        </w:tc>
        <w:tc>
          <w:tcPr>
            <w:tcW w:w="519" w:type="pct"/>
            <w:vAlign w:val="center"/>
          </w:tcPr>
          <w:p w14:paraId="17CE1E03">
            <w:pPr>
              <w:pStyle w:val="574"/>
              <w:rPr>
                <w:rFonts w:asciiTheme="minorEastAsia" w:hAnsiTheme="minorEastAsia" w:eastAsiaTheme="minorEastAsia"/>
                <w:sz w:val="21"/>
                <w:szCs w:val="21"/>
              </w:rPr>
            </w:pPr>
          </w:p>
        </w:tc>
        <w:tc>
          <w:tcPr>
            <w:tcW w:w="519" w:type="pct"/>
            <w:tcBorders>
              <w:right w:val="single" w:color="auto" w:sz="12" w:space="0"/>
            </w:tcBorders>
            <w:vAlign w:val="center"/>
          </w:tcPr>
          <w:p w14:paraId="02BD2FE2">
            <w:pPr>
              <w:pStyle w:val="574"/>
              <w:rPr>
                <w:rFonts w:asciiTheme="minorEastAsia" w:hAnsiTheme="minorEastAsia" w:eastAsiaTheme="minorEastAsia"/>
                <w:sz w:val="21"/>
                <w:szCs w:val="21"/>
              </w:rPr>
            </w:pPr>
          </w:p>
        </w:tc>
      </w:tr>
      <w:tr w14:paraId="72E33E3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472" w:type="pct"/>
            <w:vMerge w:val="continue"/>
            <w:tcBorders>
              <w:left w:val="single" w:color="auto" w:sz="12" w:space="0"/>
            </w:tcBorders>
            <w:vAlign w:val="center"/>
          </w:tcPr>
          <w:p w14:paraId="6D64AA07">
            <w:pPr>
              <w:pStyle w:val="574"/>
              <w:spacing w:line="240" w:lineRule="auto"/>
              <w:ind w:firstLine="420"/>
              <w:rPr>
                <w:rFonts w:asciiTheme="minorEastAsia" w:hAnsiTheme="minorEastAsia" w:eastAsiaTheme="minorEastAsia"/>
                <w:sz w:val="21"/>
                <w:szCs w:val="21"/>
              </w:rPr>
            </w:pPr>
          </w:p>
        </w:tc>
        <w:tc>
          <w:tcPr>
            <w:tcW w:w="587" w:type="pct"/>
            <w:vMerge w:val="continue"/>
            <w:vAlign w:val="center"/>
          </w:tcPr>
          <w:p w14:paraId="1E18F0C1">
            <w:pPr>
              <w:pStyle w:val="574"/>
              <w:spacing w:line="240" w:lineRule="auto"/>
              <w:ind w:firstLine="420"/>
              <w:rPr>
                <w:rFonts w:asciiTheme="minorEastAsia" w:hAnsiTheme="minorEastAsia" w:eastAsiaTheme="minorEastAsia"/>
                <w:sz w:val="21"/>
                <w:szCs w:val="21"/>
              </w:rPr>
            </w:pPr>
          </w:p>
        </w:tc>
        <w:tc>
          <w:tcPr>
            <w:tcW w:w="414" w:type="pct"/>
            <w:vAlign w:val="center"/>
          </w:tcPr>
          <w:p w14:paraId="75DF36A4">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486" w:type="pct"/>
            <w:vAlign w:val="center"/>
          </w:tcPr>
          <w:p w14:paraId="5F2268A1">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0.08</w:t>
            </w:r>
          </w:p>
        </w:tc>
        <w:tc>
          <w:tcPr>
            <w:tcW w:w="488" w:type="pct"/>
            <w:vAlign w:val="center"/>
          </w:tcPr>
          <w:p w14:paraId="079D12DB">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c>
          <w:tcPr>
            <w:tcW w:w="587" w:type="pct"/>
            <w:vMerge w:val="continue"/>
            <w:vAlign w:val="center"/>
          </w:tcPr>
          <w:p w14:paraId="619514C9">
            <w:pPr>
              <w:pStyle w:val="574"/>
              <w:rPr>
                <w:rFonts w:asciiTheme="minorEastAsia" w:hAnsiTheme="minorEastAsia" w:eastAsiaTheme="minorEastAsia"/>
                <w:sz w:val="21"/>
                <w:szCs w:val="21"/>
              </w:rPr>
            </w:pPr>
          </w:p>
        </w:tc>
        <w:tc>
          <w:tcPr>
            <w:tcW w:w="512" w:type="pct"/>
            <w:vMerge w:val="continue"/>
            <w:vAlign w:val="center"/>
          </w:tcPr>
          <w:p w14:paraId="722028AA">
            <w:pPr>
              <w:pStyle w:val="574"/>
              <w:rPr>
                <w:rFonts w:asciiTheme="minorEastAsia" w:hAnsiTheme="minorEastAsia" w:eastAsiaTheme="minorEastAsia"/>
                <w:sz w:val="21"/>
                <w:szCs w:val="21"/>
              </w:rPr>
            </w:pPr>
          </w:p>
        </w:tc>
        <w:tc>
          <w:tcPr>
            <w:tcW w:w="415" w:type="pct"/>
            <w:vAlign w:val="center"/>
          </w:tcPr>
          <w:p w14:paraId="1C82F12E">
            <w:pPr>
              <w:pStyle w:val="574"/>
              <w:rPr>
                <w:rFonts w:asciiTheme="minorEastAsia" w:hAnsiTheme="minorEastAsia" w:eastAsiaTheme="minorEastAsia"/>
                <w:sz w:val="21"/>
                <w:szCs w:val="21"/>
              </w:rPr>
            </w:pPr>
          </w:p>
        </w:tc>
        <w:tc>
          <w:tcPr>
            <w:tcW w:w="519" w:type="pct"/>
            <w:vAlign w:val="center"/>
          </w:tcPr>
          <w:p w14:paraId="68C2B0D6">
            <w:pPr>
              <w:pStyle w:val="574"/>
              <w:rPr>
                <w:rFonts w:asciiTheme="minorEastAsia" w:hAnsiTheme="minorEastAsia" w:eastAsiaTheme="minorEastAsia"/>
                <w:sz w:val="21"/>
                <w:szCs w:val="21"/>
              </w:rPr>
            </w:pPr>
          </w:p>
        </w:tc>
        <w:tc>
          <w:tcPr>
            <w:tcW w:w="519" w:type="pct"/>
            <w:tcBorders>
              <w:right w:val="single" w:color="auto" w:sz="12" w:space="0"/>
            </w:tcBorders>
            <w:vAlign w:val="center"/>
          </w:tcPr>
          <w:p w14:paraId="59FB6D1E">
            <w:pPr>
              <w:pStyle w:val="574"/>
              <w:rPr>
                <w:rFonts w:asciiTheme="minorEastAsia" w:hAnsiTheme="minorEastAsia" w:eastAsiaTheme="minorEastAsia"/>
                <w:sz w:val="21"/>
                <w:szCs w:val="21"/>
              </w:rPr>
            </w:pPr>
          </w:p>
        </w:tc>
      </w:tr>
      <w:tr w14:paraId="17F3E2C6">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472" w:type="pct"/>
            <w:vMerge w:val="continue"/>
            <w:tcBorders>
              <w:left w:val="single" w:color="auto" w:sz="12" w:space="0"/>
            </w:tcBorders>
            <w:vAlign w:val="center"/>
          </w:tcPr>
          <w:p w14:paraId="1479E777">
            <w:pPr>
              <w:pStyle w:val="574"/>
              <w:spacing w:line="240" w:lineRule="auto"/>
              <w:ind w:firstLine="420"/>
              <w:rPr>
                <w:rFonts w:asciiTheme="minorEastAsia" w:hAnsiTheme="minorEastAsia" w:eastAsiaTheme="minorEastAsia"/>
                <w:sz w:val="21"/>
                <w:szCs w:val="21"/>
              </w:rPr>
            </w:pPr>
          </w:p>
        </w:tc>
        <w:tc>
          <w:tcPr>
            <w:tcW w:w="587" w:type="pct"/>
            <w:vMerge w:val="continue"/>
            <w:vAlign w:val="center"/>
          </w:tcPr>
          <w:p w14:paraId="520EB22F">
            <w:pPr>
              <w:pStyle w:val="574"/>
              <w:spacing w:line="240" w:lineRule="auto"/>
              <w:ind w:firstLine="420"/>
              <w:rPr>
                <w:rFonts w:asciiTheme="minorEastAsia" w:hAnsiTheme="minorEastAsia" w:eastAsiaTheme="minorEastAsia"/>
                <w:sz w:val="21"/>
                <w:szCs w:val="21"/>
              </w:rPr>
            </w:pPr>
          </w:p>
        </w:tc>
        <w:tc>
          <w:tcPr>
            <w:tcW w:w="414" w:type="pct"/>
            <w:vAlign w:val="center"/>
          </w:tcPr>
          <w:p w14:paraId="7B5F1A82">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3#</w:t>
            </w:r>
          </w:p>
        </w:tc>
        <w:tc>
          <w:tcPr>
            <w:tcW w:w="486" w:type="pct"/>
            <w:vAlign w:val="center"/>
          </w:tcPr>
          <w:p w14:paraId="09FB85C0">
            <w:pPr>
              <w:pStyle w:val="574"/>
              <w:rPr>
                <w:rFonts w:asciiTheme="minorEastAsia" w:hAnsiTheme="minorEastAsia" w:eastAsiaTheme="minorEastAsia"/>
                <w:sz w:val="21"/>
                <w:szCs w:val="21"/>
              </w:rPr>
            </w:pPr>
            <w:r>
              <w:rPr>
                <w:rFonts w:hint="eastAsia" w:asciiTheme="minorEastAsia" w:hAnsiTheme="minorEastAsia" w:eastAsiaTheme="minorEastAsia"/>
                <w:sz w:val="21"/>
                <w:szCs w:val="21"/>
              </w:rPr>
              <w:t>0.04</w:t>
            </w:r>
          </w:p>
        </w:tc>
        <w:tc>
          <w:tcPr>
            <w:tcW w:w="488" w:type="pct"/>
            <w:vAlign w:val="center"/>
          </w:tcPr>
          <w:p w14:paraId="409CADF6">
            <w:pPr>
              <w:pStyle w:val="574"/>
              <w:rPr>
                <w:rFonts w:asciiTheme="minorEastAsia" w:hAnsiTheme="minorEastAsia" w:eastAsiaTheme="minorEastAsia"/>
                <w:sz w:val="21"/>
                <w:szCs w:val="21"/>
              </w:rPr>
            </w:pPr>
            <w:r>
              <w:rPr>
                <w:rFonts w:asciiTheme="minorEastAsia" w:hAnsiTheme="minorEastAsia" w:eastAsiaTheme="minorEastAsia"/>
                <w:sz w:val="21"/>
                <w:szCs w:val="21"/>
              </w:rPr>
              <w:t>未超标</w:t>
            </w:r>
          </w:p>
        </w:tc>
        <w:tc>
          <w:tcPr>
            <w:tcW w:w="587" w:type="pct"/>
            <w:vMerge w:val="continue"/>
            <w:vAlign w:val="center"/>
          </w:tcPr>
          <w:p w14:paraId="0124767F">
            <w:pPr>
              <w:pStyle w:val="574"/>
              <w:ind w:firstLine="420"/>
              <w:rPr>
                <w:rFonts w:asciiTheme="minorEastAsia" w:hAnsiTheme="minorEastAsia" w:eastAsiaTheme="minorEastAsia"/>
                <w:sz w:val="21"/>
                <w:szCs w:val="21"/>
              </w:rPr>
            </w:pPr>
          </w:p>
        </w:tc>
        <w:tc>
          <w:tcPr>
            <w:tcW w:w="512" w:type="pct"/>
            <w:vMerge w:val="continue"/>
            <w:vAlign w:val="center"/>
          </w:tcPr>
          <w:p w14:paraId="734496D9">
            <w:pPr>
              <w:pStyle w:val="574"/>
              <w:ind w:firstLine="420"/>
              <w:rPr>
                <w:rFonts w:asciiTheme="minorEastAsia" w:hAnsiTheme="minorEastAsia" w:eastAsiaTheme="minorEastAsia"/>
                <w:sz w:val="21"/>
                <w:szCs w:val="21"/>
              </w:rPr>
            </w:pPr>
          </w:p>
        </w:tc>
        <w:tc>
          <w:tcPr>
            <w:tcW w:w="415" w:type="pct"/>
            <w:vAlign w:val="center"/>
          </w:tcPr>
          <w:p w14:paraId="1A713FAA">
            <w:pPr>
              <w:pStyle w:val="574"/>
              <w:rPr>
                <w:rFonts w:asciiTheme="minorEastAsia" w:hAnsiTheme="minorEastAsia" w:eastAsiaTheme="minorEastAsia"/>
                <w:sz w:val="21"/>
                <w:szCs w:val="21"/>
              </w:rPr>
            </w:pPr>
          </w:p>
        </w:tc>
        <w:tc>
          <w:tcPr>
            <w:tcW w:w="519" w:type="pct"/>
            <w:vAlign w:val="center"/>
          </w:tcPr>
          <w:p w14:paraId="035D2BC2">
            <w:pPr>
              <w:pStyle w:val="574"/>
              <w:rPr>
                <w:rFonts w:asciiTheme="minorEastAsia" w:hAnsiTheme="minorEastAsia" w:eastAsiaTheme="minorEastAsia"/>
                <w:sz w:val="21"/>
                <w:szCs w:val="21"/>
              </w:rPr>
            </w:pPr>
          </w:p>
        </w:tc>
        <w:tc>
          <w:tcPr>
            <w:tcW w:w="519" w:type="pct"/>
            <w:tcBorders>
              <w:right w:val="single" w:color="auto" w:sz="12" w:space="0"/>
            </w:tcBorders>
            <w:vAlign w:val="center"/>
          </w:tcPr>
          <w:p w14:paraId="196D53D2">
            <w:pPr>
              <w:pStyle w:val="574"/>
              <w:rPr>
                <w:rFonts w:asciiTheme="minorEastAsia" w:hAnsiTheme="minorEastAsia" w:eastAsiaTheme="minorEastAsia"/>
                <w:sz w:val="21"/>
                <w:szCs w:val="21"/>
              </w:rPr>
            </w:pPr>
          </w:p>
        </w:tc>
      </w:tr>
    </w:tbl>
    <w:p w14:paraId="2CF6A7D3">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由</w:t>
      </w:r>
      <w:r>
        <w:rPr>
          <w:rFonts w:hint="eastAsia" w:asciiTheme="minorEastAsia" w:hAnsiTheme="minorEastAsia" w:eastAsiaTheme="minorEastAsia"/>
          <w:lang w:eastAsia="zh-CN"/>
        </w:rPr>
        <w:t>表6.2-3和表6.2-4现状监测结果及</w:t>
      </w:r>
      <w:r>
        <w:rPr>
          <w:rFonts w:asciiTheme="minorEastAsia" w:hAnsiTheme="minorEastAsia" w:eastAsiaTheme="minorEastAsia"/>
          <w:lang w:eastAsia="zh-CN"/>
        </w:rPr>
        <w:t>评价结果可知，</w:t>
      </w:r>
      <w:bookmarkStart w:id="321" w:name="_Toc248649435"/>
      <w:bookmarkStart w:id="322" w:name="_Toc138663724"/>
      <w:bookmarkStart w:id="323" w:name="_Toc115831118"/>
      <w:bookmarkStart w:id="324" w:name="_Toc185145955"/>
      <w:r>
        <w:rPr>
          <w:rFonts w:asciiTheme="minorEastAsia" w:hAnsiTheme="minorEastAsia" w:eastAsiaTheme="minorEastAsia"/>
          <w:lang w:eastAsia="zh-CN"/>
        </w:rPr>
        <w:t>除氟化物外其他各项指标达到</w:t>
      </w:r>
      <w:r>
        <w:rPr>
          <w:rFonts w:hint="eastAsia" w:asciiTheme="minorEastAsia" w:hAnsiTheme="minorEastAsia" w:eastAsiaTheme="minorEastAsia"/>
          <w:lang w:eastAsia="zh-CN"/>
        </w:rPr>
        <w:t>（</w:t>
      </w:r>
      <w:r>
        <w:rPr>
          <w:rFonts w:asciiTheme="minorEastAsia" w:hAnsiTheme="minorEastAsia" w:eastAsiaTheme="minorEastAsia"/>
          <w:lang w:eastAsia="zh-CN"/>
        </w:rPr>
        <w:t>GB/T14848-93</w:t>
      </w:r>
      <w:r>
        <w:rPr>
          <w:rFonts w:hint="eastAsia" w:asciiTheme="minorEastAsia" w:hAnsiTheme="minorEastAsia" w:eastAsiaTheme="minorEastAsia"/>
          <w:lang w:eastAsia="zh-CN"/>
        </w:rPr>
        <w:t>）Ⅲ</w:t>
      </w:r>
      <w:r>
        <w:rPr>
          <w:rFonts w:asciiTheme="minorEastAsia" w:hAnsiTheme="minorEastAsia" w:eastAsiaTheme="minorEastAsia"/>
          <w:lang w:eastAsia="zh-CN"/>
        </w:rPr>
        <w:t>类标准要求。3个监测点</w:t>
      </w:r>
      <w:r>
        <w:rPr>
          <w:rFonts w:hint="eastAsia" w:asciiTheme="minorEastAsia" w:hAnsiTheme="minorEastAsia" w:eastAsiaTheme="minorEastAsia"/>
          <w:lang w:eastAsia="zh-CN"/>
        </w:rPr>
        <w:t>只有2#监测点</w:t>
      </w:r>
      <w:r>
        <w:rPr>
          <w:rFonts w:asciiTheme="minorEastAsia" w:hAnsiTheme="minorEastAsia" w:eastAsiaTheme="minorEastAsia"/>
          <w:lang w:eastAsia="zh-CN"/>
        </w:rPr>
        <w:t>氟化物出现超标，最大超标倍数为</w:t>
      </w:r>
      <w:r>
        <w:rPr>
          <w:rFonts w:hint="eastAsia" w:asciiTheme="minorEastAsia" w:hAnsiTheme="minorEastAsia" w:eastAsiaTheme="minorEastAsia"/>
          <w:lang w:eastAsia="zh-CN"/>
        </w:rPr>
        <w:t>0</w:t>
      </w:r>
      <w:r>
        <w:rPr>
          <w:rFonts w:asciiTheme="minorEastAsia" w:hAnsiTheme="minorEastAsia" w:eastAsiaTheme="minorEastAsia"/>
          <w:lang w:eastAsia="zh-CN"/>
        </w:rPr>
        <w:t>.</w:t>
      </w:r>
      <w:r>
        <w:rPr>
          <w:rFonts w:hint="eastAsia" w:asciiTheme="minorEastAsia" w:hAnsiTheme="minorEastAsia" w:eastAsiaTheme="minorEastAsia"/>
          <w:lang w:eastAsia="zh-CN"/>
        </w:rPr>
        <w:t>77</w:t>
      </w:r>
      <w:r>
        <w:rPr>
          <w:rFonts w:asciiTheme="minorEastAsia" w:hAnsiTheme="minorEastAsia" w:eastAsiaTheme="minorEastAsia"/>
          <w:lang w:eastAsia="zh-CN"/>
        </w:rPr>
        <w:t>，其原因为当地的地质化学构造所致</w:t>
      </w:r>
      <w:r>
        <w:rPr>
          <w:rFonts w:hint="eastAsia" w:asciiTheme="minorEastAsia" w:hAnsiTheme="minorEastAsia" w:eastAsiaTheme="minorEastAsia"/>
          <w:lang w:eastAsia="zh-CN"/>
        </w:rPr>
        <w:t>。</w:t>
      </w:r>
      <w:r>
        <w:rPr>
          <w:rFonts w:asciiTheme="minorEastAsia" w:hAnsiTheme="minorEastAsia" w:eastAsiaTheme="minorEastAsia"/>
          <w:lang w:eastAsia="zh-CN"/>
        </w:rPr>
        <w:t>总体看来，该地区地下水水质较好。</w:t>
      </w:r>
    </w:p>
    <w:bookmarkEnd w:id="315"/>
    <w:bookmarkEnd w:id="316"/>
    <w:bookmarkEnd w:id="317"/>
    <w:bookmarkEnd w:id="321"/>
    <w:bookmarkEnd w:id="322"/>
    <w:bookmarkEnd w:id="323"/>
    <w:bookmarkEnd w:id="324"/>
    <w:p w14:paraId="649E7EBF">
      <w:pPr>
        <w:pStyle w:val="4"/>
        <w:rPr>
          <w:b w:val="0"/>
          <w:bCs w:val="0"/>
          <w:lang w:eastAsia="zh-CN"/>
        </w:rPr>
      </w:pPr>
      <w:bookmarkStart w:id="325" w:name="_Toc279676706"/>
      <w:bookmarkStart w:id="326" w:name="_Toc338663554"/>
      <w:bookmarkStart w:id="327" w:name="_Toc408413987"/>
      <w:bookmarkStart w:id="328" w:name="_Toc280020105"/>
      <w:r>
        <w:rPr>
          <w:lang w:eastAsia="zh-CN"/>
        </w:rPr>
        <w:t>6.</w:t>
      </w:r>
      <w:r>
        <w:rPr>
          <w:rFonts w:hint="eastAsia"/>
          <w:lang w:eastAsia="zh-CN"/>
        </w:rPr>
        <w:t>2.</w:t>
      </w:r>
      <w:r>
        <w:rPr>
          <w:lang w:eastAsia="zh-CN"/>
        </w:rPr>
        <w:t>3油田开发对地下水环境影响分析</w:t>
      </w:r>
      <w:bookmarkEnd w:id="325"/>
      <w:bookmarkEnd w:id="326"/>
      <w:bookmarkEnd w:id="327"/>
      <w:bookmarkEnd w:id="328"/>
    </w:p>
    <w:p w14:paraId="6AAE83DA">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6.</w:t>
      </w:r>
      <w:r>
        <w:rPr>
          <w:rFonts w:hint="eastAsia" w:asciiTheme="minorEastAsia" w:hAnsiTheme="minorEastAsia" w:eastAsiaTheme="minorEastAsia"/>
          <w:lang w:eastAsia="zh-CN"/>
        </w:rPr>
        <w:t>2</w:t>
      </w:r>
      <w:r>
        <w:rPr>
          <w:rFonts w:asciiTheme="minorEastAsia" w:hAnsiTheme="minorEastAsia" w:eastAsiaTheme="minorEastAsia"/>
          <w:lang w:eastAsia="zh-CN"/>
        </w:rPr>
        <w:t>.</w:t>
      </w:r>
      <w:r>
        <w:rPr>
          <w:rFonts w:hint="eastAsia" w:asciiTheme="minorEastAsia" w:hAnsiTheme="minorEastAsia" w:eastAsiaTheme="minorEastAsia"/>
          <w:lang w:eastAsia="zh-CN"/>
        </w:rPr>
        <w:t>3.1</w:t>
      </w:r>
      <w:r>
        <w:rPr>
          <w:rFonts w:asciiTheme="minorEastAsia" w:hAnsiTheme="minorEastAsia" w:eastAsiaTheme="minorEastAsia"/>
          <w:lang w:eastAsia="zh-CN"/>
        </w:rPr>
        <w:t>对</w:t>
      </w:r>
      <w:r>
        <w:rPr>
          <w:rFonts w:hint="eastAsia" w:asciiTheme="minorEastAsia" w:hAnsiTheme="minorEastAsia" w:eastAsiaTheme="minorEastAsia"/>
          <w:lang w:eastAsia="zh-CN"/>
        </w:rPr>
        <w:t>浅层地下水</w:t>
      </w:r>
      <w:bookmarkStart w:id="1197" w:name="_GoBack"/>
      <w:bookmarkEnd w:id="1197"/>
      <w:r>
        <w:rPr>
          <w:rFonts w:hint="eastAsia" w:asciiTheme="minorEastAsia" w:hAnsiTheme="minorEastAsia" w:eastAsiaTheme="minorEastAsia"/>
          <w:lang w:eastAsia="zh-CN"/>
        </w:rPr>
        <w:t>水质</w:t>
      </w:r>
      <w:r>
        <w:rPr>
          <w:rFonts w:asciiTheme="minorEastAsia" w:hAnsiTheme="minorEastAsia" w:eastAsiaTheme="minorEastAsia"/>
          <w:lang w:eastAsia="zh-CN"/>
        </w:rPr>
        <w:t>影响分析</w:t>
      </w:r>
    </w:p>
    <w:p w14:paraId="405845C7">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该区域地下潜水层主要为第四系孔隙水、第三系碎屑岩类孔隙裂隙水</w:t>
      </w:r>
      <w:r>
        <w:rPr>
          <w:rFonts w:hint="eastAsia" w:asciiTheme="minorEastAsia" w:hAnsiTheme="minorEastAsia" w:eastAsiaTheme="minorEastAsia"/>
          <w:lang w:eastAsia="zh-CN"/>
        </w:rPr>
        <w:t>。</w:t>
      </w:r>
      <w:r>
        <w:rPr>
          <w:rFonts w:asciiTheme="minorEastAsia" w:hAnsiTheme="minorEastAsia" w:eastAsiaTheme="minorEastAsia"/>
          <w:lang w:eastAsia="zh-CN"/>
        </w:rPr>
        <w:t>水位埋深2—10m，主要分布于河滩谷地、沼泽和湖盆边缘地下水埋藏较浅。包气带中岩（土）层主要为粉细砂、中细砂，</w:t>
      </w:r>
      <w:r>
        <w:rPr>
          <w:rFonts w:hint="eastAsia" w:asciiTheme="minorEastAsia" w:hAnsiTheme="minorEastAsia" w:eastAsiaTheme="minorEastAsia"/>
          <w:lang w:eastAsia="zh-CN"/>
        </w:rPr>
        <w:t>分布连续稳定，</w:t>
      </w:r>
      <w:r>
        <w:rPr>
          <w:rFonts w:asciiTheme="minorEastAsia" w:hAnsiTheme="minorEastAsia" w:eastAsiaTheme="minorEastAsia"/>
          <w:lang w:eastAsia="zh-CN"/>
        </w:rPr>
        <w:t>富水性差，厚度一般2～10m，最厚处15m左右。另外，由于该区域地处内陆高平原，水量蒸发大，降水量少，每年受干燥的大陆性气团控制长达6～8个月，年均降水量25</w:t>
      </w:r>
      <w:r>
        <w:rPr>
          <w:rFonts w:hint="eastAsia" w:asciiTheme="minorEastAsia" w:hAnsiTheme="minorEastAsia" w:eastAsiaTheme="minorEastAsia"/>
          <w:lang w:eastAsia="zh-CN"/>
        </w:rPr>
        <w:t>0.7</w:t>
      </w:r>
      <w:r>
        <w:rPr>
          <w:rFonts w:asciiTheme="minorEastAsia" w:hAnsiTheme="minorEastAsia" w:eastAsiaTheme="minorEastAsia"/>
          <w:lang w:eastAsia="zh-CN"/>
        </w:rPr>
        <w:t>mm，而年均蒸发量达</w:t>
      </w:r>
      <w:r>
        <w:rPr>
          <w:rFonts w:hint="eastAsia" w:asciiTheme="minorEastAsia" w:hAnsiTheme="minorEastAsia" w:eastAsiaTheme="minorEastAsia"/>
          <w:lang w:eastAsia="zh-CN"/>
        </w:rPr>
        <w:t>1739.1</w:t>
      </w:r>
      <w:r>
        <w:rPr>
          <w:rFonts w:asciiTheme="minorEastAsia" w:hAnsiTheme="minorEastAsia" w:eastAsiaTheme="minorEastAsia"/>
          <w:lang w:eastAsia="zh-CN"/>
        </w:rPr>
        <w:t>mm，远大于降水量。</w:t>
      </w:r>
    </w:p>
    <w:p w14:paraId="1AEE4FC6">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油田生产过程中产生的含油污水有可能通过渗透或雨水淋溶进入地下，存在污染地下水的可能性。但该地区主要土壤</w:t>
      </w:r>
      <w:r>
        <w:rPr>
          <w:rFonts w:hint="eastAsia" w:asciiTheme="minorEastAsia" w:hAnsiTheme="minorEastAsia" w:eastAsiaTheme="minorEastAsia"/>
          <w:lang w:eastAsia="zh-CN"/>
        </w:rPr>
        <w:t>—</w:t>
      </w:r>
      <w:r>
        <w:rPr>
          <w:rFonts w:asciiTheme="minorEastAsia" w:hAnsiTheme="minorEastAsia" w:eastAsiaTheme="minorEastAsia"/>
          <w:lang w:eastAsia="zh-CN"/>
        </w:rPr>
        <w:t>栗钙土的性质比较紧实，在1m深度左右已形成一层钙积层，渗透率较小。</w:t>
      </w:r>
    </w:p>
    <w:p w14:paraId="57C15A43">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根据目前所掌握的油田开发对土壤环境的影响类比调查可知，落地油在土壤中的最大迁移深度一般不超过1.0m，石油类污染物主要积聚在土壤表层0.8m以内，加之该地区气候</w:t>
      </w:r>
      <w:r>
        <w:rPr>
          <w:rFonts w:hint="eastAsia" w:asciiTheme="minorEastAsia" w:hAnsiTheme="minorEastAsia" w:eastAsiaTheme="minorEastAsia"/>
          <w:lang w:eastAsia="zh-CN"/>
        </w:rPr>
        <w:t>较</w:t>
      </w:r>
      <w:r>
        <w:rPr>
          <w:rFonts w:asciiTheme="minorEastAsia" w:hAnsiTheme="minorEastAsia" w:eastAsiaTheme="minorEastAsia"/>
          <w:lang w:eastAsia="zh-CN"/>
        </w:rPr>
        <w:t>干旱，不存在大量降水的淋滤作用，因此落地原油下渗到地下水中的可能性很少。而且由于该区域潜水面的埋藏深度大于1m，所以不会对潜水层造成影响。</w:t>
      </w:r>
    </w:p>
    <w:p w14:paraId="5F5E9F34">
      <w:pPr>
        <w:widowControl/>
        <w:tabs>
          <w:tab w:val="left" w:pos="120"/>
        </w:tabs>
        <w:snapToGrid w:val="0"/>
        <w:ind w:firstLine="480"/>
        <w:jc w:val="left"/>
        <w:outlineLvl w:val="0"/>
        <w:rPr>
          <w:rFonts w:asciiTheme="minorEastAsia" w:hAnsiTheme="minorEastAsia" w:eastAsiaTheme="minorEastAsia"/>
          <w:lang w:eastAsia="zh-CN"/>
        </w:rPr>
      </w:pPr>
      <w:r>
        <w:rPr>
          <w:rFonts w:asciiTheme="minorEastAsia" w:hAnsiTheme="minorEastAsia" w:eastAsiaTheme="minorEastAsia"/>
          <w:lang w:eastAsia="zh-CN"/>
        </w:rPr>
        <w:t>6.</w:t>
      </w:r>
      <w:r>
        <w:rPr>
          <w:rFonts w:hint="eastAsia" w:asciiTheme="minorEastAsia" w:hAnsiTheme="minorEastAsia" w:eastAsiaTheme="minorEastAsia"/>
          <w:lang w:eastAsia="zh-CN"/>
        </w:rPr>
        <w:t>2</w:t>
      </w:r>
      <w:r>
        <w:rPr>
          <w:rFonts w:asciiTheme="minorEastAsia" w:hAnsiTheme="minorEastAsia" w:eastAsiaTheme="minorEastAsia"/>
          <w:lang w:eastAsia="zh-CN"/>
        </w:rPr>
        <w:t>.</w:t>
      </w:r>
      <w:r>
        <w:rPr>
          <w:rFonts w:hint="eastAsia" w:asciiTheme="minorEastAsia" w:hAnsiTheme="minorEastAsia" w:eastAsiaTheme="minorEastAsia"/>
          <w:lang w:eastAsia="zh-CN"/>
        </w:rPr>
        <w:t>3.2</w:t>
      </w:r>
      <w:r>
        <w:rPr>
          <w:rFonts w:asciiTheme="minorEastAsia" w:hAnsiTheme="minorEastAsia" w:eastAsiaTheme="minorEastAsia"/>
          <w:lang w:eastAsia="zh-CN"/>
        </w:rPr>
        <w:t>对深层地下水</w:t>
      </w:r>
      <w:r>
        <w:rPr>
          <w:rFonts w:hint="eastAsia" w:asciiTheme="minorEastAsia" w:hAnsiTheme="minorEastAsia" w:eastAsiaTheme="minorEastAsia"/>
          <w:lang w:eastAsia="zh-CN"/>
        </w:rPr>
        <w:t>水质</w:t>
      </w:r>
      <w:r>
        <w:rPr>
          <w:rFonts w:asciiTheme="minorEastAsia" w:hAnsiTheme="minorEastAsia" w:eastAsiaTheme="minorEastAsia"/>
          <w:lang w:eastAsia="zh-CN"/>
        </w:rPr>
        <w:t>影响分析</w:t>
      </w:r>
    </w:p>
    <w:p w14:paraId="31965A54">
      <w:pPr>
        <w:widowControl/>
        <w:tabs>
          <w:tab w:val="left" w:pos="120"/>
        </w:tabs>
        <w:snapToGrid w:val="0"/>
        <w:ind w:firstLine="480"/>
        <w:jc w:val="left"/>
        <w:rPr>
          <w:rFonts w:asciiTheme="minorEastAsia" w:hAnsiTheme="minorEastAsia" w:eastAsiaTheme="minorEastAsia"/>
          <w:lang w:eastAsia="zh-CN"/>
        </w:rPr>
      </w:pPr>
      <w:r>
        <w:rPr>
          <w:rFonts w:hint="eastAsia" w:asciiTheme="minorEastAsia" w:hAnsiTheme="minorEastAsia" w:eastAsiaTheme="minorEastAsia"/>
          <w:lang w:eastAsia="zh-CN"/>
        </w:rPr>
        <w:t>乌里雅斯太凹陷南洼槽钻井揭示地层自下而上有基底、中下侏罗统、下白垩统阿尔善组、腾格尔组、赛汉塔拉组以及新生界第三系和第四系。储集层主要分布在腾格尔组和阿尔善组，其岩性为砾岩、砂砾岩、中粗砂岩、粉细砂岩等多种类型，但以砾岩、砂砾岩为主。</w:t>
      </w:r>
    </w:p>
    <w:p w14:paraId="0013E981">
      <w:pPr>
        <w:widowControl/>
        <w:tabs>
          <w:tab w:val="left" w:pos="120"/>
        </w:tabs>
        <w:snapToGrid w:val="0"/>
        <w:ind w:firstLine="480"/>
        <w:jc w:val="left"/>
        <w:rPr>
          <w:rFonts w:asciiTheme="minorEastAsia" w:hAnsiTheme="minorEastAsia" w:eastAsiaTheme="minorEastAsia"/>
          <w:lang w:eastAsia="zh-CN"/>
        </w:rPr>
      </w:pPr>
      <w:r>
        <w:rPr>
          <w:rFonts w:hint="eastAsia" w:asciiTheme="minorEastAsia" w:hAnsiTheme="minorEastAsia" w:eastAsiaTheme="minorEastAsia"/>
          <w:lang w:eastAsia="zh-CN"/>
        </w:rPr>
        <w:t>乌里雅斯太油田开采可能会影响到</w:t>
      </w:r>
      <w:r>
        <w:rPr>
          <w:rFonts w:asciiTheme="minorEastAsia" w:hAnsiTheme="minorEastAsia" w:eastAsiaTheme="minorEastAsia"/>
          <w:lang w:eastAsia="zh-CN"/>
        </w:rPr>
        <w:t>该区域白垩系地下水。</w:t>
      </w:r>
      <w:r>
        <w:rPr>
          <w:rFonts w:hint="eastAsia" w:asciiTheme="minorEastAsia" w:hAnsiTheme="minorEastAsia" w:eastAsiaTheme="minorEastAsia"/>
          <w:lang w:eastAsia="zh-CN"/>
        </w:rPr>
        <w:t>但</w:t>
      </w:r>
      <w:r>
        <w:rPr>
          <w:rFonts w:asciiTheme="minorEastAsia" w:hAnsiTheme="minorEastAsia" w:eastAsiaTheme="minorEastAsia"/>
          <w:lang w:eastAsia="zh-CN"/>
        </w:rPr>
        <w:t>由于</w:t>
      </w:r>
      <w:r>
        <w:rPr>
          <w:rFonts w:hint="eastAsia" w:asciiTheme="minorEastAsia" w:hAnsiTheme="minorEastAsia" w:eastAsiaTheme="minorEastAsia"/>
          <w:lang w:eastAsia="zh-CN"/>
        </w:rPr>
        <w:t>腾二段为有效的</w:t>
      </w:r>
      <w:r>
        <w:rPr>
          <w:rFonts w:asciiTheme="minorEastAsia" w:hAnsiTheme="minorEastAsia" w:eastAsiaTheme="minorEastAsia"/>
          <w:lang w:eastAsia="zh-CN"/>
        </w:rPr>
        <w:t>隔水</w:t>
      </w:r>
      <w:r>
        <w:rPr>
          <w:rFonts w:hint="eastAsia" w:asciiTheme="minorEastAsia" w:hAnsiTheme="minorEastAsia" w:eastAsiaTheme="minorEastAsia"/>
          <w:lang w:eastAsia="zh-CN"/>
        </w:rPr>
        <w:t>层</w:t>
      </w:r>
      <w:r>
        <w:rPr>
          <w:rFonts w:asciiTheme="minorEastAsia" w:hAnsiTheme="minorEastAsia" w:eastAsiaTheme="minorEastAsia"/>
          <w:lang w:eastAsia="zh-CN"/>
        </w:rPr>
        <w:t>与潜水层相互隔离，</w:t>
      </w:r>
      <w:r>
        <w:rPr>
          <w:rFonts w:hint="eastAsia" w:asciiTheme="minorEastAsia" w:hAnsiTheme="minorEastAsia" w:eastAsiaTheme="minorEastAsia"/>
          <w:lang w:eastAsia="zh-CN"/>
        </w:rPr>
        <w:t>且</w:t>
      </w:r>
      <w:r>
        <w:rPr>
          <w:rFonts w:asciiTheme="minorEastAsia" w:hAnsiTheme="minorEastAsia" w:eastAsiaTheme="minorEastAsia"/>
          <w:lang w:eastAsia="zh-CN"/>
        </w:rPr>
        <w:t>隔水层的厚度较稳定，分布较为连续，隔水性能良好</w:t>
      </w:r>
      <w:r>
        <w:rPr>
          <w:rFonts w:hint="eastAsia" w:asciiTheme="minorEastAsia" w:hAnsiTheme="minorEastAsia" w:eastAsiaTheme="minorEastAsia"/>
          <w:lang w:eastAsia="zh-CN"/>
        </w:rPr>
        <w:t>，</w:t>
      </w:r>
      <w:r>
        <w:rPr>
          <w:rFonts w:asciiTheme="minorEastAsia" w:hAnsiTheme="minorEastAsia" w:eastAsiaTheme="minorEastAsia"/>
          <w:lang w:eastAsia="zh-CN"/>
        </w:rPr>
        <w:t>透水性很差</w:t>
      </w:r>
      <w:r>
        <w:rPr>
          <w:rFonts w:hint="eastAsia" w:asciiTheme="minorEastAsia" w:hAnsiTheme="minorEastAsia" w:eastAsiaTheme="minorEastAsia"/>
          <w:lang w:eastAsia="zh-CN"/>
        </w:rPr>
        <w:t>，所以</w:t>
      </w:r>
      <w:r>
        <w:rPr>
          <w:rFonts w:asciiTheme="minorEastAsia" w:hAnsiTheme="minorEastAsia" w:eastAsiaTheme="minorEastAsia"/>
          <w:lang w:eastAsia="zh-CN"/>
        </w:rPr>
        <w:t>深层地下水一般不会受到石油淋溶污染物的影响。</w:t>
      </w:r>
    </w:p>
    <w:p w14:paraId="2EE8DCE8">
      <w:pPr>
        <w:widowControl/>
        <w:tabs>
          <w:tab w:val="left" w:pos="120"/>
        </w:tabs>
        <w:snapToGrid w:val="0"/>
        <w:ind w:firstLine="480"/>
        <w:jc w:val="left"/>
        <w:outlineLvl w:val="0"/>
        <w:rPr>
          <w:rFonts w:asciiTheme="minorEastAsia" w:hAnsiTheme="minorEastAsia" w:eastAsiaTheme="minorEastAsia"/>
          <w:lang w:eastAsia="zh-CN"/>
        </w:rPr>
      </w:pPr>
      <w:r>
        <w:rPr>
          <w:rFonts w:asciiTheme="minorEastAsia" w:hAnsiTheme="minorEastAsia" w:eastAsiaTheme="minorEastAsia"/>
          <w:lang w:eastAsia="zh-CN"/>
        </w:rPr>
        <w:t>6.</w:t>
      </w:r>
      <w:r>
        <w:rPr>
          <w:rFonts w:hint="eastAsia" w:asciiTheme="minorEastAsia" w:hAnsiTheme="minorEastAsia" w:eastAsiaTheme="minorEastAsia"/>
          <w:lang w:eastAsia="zh-CN"/>
        </w:rPr>
        <w:t>2</w:t>
      </w:r>
      <w:r>
        <w:rPr>
          <w:rFonts w:asciiTheme="minorEastAsia" w:hAnsiTheme="minorEastAsia" w:eastAsiaTheme="minorEastAsia"/>
          <w:lang w:eastAsia="zh-CN"/>
        </w:rPr>
        <w:t>.</w:t>
      </w:r>
      <w:r>
        <w:rPr>
          <w:rFonts w:hint="eastAsia" w:asciiTheme="minorEastAsia" w:hAnsiTheme="minorEastAsia" w:eastAsiaTheme="minorEastAsia"/>
          <w:lang w:eastAsia="zh-CN"/>
        </w:rPr>
        <w:t>3.3</w:t>
      </w:r>
      <w:r>
        <w:rPr>
          <w:rFonts w:asciiTheme="minorEastAsia" w:hAnsiTheme="minorEastAsia" w:eastAsiaTheme="minorEastAsia"/>
          <w:lang w:eastAsia="zh-CN"/>
        </w:rPr>
        <w:t>污水回注对地下水的影响</w:t>
      </w:r>
    </w:p>
    <w:p w14:paraId="0028C287">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根据设计，回注层的地层主要为腾格尔组、阿尔善组，深度约为</w:t>
      </w:r>
      <w:r>
        <w:rPr>
          <w:rFonts w:hint="eastAsia" w:asciiTheme="minorEastAsia" w:hAnsiTheme="minorEastAsia" w:eastAsiaTheme="minorEastAsia"/>
          <w:lang w:eastAsia="zh-CN"/>
        </w:rPr>
        <w:t>8</w:t>
      </w:r>
      <w:r>
        <w:rPr>
          <w:rFonts w:asciiTheme="minorEastAsia" w:hAnsiTheme="minorEastAsia" w:eastAsiaTheme="minorEastAsia"/>
          <w:lang w:eastAsia="zh-CN"/>
        </w:rPr>
        <w:t>00～2</w:t>
      </w:r>
      <w:r>
        <w:rPr>
          <w:rFonts w:hint="eastAsia" w:asciiTheme="minorEastAsia" w:hAnsiTheme="minorEastAsia" w:eastAsiaTheme="minorEastAsia"/>
          <w:lang w:eastAsia="zh-CN"/>
        </w:rPr>
        <w:t>3</w:t>
      </w:r>
      <w:r>
        <w:rPr>
          <w:rFonts w:asciiTheme="minorEastAsia" w:hAnsiTheme="minorEastAsia" w:eastAsiaTheme="minorEastAsia"/>
          <w:lang w:eastAsia="zh-CN"/>
        </w:rPr>
        <w:t>00m，该地层主要为产油层，隶属二连盆</w:t>
      </w:r>
      <w:r>
        <w:rPr>
          <w:rFonts w:hint="eastAsia" w:asciiTheme="minorEastAsia" w:hAnsiTheme="minorEastAsia" w:eastAsiaTheme="minorEastAsia"/>
          <w:lang w:eastAsia="zh-CN"/>
        </w:rPr>
        <w:t>地乌里雅斯太凹</w:t>
      </w:r>
      <w:r>
        <w:rPr>
          <w:rFonts w:asciiTheme="minorEastAsia" w:hAnsiTheme="minorEastAsia" w:eastAsiaTheme="minorEastAsia"/>
          <w:lang w:eastAsia="zh-CN"/>
        </w:rPr>
        <w:t>陷，其上部为稳定连续的腾格尔组二段隔水层，下部为稳定连续的侏罗纪隔水层，</w:t>
      </w:r>
    </w:p>
    <w:p w14:paraId="33DC8CB5">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腾二段以原生粒间孔为主，孔径一般300-400um，孔隙度10%-30%，渗透率一般小于1</w:t>
      </w:r>
      <w:r>
        <w:rPr>
          <w:rFonts w:hint="eastAsia" w:asciiTheme="minorEastAsia" w:hAnsiTheme="minorEastAsia" w:eastAsiaTheme="minorEastAsia"/>
          <w:lang w:eastAsia="zh-CN"/>
        </w:rPr>
        <w:t>×</w:t>
      </w:r>
      <w:r>
        <w:rPr>
          <w:rFonts w:asciiTheme="minorEastAsia" w:hAnsiTheme="minorEastAsia" w:eastAsiaTheme="minorEastAsia"/>
          <w:lang w:eastAsia="zh-CN"/>
        </w:rPr>
        <w:t>10</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～150</w:t>
      </w:r>
      <w:r>
        <w:rPr>
          <w:rFonts w:hint="eastAsia" w:asciiTheme="minorEastAsia" w:hAnsiTheme="minorEastAsia" w:eastAsiaTheme="minorEastAsia"/>
          <w:lang w:eastAsia="zh-CN"/>
        </w:rPr>
        <w:t>×</w:t>
      </w:r>
      <w:r>
        <w:rPr>
          <w:rFonts w:asciiTheme="minorEastAsia" w:hAnsiTheme="minorEastAsia" w:eastAsiaTheme="minorEastAsia"/>
          <w:lang w:eastAsia="zh-CN"/>
        </w:rPr>
        <w:t>10</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um</w:t>
      </w:r>
      <w:r>
        <w:rPr>
          <w:rFonts w:asciiTheme="minorEastAsia" w:hAnsiTheme="minorEastAsia" w:eastAsiaTheme="minorEastAsia"/>
          <w:vertAlign w:val="superscript"/>
          <w:lang w:eastAsia="zh-CN"/>
        </w:rPr>
        <w:t>2</w:t>
      </w:r>
      <w:r>
        <w:rPr>
          <w:rFonts w:asciiTheme="minorEastAsia" w:hAnsiTheme="minorEastAsia" w:eastAsiaTheme="minorEastAsia"/>
          <w:lang w:eastAsia="zh-CN"/>
        </w:rPr>
        <w:t>。腾二段上部为灰色、杂色砂砾岩、泥质砂砾岩与深灰色泥岩呈等厚～略等厚互层；中下部以灰色、杂色砂砾岩、泥质砂砾岩为主夹薄层深灰色泥岩。岩层厚度达583.00m。腾二段隔水层的厚度较稳定，分布较为连续，隔水性能良好。因此，从地层结构上看，回注层污水通过地层上串至含水地层的可能性很小。</w:t>
      </w:r>
      <w:r>
        <w:rPr>
          <w:rFonts w:hint="eastAsia" w:asciiTheme="minorEastAsia" w:hAnsiTheme="minorEastAsia" w:eastAsiaTheme="minorEastAsia"/>
          <w:lang w:eastAsia="zh-CN"/>
        </w:rPr>
        <w:t xml:space="preserve">   </w:t>
      </w:r>
    </w:p>
    <w:p w14:paraId="709FC887">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侏罗纪隔水层</w:t>
      </w:r>
      <w:r>
        <w:rPr>
          <w:rFonts w:hint="eastAsia" w:asciiTheme="minorEastAsia" w:hAnsiTheme="minorEastAsia" w:eastAsiaTheme="minorEastAsia"/>
          <w:lang w:eastAsia="zh-CN"/>
        </w:rPr>
        <w:t>未</w:t>
      </w:r>
      <w:r>
        <w:rPr>
          <w:rFonts w:asciiTheme="minorEastAsia" w:hAnsiTheme="minorEastAsia" w:eastAsiaTheme="minorEastAsia"/>
          <w:lang w:eastAsia="zh-CN"/>
        </w:rPr>
        <w:t>穿透，现揭开厚度74.00m，岩性为大套绿灰色凝灰质砂砾岩，渗透率一般小于10-3um</w:t>
      </w:r>
      <w:r>
        <w:rPr>
          <w:rFonts w:asciiTheme="minorEastAsia" w:hAnsiTheme="minorEastAsia" w:eastAsiaTheme="minorEastAsia"/>
          <w:vertAlign w:val="superscript"/>
          <w:lang w:eastAsia="zh-CN"/>
        </w:rPr>
        <w:t>2</w:t>
      </w:r>
      <w:r>
        <w:rPr>
          <w:rFonts w:asciiTheme="minorEastAsia" w:hAnsiTheme="minorEastAsia" w:eastAsiaTheme="minorEastAsia"/>
          <w:lang w:eastAsia="zh-CN"/>
        </w:rPr>
        <w:t>。砾石以凝灰岩砾为主，砾径一般1-3mm，最大6mm；砂为细～中砂，成分以石英、长石为主，凝灰质胶结，较致密，与盐酸不反应。侏罗纪隔水层的厚度较稳定，分布连续，隔水性能良好。因此，从地层结构上看，回注层污水通过地层下串至含水地层的可能性很小。</w:t>
      </w:r>
    </w:p>
    <w:p w14:paraId="3491E4EC">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以上分析说明，处理达标后的污水深层回注地下，不外排，回注地下对回注层有一定影响，但在目前条件下，不影响回注层地下水的利用价值，污水回注对回注层上下含水层水质影响很小。</w:t>
      </w:r>
    </w:p>
    <w:p w14:paraId="7C6E30E0">
      <w:pPr>
        <w:widowControl/>
        <w:tabs>
          <w:tab w:val="left" w:pos="120"/>
        </w:tabs>
        <w:snapToGrid w:val="0"/>
        <w:ind w:firstLine="480"/>
        <w:jc w:val="left"/>
        <w:outlineLvl w:val="0"/>
        <w:rPr>
          <w:rFonts w:asciiTheme="minorEastAsia" w:hAnsiTheme="minorEastAsia" w:eastAsiaTheme="minorEastAsia"/>
          <w:lang w:eastAsia="zh-CN"/>
        </w:rPr>
      </w:pPr>
      <w:bookmarkStart w:id="329" w:name="_Toc280020106"/>
      <w:bookmarkStart w:id="330" w:name="_Toc279676707"/>
      <w:bookmarkStart w:id="331" w:name="_Toc338663555"/>
      <w:bookmarkStart w:id="332" w:name="_Toc279676760"/>
      <w:bookmarkStart w:id="333" w:name="_Toc481547601"/>
      <w:bookmarkStart w:id="334" w:name="_Toc338663557"/>
      <w:bookmarkStart w:id="335" w:name="_Toc280020159"/>
      <w:bookmarkStart w:id="336" w:name="_Toc182140992"/>
      <w:bookmarkStart w:id="337" w:name="_Toc167013326"/>
      <w:r>
        <w:rPr>
          <w:rFonts w:asciiTheme="minorEastAsia" w:hAnsiTheme="minorEastAsia" w:eastAsiaTheme="minorEastAsia"/>
          <w:lang w:eastAsia="zh-CN"/>
        </w:rPr>
        <w:t>6.</w:t>
      </w:r>
      <w:r>
        <w:rPr>
          <w:rFonts w:hint="eastAsia" w:asciiTheme="minorEastAsia" w:hAnsiTheme="minorEastAsia" w:eastAsiaTheme="minorEastAsia"/>
          <w:lang w:eastAsia="zh-CN"/>
        </w:rPr>
        <w:t>2.</w:t>
      </w:r>
      <w:r>
        <w:rPr>
          <w:rFonts w:asciiTheme="minorEastAsia" w:hAnsiTheme="minorEastAsia" w:eastAsiaTheme="minorEastAsia"/>
          <w:lang w:eastAsia="zh-CN"/>
        </w:rPr>
        <w:t>3.</w:t>
      </w:r>
      <w:r>
        <w:rPr>
          <w:rFonts w:hint="eastAsia" w:asciiTheme="minorEastAsia" w:hAnsiTheme="minorEastAsia" w:eastAsiaTheme="minorEastAsia"/>
          <w:lang w:eastAsia="zh-CN"/>
        </w:rPr>
        <w:t>4</w:t>
      </w:r>
      <w:r>
        <w:rPr>
          <w:rFonts w:asciiTheme="minorEastAsia" w:hAnsiTheme="minorEastAsia" w:eastAsiaTheme="minorEastAsia"/>
          <w:lang w:eastAsia="zh-CN"/>
        </w:rPr>
        <w:t>对区域地下水资源影响分析</w:t>
      </w:r>
      <w:bookmarkEnd w:id="329"/>
      <w:bookmarkEnd w:id="330"/>
      <w:bookmarkEnd w:id="331"/>
    </w:p>
    <w:p w14:paraId="3A0D7F90">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乌里雅斯太油田投入生产运行后，生产运行所需的部分生产及生活用水均取自该区块第三系、白垩系碎屑岩含水层的地下水源。根据该地区的水位地质条件，第三系、白垩系碎屑岩裂隙孔隙承压水含水层分布较广泛，该含水层厚度一般为8～23m。含水层底板埋深一般为22～104m。乌里雅斯太油田范围内分布有</w:t>
      </w:r>
      <w:r>
        <w:rPr>
          <w:rFonts w:hint="eastAsia" w:asciiTheme="minorEastAsia" w:hAnsiTheme="minorEastAsia" w:eastAsiaTheme="minorEastAsia"/>
          <w:lang w:eastAsia="zh-CN"/>
        </w:rPr>
        <w:t>3</w:t>
      </w:r>
      <w:r>
        <w:rPr>
          <w:rFonts w:asciiTheme="minorEastAsia" w:hAnsiTheme="minorEastAsia" w:eastAsiaTheme="minorEastAsia"/>
          <w:lang w:eastAsia="zh-CN"/>
        </w:rPr>
        <w:t>口水源井，</w:t>
      </w:r>
      <w:r>
        <w:rPr>
          <w:rFonts w:hint="eastAsia" w:asciiTheme="minorEastAsia" w:hAnsiTheme="minorEastAsia" w:eastAsiaTheme="minorEastAsia"/>
          <w:lang w:eastAsia="zh-CN"/>
        </w:rPr>
        <w:t>其中1口供生活用水，2口供生产用水，</w:t>
      </w:r>
      <w:r>
        <w:rPr>
          <w:rFonts w:asciiTheme="minorEastAsia" w:hAnsiTheme="minorEastAsia" w:eastAsiaTheme="minorEastAsia"/>
          <w:lang w:eastAsia="zh-CN"/>
        </w:rPr>
        <w:t>水源井</w:t>
      </w:r>
      <w:r>
        <w:rPr>
          <w:rFonts w:hint="eastAsia" w:asciiTheme="minorEastAsia" w:hAnsiTheme="minorEastAsia" w:eastAsiaTheme="minorEastAsia"/>
          <w:lang w:eastAsia="zh-CN"/>
        </w:rPr>
        <w:t>供水</w:t>
      </w:r>
      <w:r>
        <w:rPr>
          <w:rFonts w:asciiTheme="minorEastAsia" w:hAnsiTheme="minorEastAsia" w:eastAsiaTheme="minorEastAsia"/>
          <w:lang w:eastAsia="zh-CN"/>
        </w:rPr>
        <w:t>量</w:t>
      </w:r>
      <w:r>
        <w:rPr>
          <w:rFonts w:hint="eastAsia" w:asciiTheme="minorEastAsia" w:hAnsiTheme="minorEastAsia" w:eastAsiaTheme="minorEastAsia"/>
          <w:lang w:eastAsia="zh-CN"/>
        </w:rPr>
        <w:t>合计</w:t>
      </w:r>
      <w:r>
        <w:rPr>
          <w:rFonts w:asciiTheme="minorEastAsia" w:hAnsiTheme="minorEastAsia" w:eastAsiaTheme="minorEastAsia"/>
          <w:lang w:eastAsia="zh-CN"/>
        </w:rPr>
        <w:t>为</w:t>
      </w:r>
      <w:r>
        <w:rPr>
          <w:rFonts w:hint="eastAsia" w:asciiTheme="minorEastAsia" w:hAnsiTheme="minorEastAsia" w:eastAsiaTheme="minorEastAsia"/>
          <w:lang w:eastAsia="zh-CN"/>
        </w:rPr>
        <w:t>30</w:t>
      </w:r>
      <w:r>
        <w:rPr>
          <w:rFonts w:asciiTheme="minorEastAsia" w:hAnsiTheme="minorEastAsia" w:eastAsiaTheme="minorEastAsia"/>
          <w:lang w:eastAsia="zh-CN"/>
        </w:rPr>
        <w:t>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w:t>
      </w:r>
      <w:r>
        <w:rPr>
          <w:rFonts w:hint="eastAsia" w:asciiTheme="minorEastAsia" w:hAnsiTheme="minorEastAsia" w:eastAsiaTheme="minorEastAsia"/>
          <w:lang w:eastAsia="zh-CN"/>
        </w:rPr>
        <w:t>h</w:t>
      </w:r>
      <w:r>
        <w:rPr>
          <w:rFonts w:asciiTheme="minorEastAsia" w:hAnsiTheme="minorEastAsia" w:eastAsiaTheme="minorEastAsia"/>
          <w:lang w:eastAsia="zh-CN"/>
        </w:rPr>
        <w:t>，能够满足乌里雅斯太油田生产及生活用水需求。</w:t>
      </w:r>
    </w:p>
    <w:p w14:paraId="63F35951">
      <w:pPr>
        <w:widowControl/>
        <w:tabs>
          <w:tab w:val="left" w:pos="120"/>
        </w:tabs>
        <w:snapToGrid w:val="0"/>
        <w:ind w:firstLine="480"/>
        <w:jc w:val="left"/>
        <w:rPr>
          <w:rFonts w:asciiTheme="minorEastAsia" w:hAnsiTheme="minorEastAsia" w:eastAsiaTheme="minorEastAsia"/>
          <w:lang w:eastAsia="zh-CN"/>
        </w:rPr>
      </w:pPr>
      <w:r>
        <w:rPr>
          <w:rFonts w:hint="eastAsia" w:asciiTheme="minorEastAsia" w:hAnsiTheme="minorEastAsia" w:eastAsiaTheme="minorEastAsia"/>
          <w:lang w:eastAsia="zh-CN"/>
        </w:rPr>
        <w:t>根据《华北油田二连分公司东乌珠穆沁旗石油开采项目水资源论证报告》，该项目区所处区域地下水资源相对丰富，补给源稳定可靠。根据对水资源供需平衡预测，到</w:t>
      </w:r>
      <w:r>
        <w:rPr>
          <w:rFonts w:asciiTheme="minorEastAsia" w:hAnsiTheme="minorEastAsia" w:eastAsiaTheme="minorEastAsia"/>
          <w:lang w:eastAsia="zh-CN"/>
        </w:rPr>
        <w:t>2020年全旗地下水尚有81831.40万 m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的开发潜力。</w:t>
      </w:r>
    </w:p>
    <w:p w14:paraId="3486E2DE">
      <w:pPr>
        <w:widowControl/>
        <w:tabs>
          <w:tab w:val="left" w:pos="120"/>
        </w:tabs>
        <w:snapToGrid w:val="0"/>
        <w:ind w:firstLine="480"/>
        <w:jc w:val="left"/>
        <w:rPr>
          <w:rFonts w:asciiTheme="minorEastAsia" w:hAnsiTheme="minorEastAsia" w:eastAsiaTheme="minorEastAsia"/>
          <w:lang w:eastAsia="zh-CN"/>
        </w:rPr>
      </w:pPr>
      <w:r>
        <w:rPr>
          <w:rFonts w:hint="eastAsia" w:asciiTheme="minorEastAsia" w:hAnsiTheme="minorEastAsia" w:eastAsiaTheme="minorEastAsia"/>
          <w:lang w:eastAsia="zh-CN"/>
        </w:rPr>
        <w:t>本项目年最大用水量为15.63 m</w:t>
      </w:r>
      <w:r>
        <w:rPr>
          <w:rFonts w:hint="eastAsia" w:asciiTheme="minorEastAsia" w:hAnsiTheme="minorEastAsia" w:eastAsiaTheme="minorEastAsia"/>
          <w:vertAlign w:val="superscript"/>
          <w:lang w:eastAsia="zh-CN"/>
        </w:rPr>
        <w:t>3</w:t>
      </w:r>
      <w:r>
        <w:rPr>
          <w:rFonts w:hint="eastAsia" w:asciiTheme="minorEastAsia" w:hAnsiTheme="minorEastAsia" w:eastAsiaTheme="minorEastAsia"/>
          <w:lang w:eastAsia="zh-CN"/>
        </w:rPr>
        <w:t>/a（水平衡），最大日取水量为428.33</w:t>
      </w:r>
      <w:r>
        <w:rPr>
          <w:rFonts w:asciiTheme="minorEastAsia" w:hAnsiTheme="minorEastAsia" w:eastAsiaTheme="minorEastAsia"/>
          <w:lang w:eastAsia="zh-CN"/>
        </w:rPr>
        <w:t>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w:t>
      </w:r>
      <w:r>
        <w:rPr>
          <w:rFonts w:hint="eastAsia" w:asciiTheme="minorEastAsia" w:hAnsiTheme="minorEastAsia" w:eastAsiaTheme="minorEastAsia"/>
          <w:lang w:eastAsia="zh-CN"/>
        </w:rPr>
        <w:t>d（生活用水量6.17</w:t>
      </w:r>
      <w:r>
        <w:rPr>
          <w:rFonts w:asciiTheme="minorEastAsia" w:hAnsiTheme="minorEastAsia" w:eastAsiaTheme="minorEastAsia"/>
          <w:lang w:eastAsia="zh-CN"/>
        </w:rPr>
        <w:t>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w:t>
      </w:r>
      <w:r>
        <w:rPr>
          <w:rFonts w:hint="eastAsia" w:asciiTheme="minorEastAsia" w:hAnsiTheme="minorEastAsia" w:eastAsiaTheme="minorEastAsia"/>
          <w:lang w:eastAsia="zh-CN"/>
        </w:rPr>
        <w:t>d）。本项目最大年取水量仅占区域地下水可开采量的（15.63万/</w:t>
      </w:r>
      <w:r>
        <w:rPr>
          <w:rFonts w:asciiTheme="minorEastAsia" w:hAnsiTheme="minorEastAsia" w:eastAsiaTheme="minorEastAsia"/>
          <w:lang w:eastAsia="zh-CN"/>
        </w:rPr>
        <w:t>81831.40万</w:t>
      </w:r>
      <w:r>
        <w:rPr>
          <w:rFonts w:hint="eastAsia" w:asciiTheme="minorEastAsia" w:hAnsiTheme="minorEastAsia" w:eastAsiaTheme="minorEastAsia"/>
          <w:lang w:eastAsia="zh-CN"/>
        </w:rPr>
        <w:t>）0.019%，</w:t>
      </w:r>
      <w:r>
        <w:rPr>
          <w:rFonts w:asciiTheme="minorEastAsia" w:hAnsiTheme="minorEastAsia" w:eastAsiaTheme="minorEastAsia"/>
          <w:lang w:eastAsia="zh-CN"/>
        </w:rPr>
        <w:t>油田开发对区域内地下水</w:t>
      </w:r>
      <w:r>
        <w:rPr>
          <w:rFonts w:hint="eastAsia" w:asciiTheme="minorEastAsia" w:hAnsiTheme="minorEastAsia" w:eastAsiaTheme="minorEastAsia"/>
          <w:lang w:eastAsia="zh-CN"/>
        </w:rPr>
        <w:t>资</w:t>
      </w:r>
      <w:r>
        <w:rPr>
          <w:rFonts w:asciiTheme="minorEastAsia" w:hAnsiTheme="minorEastAsia" w:eastAsiaTheme="minorEastAsia"/>
          <w:lang w:eastAsia="zh-CN"/>
        </w:rPr>
        <w:t>源的影响较小。</w:t>
      </w:r>
      <w:bookmarkStart w:id="338" w:name="_Toc217460581"/>
      <w:bookmarkStart w:id="339" w:name="_Toc303846199"/>
      <w:bookmarkStart w:id="340" w:name="_Toc250367898"/>
      <w:bookmarkStart w:id="341" w:name="_Toc302047457"/>
      <w:bookmarkStart w:id="342" w:name="_Toc304119124"/>
      <w:bookmarkStart w:id="343" w:name="_Toc250367666"/>
      <w:bookmarkStart w:id="344" w:name="_Toc250370363"/>
      <w:bookmarkStart w:id="345" w:name="_Toc250375737"/>
      <w:bookmarkStart w:id="346" w:name="_Toc220410517"/>
      <w:bookmarkStart w:id="347" w:name="_Toc239828310"/>
      <w:bookmarkStart w:id="348" w:name="_Toc250368359"/>
      <w:bookmarkStart w:id="349" w:name="_Toc250370750"/>
      <w:bookmarkStart w:id="350" w:name="_Toc225764680"/>
      <w:bookmarkStart w:id="351" w:name="_Toc250370835"/>
    </w:p>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p w14:paraId="3B7AF866">
      <w:pPr>
        <w:pStyle w:val="4"/>
        <w:rPr>
          <w:lang w:eastAsia="zh-CN"/>
        </w:rPr>
      </w:pPr>
      <w:bookmarkStart w:id="352" w:name="_Toc408413988"/>
      <w:r>
        <w:rPr>
          <w:lang w:eastAsia="zh-CN"/>
        </w:rPr>
        <w:t>6.</w:t>
      </w:r>
      <w:r>
        <w:rPr>
          <w:rFonts w:hint="eastAsia"/>
          <w:lang w:eastAsia="zh-CN"/>
        </w:rPr>
        <w:t>2.</w:t>
      </w:r>
      <w:r>
        <w:rPr>
          <w:lang w:eastAsia="zh-CN"/>
        </w:rPr>
        <w:t>4水环境保护措施</w:t>
      </w:r>
      <w:bookmarkEnd w:id="332"/>
      <w:bookmarkEnd w:id="333"/>
      <w:bookmarkEnd w:id="334"/>
      <w:bookmarkEnd w:id="335"/>
      <w:bookmarkEnd w:id="336"/>
      <w:bookmarkEnd w:id="337"/>
      <w:bookmarkEnd w:id="352"/>
    </w:p>
    <w:p w14:paraId="1251B776">
      <w:pPr>
        <w:widowControl/>
        <w:tabs>
          <w:tab w:val="left" w:pos="120"/>
        </w:tabs>
        <w:snapToGrid w:val="0"/>
        <w:ind w:firstLine="480"/>
        <w:jc w:val="left"/>
        <w:rPr>
          <w:rFonts w:asciiTheme="minorEastAsia" w:hAnsiTheme="minorEastAsia" w:eastAsiaTheme="minorEastAsia"/>
          <w:lang w:eastAsia="zh-CN"/>
        </w:rPr>
      </w:pPr>
      <w:bookmarkStart w:id="353" w:name="_Toc338663558"/>
      <w:bookmarkStart w:id="354" w:name="_Toc280020160"/>
      <w:bookmarkStart w:id="355" w:name="_Toc182140993"/>
      <w:bookmarkStart w:id="356" w:name="_Toc279676761"/>
      <w:r>
        <w:rPr>
          <w:rFonts w:asciiTheme="minorEastAsia" w:hAnsiTheme="minorEastAsia" w:eastAsiaTheme="minorEastAsia"/>
          <w:lang w:eastAsia="zh-CN"/>
        </w:rPr>
        <w:t>6.</w:t>
      </w:r>
      <w:r>
        <w:rPr>
          <w:rFonts w:hint="eastAsia" w:asciiTheme="minorEastAsia" w:hAnsiTheme="minorEastAsia" w:eastAsiaTheme="minorEastAsia"/>
          <w:lang w:eastAsia="zh-CN"/>
        </w:rPr>
        <w:t>2.</w:t>
      </w:r>
      <w:r>
        <w:rPr>
          <w:rFonts w:asciiTheme="minorEastAsia" w:hAnsiTheme="minorEastAsia" w:eastAsiaTheme="minorEastAsia"/>
          <w:lang w:eastAsia="zh-CN"/>
        </w:rPr>
        <w:t>4.1钻井废水环保措施</w:t>
      </w:r>
      <w:bookmarkEnd w:id="353"/>
      <w:bookmarkEnd w:id="354"/>
      <w:bookmarkEnd w:id="355"/>
      <w:bookmarkEnd w:id="356"/>
    </w:p>
    <w:p w14:paraId="50D60399">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钻井过程中的废水、岩屑、泥浆以及废弃钻井液均排入井场泥浆池中。</w:t>
      </w:r>
      <w:r>
        <w:rPr>
          <w:rFonts w:hint="eastAsia" w:asciiTheme="minorEastAsia" w:hAnsiTheme="minorEastAsia" w:eastAsiaTheme="minorEastAsia"/>
          <w:lang w:eastAsia="zh-CN"/>
        </w:rPr>
        <w:t>乌里雅斯太油田</w:t>
      </w:r>
      <w:r>
        <w:rPr>
          <w:rFonts w:asciiTheme="minorEastAsia" w:hAnsiTheme="minorEastAsia" w:eastAsiaTheme="minorEastAsia"/>
          <w:lang w:eastAsia="zh-CN"/>
        </w:rPr>
        <w:t>单井泥浆池容积为</w:t>
      </w:r>
      <w:r>
        <w:rPr>
          <w:rFonts w:hint="eastAsia" w:asciiTheme="minorEastAsia" w:hAnsiTheme="minorEastAsia" w:eastAsiaTheme="minorEastAsia"/>
          <w:lang w:eastAsia="zh-CN"/>
        </w:rPr>
        <w:t>144</w:t>
      </w:r>
      <w:r>
        <w:rPr>
          <w:rFonts w:asciiTheme="minorEastAsia" w:hAnsiTheme="minorEastAsia" w:eastAsiaTheme="minorEastAsia"/>
          <w:lang w:eastAsia="zh-CN"/>
        </w:rPr>
        <w:t>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w:t>
      </w:r>
      <w:r>
        <w:rPr>
          <w:rFonts w:hint="eastAsia" w:asciiTheme="minorEastAsia" w:hAnsiTheme="minorEastAsia" w:eastAsiaTheme="minorEastAsia"/>
          <w:lang w:eastAsia="zh-CN"/>
        </w:rPr>
        <w:t>8</w:t>
      </w:r>
      <w:r>
        <w:rPr>
          <w:rFonts w:asciiTheme="minorEastAsia" w:hAnsiTheme="minorEastAsia" w:eastAsiaTheme="minorEastAsia"/>
          <w:lang w:eastAsia="zh-CN"/>
        </w:rPr>
        <w:t>m×</w:t>
      </w:r>
      <w:r>
        <w:rPr>
          <w:rFonts w:hint="eastAsia" w:asciiTheme="minorEastAsia" w:hAnsiTheme="minorEastAsia" w:eastAsiaTheme="minorEastAsia"/>
          <w:lang w:eastAsia="zh-CN"/>
        </w:rPr>
        <w:t>6</w:t>
      </w:r>
      <w:r>
        <w:rPr>
          <w:rFonts w:asciiTheme="minorEastAsia" w:hAnsiTheme="minorEastAsia" w:eastAsiaTheme="minorEastAsia"/>
          <w:lang w:eastAsia="zh-CN"/>
        </w:rPr>
        <w:t>m×</w:t>
      </w:r>
      <w:r>
        <w:rPr>
          <w:rFonts w:hint="eastAsia" w:asciiTheme="minorEastAsia" w:hAnsiTheme="minorEastAsia" w:eastAsiaTheme="minorEastAsia"/>
          <w:lang w:eastAsia="zh-CN"/>
        </w:rPr>
        <w:t>3</w:t>
      </w:r>
      <w:r>
        <w:rPr>
          <w:rFonts w:asciiTheme="minorEastAsia" w:hAnsiTheme="minorEastAsia" w:eastAsiaTheme="minorEastAsia"/>
          <w:lang w:eastAsia="zh-CN"/>
        </w:rPr>
        <w:t>m）。泥浆池容积完全可以容纳钻井过程中产生的废水、岩屑、泥浆等。</w:t>
      </w:r>
    </w:p>
    <w:p w14:paraId="61A5B4A4">
      <w:pPr>
        <w:widowControl/>
        <w:tabs>
          <w:tab w:val="left" w:pos="120"/>
        </w:tabs>
        <w:snapToGrid w:val="0"/>
        <w:ind w:firstLine="480"/>
        <w:jc w:val="left"/>
        <w:outlineLvl w:val="0"/>
        <w:rPr>
          <w:rFonts w:asciiTheme="minorEastAsia" w:hAnsiTheme="minorEastAsia" w:eastAsiaTheme="minorEastAsia"/>
          <w:lang w:eastAsia="zh-CN"/>
        </w:rPr>
      </w:pPr>
      <w:r>
        <w:rPr>
          <w:rFonts w:hint="eastAsia" w:asciiTheme="minorEastAsia" w:hAnsiTheme="minorEastAsia" w:eastAsiaTheme="minorEastAsia"/>
          <w:lang w:eastAsia="zh-CN"/>
        </w:rPr>
        <w:t>（1）</w:t>
      </w:r>
      <w:r>
        <w:rPr>
          <w:rFonts w:asciiTheme="minorEastAsia" w:hAnsiTheme="minorEastAsia" w:eastAsiaTheme="minorEastAsia"/>
          <w:lang w:eastAsia="zh-CN"/>
        </w:rPr>
        <w:t>防渗</w:t>
      </w:r>
    </w:p>
    <w:p w14:paraId="06B544FB">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井场泥浆池均实行全封闭管理，同时应加强泥浆池的防渗处理，渗透系数小于1.0×10</w:t>
      </w:r>
      <w:r>
        <w:rPr>
          <w:rFonts w:asciiTheme="minorEastAsia" w:hAnsiTheme="minorEastAsia" w:eastAsiaTheme="minorEastAsia"/>
          <w:vertAlign w:val="superscript"/>
          <w:lang w:eastAsia="zh-CN"/>
        </w:rPr>
        <w:t>-7</w:t>
      </w:r>
      <w:r>
        <w:rPr>
          <w:rFonts w:asciiTheme="minorEastAsia" w:hAnsiTheme="minorEastAsia" w:eastAsiaTheme="minorEastAsia"/>
          <w:lang w:eastAsia="zh-CN"/>
        </w:rPr>
        <w:t>cm/s，避免钻井废液中的污染物污染地下水和土壤。油田开发中的钻井污水，一律要进入泥浆池，不得随意向外环境排放。</w:t>
      </w:r>
    </w:p>
    <w:p w14:paraId="2664A7C9">
      <w:pPr>
        <w:widowControl/>
        <w:tabs>
          <w:tab w:val="left" w:pos="120"/>
        </w:tabs>
        <w:snapToGrid w:val="0"/>
        <w:ind w:firstLine="480"/>
        <w:jc w:val="left"/>
        <w:outlineLvl w:val="0"/>
        <w:rPr>
          <w:rFonts w:asciiTheme="minorEastAsia" w:hAnsiTheme="minorEastAsia" w:eastAsiaTheme="minorEastAsia"/>
          <w:lang w:eastAsia="zh-CN"/>
        </w:rPr>
      </w:pPr>
      <w:r>
        <w:rPr>
          <w:rFonts w:hint="eastAsia" w:asciiTheme="minorEastAsia" w:hAnsiTheme="minorEastAsia" w:eastAsiaTheme="minorEastAsia"/>
          <w:lang w:eastAsia="zh-CN"/>
        </w:rPr>
        <w:t>（2）</w:t>
      </w:r>
      <w:r>
        <w:rPr>
          <w:rFonts w:asciiTheme="minorEastAsia" w:hAnsiTheme="minorEastAsia" w:eastAsiaTheme="minorEastAsia"/>
          <w:lang w:eastAsia="zh-CN"/>
        </w:rPr>
        <w:t>固化</w:t>
      </w:r>
    </w:p>
    <w:p w14:paraId="7C8BC681">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在油井钻井完井后，钻井废水、岩屑、废弃泥浆应及时进行无害化固化稳定处理。施工期钻井所产生的废弃泥浆的固化工作应委托专业队伍在一个月之内完成，同时在泥浆完全固化之前的泥浆池应采取设置明确标示及围栏等措施，避免造成人或牲畜误入。泥浆池固化后，要在泥浆池上覆土，恢复植被。</w:t>
      </w:r>
    </w:p>
    <w:p w14:paraId="0D490CE6">
      <w:pPr>
        <w:widowControl/>
        <w:tabs>
          <w:tab w:val="left" w:pos="120"/>
        </w:tabs>
        <w:snapToGrid w:val="0"/>
        <w:ind w:firstLine="480"/>
        <w:jc w:val="left"/>
        <w:outlineLvl w:val="0"/>
        <w:rPr>
          <w:rFonts w:asciiTheme="minorEastAsia" w:hAnsiTheme="minorEastAsia" w:eastAsiaTheme="minorEastAsia"/>
          <w:lang w:eastAsia="zh-CN"/>
        </w:rPr>
      </w:pPr>
      <w:r>
        <w:rPr>
          <w:rFonts w:asciiTheme="minorEastAsia" w:hAnsiTheme="minorEastAsia" w:eastAsiaTheme="minorEastAsia"/>
          <w:lang w:eastAsia="zh-CN"/>
        </w:rPr>
        <w:t>6.</w:t>
      </w:r>
      <w:r>
        <w:rPr>
          <w:rFonts w:hint="eastAsia" w:asciiTheme="minorEastAsia" w:hAnsiTheme="minorEastAsia" w:eastAsiaTheme="minorEastAsia"/>
          <w:lang w:eastAsia="zh-CN"/>
        </w:rPr>
        <w:t>2.</w:t>
      </w:r>
      <w:r>
        <w:rPr>
          <w:rFonts w:asciiTheme="minorEastAsia" w:hAnsiTheme="minorEastAsia" w:eastAsiaTheme="minorEastAsia"/>
          <w:lang w:eastAsia="zh-CN"/>
        </w:rPr>
        <w:t>4.</w:t>
      </w:r>
      <w:r>
        <w:rPr>
          <w:rFonts w:hint="eastAsia" w:asciiTheme="minorEastAsia" w:hAnsiTheme="minorEastAsia" w:eastAsiaTheme="minorEastAsia"/>
          <w:lang w:eastAsia="zh-CN"/>
        </w:rPr>
        <w:t>2</w:t>
      </w:r>
      <w:r>
        <w:rPr>
          <w:rFonts w:asciiTheme="minorEastAsia" w:hAnsiTheme="minorEastAsia" w:eastAsiaTheme="minorEastAsia"/>
          <w:lang w:eastAsia="zh-CN"/>
        </w:rPr>
        <w:t>钻井过程对水环境保护措施</w:t>
      </w:r>
    </w:p>
    <w:p w14:paraId="704CC17C">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根据油田开发的生产实际，保证钻孔固井质量是保护油田地下水的有效措施，钻井过程中使用双层套管，表层套管和油层套管固井水泥浆均返至井口，确保安全封闭此深度内的潜水层和承压水层，同时封固地表疏松地层，为井口控制和后续完井采用预应力固井创造条件；尽可能缩短水泥胶的稠化时间减少对地层水的污染；表套固井禁止使用带毒性的水泥外加剂。钻井过程中的固井措施，一方面加固井壁，同时也有分隔地层的作用，使各个不相联通的地层分隔开来，保持其原有的循环运移道路。在最不利情况下，如泄漏发生在主要与油层相近的承压含水层以下，由于该含水层上下均有很厚的隔水层，起到良好的隔水作用，因此不会向上渗入含水层，对地下水不会造成污染；若泄漏发生在含水层，由于本区块油水井所处含水层均处在固井范围内，即使发生泄漏，也因固井加套管等防护措施，不至于造成地下水污染。</w:t>
      </w:r>
    </w:p>
    <w:p w14:paraId="782BFC72">
      <w:pPr>
        <w:widowControl/>
        <w:tabs>
          <w:tab w:val="left" w:pos="120"/>
        </w:tabs>
        <w:snapToGrid w:val="0"/>
        <w:ind w:firstLine="480"/>
        <w:jc w:val="left"/>
        <w:outlineLvl w:val="0"/>
        <w:rPr>
          <w:rFonts w:asciiTheme="minorEastAsia" w:hAnsiTheme="minorEastAsia" w:eastAsiaTheme="minorEastAsia"/>
          <w:lang w:eastAsia="zh-CN"/>
        </w:rPr>
      </w:pPr>
      <w:bookmarkStart w:id="357" w:name="_Toc280020162"/>
      <w:bookmarkStart w:id="358" w:name="_Toc279676763"/>
      <w:bookmarkStart w:id="359" w:name="_Toc182140995"/>
      <w:bookmarkStart w:id="360" w:name="_Toc338663559"/>
      <w:r>
        <w:rPr>
          <w:rFonts w:asciiTheme="minorEastAsia" w:hAnsiTheme="minorEastAsia" w:eastAsiaTheme="minorEastAsia"/>
          <w:lang w:eastAsia="zh-CN"/>
        </w:rPr>
        <w:t>6.</w:t>
      </w:r>
      <w:r>
        <w:rPr>
          <w:rFonts w:hint="eastAsia" w:asciiTheme="minorEastAsia" w:hAnsiTheme="minorEastAsia" w:eastAsiaTheme="minorEastAsia"/>
          <w:lang w:eastAsia="zh-CN"/>
        </w:rPr>
        <w:t>2.</w:t>
      </w:r>
      <w:r>
        <w:rPr>
          <w:rFonts w:asciiTheme="minorEastAsia" w:hAnsiTheme="minorEastAsia" w:eastAsiaTheme="minorEastAsia"/>
          <w:lang w:eastAsia="zh-CN"/>
        </w:rPr>
        <w:t>4.</w:t>
      </w:r>
      <w:r>
        <w:rPr>
          <w:rFonts w:hint="eastAsia" w:asciiTheme="minorEastAsia" w:hAnsiTheme="minorEastAsia" w:eastAsiaTheme="minorEastAsia"/>
          <w:lang w:eastAsia="zh-CN"/>
        </w:rPr>
        <w:t>3</w:t>
      </w:r>
      <w:r>
        <w:rPr>
          <w:rFonts w:asciiTheme="minorEastAsia" w:hAnsiTheme="minorEastAsia" w:eastAsiaTheme="minorEastAsia"/>
          <w:lang w:eastAsia="zh-CN"/>
        </w:rPr>
        <w:t>含</w:t>
      </w:r>
      <w:bookmarkEnd w:id="357"/>
      <w:bookmarkEnd w:id="358"/>
      <w:bookmarkEnd w:id="359"/>
      <w:r>
        <w:rPr>
          <w:rFonts w:asciiTheme="minorEastAsia" w:hAnsiTheme="minorEastAsia" w:eastAsiaTheme="minorEastAsia"/>
          <w:lang w:eastAsia="zh-CN"/>
        </w:rPr>
        <w:t>油废水处理措施</w:t>
      </w:r>
      <w:bookmarkEnd w:id="360"/>
    </w:p>
    <w:p w14:paraId="0A770C72">
      <w:pPr>
        <w:widowControl/>
        <w:tabs>
          <w:tab w:val="left" w:pos="120"/>
        </w:tabs>
        <w:snapToGrid w:val="0"/>
        <w:ind w:firstLine="480"/>
        <w:jc w:val="left"/>
        <w:rPr>
          <w:rFonts w:asciiTheme="minorEastAsia" w:hAnsiTheme="minorEastAsia" w:eastAsiaTheme="minorEastAsia"/>
          <w:lang w:eastAsia="zh-CN"/>
        </w:rPr>
      </w:pPr>
      <w:r>
        <w:rPr>
          <w:rFonts w:hint="eastAsia" w:asciiTheme="minorEastAsia" w:hAnsiTheme="minorEastAsia" w:eastAsiaTheme="minorEastAsia"/>
          <w:lang w:eastAsia="zh-CN"/>
        </w:rPr>
        <w:t>雅斯联合站</w:t>
      </w:r>
      <w:r>
        <w:rPr>
          <w:rFonts w:asciiTheme="minorEastAsia" w:hAnsiTheme="minorEastAsia" w:eastAsiaTheme="minorEastAsia"/>
          <w:lang w:eastAsia="zh-CN"/>
        </w:rPr>
        <w:t>含油废水经污水处理系统处理后回注。污水处理系统处理规模为</w:t>
      </w:r>
      <w:r>
        <w:rPr>
          <w:rFonts w:hint="eastAsia" w:asciiTheme="minorEastAsia" w:hAnsiTheme="minorEastAsia" w:eastAsiaTheme="minorEastAsia"/>
          <w:lang w:eastAsia="zh-CN"/>
        </w:rPr>
        <w:t>300</w:t>
      </w:r>
      <w:r>
        <w:rPr>
          <w:rFonts w:asciiTheme="minorEastAsia" w:hAnsiTheme="minorEastAsia" w:eastAsiaTheme="minorEastAsia"/>
          <w:lang w:eastAsia="zh-CN"/>
        </w:rPr>
        <w:t>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 xml:space="preserve">/d，该处理系统采用微生物处理 + </w:t>
      </w:r>
      <w:r>
        <w:rPr>
          <w:rFonts w:hint="eastAsia" w:asciiTheme="minorEastAsia" w:hAnsiTheme="minorEastAsia" w:eastAsiaTheme="minorEastAsia"/>
          <w:lang w:eastAsia="zh-CN"/>
        </w:rPr>
        <w:t>膜处理</w:t>
      </w:r>
      <w:r>
        <w:rPr>
          <w:rFonts w:asciiTheme="minorEastAsia" w:hAnsiTheme="minorEastAsia" w:eastAsiaTheme="minorEastAsia"/>
          <w:lang w:eastAsia="zh-CN"/>
        </w:rPr>
        <w:t>工艺，经过处理后的水质能够达到《碎屑岩油藏注水水质推荐指标及分析方法》(SY/T5329-2012)中的标准要求，然后回注地层。</w:t>
      </w:r>
    </w:p>
    <w:p w14:paraId="7BFB149C">
      <w:pPr>
        <w:widowControl/>
        <w:tabs>
          <w:tab w:val="left" w:pos="120"/>
        </w:tabs>
        <w:snapToGrid w:val="0"/>
        <w:ind w:firstLine="480"/>
        <w:jc w:val="left"/>
        <w:outlineLvl w:val="0"/>
        <w:rPr>
          <w:rFonts w:asciiTheme="minorEastAsia" w:hAnsiTheme="minorEastAsia" w:eastAsiaTheme="minorEastAsia"/>
          <w:lang w:eastAsia="zh-CN"/>
        </w:rPr>
      </w:pPr>
      <w:r>
        <w:rPr>
          <w:rFonts w:asciiTheme="minorEastAsia" w:hAnsiTheme="minorEastAsia" w:eastAsiaTheme="minorEastAsia"/>
          <w:lang w:eastAsia="zh-CN"/>
        </w:rPr>
        <w:t>6.</w:t>
      </w:r>
      <w:r>
        <w:rPr>
          <w:rFonts w:hint="eastAsia" w:asciiTheme="minorEastAsia" w:hAnsiTheme="minorEastAsia" w:eastAsiaTheme="minorEastAsia"/>
          <w:lang w:eastAsia="zh-CN"/>
        </w:rPr>
        <w:t>2.</w:t>
      </w:r>
      <w:r>
        <w:rPr>
          <w:rFonts w:asciiTheme="minorEastAsia" w:hAnsiTheme="minorEastAsia" w:eastAsiaTheme="minorEastAsia"/>
          <w:lang w:eastAsia="zh-CN"/>
        </w:rPr>
        <w:t>4.</w:t>
      </w:r>
      <w:r>
        <w:rPr>
          <w:rFonts w:hint="eastAsia" w:asciiTheme="minorEastAsia" w:hAnsiTheme="minorEastAsia" w:eastAsiaTheme="minorEastAsia"/>
          <w:lang w:eastAsia="zh-CN"/>
        </w:rPr>
        <w:t>4</w:t>
      </w:r>
      <w:r>
        <w:rPr>
          <w:rFonts w:asciiTheme="minorEastAsia" w:hAnsiTheme="minorEastAsia" w:eastAsiaTheme="minorEastAsia"/>
          <w:lang w:eastAsia="zh-CN"/>
        </w:rPr>
        <w:t xml:space="preserve">作业废水处理措施   </w:t>
      </w:r>
    </w:p>
    <w:p w14:paraId="76FBA1D2">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乌里雅斯太油田修井及洗井用水为清水，修井和洗井污水主要含有石油类及酸碱等物质。注水井</w:t>
      </w:r>
      <w:r>
        <w:rPr>
          <w:rFonts w:hint="eastAsia" w:asciiTheme="minorEastAsia" w:hAnsiTheme="minorEastAsia" w:eastAsiaTheme="minorEastAsia"/>
          <w:lang w:eastAsia="zh-CN"/>
        </w:rPr>
        <w:t>修井及洗井</w:t>
      </w:r>
      <w:r>
        <w:rPr>
          <w:rFonts w:asciiTheme="minorEastAsia" w:hAnsiTheme="minorEastAsia" w:eastAsiaTheme="minorEastAsia"/>
          <w:lang w:eastAsia="zh-CN"/>
        </w:rPr>
        <w:t>废水经作业密闭罐车拉回</w:t>
      </w:r>
      <w:r>
        <w:rPr>
          <w:rFonts w:hint="eastAsia" w:asciiTheme="minorEastAsia" w:hAnsiTheme="minorEastAsia" w:eastAsiaTheme="minorEastAsia"/>
          <w:lang w:eastAsia="zh-CN"/>
        </w:rPr>
        <w:t>雅斯</w:t>
      </w:r>
      <w:r>
        <w:rPr>
          <w:rFonts w:asciiTheme="minorEastAsia" w:hAnsiTheme="minorEastAsia" w:eastAsiaTheme="minorEastAsia"/>
          <w:lang w:eastAsia="zh-CN"/>
        </w:rPr>
        <w:t>联合站污水处理系统处理，不外排；油井修井及洗井废水</w:t>
      </w:r>
      <w:r>
        <w:rPr>
          <w:rFonts w:hint="eastAsia" w:asciiTheme="minorEastAsia" w:hAnsiTheme="minorEastAsia" w:eastAsiaTheme="minorEastAsia"/>
          <w:lang w:eastAsia="zh-CN"/>
        </w:rPr>
        <w:t>进入雅斯联合站西侧的废液池，经有效降解、沉降后回收到除油罐，与采油废水一起处理，</w:t>
      </w:r>
      <w:r>
        <w:rPr>
          <w:rFonts w:asciiTheme="minorEastAsia" w:hAnsiTheme="minorEastAsia" w:eastAsiaTheme="minorEastAsia"/>
          <w:lang w:eastAsia="zh-CN"/>
        </w:rPr>
        <w:t>不外排。作业废水均不外排，对周围水环境影响较小。</w:t>
      </w:r>
    </w:p>
    <w:p w14:paraId="3CFDA390">
      <w:pPr>
        <w:widowControl/>
        <w:tabs>
          <w:tab w:val="left" w:pos="120"/>
        </w:tabs>
        <w:snapToGrid w:val="0"/>
        <w:ind w:firstLine="480"/>
        <w:jc w:val="left"/>
        <w:outlineLvl w:val="0"/>
        <w:rPr>
          <w:rFonts w:asciiTheme="minorEastAsia" w:hAnsiTheme="minorEastAsia" w:eastAsiaTheme="minorEastAsia"/>
          <w:lang w:eastAsia="zh-CN"/>
        </w:rPr>
      </w:pPr>
      <w:bookmarkStart w:id="361" w:name="_Toc279676765"/>
      <w:bookmarkStart w:id="362" w:name="_Toc280020164"/>
      <w:bookmarkStart w:id="363" w:name="_Toc338663561"/>
      <w:r>
        <w:rPr>
          <w:rFonts w:asciiTheme="minorEastAsia" w:hAnsiTheme="minorEastAsia" w:eastAsiaTheme="minorEastAsia"/>
          <w:lang w:eastAsia="zh-CN"/>
        </w:rPr>
        <w:t>6.</w:t>
      </w:r>
      <w:r>
        <w:rPr>
          <w:rFonts w:hint="eastAsia" w:asciiTheme="minorEastAsia" w:hAnsiTheme="minorEastAsia" w:eastAsiaTheme="minorEastAsia"/>
          <w:lang w:eastAsia="zh-CN"/>
        </w:rPr>
        <w:t>2.</w:t>
      </w:r>
      <w:r>
        <w:rPr>
          <w:rFonts w:asciiTheme="minorEastAsia" w:hAnsiTheme="minorEastAsia" w:eastAsiaTheme="minorEastAsia"/>
          <w:lang w:eastAsia="zh-CN"/>
        </w:rPr>
        <w:t>4.</w:t>
      </w:r>
      <w:r>
        <w:rPr>
          <w:rFonts w:hint="eastAsia" w:asciiTheme="minorEastAsia" w:hAnsiTheme="minorEastAsia" w:eastAsiaTheme="minorEastAsia"/>
          <w:lang w:eastAsia="zh-CN"/>
        </w:rPr>
        <w:t>5</w:t>
      </w:r>
      <w:r>
        <w:rPr>
          <w:rFonts w:asciiTheme="minorEastAsia" w:hAnsiTheme="minorEastAsia" w:eastAsiaTheme="minorEastAsia"/>
          <w:lang w:eastAsia="zh-CN"/>
        </w:rPr>
        <w:t>生活污水环保措施</w:t>
      </w:r>
      <w:bookmarkEnd w:id="361"/>
      <w:bookmarkEnd w:id="362"/>
      <w:bookmarkEnd w:id="363"/>
    </w:p>
    <w:p w14:paraId="6F3F8A30">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乌里雅斯太油田运行期间生活污水的产生量为</w:t>
      </w:r>
      <w:r>
        <w:rPr>
          <w:rFonts w:hint="eastAsia" w:asciiTheme="minorEastAsia" w:hAnsiTheme="minorEastAsia" w:eastAsiaTheme="minorEastAsia"/>
          <w:lang w:eastAsia="zh-CN"/>
        </w:rPr>
        <w:t>5.24</w:t>
      </w:r>
      <w:r>
        <w:rPr>
          <w:rFonts w:asciiTheme="minorEastAsia" w:hAnsiTheme="minorEastAsia" w:eastAsiaTheme="minorEastAsia"/>
          <w:lang w:eastAsia="zh-CN"/>
        </w:rPr>
        <w:t>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/d</w:t>
      </w:r>
      <w:r>
        <w:rPr>
          <w:rFonts w:hint="eastAsia" w:asciiTheme="minorEastAsia" w:hAnsiTheme="minorEastAsia" w:eastAsiaTheme="minorEastAsia"/>
          <w:lang w:eastAsia="zh-CN"/>
        </w:rPr>
        <w:t>。雅斯联合站生活污水经地埋式一体化污水处理系统处理后进入蒸发池储存，部分用于绿化，部分用于洒水抑尘。</w:t>
      </w:r>
    </w:p>
    <w:p w14:paraId="4ABFDCFD">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综上所述，</w:t>
      </w:r>
      <w:r>
        <w:rPr>
          <w:rFonts w:hint="eastAsia" w:asciiTheme="minorEastAsia" w:hAnsiTheme="minorEastAsia" w:eastAsiaTheme="minorEastAsia"/>
          <w:lang w:eastAsia="zh-CN"/>
        </w:rPr>
        <w:t>乌里雅斯太油田各站场</w:t>
      </w:r>
      <w:r>
        <w:rPr>
          <w:rFonts w:asciiTheme="minorEastAsia" w:hAnsiTheme="minorEastAsia" w:eastAsiaTheme="minorEastAsia"/>
          <w:lang w:eastAsia="zh-CN"/>
        </w:rPr>
        <w:t>生活污水经处理设施处理后对周围环境的影响较小。</w:t>
      </w:r>
    </w:p>
    <w:p w14:paraId="0A26C4E0">
      <w:pPr>
        <w:widowControl/>
        <w:tabs>
          <w:tab w:val="left" w:pos="120"/>
        </w:tabs>
        <w:snapToGrid w:val="0"/>
        <w:ind w:firstLine="480"/>
        <w:jc w:val="left"/>
        <w:outlineLvl w:val="0"/>
        <w:rPr>
          <w:rFonts w:asciiTheme="minorEastAsia" w:hAnsiTheme="minorEastAsia" w:eastAsiaTheme="minorEastAsia"/>
          <w:lang w:eastAsia="zh-CN"/>
        </w:rPr>
      </w:pPr>
      <w:bookmarkStart w:id="364" w:name="_Toc390850610"/>
      <w:bookmarkStart w:id="365" w:name="_Toc371717607"/>
      <w:bookmarkStart w:id="366" w:name="_Toc394442188"/>
      <w:r>
        <w:rPr>
          <w:rFonts w:asciiTheme="minorEastAsia" w:hAnsiTheme="minorEastAsia" w:eastAsiaTheme="minorEastAsia"/>
          <w:lang w:eastAsia="zh-CN"/>
        </w:rPr>
        <w:t>6.</w:t>
      </w:r>
      <w:r>
        <w:rPr>
          <w:rFonts w:hint="eastAsia" w:asciiTheme="minorEastAsia" w:hAnsiTheme="minorEastAsia" w:eastAsiaTheme="minorEastAsia"/>
          <w:lang w:eastAsia="zh-CN"/>
        </w:rPr>
        <w:t>2.</w:t>
      </w:r>
      <w:r>
        <w:rPr>
          <w:rFonts w:asciiTheme="minorEastAsia" w:hAnsiTheme="minorEastAsia" w:eastAsiaTheme="minorEastAsia"/>
          <w:lang w:eastAsia="zh-CN"/>
        </w:rPr>
        <w:t>4.</w:t>
      </w:r>
      <w:r>
        <w:rPr>
          <w:rFonts w:hint="eastAsia" w:asciiTheme="minorEastAsia" w:hAnsiTheme="minorEastAsia" w:eastAsiaTheme="minorEastAsia"/>
          <w:lang w:eastAsia="zh-CN"/>
        </w:rPr>
        <w:t>6</w:t>
      </w:r>
      <w:r>
        <w:rPr>
          <w:rFonts w:asciiTheme="minorEastAsia" w:hAnsiTheme="minorEastAsia" w:eastAsiaTheme="minorEastAsia"/>
          <w:lang w:eastAsia="zh-CN"/>
        </w:rPr>
        <w:t>建立健全水资源管理制度</w:t>
      </w:r>
      <w:bookmarkEnd w:id="364"/>
      <w:bookmarkEnd w:id="365"/>
      <w:bookmarkEnd w:id="366"/>
    </w:p>
    <w:p w14:paraId="6C25C762">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1、工艺设计时应采用清洁生产工艺，落实节水措施，提高水的重复利用率，减少取水量</w:t>
      </w:r>
      <w:r>
        <w:rPr>
          <w:rFonts w:hint="eastAsia" w:asciiTheme="minorEastAsia" w:hAnsiTheme="minorEastAsia" w:eastAsiaTheme="minorEastAsia"/>
          <w:lang w:eastAsia="zh-CN"/>
        </w:rPr>
        <w:t>。</w:t>
      </w:r>
    </w:p>
    <w:p w14:paraId="04C7993F">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2、建立用水动态监控系统，对项目补充水量实现实时监测与调控，确保按照最佳用水模式运行，根据各工艺过程对水量和水质的要求合理安排生产、生活用水，建立合理的水量平衡系统</w:t>
      </w:r>
      <w:r>
        <w:rPr>
          <w:rFonts w:hint="eastAsia" w:asciiTheme="minorEastAsia" w:hAnsiTheme="minorEastAsia" w:eastAsiaTheme="minorEastAsia"/>
          <w:lang w:eastAsia="zh-CN"/>
        </w:rPr>
        <w:t>。</w:t>
      </w:r>
    </w:p>
    <w:p w14:paraId="0B338D46">
      <w:pPr>
        <w:widowControl/>
        <w:tabs>
          <w:tab w:val="left" w:pos="120"/>
        </w:tabs>
        <w:snapToGrid w:val="0"/>
        <w:ind w:firstLine="480"/>
        <w:jc w:val="left"/>
        <w:rPr>
          <w:rFonts w:asciiTheme="minorEastAsia" w:hAnsiTheme="minorEastAsia" w:eastAsiaTheme="minorEastAsia"/>
          <w:lang w:eastAsia="zh-CN"/>
        </w:rPr>
      </w:pPr>
      <w:r>
        <w:rPr>
          <w:rFonts w:asciiTheme="minorEastAsia" w:hAnsiTheme="minorEastAsia" w:eastAsiaTheme="minorEastAsia"/>
          <w:lang w:eastAsia="zh-CN"/>
        </w:rPr>
        <w:t>3、设置地下水环境管理机构，为加强对地下水影响的动态监测和管理工作，做到在生产过程中及时掌握建设项目生产对地下水环境的影响，预防和治理建设项目所诱发的环境水文地质问题，评价建议</w:t>
      </w:r>
      <w:r>
        <w:rPr>
          <w:rFonts w:hint="eastAsia" w:asciiTheme="minorEastAsia" w:hAnsiTheme="minorEastAsia" w:eastAsiaTheme="minorEastAsia"/>
          <w:lang w:eastAsia="zh-CN"/>
        </w:rPr>
        <w:t>建设单位</w:t>
      </w:r>
      <w:r>
        <w:rPr>
          <w:rFonts w:asciiTheme="minorEastAsia" w:hAnsiTheme="minorEastAsia" w:eastAsiaTheme="minorEastAsia"/>
          <w:lang w:eastAsia="zh-CN"/>
        </w:rPr>
        <w:t>应建立专门的地下水管理机构，配备2-3名专业管理人员，负责地下水环境保护工作。</w:t>
      </w:r>
    </w:p>
    <w:p w14:paraId="08D978AB">
      <w:pPr>
        <w:widowControl/>
        <w:tabs>
          <w:tab w:val="left" w:pos="120"/>
        </w:tabs>
        <w:snapToGrid w:val="0"/>
        <w:ind w:firstLine="480"/>
        <w:jc w:val="left"/>
        <w:rPr>
          <w:rFonts w:asciiTheme="minorEastAsia" w:hAnsiTheme="minorEastAsia" w:eastAsiaTheme="minorEastAsia"/>
          <w:lang w:eastAsia="zh-CN"/>
        </w:rPr>
      </w:pPr>
      <w:r>
        <w:rPr>
          <w:rFonts w:hint="eastAsia" w:asciiTheme="minorEastAsia" w:hAnsiTheme="minorEastAsia" w:eastAsiaTheme="minorEastAsia"/>
          <w:lang w:eastAsia="zh-CN"/>
        </w:rPr>
        <w:t>4、做好日常的管网养护管理维持管网的正常运行，保证安全供水，防止管网渗漏。</w:t>
      </w:r>
      <w:r>
        <w:rPr>
          <w:rFonts w:asciiTheme="minorEastAsia" w:hAnsiTheme="minorEastAsia" w:eastAsiaTheme="minorEastAsia"/>
          <w:lang w:eastAsia="zh-CN"/>
        </w:rPr>
        <w:t xml:space="preserve"> </w:t>
      </w:r>
    </w:p>
    <w:p w14:paraId="4A5815D5">
      <w:pPr>
        <w:widowControl/>
        <w:tabs>
          <w:tab w:val="left" w:pos="120"/>
        </w:tabs>
        <w:snapToGrid w:val="0"/>
        <w:ind w:firstLine="480"/>
        <w:jc w:val="left"/>
        <w:rPr>
          <w:rFonts w:asciiTheme="minorEastAsia" w:hAnsiTheme="minorEastAsia" w:eastAsiaTheme="minorEastAsia"/>
          <w:lang w:eastAsia="zh-CN"/>
        </w:rPr>
      </w:pPr>
      <w:r>
        <w:rPr>
          <w:rFonts w:hint="eastAsia" w:asciiTheme="minorEastAsia" w:hAnsiTheme="minorEastAsia" w:eastAsiaTheme="minorEastAsia"/>
          <w:lang w:eastAsia="zh-CN"/>
        </w:rPr>
        <w:t>5、所有防渗措施防渗系数要达到</w:t>
      </w:r>
      <w:r>
        <w:rPr>
          <w:rFonts w:asciiTheme="minorEastAsia" w:hAnsiTheme="minorEastAsia" w:eastAsiaTheme="minorEastAsia"/>
          <w:lang w:eastAsia="zh-CN"/>
        </w:rPr>
        <w:t>渗透系数小于1.0×10</w:t>
      </w:r>
      <w:r>
        <w:rPr>
          <w:rFonts w:asciiTheme="minorEastAsia" w:hAnsiTheme="minorEastAsia" w:eastAsiaTheme="minorEastAsia"/>
          <w:vertAlign w:val="superscript"/>
          <w:lang w:eastAsia="zh-CN"/>
        </w:rPr>
        <w:t>-7</w:t>
      </w:r>
      <w:r>
        <w:rPr>
          <w:rFonts w:asciiTheme="minorEastAsia" w:hAnsiTheme="minorEastAsia" w:eastAsiaTheme="minorEastAsia"/>
          <w:lang w:eastAsia="zh-CN"/>
        </w:rPr>
        <w:t>cm/s</w:t>
      </w:r>
      <w:r>
        <w:rPr>
          <w:rFonts w:hint="eastAsia" w:asciiTheme="minorEastAsia" w:hAnsiTheme="minorEastAsia" w:eastAsiaTheme="minorEastAsia"/>
          <w:lang w:eastAsia="zh-CN"/>
        </w:rPr>
        <w:t>的要求。</w:t>
      </w:r>
    </w:p>
    <w:p w14:paraId="52D6A341">
      <w:pPr>
        <w:widowControl/>
        <w:tabs>
          <w:tab w:val="left" w:pos="120"/>
        </w:tabs>
        <w:snapToGrid w:val="0"/>
        <w:ind w:firstLine="480"/>
        <w:jc w:val="left"/>
        <w:rPr>
          <w:rFonts w:asciiTheme="minorEastAsia" w:hAnsiTheme="minorEastAsia" w:eastAsiaTheme="minorEastAsia"/>
          <w:lang w:eastAsia="zh-CN"/>
        </w:rPr>
      </w:pPr>
      <w:r>
        <w:rPr>
          <w:rFonts w:hint="eastAsia" w:asciiTheme="minorEastAsia" w:hAnsiTheme="minorEastAsia" w:eastAsiaTheme="minorEastAsia"/>
          <w:lang w:eastAsia="zh-CN"/>
        </w:rPr>
        <w:t>6、建设单位音及时与当地居民沟通，如居民用水困难，则建设单位帮解决。</w:t>
      </w:r>
    </w:p>
    <w:p w14:paraId="4260AE1A">
      <w:pPr>
        <w:widowControl/>
        <w:tabs>
          <w:tab w:val="left" w:pos="120"/>
        </w:tabs>
        <w:snapToGrid w:val="0"/>
        <w:ind w:firstLine="480"/>
        <w:jc w:val="left"/>
        <w:rPr>
          <w:rFonts w:asciiTheme="minorEastAsia" w:hAnsiTheme="minorEastAsia" w:eastAsiaTheme="minorEastAsia"/>
          <w:lang w:eastAsia="zh-CN"/>
        </w:rPr>
        <w:sectPr>
          <w:pgSz w:w="11907" w:h="16840"/>
          <w:pgMar w:top="1440" w:right="1797" w:bottom="1440" w:left="1797" w:header="851" w:footer="992" w:gutter="0"/>
          <w:cols w:space="720" w:num="1"/>
          <w:docGrid w:linePitch="312" w:charSpace="0"/>
        </w:sectPr>
      </w:pPr>
    </w:p>
    <w:p w14:paraId="440A9965">
      <w:pPr>
        <w:pStyle w:val="2"/>
        <w:rPr>
          <w:lang w:eastAsia="zh-CN"/>
        </w:rPr>
      </w:pPr>
      <w:bookmarkStart w:id="367" w:name="_Toc408413989"/>
      <w:bookmarkStart w:id="368" w:name="_Toc248649431"/>
      <w:r>
        <w:rPr>
          <w:lang w:eastAsia="zh-CN"/>
        </w:rPr>
        <w:t>7声环境影响评价</w:t>
      </w:r>
      <w:bookmarkEnd w:id="367"/>
    </w:p>
    <w:p w14:paraId="0EDF5E8C">
      <w:pPr>
        <w:pStyle w:val="3"/>
        <w:rPr>
          <w:lang w:eastAsia="zh-CN"/>
        </w:rPr>
      </w:pPr>
      <w:bookmarkStart w:id="369" w:name="_Toc408413990"/>
      <w:r>
        <w:rPr>
          <w:lang w:eastAsia="zh-CN"/>
        </w:rPr>
        <w:t>7.1声环境现状与评价</w:t>
      </w:r>
      <w:bookmarkEnd w:id="368"/>
      <w:bookmarkEnd w:id="369"/>
    </w:p>
    <w:p w14:paraId="7E88B309">
      <w:pPr>
        <w:ind w:firstLine="480"/>
        <w:rPr>
          <w:rFonts w:asciiTheme="minorEastAsia" w:hAnsiTheme="minorEastAsia" w:eastAsiaTheme="minorEastAsia"/>
          <w:lang w:eastAsia="zh-CN"/>
        </w:rPr>
      </w:pPr>
      <w:bookmarkStart w:id="370" w:name="_Toc275075823"/>
      <w:bookmarkStart w:id="371" w:name="_Toc275083708"/>
      <w:bookmarkStart w:id="372" w:name="_Toc275084002"/>
      <w:bookmarkStart w:id="373" w:name="_Toc154297937"/>
      <w:bookmarkStart w:id="374" w:name="_Toc154297280"/>
      <w:bookmarkStart w:id="375" w:name="_Toc275014623"/>
      <w:bookmarkStart w:id="376" w:name="_Toc275083408"/>
      <w:r>
        <w:rPr>
          <w:rFonts w:asciiTheme="minorEastAsia" w:hAnsiTheme="minorEastAsia" w:eastAsiaTheme="minorEastAsia"/>
          <w:lang w:eastAsia="zh-CN"/>
        </w:rPr>
        <w:t>1、监测布点</w:t>
      </w:r>
    </w:p>
    <w:p w14:paraId="2705F2FC">
      <w:pPr>
        <w:ind w:firstLine="480"/>
        <w:rPr>
          <w:rFonts w:asciiTheme="minorEastAsia" w:hAnsiTheme="minorEastAsia" w:eastAsiaTheme="minorEastAsia"/>
          <w:lang w:eastAsia="zh-CN"/>
        </w:rPr>
      </w:pPr>
      <w:r>
        <w:rPr>
          <w:rFonts w:asciiTheme="minorEastAsia" w:hAnsiTheme="minorEastAsia" w:eastAsiaTheme="minorEastAsia"/>
          <w:lang w:eastAsia="zh-CN"/>
        </w:rPr>
        <w:t>本次</w:t>
      </w:r>
      <w:r>
        <w:rPr>
          <w:rFonts w:hint="eastAsia" w:asciiTheme="minorEastAsia" w:hAnsiTheme="minorEastAsia" w:eastAsiaTheme="minorEastAsia"/>
          <w:lang w:eastAsia="zh-CN"/>
        </w:rPr>
        <w:t>声环境</w:t>
      </w:r>
      <w:r>
        <w:rPr>
          <w:rFonts w:asciiTheme="minorEastAsia" w:hAnsiTheme="minorEastAsia" w:eastAsiaTheme="minorEastAsia"/>
          <w:lang w:eastAsia="zh-CN"/>
        </w:rPr>
        <w:t>质量现状监测共设</w:t>
      </w:r>
      <w:r>
        <w:rPr>
          <w:rFonts w:hint="eastAsia" w:asciiTheme="minorEastAsia" w:hAnsiTheme="minorEastAsia" w:eastAsiaTheme="minorEastAsia"/>
          <w:lang w:eastAsia="zh-CN"/>
        </w:rPr>
        <w:t>6</w:t>
      </w:r>
      <w:r>
        <w:rPr>
          <w:rFonts w:asciiTheme="minorEastAsia" w:hAnsiTheme="minorEastAsia" w:eastAsiaTheme="minorEastAsia"/>
          <w:lang w:eastAsia="zh-CN"/>
        </w:rPr>
        <w:t>个监测点，</w:t>
      </w:r>
      <w:r>
        <w:rPr>
          <w:rFonts w:hint="eastAsia" w:asciiTheme="minorEastAsia" w:hAnsiTheme="minorEastAsia" w:eastAsiaTheme="minorEastAsia"/>
          <w:lang w:eastAsia="zh-CN"/>
        </w:rPr>
        <w:t>监测点位</w:t>
      </w:r>
      <w:r>
        <w:rPr>
          <w:rFonts w:asciiTheme="minorEastAsia" w:hAnsiTheme="minorEastAsia" w:eastAsiaTheme="minorEastAsia"/>
          <w:lang w:eastAsia="zh-CN"/>
        </w:rPr>
        <w:t>详见表7.1-1</w:t>
      </w:r>
      <w:r>
        <w:rPr>
          <w:rFonts w:hint="eastAsia" w:asciiTheme="minorEastAsia" w:hAnsiTheme="minorEastAsia" w:eastAsiaTheme="minorEastAsia"/>
          <w:lang w:eastAsia="zh-CN"/>
        </w:rPr>
        <w:t>，监测点位图见图5.1-1环境现状监测点位图</w:t>
      </w:r>
      <w:r>
        <w:rPr>
          <w:rFonts w:asciiTheme="minorEastAsia" w:hAnsiTheme="minorEastAsia" w:eastAsiaTheme="minorEastAsia"/>
          <w:lang w:eastAsia="zh-CN"/>
        </w:rPr>
        <w:t>。</w:t>
      </w:r>
    </w:p>
    <w:p w14:paraId="53F2D47C">
      <w:pPr>
        <w:spacing w:line="240" w:lineRule="auto"/>
        <w:ind w:firstLine="482"/>
        <w:rPr>
          <w:b/>
          <w:bCs/>
          <w:lang w:eastAsia="zh-CN"/>
        </w:rPr>
      </w:pPr>
      <w:r>
        <w:rPr>
          <w:b/>
          <w:bCs/>
          <w:lang w:eastAsia="zh-CN"/>
        </w:rPr>
        <w:t xml:space="preserve">表7.1-1  </w:t>
      </w:r>
      <w:r>
        <w:rPr>
          <w:rFonts w:hint="eastAsia"/>
          <w:b/>
          <w:bCs/>
          <w:lang w:eastAsia="zh-CN"/>
        </w:rPr>
        <w:t xml:space="preserve">    </w:t>
      </w:r>
      <w:r>
        <w:rPr>
          <w:b/>
          <w:bCs/>
          <w:lang w:eastAsia="zh-CN"/>
        </w:rPr>
        <w:t>工业场地边界噪声监测点位</w:t>
      </w:r>
    </w:p>
    <w:tbl>
      <w:tblPr>
        <w:tblStyle w:val="7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42"/>
        <w:gridCol w:w="1560"/>
        <w:gridCol w:w="5727"/>
      </w:tblGrid>
      <w:tr w14:paraId="67D2B1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242" w:type="dxa"/>
            <w:tcBorders>
              <w:right w:val="single" w:color="auto" w:sz="4" w:space="0"/>
            </w:tcBorders>
            <w:vAlign w:val="center"/>
          </w:tcPr>
          <w:p w14:paraId="751BBF64">
            <w:pPr>
              <w:pStyle w:val="518"/>
              <w:rPr>
                <w:szCs w:val="21"/>
                <w:lang w:eastAsia="zh-CN"/>
              </w:rPr>
            </w:pPr>
          </w:p>
        </w:tc>
        <w:tc>
          <w:tcPr>
            <w:tcW w:w="1560" w:type="dxa"/>
            <w:tcBorders>
              <w:left w:val="single" w:color="auto" w:sz="4" w:space="0"/>
            </w:tcBorders>
            <w:vAlign w:val="center"/>
          </w:tcPr>
          <w:p w14:paraId="2663D113">
            <w:pPr>
              <w:pStyle w:val="518"/>
              <w:rPr>
                <w:szCs w:val="21"/>
              </w:rPr>
            </w:pPr>
            <w:r>
              <w:rPr>
                <w:rFonts w:hint="eastAsia"/>
                <w:szCs w:val="21"/>
                <w:lang w:eastAsia="zh-CN"/>
              </w:rPr>
              <w:t>点位</w:t>
            </w:r>
          </w:p>
        </w:tc>
        <w:tc>
          <w:tcPr>
            <w:tcW w:w="5727" w:type="dxa"/>
            <w:vAlign w:val="center"/>
          </w:tcPr>
          <w:p w14:paraId="0E7EB0E2">
            <w:pPr>
              <w:pStyle w:val="518"/>
              <w:rPr>
                <w:szCs w:val="21"/>
              </w:rPr>
            </w:pPr>
            <w:r>
              <w:rPr>
                <w:szCs w:val="21"/>
              </w:rPr>
              <w:t>名称</w:t>
            </w:r>
          </w:p>
        </w:tc>
      </w:tr>
      <w:tr w14:paraId="336D9D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242" w:type="dxa"/>
            <w:vMerge w:val="restart"/>
            <w:tcBorders>
              <w:right w:val="single" w:color="auto" w:sz="4" w:space="0"/>
            </w:tcBorders>
            <w:vAlign w:val="center"/>
          </w:tcPr>
          <w:p w14:paraId="640C01E6">
            <w:pPr>
              <w:pStyle w:val="518"/>
              <w:rPr>
                <w:szCs w:val="21"/>
              </w:rPr>
            </w:pPr>
            <w:r>
              <w:rPr>
                <w:rFonts w:hint="eastAsia"/>
                <w:szCs w:val="21"/>
                <w:lang w:eastAsia="zh-CN"/>
              </w:rPr>
              <w:t>厂界</w:t>
            </w:r>
          </w:p>
        </w:tc>
        <w:tc>
          <w:tcPr>
            <w:tcW w:w="1560" w:type="dxa"/>
            <w:tcBorders>
              <w:left w:val="single" w:color="auto" w:sz="4" w:space="0"/>
            </w:tcBorders>
            <w:vAlign w:val="center"/>
          </w:tcPr>
          <w:p w14:paraId="406B5CB8">
            <w:pPr>
              <w:pStyle w:val="518"/>
              <w:rPr>
                <w:szCs w:val="21"/>
              </w:rPr>
            </w:pPr>
            <w:r>
              <w:rPr>
                <w:rFonts w:hint="eastAsia"/>
                <w:szCs w:val="21"/>
                <w:lang w:eastAsia="zh-CN"/>
              </w:rPr>
              <w:t>1</w:t>
            </w:r>
          </w:p>
        </w:tc>
        <w:tc>
          <w:tcPr>
            <w:tcW w:w="5727" w:type="dxa"/>
            <w:vAlign w:val="center"/>
          </w:tcPr>
          <w:p w14:paraId="250FEA82">
            <w:pPr>
              <w:pStyle w:val="518"/>
              <w:rPr>
                <w:szCs w:val="21"/>
                <w:lang w:eastAsia="zh-CN"/>
              </w:rPr>
            </w:pPr>
            <w:r>
              <w:rPr>
                <w:szCs w:val="21"/>
                <w:lang w:eastAsia="zh-CN"/>
              </w:rPr>
              <w:t>雅斯联合站厂界外</w:t>
            </w:r>
            <w:r>
              <w:rPr>
                <w:rFonts w:hint="eastAsia"/>
                <w:szCs w:val="21"/>
                <w:lang w:eastAsia="zh-CN"/>
              </w:rPr>
              <w:t>东</w:t>
            </w:r>
            <w:r>
              <w:rPr>
                <w:szCs w:val="21"/>
                <w:lang w:eastAsia="zh-CN"/>
              </w:rPr>
              <w:t>1m处</w:t>
            </w:r>
          </w:p>
        </w:tc>
      </w:tr>
      <w:tr w14:paraId="731EE5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242" w:type="dxa"/>
            <w:vMerge w:val="continue"/>
            <w:tcBorders>
              <w:right w:val="single" w:color="auto" w:sz="4" w:space="0"/>
            </w:tcBorders>
            <w:vAlign w:val="center"/>
          </w:tcPr>
          <w:p w14:paraId="72ED3B76">
            <w:pPr>
              <w:pStyle w:val="518"/>
              <w:rPr>
                <w:szCs w:val="21"/>
                <w:lang w:eastAsia="zh-CN"/>
              </w:rPr>
            </w:pPr>
          </w:p>
        </w:tc>
        <w:tc>
          <w:tcPr>
            <w:tcW w:w="1560" w:type="dxa"/>
            <w:tcBorders>
              <w:left w:val="single" w:color="auto" w:sz="4" w:space="0"/>
            </w:tcBorders>
            <w:vAlign w:val="center"/>
          </w:tcPr>
          <w:p w14:paraId="15CE834E">
            <w:pPr>
              <w:pStyle w:val="518"/>
              <w:rPr>
                <w:szCs w:val="21"/>
                <w:lang w:eastAsia="zh-CN"/>
              </w:rPr>
            </w:pPr>
            <w:r>
              <w:rPr>
                <w:rFonts w:hint="eastAsia"/>
                <w:szCs w:val="21"/>
                <w:lang w:eastAsia="zh-CN"/>
              </w:rPr>
              <w:t>2</w:t>
            </w:r>
          </w:p>
        </w:tc>
        <w:tc>
          <w:tcPr>
            <w:tcW w:w="5727" w:type="dxa"/>
            <w:vAlign w:val="center"/>
          </w:tcPr>
          <w:p w14:paraId="73C30B20">
            <w:pPr>
              <w:pStyle w:val="518"/>
              <w:rPr>
                <w:szCs w:val="21"/>
                <w:lang w:eastAsia="zh-CN"/>
              </w:rPr>
            </w:pPr>
            <w:r>
              <w:rPr>
                <w:szCs w:val="21"/>
                <w:lang w:eastAsia="zh-CN"/>
              </w:rPr>
              <w:t>雅斯联合站厂界外</w:t>
            </w:r>
            <w:r>
              <w:rPr>
                <w:rFonts w:hint="eastAsia"/>
                <w:szCs w:val="21"/>
                <w:lang w:eastAsia="zh-CN"/>
              </w:rPr>
              <w:t>南</w:t>
            </w:r>
            <w:r>
              <w:rPr>
                <w:szCs w:val="21"/>
                <w:lang w:eastAsia="zh-CN"/>
              </w:rPr>
              <w:t>1m处</w:t>
            </w:r>
          </w:p>
        </w:tc>
      </w:tr>
      <w:tr w14:paraId="11AB6A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242" w:type="dxa"/>
            <w:vMerge w:val="continue"/>
            <w:tcBorders>
              <w:right w:val="single" w:color="auto" w:sz="4" w:space="0"/>
            </w:tcBorders>
            <w:vAlign w:val="center"/>
          </w:tcPr>
          <w:p w14:paraId="28CFA2C3">
            <w:pPr>
              <w:pStyle w:val="518"/>
              <w:rPr>
                <w:szCs w:val="21"/>
                <w:lang w:eastAsia="zh-CN"/>
              </w:rPr>
            </w:pPr>
          </w:p>
        </w:tc>
        <w:tc>
          <w:tcPr>
            <w:tcW w:w="1560" w:type="dxa"/>
            <w:tcBorders>
              <w:left w:val="single" w:color="auto" w:sz="4" w:space="0"/>
            </w:tcBorders>
            <w:vAlign w:val="center"/>
          </w:tcPr>
          <w:p w14:paraId="64367557">
            <w:pPr>
              <w:pStyle w:val="518"/>
              <w:rPr>
                <w:szCs w:val="21"/>
              </w:rPr>
            </w:pPr>
            <w:r>
              <w:rPr>
                <w:rFonts w:hint="eastAsia"/>
                <w:szCs w:val="21"/>
                <w:lang w:eastAsia="zh-CN"/>
              </w:rPr>
              <w:t>3</w:t>
            </w:r>
          </w:p>
        </w:tc>
        <w:tc>
          <w:tcPr>
            <w:tcW w:w="5727" w:type="dxa"/>
          </w:tcPr>
          <w:p w14:paraId="7BE824BF">
            <w:pPr>
              <w:pStyle w:val="518"/>
              <w:rPr>
                <w:szCs w:val="21"/>
                <w:lang w:eastAsia="zh-CN"/>
              </w:rPr>
            </w:pPr>
            <w:r>
              <w:rPr>
                <w:szCs w:val="21"/>
                <w:lang w:eastAsia="zh-CN"/>
              </w:rPr>
              <w:t>雅斯联合站厂界外</w:t>
            </w:r>
            <w:r>
              <w:rPr>
                <w:rFonts w:hint="eastAsia"/>
                <w:szCs w:val="21"/>
                <w:lang w:eastAsia="zh-CN"/>
              </w:rPr>
              <w:t>西</w:t>
            </w:r>
            <w:r>
              <w:rPr>
                <w:szCs w:val="21"/>
                <w:lang w:eastAsia="zh-CN"/>
              </w:rPr>
              <w:t>1m处</w:t>
            </w:r>
          </w:p>
        </w:tc>
      </w:tr>
      <w:tr w14:paraId="1EF2CC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242" w:type="dxa"/>
            <w:vMerge w:val="continue"/>
            <w:tcBorders>
              <w:right w:val="single" w:color="auto" w:sz="4" w:space="0"/>
            </w:tcBorders>
            <w:vAlign w:val="center"/>
          </w:tcPr>
          <w:p w14:paraId="419FAC88">
            <w:pPr>
              <w:pStyle w:val="518"/>
              <w:rPr>
                <w:szCs w:val="21"/>
                <w:lang w:eastAsia="zh-CN"/>
              </w:rPr>
            </w:pPr>
          </w:p>
        </w:tc>
        <w:tc>
          <w:tcPr>
            <w:tcW w:w="1560" w:type="dxa"/>
            <w:tcBorders>
              <w:left w:val="single" w:color="auto" w:sz="4" w:space="0"/>
            </w:tcBorders>
            <w:vAlign w:val="center"/>
          </w:tcPr>
          <w:p w14:paraId="1BA636D4">
            <w:pPr>
              <w:pStyle w:val="518"/>
              <w:rPr>
                <w:szCs w:val="21"/>
              </w:rPr>
            </w:pPr>
            <w:r>
              <w:rPr>
                <w:rFonts w:hint="eastAsia"/>
                <w:szCs w:val="21"/>
                <w:lang w:eastAsia="zh-CN"/>
              </w:rPr>
              <w:t>4</w:t>
            </w:r>
          </w:p>
        </w:tc>
        <w:tc>
          <w:tcPr>
            <w:tcW w:w="5727" w:type="dxa"/>
          </w:tcPr>
          <w:p w14:paraId="00888C04">
            <w:pPr>
              <w:pStyle w:val="518"/>
              <w:rPr>
                <w:szCs w:val="21"/>
                <w:lang w:eastAsia="zh-CN"/>
              </w:rPr>
            </w:pPr>
            <w:r>
              <w:rPr>
                <w:szCs w:val="21"/>
                <w:lang w:eastAsia="zh-CN"/>
              </w:rPr>
              <w:t>雅斯联合站厂界外</w:t>
            </w:r>
            <w:r>
              <w:rPr>
                <w:rFonts w:hint="eastAsia"/>
                <w:szCs w:val="21"/>
                <w:lang w:eastAsia="zh-CN"/>
              </w:rPr>
              <w:t>北</w:t>
            </w:r>
            <w:r>
              <w:rPr>
                <w:szCs w:val="21"/>
                <w:lang w:eastAsia="zh-CN"/>
              </w:rPr>
              <w:t>1m处</w:t>
            </w:r>
          </w:p>
        </w:tc>
      </w:tr>
      <w:tr w14:paraId="7BCF8A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242" w:type="dxa"/>
            <w:vMerge w:val="restart"/>
            <w:tcBorders>
              <w:right w:val="single" w:color="auto" w:sz="4" w:space="0"/>
            </w:tcBorders>
            <w:vAlign w:val="center"/>
          </w:tcPr>
          <w:p w14:paraId="2212E225">
            <w:pPr>
              <w:pStyle w:val="518"/>
              <w:rPr>
                <w:szCs w:val="21"/>
              </w:rPr>
            </w:pPr>
            <w:r>
              <w:rPr>
                <w:rFonts w:hint="eastAsia"/>
                <w:szCs w:val="21"/>
                <w:lang w:eastAsia="zh-CN"/>
              </w:rPr>
              <w:t>敏感点</w:t>
            </w:r>
          </w:p>
        </w:tc>
        <w:tc>
          <w:tcPr>
            <w:tcW w:w="1560" w:type="dxa"/>
            <w:tcBorders>
              <w:left w:val="single" w:color="auto" w:sz="4" w:space="0"/>
            </w:tcBorders>
            <w:vAlign w:val="center"/>
          </w:tcPr>
          <w:p w14:paraId="4384B337">
            <w:pPr>
              <w:pStyle w:val="518"/>
              <w:rPr>
                <w:szCs w:val="21"/>
              </w:rPr>
            </w:pPr>
            <w:r>
              <w:rPr>
                <w:rFonts w:hint="eastAsia"/>
                <w:szCs w:val="21"/>
                <w:lang w:eastAsia="zh-CN"/>
              </w:rPr>
              <w:t>5</w:t>
            </w:r>
          </w:p>
        </w:tc>
        <w:tc>
          <w:tcPr>
            <w:tcW w:w="5727" w:type="dxa"/>
            <w:vAlign w:val="center"/>
          </w:tcPr>
          <w:p w14:paraId="4E5DC6CF">
            <w:pPr>
              <w:pStyle w:val="518"/>
              <w:rPr>
                <w:szCs w:val="21"/>
                <w:lang w:eastAsia="zh-CN"/>
              </w:rPr>
            </w:pPr>
            <w:r>
              <w:rPr>
                <w:szCs w:val="21"/>
                <w:lang w:eastAsia="zh-CN"/>
              </w:rPr>
              <w:t>雅斯联合站</w:t>
            </w:r>
            <w:r>
              <w:rPr>
                <w:rFonts w:hint="eastAsia"/>
                <w:szCs w:val="21"/>
                <w:lang w:eastAsia="zh-CN"/>
              </w:rPr>
              <w:t>西北1200</w:t>
            </w:r>
            <w:r>
              <w:rPr>
                <w:szCs w:val="21"/>
                <w:lang w:eastAsia="zh-CN"/>
              </w:rPr>
              <w:t>m</w:t>
            </w:r>
            <w:r>
              <w:rPr>
                <w:rFonts w:hint="eastAsia"/>
                <w:szCs w:val="21"/>
                <w:lang w:eastAsia="zh-CN"/>
              </w:rPr>
              <w:t>处</w:t>
            </w:r>
            <w:r>
              <w:rPr>
                <w:szCs w:val="21"/>
                <w:lang w:eastAsia="zh-CN"/>
              </w:rPr>
              <w:t>牧户住</w:t>
            </w:r>
            <w:r>
              <w:rPr>
                <w:rFonts w:hint="eastAsia"/>
                <w:szCs w:val="21"/>
                <w:lang w:eastAsia="zh-CN"/>
              </w:rPr>
              <w:t>门前</w:t>
            </w:r>
            <w:r>
              <w:rPr>
                <w:szCs w:val="21"/>
                <w:lang w:eastAsia="zh-CN"/>
              </w:rPr>
              <w:t>1m处</w:t>
            </w:r>
          </w:p>
        </w:tc>
      </w:tr>
      <w:tr w14:paraId="3C9C39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1242" w:type="dxa"/>
            <w:vMerge w:val="continue"/>
            <w:tcBorders>
              <w:right w:val="single" w:color="auto" w:sz="4" w:space="0"/>
            </w:tcBorders>
            <w:vAlign w:val="center"/>
          </w:tcPr>
          <w:p w14:paraId="658341B6">
            <w:pPr>
              <w:pStyle w:val="518"/>
              <w:rPr>
                <w:szCs w:val="21"/>
                <w:lang w:eastAsia="zh-CN"/>
              </w:rPr>
            </w:pPr>
          </w:p>
        </w:tc>
        <w:tc>
          <w:tcPr>
            <w:tcW w:w="1560" w:type="dxa"/>
            <w:tcBorders>
              <w:left w:val="single" w:color="auto" w:sz="4" w:space="0"/>
            </w:tcBorders>
            <w:vAlign w:val="center"/>
          </w:tcPr>
          <w:p w14:paraId="0F80A584">
            <w:pPr>
              <w:pStyle w:val="518"/>
              <w:rPr>
                <w:szCs w:val="21"/>
              </w:rPr>
            </w:pPr>
            <w:r>
              <w:rPr>
                <w:rFonts w:hint="eastAsia"/>
                <w:szCs w:val="21"/>
                <w:lang w:eastAsia="zh-CN"/>
              </w:rPr>
              <w:t>6</w:t>
            </w:r>
          </w:p>
        </w:tc>
        <w:tc>
          <w:tcPr>
            <w:tcW w:w="5727" w:type="dxa"/>
            <w:vAlign w:val="center"/>
          </w:tcPr>
          <w:p w14:paraId="1F022C7D">
            <w:pPr>
              <w:pStyle w:val="518"/>
              <w:rPr>
                <w:szCs w:val="21"/>
                <w:lang w:eastAsia="zh-CN"/>
              </w:rPr>
            </w:pPr>
            <w:r>
              <w:rPr>
                <w:rFonts w:hint="eastAsia"/>
                <w:szCs w:val="21"/>
                <w:lang w:eastAsia="zh-CN"/>
              </w:rPr>
              <w:t>油田</w:t>
            </w:r>
            <w:r>
              <w:rPr>
                <w:szCs w:val="21"/>
                <w:lang w:eastAsia="zh-CN"/>
              </w:rPr>
              <w:t>进场道路</w:t>
            </w:r>
            <w:r>
              <w:rPr>
                <w:rFonts w:hint="eastAsia"/>
                <w:szCs w:val="21"/>
                <w:lang w:eastAsia="zh-CN"/>
              </w:rPr>
              <w:t>东</w:t>
            </w:r>
            <w:r>
              <w:rPr>
                <w:szCs w:val="21"/>
                <w:lang w:eastAsia="zh-CN"/>
              </w:rPr>
              <w:t>侧</w:t>
            </w:r>
            <w:r>
              <w:rPr>
                <w:rFonts w:hint="eastAsia"/>
                <w:szCs w:val="21"/>
                <w:lang w:eastAsia="zh-CN"/>
              </w:rPr>
              <w:t>牧户家门前</w:t>
            </w:r>
            <w:r>
              <w:rPr>
                <w:szCs w:val="21"/>
                <w:lang w:eastAsia="zh-CN"/>
              </w:rPr>
              <w:t>1m处</w:t>
            </w:r>
          </w:p>
        </w:tc>
      </w:tr>
    </w:tbl>
    <w:p w14:paraId="0C2B1FA9">
      <w:pPr>
        <w:ind w:firstLine="480"/>
        <w:rPr>
          <w:rFonts w:asciiTheme="minorEastAsia" w:hAnsiTheme="minorEastAsia" w:eastAsiaTheme="minorEastAsia"/>
          <w:lang w:eastAsia="zh-CN"/>
        </w:rPr>
      </w:pPr>
      <w:r>
        <w:rPr>
          <w:rFonts w:asciiTheme="minorEastAsia" w:hAnsiTheme="minorEastAsia" w:eastAsiaTheme="minorEastAsia"/>
          <w:lang w:eastAsia="zh-CN"/>
        </w:rPr>
        <w:t>2、监测时间及频率</w:t>
      </w:r>
    </w:p>
    <w:p w14:paraId="16C46674">
      <w:pPr>
        <w:ind w:firstLine="480"/>
        <w:rPr>
          <w:rFonts w:asciiTheme="minorEastAsia" w:hAnsiTheme="minorEastAsia" w:eastAsiaTheme="minorEastAsia"/>
          <w:lang w:eastAsia="zh-CN"/>
        </w:rPr>
      </w:pPr>
      <w:r>
        <w:rPr>
          <w:rFonts w:asciiTheme="minorEastAsia" w:hAnsiTheme="minorEastAsia" w:eastAsiaTheme="minorEastAsia"/>
          <w:lang w:eastAsia="zh-CN"/>
        </w:rPr>
        <w:t>201</w:t>
      </w:r>
      <w:r>
        <w:rPr>
          <w:rFonts w:hint="eastAsia" w:asciiTheme="minorEastAsia" w:hAnsiTheme="minorEastAsia" w:eastAsiaTheme="minorEastAsia"/>
          <w:lang w:eastAsia="zh-CN"/>
        </w:rPr>
        <w:t>4</w:t>
      </w:r>
      <w:r>
        <w:rPr>
          <w:rFonts w:asciiTheme="minorEastAsia" w:hAnsiTheme="minorEastAsia" w:eastAsiaTheme="minorEastAsia"/>
          <w:lang w:eastAsia="zh-CN"/>
        </w:rPr>
        <w:t>年</w:t>
      </w:r>
      <w:r>
        <w:rPr>
          <w:rFonts w:hint="eastAsia" w:asciiTheme="minorEastAsia" w:hAnsiTheme="minorEastAsia" w:eastAsiaTheme="minorEastAsia"/>
          <w:lang w:eastAsia="zh-CN"/>
        </w:rPr>
        <w:t>11</w:t>
      </w:r>
      <w:r>
        <w:rPr>
          <w:rFonts w:asciiTheme="minorEastAsia" w:hAnsiTheme="minorEastAsia" w:eastAsiaTheme="minorEastAsia"/>
          <w:lang w:eastAsia="zh-CN"/>
        </w:rPr>
        <w:t>月</w:t>
      </w:r>
      <w:r>
        <w:rPr>
          <w:rFonts w:hint="eastAsia" w:asciiTheme="minorEastAsia" w:hAnsiTheme="minorEastAsia" w:eastAsiaTheme="minorEastAsia"/>
          <w:lang w:eastAsia="zh-CN"/>
        </w:rPr>
        <w:t>24日</w:t>
      </w:r>
      <w:r>
        <w:rPr>
          <w:rFonts w:asciiTheme="minorEastAsia" w:hAnsiTheme="minorEastAsia" w:eastAsiaTheme="minorEastAsia"/>
          <w:lang w:eastAsia="zh-CN"/>
        </w:rPr>
        <w:t>，昼夜各监测一次。</w:t>
      </w:r>
    </w:p>
    <w:p w14:paraId="6D60AC72">
      <w:pPr>
        <w:ind w:firstLine="480"/>
        <w:rPr>
          <w:rFonts w:asciiTheme="minorEastAsia" w:hAnsiTheme="minorEastAsia" w:eastAsiaTheme="minorEastAsia"/>
          <w:lang w:eastAsia="zh-CN"/>
        </w:rPr>
      </w:pPr>
      <w:r>
        <w:rPr>
          <w:rFonts w:asciiTheme="minorEastAsia" w:hAnsiTheme="minorEastAsia" w:eastAsiaTheme="minorEastAsia"/>
          <w:lang w:eastAsia="zh-CN"/>
        </w:rPr>
        <w:t>3、监测方法</w:t>
      </w:r>
      <w:bookmarkEnd w:id="370"/>
      <w:bookmarkEnd w:id="371"/>
      <w:bookmarkEnd w:id="372"/>
      <w:bookmarkEnd w:id="373"/>
      <w:bookmarkEnd w:id="374"/>
      <w:bookmarkEnd w:id="375"/>
      <w:bookmarkEnd w:id="376"/>
    </w:p>
    <w:p w14:paraId="22731603">
      <w:pPr>
        <w:ind w:firstLine="480"/>
        <w:rPr>
          <w:rFonts w:asciiTheme="minorEastAsia" w:hAnsiTheme="minorEastAsia" w:eastAsiaTheme="minorEastAsia"/>
          <w:lang w:eastAsia="zh-CN"/>
        </w:rPr>
      </w:pPr>
      <w:r>
        <w:rPr>
          <w:rFonts w:asciiTheme="minorEastAsia" w:hAnsiTheme="minorEastAsia" w:eastAsiaTheme="minorEastAsia"/>
          <w:lang w:eastAsia="zh-CN"/>
        </w:rPr>
        <w:t>监测方法参照《</w:t>
      </w:r>
      <w:r>
        <w:rPr>
          <w:rFonts w:hint="eastAsia" w:asciiTheme="minorEastAsia" w:hAnsiTheme="minorEastAsia" w:eastAsiaTheme="minorEastAsia"/>
          <w:lang w:eastAsia="zh-CN"/>
        </w:rPr>
        <w:t>工业企业厂界环境噪声标准</w:t>
      </w:r>
      <w:r>
        <w:rPr>
          <w:rFonts w:asciiTheme="minorEastAsia" w:hAnsiTheme="minorEastAsia" w:eastAsiaTheme="minorEastAsia"/>
          <w:lang w:eastAsia="zh-CN"/>
        </w:rPr>
        <w:t>》</w:t>
      </w:r>
      <w:r>
        <w:rPr>
          <w:rFonts w:hint="eastAsia" w:asciiTheme="minorEastAsia" w:hAnsiTheme="minorEastAsia" w:eastAsiaTheme="minorEastAsia"/>
          <w:lang w:eastAsia="zh-CN"/>
        </w:rPr>
        <w:t>（</w:t>
      </w:r>
      <w:r>
        <w:rPr>
          <w:rFonts w:asciiTheme="minorEastAsia" w:hAnsiTheme="minorEastAsia" w:eastAsiaTheme="minorEastAsia"/>
          <w:lang w:eastAsia="zh-CN"/>
        </w:rPr>
        <w:t>GB1234</w:t>
      </w:r>
      <w:r>
        <w:rPr>
          <w:rFonts w:hint="eastAsia" w:asciiTheme="minorEastAsia" w:hAnsiTheme="minorEastAsia" w:eastAsiaTheme="minorEastAsia"/>
          <w:lang w:eastAsia="zh-CN"/>
        </w:rPr>
        <w:t>8-2008）</w:t>
      </w:r>
      <w:r>
        <w:rPr>
          <w:rFonts w:asciiTheme="minorEastAsia" w:hAnsiTheme="minorEastAsia" w:eastAsiaTheme="minorEastAsia"/>
          <w:lang w:eastAsia="zh-CN"/>
        </w:rPr>
        <w:t>进行。根据现状监测结果，用等效连续A声级Leq作为评价值，按《声环境质量标准》（GB3096-2008）对评价区内的噪声</w:t>
      </w:r>
      <w:r>
        <w:rPr>
          <w:rFonts w:hint="eastAsia" w:asciiTheme="minorEastAsia" w:hAnsiTheme="minorEastAsia" w:eastAsiaTheme="minorEastAsia"/>
          <w:lang w:eastAsia="zh-CN"/>
        </w:rPr>
        <w:t>现状</w:t>
      </w:r>
      <w:r>
        <w:rPr>
          <w:rFonts w:asciiTheme="minorEastAsia" w:hAnsiTheme="minorEastAsia" w:eastAsiaTheme="minorEastAsia"/>
          <w:lang w:eastAsia="zh-CN"/>
        </w:rPr>
        <w:t>进行分析评价。</w:t>
      </w:r>
    </w:p>
    <w:p w14:paraId="3B2E8904">
      <w:pPr>
        <w:ind w:firstLine="480"/>
        <w:rPr>
          <w:rFonts w:asciiTheme="minorEastAsia" w:hAnsiTheme="minorEastAsia" w:eastAsiaTheme="minorEastAsia"/>
          <w:lang w:eastAsia="zh-CN"/>
        </w:rPr>
      </w:pPr>
      <w:bookmarkStart w:id="377" w:name="_Toc275083409"/>
      <w:bookmarkStart w:id="378" w:name="_Toc275075824"/>
      <w:bookmarkStart w:id="379" w:name="_Toc154297938"/>
      <w:bookmarkStart w:id="380" w:name="_Toc154297281"/>
      <w:bookmarkStart w:id="381" w:name="_Toc275631526"/>
      <w:bookmarkStart w:id="382" w:name="_Toc275084003"/>
      <w:bookmarkStart w:id="383" w:name="_Toc275083709"/>
      <w:bookmarkStart w:id="384" w:name="_Toc275014624"/>
      <w:r>
        <w:rPr>
          <w:rFonts w:asciiTheme="minorEastAsia" w:hAnsiTheme="minorEastAsia" w:eastAsiaTheme="minorEastAsia"/>
          <w:lang w:eastAsia="zh-CN"/>
        </w:rPr>
        <w:t>4、监测结果</w:t>
      </w:r>
      <w:bookmarkEnd w:id="377"/>
      <w:bookmarkEnd w:id="378"/>
      <w:bookmarkEnd w:id="379"/>
      <w:bookmarkEnd w:id="380"/>
      <w:bookmarkEnd w:id="381"/>
      <w:bookmarkEnd w:id="382"/>
      <w:bookmarkEnd w:id="383"/>
      <w:bookmarkEnd w:id="384"/>
    </w:p>
    <w:p w14:paraId="4581EFD8">
      <w:pPr>
        <w:ind w:firstLine="480"/>
        <w:rPr>
          <w:rFonts w:asciiTheme="minorEastAsia" w:hAnsiTheme="minorEastAsia" w:eastAsiaTheme="minorEastAsia"/>
          <w:lang w:eastAsia="zh-CN"/>
        </w:rPr>
      </w:pPr>
      <w:r>
        <w:rPr>
          <w:rFonts w:asciiTheme="minorEastAsia" w:hAnsiTheme="minorEastAsia" w:eastAsiaTheme="minorEastAsia"/>
          <w:lang w:eastAsia="zh-CN"/>
        </w:rPr>
        <w:t>本次声环境现状监测结果见表7.1-2。</w:t>
      </w:r>
    </w:p>
    <w:p w14:paraId="71313722">
      <w:pPr>
        <w:pStyle w:val="253"/>
        <w:adjustRightInd w:val="0"/>
        <w:snapToGrid w:val="0"/>
        <w:spacing w:beforeLines="0" w:line="240" w:lineRule="auto"/>
        <w:ind w:firstLine="590" w:firstLineChars="245"/>
        <w:jc w:val="both"/>
        <w:rPr>
          <w:color w:val="auto"/>
          <w:lang w:eastAsia="zh-CN"/>
        </w:rPr>
      </w:pPr>
      <w:r>
        <w:rPr>
          <w:color w:val="auto"/>
          <w:lang w:eastAsia="zh-CN"/>
        </w:rPr>
        <w:t xml:space="preserve">表7.1-2  </w:t>
      </w:r>
      <w:r>
        <w:rPr>
          <w:rFonts w:hint="eastAsia"/>
          <w:color w:val="auto"/>
          <w:lang w:eastAsia="zh-CN"/>
        </w:rPr>
        <w:t xml:space="preserve">   声环境现状</w:t>
      </w:r>
      <w:r>
        <w:rPr>
          <w:color w:val="auto"/>
          <w:lang w:eastAsia="zh-CN"/>
        </w:rPr>
        <w:t xml:space="preserve">监测结果  </w:t>
      </w:r>
      <w:r>
        <w:rPr>
          <w:rFonts w:hint="eastAsia"/>
          <w:color w:val="auto"/>
          <w:lang w:eastAsia="zh-CN"/>
        </w:rPr>
        <w:t xml:space="preserve">         </w:t>
      </w:r>
      <w:r>
        <w:rPr>
          <w:color w:val="auto"/>
          <w:lang w:eastAsia="zh-CN"/>
        </w:rPr>
        <w:t>单位：dB(A)</w:t>
      </w:r>
      <w:bookmarkStart w:id="385" w:name="_Toc152924481"/>
      <w:bookmarkStart w:id="386" w:name="_Toc243043575"/>
      <w:bookmarkStart w:id="387" w:name="_Toc29168809"/>
      <w:bookmarkStart w:id="388" w:name="_Toc154297939"/>
      <w:bookmarkStart w:id="389" w:name="_Toc154297282"/>
      <w:bookmarkStart w:id="390" w:name="_Toc154113665"/>
      <w:bookmarkStart w:id="391" w:name="_Toc29171432"/>
      <w:bookmarkStart w:id="392" w:name="_Toc275083410"/>
      <w:bookmarkStart w:id="393" w:name="_Toc247684125"/>
      <w:bookmarkStart w:id="394" w:name="_Toc275083710"/>
    </w:p>
    <w:tbl>
      <w:tblPr>
        <w:tblStyle w:val="7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5"/>
        <w:gridCol w:w="4343"/>
        <w:gridCol w:w="1571"/>
        <w:gridCol w:w="1740"/>
      </w:tblGrid>
      <w:tr w14:paraId="749BF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13" w:type="pct"/>
            <w:vMerge w:val="restart"/>
            <w:tcBorders>
              <w:top w:val="single" w:color="auto" w:sz="12" w:space="0"/>
              <w:left w:val="single" w:color="auto" w:sz="12" w:space="0"/>
            </w:tcBorders>
            <w:vAlign w:val="center"/>
          </w:tcPr>
          <w:p w14:paraId="311F9F04">
            <w:pPr>
              <w:spacing w:beforeLines="25" w:line="48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序号</w:t>
            </w:r>
          </w:p>
        </w:tc>
        <w:tc>
          <w:tcPr>
            <w:tcW w:w="2546" w:type="pct"/>
            <w:vMerge w:val="restart"/>
            <w:tcBorders>
              <w:top w:val="single" w:color="auto" w:sz="12" w:space="0"/>
            </w:tcBorders>
            <w:vAlign w:val="center"/>
          </w:tcPr>
          <w:p w14:paraId="7993A203">
            <w:pPr>
              <w:spacing w:beforeLines="25" w:line="480" w:lineRule="exact"/>
              <w:ind w:firstLine="420"/>
              <w:jc w:val="center"/>
              <w:rPr>
                <w:rFonts w:asciiTheme="minorEastAsia" w:hAnsiTheme="minorEastAsia" w:eastAsiaTheme="minorEastAsia"/>
                <w:sz w:val="21"/>
                <w:szCs w:val="21"/>
              </w:rPr>
            </w:pPr>
            <w:r>
              <w:rPr>
                <w:rFonts w:asciiTheme="minorEastAsia" w:hAnsiTheme="minorEastAsia" w:eastAsiaTheme="minorEastAsia"/>
                <w:sz w:val="21"/>
                <w:szCs w:val="21"/>
              </w:rPr>
              <w:t>测点位置</w:t>
            </w:r>
          </w:p>
        </w:tc>
        <w:tc>
          <w:tcPr>
            <w:tcW w:w="921" w:type="pct"/>
            <w:tcBorders>
              <w:top w:val="single" w:color="auto" w:sz="12" w:space="0"/>
            </w:tcBorders>
            <w:vAlign w:val="center"/>
          </w:tcPr>
          <w:p w14:paraId="70E6449B">
            <w:pPr>
              <w:spacing w:beforeLines="25" w:line="480" w:lineRule="exact"/>
              <w:ind w:firstLine="420"/>
              <w:jc w:val="center"/>
              <w:rPr>
                <w:rFonts w:asciiTheme="minorEastAsia" w:hAnsiTheme="minorEastAsia" w:eastAsiaTheme="minorEastAsia"/>
                <w:sz w:val="21"/>
                <w:szCs w:val="21"/>
              </w:rPr>
            </w:pPr>
            <w:r>
              <w:rPr>
                <w:rFonts w:asciiTheme="minorEastAsia" w:hAnsiTheme="minorEastAsia" w:eastAsiaTheme="minorEastAsia"/>
                <w:sz w:val="21"/>
                <w:szCs w:val="21"/>
              </w:rPr>
              <w:t>昼间</w:t>
            </w:r>
          </w:p>
        </w:tc>
        <w:tc>
          <w:tcPr>
            <w:tcW w:w="1020" w:type="pct"/>
            <w:tcBorders>
              <w:top w:val="single" w:color="auto" w:sz="12" w:space="0"/>
              <w:right w:val="single" w:color="auto" w:sz="12" w:space="0"/>
            </w:tcBorders>
            <w:vAlign w:val="center"/>
          </w:tcPr>
          <w:p w14:paraId="2EA633B4">
            <w:pPr>
              <w:spacing w:beforeLines="25" w:line="480" w:lineRule="exact"/>
              <w:ind w:firstLine="420"/>
              <w:jc w:val="center"/>
              <w:rPr>
                <w:rFonts w:asciiTheme="minorEastAsia" w:hAnsiTheme="minorEastAsia" w:eastAsiaTheme="minorEastAsia"/>
                <w:sz w:val="21"/>
                <w:szCs w:val="21"/>
              </w:rPr>
            </w:pPr>
            <w:r>
              <w:rPr>
                <w:rFonts w:asciiTheme="minorEastAsia" w:hAnsiTheme="minorEastAsia" w:eastAsiaTheme="minorEastAsia"/>
                <w:sz w:val="21"/>
                <w:szCs w:val="21"/>
              </w:rPr>
              <w:t>夜间</w:t>
            </w:r>
          </w:p>
        </w:tc>
      </w:tr>
      <w:tr w14:paraId="44BE3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13" w:type="pct"/>
            <w:vMerge w:val="continue"/>
            <w:tcBorders>
              <w:left w:val="single" w:color="auto" w:sz="12" w:space="0"/>
              <w:bottom w:val="single" w:color="auto" w:sz="4" w:space="0"/>
            </w:tcBorders>
            <w:vAlign w:val="center"/>
          </w:tcPr>
          <w:p w14:paraId="6DD1389C">
            <w:pPr>
              <w:spacing w:beforeLines="25" w:line="480" w:lineRule="exact"/>
              <w:ind w:firstLine="420"/>
              <w:jc w:val="center"/>
              <w:rPr>
                <w:rFonts w:asciiTheme="minorEastAsia" w:hAnsiTheme="minorEastAsia" w:eastAsiaTheme="minorEastAsia"/>
                <w:sz w:val="21"/>
                <w:szCs w:val="21"/>
              </w:rPr>
            </w:pPr>
          </w:p>
        </w:tc>
        <w:tc>
          <w:tcPr>
            <w:tcW w:w="2546" w:type="pct"/>
            <w:vMerge w:val="continue"/>
            <w:tcBorders>
              <w:bottom w:val="single" w:color="auto" w:sz="4" w:space="0"/>
            </w:tcBorders>
            <w:vAlign w:val="center"/>
          </w:tcPr>
          <w:p w14:paraId="58CCCFBC">
            <w:pPr>
              <w:spacing w:beforeLines="25" w:line="480" w:lineRule="exact"/>
              <w:ind w:firstLine="420"/>
              <w:jc w:val="center"/>
              <w:rPr>
                <w:rFonts w:asciiTheme="minorEastAsia" w:hAnsiTheme="minorEastAsia" w:eastAsiaTheme="minorEastAsia"/>
                <w:sz w:val="21"/>
                <w:szCs w:val="21"/>
              </w:rPr>
            </w:pPr>
          </w:p>
        </w:tc>
        <w:tc>
          <w:tcPr>
            <w:tcW w:w="921" w:type="pct"/>
            <w:tcBorders>
              <w:bottom w:val="single" w:color="auto" w:sz="4" w:space="0"/>
            </w:tcBorders>
            <w:vAlign w:val="center"/>
          </w:tcPr>
          <w:p w14:paraId="05551551">
            <w:pPr>
              <w:spacing w:beforeLines="25" w:line="480" w:lineRule="exact"/>
              <w:ind w:firstLine="420"/>
              <w:jc w:val="center"/>
              <w:rPr>
                <w:rFonts w:asciiTheme="minorEastAsia" w:hAnsiTheme="minorEastAsia" w:eastAsiaTheme="minorEastAsia"/>
                <w:sz w:val="21"/>
                <w:szCs w:val="21"/>
              </w:rPr>
            </w:pPr>
            <w:r>
              <w:rPr>
                <w:rFonts w:asciiTheme="minorEastAsia" w:hAnsiTheme="minorEastAsia" w:eastAsiaTheme="minorEastAsia"/>
                <w:sz w:val="21"/>
                <w:szCs w:val="21"/>
              </w:rPr>
              <w:t>Leq</w:t>
            </w:r>
          </w:p>
        </w:tc>
        <w:tc>
          <w:tcPr>
            <w:tcW w:w="1020" w:type="pct"/>
            <w:tcBorders>
              <w:bottom w:val="single" w:color="auto" w:sz="4" w:space="0"/>
              <w:right w:val="single" w:color="auto" w:sz="12" w:space="0"/>
            </w:tcBorders>
            <w:vAlign w:val="center"/>
          </w:tcPr>
          <w:p w14:paraId="1F687688">
            <w:pPr>
              <w:spacing w:beforeLines="25" w:line="480" w:lineRule="exact"/>
              <w:ind w:firstLine="420"/>
              <w:jc w:val="center"/>
              <w:rPr>
                <w:rFonts w:asciiTheme="minorEastAsia" w:hAnsiTheme="minorEastAsia" w:eastAsiaTheme="minorEastAsia"/>
                <w:sz w:val="21"/>
                <w:szCs w:val="21"/>
              </w:rPr>
            </w:pPr>
            <w:r>
              <w:rPr>
                <w:rFonts w:asciiTheme="minorEastAsia" w:hAnsiTheme="minorEastAsia" w:eastAsiaTheme="minorEastAsia"/>
                <w:sz w:val="21"/>
                <w:szCs w:val="21"/>
              </w:rPr>
              <w:t>Leq</w:t>
            </w:r>
          </w:p>
        </w:tc>
      </w:tr>
      <w:tr w14:paraId="5B78C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13" w:type="pct"/>
            <w:tcBorders>
              <w:top w:val="single" w:color="auto" w:sz="4" w:space="0"/>
              <w:left w:val="single" w:color="auto" w:sz="12" w:space="0"/>
            </w:tcBorders>
            <w:vAlign w:val="center"/>
          </w:tcPr>
          <w:p w14:paraId="2937EB60">
            <w:pPr>
              <w:spacing w:beforeLines="25" w:line="480" w:lineRule="exact"/>
              <w:ind w:firstLine="420"/>
              <w:jc w:val="center"/>
              <w:rPr>
                <w:rFonts w:asciiTheme="minorEastAsia" w:hAnsiTheme="minorEastAsia" w:eastAsiaTheme="minorEastAsia"/>
                <w:sz w:val="21"/>
                <w:szCs w:val="21"/>
              </w:rPr>
            </w:pPr>
            <w:r>
              <w:rPr>
                <w:rFonts w:asciiTheme="minorEastAsia" w:hAnsiTheme="minorEastAsia" w:eastAsiaTheme="minorEastAsia"/>
                <w:sz w:val="21"/>
                <w:szCs w:val="21"/>
              </w:rPr>
              <w:t>1</w:t>
            </w:r>
          </w:p>
        </w:tc>
        <w:tc>
          <w:tcPr>
            <w:tcW w:w="2546" w:type="pct"/>
            <w:tcBorders>
              <w:top w:val="single" w:color="auto" w:sz="4" w:space="0"/>
            </w:tcBorders>
            <w:vAlign w:val="center"/>
          </w:tcPr>
          <w:p w14:paraId="5A8A2578">
            <w:pPr>
              <w:spacing w:beforeLines="25" w:line="480" w:lineRule="exact"/>
              <w:ind w:firstLine="42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雅斯联合站厂界东1m处</w:t>
            </w:r>
          </w:p>
        </w:tc>
        <w:tc>
          <w:tcPr>
            <w:tcW w:w="921" w:type="pct"/>
            <w:tcBorders>
              <w:top w:val="single" w:color="auto" w:sz="4" w:space="0"/>
            </w:tcBorders>
            <w:shd w:val="clear" w:color="auto" w:fill="auto"/>
            <w:vAlign w:val="center"/>
          </w:tcPr>
          <w:p w14:paraId="4A49DD2D">
            <w:pPr>
              <w:spacing w:beforeLines="25" w:line="480" w:lineRule="exact"/>
              <w:ind w:firstLine="42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w:t>
            </w:r>
            <w:r>
              <w:rPr>
                <w:rFonts w:hint="eastAsia" w:asciiTheme="minorEastAsia" w:hAnsiTheme="minorEastAsia" w:eastAsiaTheme="minorEastAsia"/>
                <w:sz w:val="21"/>
                <w:szCs w:val="21"/>
                <w:lang w:eastAsia="zh-CN"/>
              </w:rPr>
              <w:t>2.0</w:t>
            </w:r>
          </w:p>
        </w:tc>
        <w:tc>
          <w:tcPr>
            <w:tcW w:w="1020" w:type="pct"/>
            <w:tcBorders>
              <w:top w:val="single" w:color="auto" w:sz="4" w:space="0"/>
              <w:right w:val="single" w:color="auto" w:sz="12" w:space="0"/>
            </w:tcBorders>
            <w:shd w:val="clear" w:color="auto" w:fill="auto"/>
            <w:vAlign w:val="center"/>
          </w:tcPr>
          <w:p w14:paraId="49800D90">
            <w:pPr>
              <w:spacing w:beforeLines="25" w:line="480" w:lineRule="exact"/>
              <w:ind w:firstLine="42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w:t>
            </w:r>
            <w:r>
              <w:rPr>
                <w:rFonts w:hint="eastAsia" w:asciiTheme="minorEastAsia" w:hAnsiTheme="minorEastAsia" w:eastAsiaTheme="minorEastAsia"/>
                <w:sz w:val="21"/>
                <w:szCs w:val="21"/>
                <w:lang w:eastAsia="zh-CN"/>
              </w:rPr>
              <w:t>1.8</w:t>
            </w:r>
          </w:p>
        </w:tc>
      </w:tr>
      <w:tr w14:paraId="1AABB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13" w:type="pct"/>
            <w:tcBorders>
              <w:top w:val="single" w:color="auto" w:sz="4" w:space="0"/>
              <w:left w:val="single" w:color="auto" w:sz="12" w:space="0"/>
            </w:tcBorders>
            <w:vAlign w:val="center"/>
          </w:tcPr>
          <w:p w14:paraId="498352E7">
            <w:pPr>
              <w:spacing w:beforeLines="25" w:line="480" w:lineRule="exact"/>
              <w:ind w:firstLine="42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2</w:t>
            </w:r>
          </w:p>
        </w:tc>
        <w:tc>
          <w:tcPr>
            <w:tcW w:w="2546" w:type="pct"/>
            <w:tcBorders>
              <w:top w:val="single" w:color="auto" w:sz="4" w:space="0"/>
            </w:tcBorders>
            <w:vAlign w:val="center"/>
          </w:tcPr>
          <w:p w14:paraId="749FCB46">
            <w:pPr>
              <w:spacing w:beforeLines="25" w:line="480" w:lineRule="exact"/>
              <w:ind w:firstLine="42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雅斯联合站厂界南1m处</w:t>
            </w:r>
          </w:p>
        </w:tc>
        <w:tc>
          <w:tcPr>
            <w:tcW w:w="921" w:type="pct"/>
            <w:tcBorders>
              <w:top w:val="single" w:color="auto" w:sz="4" w:space="0"/>
            </w:tcBorders>
            <w:shd w:val="clear" w:color="auto" w:fill="auto"/>
            <w:vAlign w:val="center"/>
          </w:tcPr>
          <w:p w14:paraId="46024D84">
            <w:pPr>
              <w:spacing w:beforeLines="25" w:line="480" w:lineRule="exact"/>
              <w:ind w:firstLine="42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w:t>
            </w:r>
            <w:r>
              <w:rPr>
                <w:rFonts w:hint="eastAsia" w:asciiTheme="minorEastAsia" w:hAnsiTheme="minorEastAsia" w:eastAsiaTheme="minorEastAsia"/>
                <w:sz w:val="21"/>
                <w:szCs w:val="21"/>
                <w:lang w:eastAsia="zh-CN"/>
              </w:rPr>
              <w:t>1.1</w:t>
            </w:r>
          </w:p>
        </w:tc>
        <w:tc>
          <w:tcPr>
            <w:tcW w:w="1020" w:type="pct"/>
            <w:tcBorders>
              <w:top w:val="single" w:color="auto" w:sz="4" w:space="0"/>
              <w:right w:val="single" w:color="auto" w:sz="12" w:space="0"/>
            </w:tcBorders>
            <w:shd w:val="clear" w:color="auto" w:fill="auto"/>
            <w:vAlign w:val="center"/>
          </w:tcPr>
          <w:p w14:paraId="27822EE4">
            <w:pPr>
              <w:spacing w:beforeLines="25" w:line="480" w:lineRule="exact"/>
              <w:ind w:firstLine="42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w:t>
            </w:r>
            <w:r>
              <w:rPr>
                <w:rFonts w:hint="eastAsia" w:asciiTheme="minorEastAsia" w:hAnsiTheme="minorEastAsia" w:eastAsiaTheme="minorEastAsia"/>
                <w:sz w:val="21"/>
                <w:szCs w:val="21"/>
                <w:lang w:eastAsia="zh-CN"/>
              </w:rPr>
              <w:t>1.2</w:t>
            </w:r>
          </w:p>
        </w:tc>
      </w:tr>
      <w:tr w14:paraId="79E43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13" w:type="pct"/>
            <w:tcBorders>
              <w:top w:val="single" w:color="auto" w:sz="4" w:space="0"/>
              <w:left w:val="single" w:color="auto" w:sz="12" w:space="0"/>
            </w:tcBorders>
            <w:vAlign w:val="center"/>
          </w:tcPr>
          <w:p w14:paraId="4843B25C">
            <w:pPr>
              <w:spacing w:beforeLines="25" w:line="480" w:lineRule="exact"/>
              <w:ind w:firstLine="42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w:t>
            </w:r>
          </w:p>
        </w:tc>
        <w:tc>
          <w:tcPr>
            <w:tcW w:w="2546" w:type="pct"/>
            <w:tcBorders>
              <w:top w:val="single" w:color="auto" w:sz="4" w:space="0"/>
            </w:tcBorders>
            <w:vAlign w:val="center"/>
          </w:tcPr>
          <w:p w14:paraId="7AA552A3">
            <w:pPr>
              <w:spacing w:beforeLines="25" w:line="480" w:lineRule="exact"/>
              <w:ind w:firstLine="42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雅斯联合站厂界西1m处</w:t>
            </w:r>
          </w:p>
        </w:tc>
        <w:tc>
          <w:tcPr>
            <w:tcW w:w="921" w:type="pct"/>
            <w:tcBorders>
              <w:top w:val="single" w:color="auto" w:sz="4" w:space="0"/>
            </w:tcBorders>
            <w:shd w:val="clear" w:color="auto" w:fill="auto"/>
            <w:vAlign w:val="center"/>
          </w:tcPr>
          <w:p w14:paraId="0547D9C0">
            <w:pPr>
              <w:spacing w:beforeLines="25" w:line="480" w:lineRule="exact"/>
              <w:ind w:firstLine="420"/>
              <w:jc w:val="center"/>
              <w:rPr>
                <w:rFonts w:asciiTheme="minorEastAsia" w:hAnsiTheme="minorEastAsia" w:eastAsiaTheme="minorEastAsia"/>
                <w:sz w:val="21"/>
                <w:szCs w:val="21"/>
              </w:rPr>
            </w:pPr>
            <w:r>
              <w:rPr>
                <w:rFonts w:hint="eastAsia" w:asciiTheme="minorEastAsia" w:hAnsiTheme="minorEastAsia" w:eastAsiaTheme="minorEastAsia"/>
                <w:sz w:val="21"/>
                <w:szCs w:val="21"/>
                <w:lang w:eastAsia="zh-CN"/>
              </w:rPr>
              <w:t>51.9</w:t>
            </w:r>
          </w:p>
        </w:tc>
        <w:tc>
          <w:tcPr>
            <w:tcW w:w="1020" w:type="pct"/>
            <w:tcBorders>
              <w:top w:val="single" w:color="auto" w:sz="4" w:space="0"/>
              <w:right w:val="single" w:color="auto" w:sz="12" w:space="0"/>
            </w:tcBorders>
            <w:shd w:val="clear" w:color="auto" w:fill="auto"/>
            <w:vAlign w:val="center"/>
          </w:tcPr>
          <w:p w14:paraId="2C29915E">
            <w:pPr>
              <w:spacing w:beforeLines="25" w:line="480" w:lineRule="exact"/>
              <w:ind w:firstLine="42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w:t>
            </w:r>
            <w:r>
              <w:rPr>
                <w:rFonts w:hint="eastAsia" w:asciiTheme="minorEastAsia" w:hAnsiTheme="minorEastAsia" w:eastAsiaTheme="minorEastAsia"/>
                <w:sz w:val="21"/>
                <w:szCs w:val="21"/>
                <w:lang w:eastAsia="zh-CN"/>
              </w:rPr>
              <w:t>1.9</w:t>
            </w:r>
          </w:p>
        </w:tc>
      </w:tr>
      <w:tr w14:paraId="157C2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13" w:type="pct"/>
            <w:tcBorders>
              <w:top w:val="single" w:color="auto" w:sz="4" w:space="0"/>
              <w:left w:val="single" w:color="auto" w:sz="12" w:space="0"/>
            </w:tcBorders>
            <w:vAlign w:val="center"/>
          </w:tcPr>
          <w:p w14:paraId="0E3A3C25">
            <w:pPr>
              <w:spacing w:beforeLines="25" w:line="480" w:lineRule="exact"/>
              <w:ind w:firstLine="42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4</w:t>
            </w:r>
          </w:p>
        </w:tc>
        <w:tc>
          <w:tcPr>
            <w:tcW w:w="2546" w:type="pct"/>
            <w:tcBorders>
              <w:top w:val="single" w:color="auto" w:sz="4" w:space="0"/>
            </w:tcBorders>
            <w:vAlign w:val="center"/>
          </w:tcPr>
          <w:p w14:paraId="6C6AC9E5">
            <w:pPr>
              <w:spacing w:beforeLines="25" w:line="480" w:lineRule="exact"/>
              <w:ind w:firstLine="42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雅斯联合站厂界北1m处</w:t>
            </w:r>
          </w:p>
        </w:tc>
        <w:tc>
          <w:tcPr>
            <w:tcW w:w="921" w:type="pct"/>
            <w:tcBorders>
              <w:top w:val="single" w:color="auto" w:sz="4" w:space="0"/>
            </w:tcBorders>
            <w:shd w:val="clear" w:color="auto" w:fill="auto"/>
            <w:vAlign w:val="center"/>
          </w:tcPr>
          <w:p w14:paraId="0FF55407">
            <w:pPr>
              <w:spacing w:beforeLines="25" w:line="480" w:lineRule="exact"/>
              <w:ind w:firstLine="42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w:t>
            </w:r>
            <w:r>
              <w:rPr>
                <w:rFonts w:hint="eastAsia" w:asciiTheme="minorEastAsia" w:hAnsiTheme="minorEastAsia" w:eastAsiaTheme="minorEastAsia"/>
                <w:sz w:val="21"/>
                <w:szCs w:val="21"/>
                <w:lang w:eastAsia="zh-CN"/>
              </w:rPr>
              <w:t>3.1</w:t>
            </w:r>
          </w:p>
        </w:tc>
        <w:tc>
          <w:tcPr>
            <w:tcW w:w="1020" w:type="pct"/>
            <w:tcBorders>
              <w:top w:val="single" w:color="auto" w:sz="4" w:space="0"/>
              <w:right w:val="single" w:color="auto" w:sz="12" w:space="0"/>
            </w:tcBorders>
            <w:shd w:val="clear" w:color="auto" w:fill="auto"/>
            <w:vAlign w:val="center"/>
          </w:tcPr>
          <w:p w14:paraId="0A01C522">
            <w:pPr>
              <w:spacing w:beforeLines="25" w:line="480" w:lineRule="exact"/>
              <w:ind w:firstLine="42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42.8</w:t>
            </w:r>
          </w:p>
        </w:tc>
      </w:tr>
      <w:tr w14:paraId="4C4AC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059" w:type="pct"/>
            <w:gridSpan w:val="2"/>
            <w:tcBorders>
              <w:top w:val="single" w:color="auto" w:sz="4" w:space="0"/>
              <w:left w:val="single" w:color="auto" w:sz="12" w:space="0"/>
              <w:bottom w:val="single" w:color="auto" w:sz="4" w:space="0"/>
            </w:tcBorders>
            <w:vAlign w:val="center"/>
          </w:tcPr>
          <w:p w14:paraId="50E8ED1B">
            <w:pPr>
              <w:pStyle w:val="574"/>
              <w:spacing w:line="240" w:lineRule="auto"/>
              <w:rPr>
                <w:rFonts w:asciiTheme="minorEastAsia" w:hAnsiTheme="minorEastAsia" w:eastAsiaTheme="minorEastAsia"/>
                <w:sz w:val="21"/>
                <w:szCs w:val="21"/>
              </w:rPr>
            </w:pPr>
            <w:r>
              <w:rPr>
                <w:rFonts w:asciiTheme="minorEastAsia" w:hAnsiTheme="minorEastAsia" w:eastAsiaTheme="minorEastAsia"/>
                <w:sz w:val="21"/>
                <w:szCs w:val="21"/>
              </w:rPr>
              <w:t>《工业企业厂界噪声排放标准》GB12348-2008中</w:t>
            </w:r>
            <w:r>
              <w:rPr>
                <w:rFonts w:hint="eastAsia" w:asciiTheme="minorEastAsia" w:hAnsiTheme="minorEastAsia" w:eastAsiaTheme="minorEastAsia"/>
                <w:sz w:val="21"/>
                <w:szCs w:val="21"/>
              </w:rPr>
              <w:t>2</w:t>
            </w:r>
            <w:r>
              <w:rPr>
                <w:rFonts w:asciiTheme="minorEastAsia" w:hAnsiTheme="minorEastAsia" w:eastAsiaTheme="minorEastAsia"/>
                <w:sz w:val="21"/>
                <w:szCs w:val="21"/>
              </w:rPr>
              <w:t>类标准要求</w:t>
            </w:r>
          </w:p>
        </w:tc>
        <w:tc>
          <w:tcPr>
            <w:tcW w:w="921" w:type="pct"/>
            <w:tcBorders>
              <w:top w:val="single" w:color="auto" w:sz="4" w:space="0"/>
              <w:bottom w:val="single" w:color="auto" w:sz="4" w:space="0"/>
            </w:tcBorders>
            <w:shd w:val="clear" w:color="auto" w:fill="auto"/>
            <w:vAlign w:val="center"/>
          </w:tcPr>
          <w:p w14:paraId="737E93DE">
            <w:pPr>
              <w:spacing w:beforeLines="25" w:line="480" w:lineRule="exact"/>
              <w:ind w:firstLine="42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w:t>
            </w:r>
            <w:r>
              <w:rPr>
                <w:rFonts w:hint="eastAsia" w:asciiTheme="minorEastAsia" w:hAnsiTheme="minorEastAsia" w:eastAsiaTheme="minorEastAsia"/>
                <w:sz w:val="21"/>
                <w:szCs w:val="21"/>
                <w:lang w:eastAsia="zh-CN"/>
              </w:rPr>
              <w:t>0</w:t>
            </w:r>
          </w:p>
        </w:tc>
        <w:tc>
          <w:tcPr>
            <w:tcW w:w="1020" w:type="pct"/>
            <w:tcBorders>
              <w:top w:val="single" w:color="auto" w:sz="4" w:space="0"/>
              <w:bottom w:val="single" w:color="auto" w:sz="4" w:space="0"/>
              <w:right w:val="single" w:color="auto" w:sz="12" w:space="0"/>
            </w:tcBorders>
            <w:shd w:val="clear" w:color="auto" w:fill="auto"/>
            <w:vAlign w:val="center"/>
          </w:tcPr>
          <w:p w14:paraId="3AD66AB0">
            <w:pPr>
              <w:spacing w:beforeLines="25" w:line="480" w:lineRule="exact"/>
              <w:ind w:firstLine="42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w:t>
            </w:r>
            <w:r>
              <w:rPr>
                <w:rFonts w:hint="eastAsia" w:asciiTheme="minorEastAsia" w:hAnsiTheme="minorEastAsia" w:eastAsiaTheme="minorEastAsia"/>
                <w:sz w:val="21"/>
                <w:szCs w:val="21"/>
                <w:lang w:eastAsia="zh-CN"/>
              </w:rPr>
              <w:t>0</w:t>
            </w:r>
          </w:p>
        </w:tc>
      </w:tr>
      <w:tr w14:paraId="46BB2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13" w:type="pct"/>
            <w:tcBorders>
              <w:top w:val="single" w:color="auto" w:sz="4" w:space="0"/>
              <w:left w:val="single" w:color="auto" w:sz="12" w:space="0"/>
              <w:bottom w:val="single" w:color="auto" w:sz="4" w:space="0"/>
            </w:tcBorders>
            <w:vAlign w:val="center"/>
          </w:tcPr>
          <w:p w14:paraId="139F8EAC">
            <w:pPr>
              <w:spacing w:beforeLines="25" w:line="480" w:lineRule="exact"/>
              <w:ind w:firstLine="42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w:t>
            </w:r>
          </w:p>
        </w:tc>
        <w:tc>
          <w:tcPr>
            <w:tcW w:w="2546" w:type="pct"/>
            <w:tcBorders>
              <w:top w:val="single" w:color="auto" w:sz="4" w:space="0"/>
              <w:left w:val="single" w:color="auto" w:sz="4" w:space="0"/>
              <w:bottom w:val="single" w:color="auto" w:sz="4" w:space="0"/>
            </w:tcBorders>
            <w:vAlign w:val="center"/>
          </w:tcPr>
          <w:p w14:paraId="100C256F">
            <w:pPr>
              <w:spacing w:beforeLines="25" w:line="480" w:lineRule="exact"/>
              <w:ind w:firstLine="42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雅斯联合站东北1000</w:t>
            </w:r>
            <w:r>
              <w:rPr>
                <w:rFonts w:asciiTheme="minorEastAsia" w:hAnsiTheme="minorEastAsia" w:eastAsiaTheme="minorEastAsia"/>
                <w:sz w:val="21"/>
                <w:szCs w:val="21"/>
                <w:lang w:eastAsia="zh-CN"/>
              </w:rPr>
              <w:t>m</w:t>
            </w:r>
            <w:r>
              <w:rPr>
                <w:rFonts w:hint="eastAsia" w:asciiTheme="minorEastAsia" w:hAnsiTheme="minorEastAsia" w:eastAsiaTheme="minorEastAsia"/>
                <w:sz w:val="21"/>
                <w:szCs w:val="21"/>
                <w:lang w:eastAsia="zh-CN"/>
              </w:rPr>
              <w:t>处</w:t>
            </w:r>
            <w:r>
              <w:rPr>
                <w:rFonts w:asciiTheme="minorEastAsia" w:hAnsiTheme="minorEastAsia" w:eastAsiaTheme="minorEastAsia"/>
                <w:sz w:val="21"/>
                <w:szCs w:val="21"/>
                <w:lang w:eastAsia="zh-CN"/>
              </w:rPr>
              <w:t>牧户家</w:t>
            </w:r>
          </w:p>
        </w:tc>
        <w:tc>
          <w:tcPr>
            <w:tcW w:w="921" w:type="pct"/>
            <w:tcBorders>
              <w:top w:val="single" w:color="auto" w:sz="4" w:space="0"/>
              <w:bottom w:val="single" w:color="auto" w:sz="4" w:space="0"/>
            </w:tcBorders>
            <w:shd w:val="clear" w:color="auto" w:fill="auto"/>
            <w:vAlign w:val="center"/>
          </w:tcPr>
          <w:p w14:paraId="424663A3">
            <w:pPr>
              <w:spacing w:beforeLines="25" w:line="480" w:lineRule="exact"/>
              <w:ind w:firstLine="42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48.8</w:t>
            </w:r>
          </w:p>
        </w:tc>
        <w:tc>
          <w:tcPr>
            <w:tcW w:w="1020" w:type="pct"/>
            <w:tcBorders>
              <w:top w:val="single" w:color="auto" w:sz="4" w:space="0"/>
              <w:bottom w:val="single" w:color="auto" w:sz="4" w:space="0"/>
              <w:right w:val="single" w:color="auto" w:sz="12" w:space="0"/>
            </w:tcBorders>
            <w:shd w:val="clear" w:color="auto" w:fill="auto"/>
            <w:vAlign w:val="center"/>
          </w:tcPr>
          <w:p w14:paraId="51E924D8">
            <w:pPr>
              <w:spacing w:beforeLines="25" w:line="480" w:lineRule="exact"/>
              <w:ind w:firstLine="42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40.1</w:t>
            </w:r>
          </w:p>
        </w:tc>
      </w:tr>
      <w:tr w14:paraId="1FFBB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13" w:type="pct"/>
            <w:tcBorders>
              <w:top w:val="single" w:color="auto" w:sz="4" w:space="0"/>
              <w:left w:val="single" w:color="auto" w:sz="12" w:space="0"/>
              <w:bottom w:val="single" w:color="auto" w:sz="4" w:space="0"/>
            </w:tcBorders>
            <w:vAlign w:val="center"/>
          </w:tcPr>
          <w:p w14:paraId="2EC046F5">
            <w:pPr>
              <w:spacing w:beforeLines="25" w:line="480" w:lineRule="exact"/>
              <w:ind w:firstLine="420"/>
              <w:jc w:val="center"/>
              <w:rPr>
                <w:rFonts w:asciiTheme="minorEastAsia" w:hAnsiTheme="minorEastAsia" w:eastAsiaTheme="minorEastAsia"/>
                <w:sz w:val="21"/>
                <w:szCs w:val="21"/>
              </w:rPr>
            </w:pPr>
            <w:r>
              <w:rPr>
                <w:rFonts w:hint="eastAsia" w:asciiTheme="minorEastAsia" w:hAnsiTheme="minorEastAsia" w:eastAsiaTheme="minorEastAsia"/>
                <w:sz w:val="21"/>
                <w:szCs w:val="21"/>
                <w:lang w:eastAsia="zh-CN"/>
              </w:rPr>
              <w:t>6</w:t>
            </w:r>
          </w:p>
        </w:tc>
        <w:tc>
          <w:tcPr>
            <w:tcW w:w="2546" w:type="pct"/>
            <w:tcBorders>
              <w:top w:val="single" w:color="auto" w:sz="4" w:space="0"/>
              <w:left w:val="single" w:color="auto" w:sz="4" w:space="0"/>
              <w:bottom w:val="single" w:color="auto" w:sz="4" w:space="0"/>
            </w:tcBorders>
            <w:vAlign w:val="center"/>
          </w:tcPr>
          <w:p w14:paraId="7C9ED4B4">
            <w:pPr>
              <w:spacing w:beforeLines="25" w:line="480" w:lineRule="exact"/>
              <w:ind w:firstLine="42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油田</w:t>
            </w:r>
            <w:r>
              <w:rPr>
                <w:rFonts w:asciiTheme="minorEastAsia" w:hAnsiTheme="minorEastAsia" w:eastAsiaTheme="minorEastAsia"/>
                <w:sz w:val="21"/>
                <w:szCs w:val="21"/>
                <w:lang w:eastAsia="zh-CN"/>
              </w:rPr>
              <w:t>进场道路</w:t>
            </w:r>
            <w:r>
              <w:rPr>
                <w:rFonts w:hint="eastAsia" w:asciiTheme="minorEastAsia" w:hAnsiTheme="minorEastAsia" w:eastAsiaTheme="minorEastAsia"/>
                <w:sz w:val="21"/>
                <w:szCs w:val="21"/>
                <w:lang w:eastAsia="zh-CN"/>
              </w:rPr>
              <w:t>东</w:t>
            </w:r>
            <w:r>
              <w:rPr>
                <w:rFonts w:asciiTheme="minorEastAsia" w:hAnsiTheme="minorEastAsia" w:eastAsiaTheme="minorEastAsia"/>
                <w:sz w:val="21"/>
                <w:szCs w:val="21"/>
                <w:lang w:eastAsia="zh-CN"/>
              </w:rPr>
              <w:t>侧</w:t>
            </w:r>
            <w:r>
              <w:rPr>
                <w:rFonts w:hint="eastAsia" w:asciiTheme="minorEastAsia" w:hAnsiTheme="minorEastAsia" w:eastAsiaTheme="minorEastAsia"/>
                <w:sz w:val="21"/>
                <w:szCs w:val="21"/>
                <w:lang w:eastAsia="zh-CN"/>
              </w:rPr>
              <w:t>牧户家门前</w:t>
            </w:r>
            <w:r>
              <w:rPr>
                <w:rFonts w:asciiTheme="minorEastAsia" w:hAnsiTheme="minorEastAsia" w:eastAsiaTheme="minorEastAsia"/>
                <w:sz w:val="21"/>
                <w:szCs w:val="21"/>
                <w:lang w:eastAsia="zh-CN"/>
              </w:rPr>
              <w:t>1m处</w:t>
            </w:r>
          </w:p>
        </w:tc>
        <w:tc>
          <w:tcPr>
            <w:tcW w:w="921" w:type="pct"/>
            <w:tcBorders>
              <w:top w:val="single" w:color="auto" w:sz="4" w:space="0"/>
              <w:bottom w:val="single" w:color="auto" w:sz="4" w:space="0"/>
            </w:tcBorders>
            <w:shd w:val="clear" w:color="auto" w:fill="auto"/>
            <w:vAlign w:val="center"/>
          </w:tcPr>
          <w:p w14:paraId="2B011476">
            <w:pPr>
              <w:spacing w:beforeLines="25" w:line="480" w:lineRule="exact"/>
              <w:ind w:firstLine="42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49.1</w:t>
            </w:r>
          </w:p>
        </w:tc>
        <w:tc>
          <w:tcPr>
            <w:tcW w:w="1020" w:type="pct"/>
            <w:tcBorders>
              <w:top w:val="single" w:color="auto" w:sz="4" w:space="0"/>
              <w:bottom w:val="single" w:color="auto" w:sz="4" w:space="0"/>
              <w:right w:val="single" w:color="auto" w:sz="12" w:space="0"/>
            </w:tcBorders>
            <w:shd w:val="clear" w:color="auto" w:fill="auto"/>
            <w:vAlign w:val="center"/>
          </w:tcPr>
          <w:p w14:paraId="23D08174">
            <w:pPr>
              <w:spacing w:beforeLines="25" w:line="480" w:lineRule="exact"/>
              <w:ind w:firstLine="420"/>
              <w:jc w:val="center"/>
              <w:rPr>
                <w:rFonts w:asciiTheme="minorEastAsia" w:hAnsiTheme="minorEastAsia" w:eastAsiaTheme="minorEastAsia"/>
                <w:sz w:val="21"/>
                <w:szCs w:val="21"/>
                <w:lang w:eastAsia="zh-CN"/>
              </w:rPr>
            </w:pPr>
            <w:r>
              <w:rPr>
                <w:rFonts w:hint="eastAsia" w:asciiTheme="minorEastAsia" w:hAnsiTheme="minorEastAsia" w:eastAsiaTheme="minorEastAsia"/>
                <w:sz w:val="21"/>
                <w:szCs w:val="21"/>
                <w:lang w:eastAsia="zh-CN"/>
              </w:rPr>
              <w:t>39.4</w:t>
            </w:r>
          </w:p>
        </w:tc>
      </w:tr>
      <w:tr w14:paraId="10C5B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059" w:type="pct"/>
            <w:gridSpan w:val="2"/>
            <w:tcBorders>
              <w:top w:val="single" w:color="auto" w:sz="4" w:space="0"/>
              <w:left w:val="single" w:color="auto" w:sz="12" w:space="0"/>
              <w:bottom w:val="single" w:color="auto" w:sz="12" w:space="0"/>
            </w:tcBorders>
            <w:vAlign w:val="center"/>
          </w:tcPr>
          <w:p w14:paraId="240FFB6E">
            <w:pPr>
              <w:pStyle w:val="574"/>
              <w:spacing w:line="240" w:lineRule="auto"/>
              <w:rPr>
                <w:rFonts w:asciiTheme="minorEastAsia" w:hAnsiTheme="minorEastAsia" w:eastAsiaTheme="minorEastAsia"/>
                <w:sz w:val="21"/>
                <w:szCs w:val="21"/>
              </w:rPr>
            </w:pPr>
            <w:r>
              <w:rPr>
                <w:rFonts w:hint="eastAsia" w:ascii="宋体" w:hAnsi="宋体"/>
                <w:sz w:val="21"/>
                <w:szCs w:val="21"/>
                <w:lang w:bidi="en-US"/>
              </w:rPr>
              <w:t>《声环境质量标准》（GB3096-2008）中2类</w:t>
            </w:r>
            <w:r>
              <w:rPr>
                <w:rFonts w:asciiTheme="minorEastAsia" w:hAnsiTheme="minorEastAsia" w:eastAsiaTheme="minorEastAsia"/>
                <w:sz w:val="21"/>
                <w:szCs w:val="21"/>
              </w:rPr>
              <w:t>标准要求</w:t>
            </w:r>
          </w:p>
        </w:tc>
        <w:tc>
          <w:tcPr>
            <w:tcW w:w="921" w:type="pct"/>
            <w:tcBorders>
              <w:top w:val="single" w:color="auto" w:sz="4" w:space="0"/>
              <w:bottom w:val="single" w:color="auto" w:sz="12" w:space="0"/>
            </w:tcBorders>
            <w:shd w:val="clear" w:color="auto" w:fill="auto"/>
            <w:vAlign w:val="center"/>
          </w:tcPr>
          <w:p w14:paraId="05AE5470">
            <w:pPr>
              <w:spacing w:beforeLines="25" w:line="480" w:lineRule="exact"/>
              <w:ind w:firstLine="42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60</w:t>
            </w:r>
          </w:p>
        </w:tc>
        <w:tc>
          <w:tcPr>
            <w:tcW w:w="1020" w:type="pct"/>
            <w:tcBorders>
              <w:top w:val="single" w:color="auto" w:sz="4" w:space="0"/>
              <w:bottom w:val="single" w:color="auto" w:sz="12" w:space="0"/>
              <w:right w:val="single" w:color="auto" w:sz="12" w:space="0"/>
            </w:tcBorders>
            <w:shd w:val="clear" w:color="auto" w:fill="auto"/>
            <w:vAlign w:val="center"/>
          </w:tcPr>
          <w:p w14:paraId="085A1947">
            <w:pPr>
              <w:spacing w:beforeLines="25" w:line="480" w:lineRule="exact"/>
              <w:ind w:firstLine="42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50</w:t>
            </w:r>
          </w:p>
        </w:tc>
      </w:tr>
    </w:tbl>
    <w:p w14:paraId="4C729739">
      <w:pPr>
        <w:ind w:firstLine="480"/>
        <w:rPr>
          <w:rFonts w:asciiTheme="minorEastAsia" w:hAnsiTheme="minorEastAsia" w:eastAsiaTheme="minorEastAsia"/>
          <w:lang w:eastAsia="zh-CN"/>
        </w:rPr>
      </w:pPr>
      <w:bookmarkStart w:id="395" w:name="_Toc309208202"/>
      <w:bookmarkStart w:id="396" w:name="_Toc278300478"/>
      <w:bookmarkStart w:id="397" w:name="_Toc306547337"/>
      <w:r>
        <w:rPr>
          <w:rFonts w:asciiTheme="minorEastAsia" w:hAnsiTheme="minorEastAsia" w:eastAsiaTheme="minorEastAsia"/>
          <w:lang w:eastAsia="zh-CN"/>
        </w:rPr>
        <w:t>5、声环境质量现状评价</w:t>
      </w:r>
      <w:bookmarkEnd w:id="385"/>
      <w:bookmarkEnd w:id="386"/>
      <w:bookmarkEnd w:id="387"/>
      <w:bookmarkEnd w:id="388"/>
      <w:bookmarkEnd w:id="389"/>
      <w:bookmarkEnd w:id="390"/>
      <w:bookmarkEnd w:id="391"/>
      <w:bookmarkEnd w:id="392"/>
      <w:bookmarkEnd w:id="393"/>
      <w:bookmarkEnd w:id="394"/>
      <w:bookmarkEnd w:id="395"/>
      <w:bookmarkEnd w:id="396"/>
      <w:bookmarkEnd w:id="397"/>
    </w:p>
    <w:p w14:paraId="77E5C198">
      <w:pPr>
        <w:ind w:firstLine="480"/>
        <w:rPr>
          <w:rFonts w:asciiTheme="minorEastAsia" w:hAnsiTheme="minorEastAsia" w:eastAsiaTheme="minorEastAsia"/>
          <w:lang w:eastAsia="zh-CN"/>
        </w:rPr>
      </w:pPr>
      <w:r>
        <w:rPr>
          <w:rFonts w:asciiTheme="minorEastAsia" w:hAnsiTheme="minorEastAsia" w:eastAsiaTheme="minorEastAsia"/>
          <w:lang w:eastAsia="zh-CN"/>
        </w:rPr>
        <w:t>由环境噪声监测结果可知：</w:t>
      </w:r>
      <w:r>
        <w:rPr>
          <w:rFonts w:hint="eastAsia" w:asciiTheme="minorEastAsia" w:hAnsiTheme="minorEastAsia" w:eastAsiaTheme="minorEastAsia"/>
          <w:lang w:eastAsia="zh-CN"/>
        </w:rPr>
        <w:t>联合站厂界4</w:t>
      </w:r>
      <w:r>
        <w:rPr>
          <w:rFonts w:asciiTheme="minorEastAsia" w:hAnsiTheme="minorEastAsia" w:eastAsiaTheme="minorEastAsia"/>
          <w:lang w:eastAsia="zh-CN"/>
        </w:rPr>
        <w:t>个监测点的噪声现状监测值昼间在</w:t>
      </w:r>
      <w:r>
        <w:rPr>
          <w:rFonts w:hint="eastAsia" w:asciiTheme="minorEastAsia" w:hAnsiTheme="minorEastAsia" w:eastAsiaTheme="minorEastAsia"/>
          <w:lang w:eastAsia="zh-CN"/>
        </w:rPr>
        <w:t>51.0</w:t>
      </w:r>
      <w:r>
        <w:rPr>
          <w:rFonts w:asciiTheme="minorEastAsia" w:hAnsiTheme="minorEastAsia" w:eastAsiaTheme="minorEastAsia"/>
          <w:lang w:eastAsia="zh-CN"/>
        </w:rPr>
        <w:t>～</w:t>
      </w:r>
      <w:r>
        <w:rPr>
          <w:rFonts w:hint="eastAsia" w:asciiTheme="minorEastAsia" w:hAnsiTheme="minorEastAsia" w:eastAsiaTheme="minorEastAsia"/>
          <w:lang w:eastAsia="zh-CN"/>
        </w:rPr>
        <w:t>52.0</w:t>
      </w:r>
      <w:r>
        <w:rPr>
          <w:rFonts w:asciiTheme="minorEastAsia" w:hAnsiTheme="minorEastAsia" w:eastAsiaTheme="minorEastAsia"/>
          <w:lang w:eastAsia="zh-CN"/>
        </w:rPr>
        <w:t>dB(A)之间、夜间在</w:t>
      </w:r>
      <w:r>
        <w:rPr>
          <w:rFonts w:hint="eastAsia" w:asciiTheme="minorEastAsia" w:hAnsiTheme="minorEastAsia" w:eastAsiaTheme="minorEastAsia"/>
          <w:lang w:eastAsia="zh-CN"/>
        </w:rPr>
        <w:t>41.2</w:t>
      </w:r>
      <w:r>
        <w:rPr>
          <w:rFonts w:asciiTheme="minorEastAsia" w:hAnsiTheme="minorEastAsia" w:eastAsiaTheme="minorEastAsia"/>
          <w:lang w:eastAsia="zh-CN"/>
        </w:rPr>
        <w:t>～</w:t>
      </w:r>
      <w:r>
        <w:rPr>
          <w:rFonts w:hint="eastAsia" w:asciiTheme="minorEastAsia" w:hAnsiTheme="minorEastAsia" w:eastAsiaTheme="minorEastAsia"/>
          <w:lang w:eastAsia="zh-CN"/>
        </w:rPr>
        <w:t>42.8</w:t>
      </w:r>
      <w:r>
        <w:rPr>
          <w:rFonts w:asciiTheme="minorEastAsia" w:hAnsiTheme="minorEastAsia" w:eastAsiaTheme="minorEastAsia"/>
          <w:lang w:eastAsia="zh-CN"/>
        </w:rPr>
        <w:t>dB(A)之间，</w:t>
      </w:r>
      <w:r>
        <w:rPr>
          <w:rFonts w:hint="eastAsia" w:asciiTheme="minorEastAsia" w:hAnsiTheme="minorEastAsia" w:eastAsiaTheme="minorEastAsia"/>
          <w:lang w:eastAsia="zh-CN"/>
        </w:rPr>
        <w:t>敏感点2个监测点</w:t>
      </w:r>
      <w:r>
        <w:rPr>
          <w:rFonts w:asciiTheme="minorEastAsia" w:hAnsiTheme="minorEastAsia" w:eastAsiaTheme="minorEastAsia"/>
          <w:lang w:eastAsia="zh-CN"/>
        </w:rPr>
        <w:t>的噪声现状监测值昼间在</w:t>
      </w:r>
      <w:r>
        <w:rPr>
          <w:rFonts w:hint="eastAsia" w:asciiTheme="minorEastAsia" w:hAnsiTheme="minorEastAsia" w:eastAsiaTheme="minorEastAsia"/>
          <w:lang w:eastAsia="zh-CN"/>
        </w:rPr>
        <w:t>48.8</w:t>
      </w:r>
      <w:r>
        <w:rPr>
          <w:rFonts w:asciiTheme="minorEastAsia" w:hAnsiTheme="minorEastAsia" w:eastAsiaTheme="minorEastAsia"/>
          <w:lang w:eastAsia="zh-CN"/>
        </w:rPr>
        <w:t>～</w:t>
      </w:r>
      <w:r>
        <w:rPr>
          <w:rFonts w:hint="eastAsia" w:asciiTheme="minorEastAsia" w:hAnsiTheme="minorEastAsia" w:eastAsiaTheme="minorEastAsia"/>
          <w:lang w:eastAsia="zh-CN"/>
        </w:rPr>
        <w:t>49.1</w:t>
      </w:r>
      <w:r>
        <w:rPr>
          <w:rFonts w:asciiTheme="minorEastAsia" w:hAnsiTheme="minorEastAsia" w:eastAsiaTheme="minorEastAsia"/>
          <w:lang w:eastAsia="zh-CN"/>
        </w:rPr>
        <w:t>dB(A)之间、夜间在</w:t>
      </w:r>
      <w:r>
        <w:rPr>
          <w:rFonts w:hint="eastAsia" w:asciiTheme="minorEastAsia" w:hAnsiTheme="minorEastAsia" w:eastAsiaTheme="minorEastAsia"/>
          <w:lang w:eastAsia="zh-CN"/>
        </w:rPr>
        <w:t>39.4</w:t>
      </w:r>
      <w:r>
        <w:rPr>
          <w:rFonts w:asciiTheme="minorEastAsia" w:hAnsiTheme="minorEastAsia" w:eastAsiaTheme="minorEastAsia"/>
          <w:lang w:eastAsia="zh-CN"/>
        </w:rPr>
        <w:t>～</w:t>
      </w:r>
      <w:r>
        <w:rPr>
          <w:rFonts w:hint="eastAsia" w:asciiTheme="minorEastAsia" w:hAnsiTheme="minorEastAsia" w:eastAsiaTheme="minorEastAsia"/>
          <w:lang w:eastAsia="zh-CN"/>
        </w:rPr>
        <w:t>40.1</w:t>
      </w:r>
      <w:r>
        <w:rPr>
          <w:rFonts w:asciiTheme="minorEastAsia" w:hAnsiTheme="minorEastAsia" w:eastAsiaTheme="minorEastAsia"/>
          <w:lang w:eastAsia="zh-CN"/>
        </w:rPr>
        <w:t>dB(A)之间，均未超过《声环境质量标准》(GB3096-2008)2类标准限值，说明本项目</w:t>
      </w:r>
      <w:r>
        <w:rPr>
          <w:rFonts w:hint="eastAsia" w:asciiTheme="minorEastAsia" w:hAnsiTheme="minorEastAsia" w:eastAsiaTheme="minorEastAsia"/>
          <w:lang w:eastAsia="zh-CN"/>
        </w:rPr>
        <w:t>评价区域</w:t>
      </w:r>
      <w:r>
        <w:rPr>
          <w:rFonts w:asciiTheme="minorEastAsia" w:hAnsiTheme="minorEastAsia" w:eastAsiaTheme="minorEastAsia"/>
          <w:lang w:eastAsia="zh-CN"/>
        </w:rPr>
        <w:t>声环境质量良好。</w:t>
      </w:r>
    </w:p>
    <w:p w14:paraId="08B597EA">
      <w:pPr>
        <w:pStyle w:val="3"/>
        <w:rPr>
          <w:lang w:eastAsia="zh-CN"/>
        </w:rPr>
      </w:pPr>
      <w:bookmarkStart w:id="398" w:name="_Toc338663568"/>
      <w:bookmarkStart w:id="399" w:name="_Toc408413991"/>
      <w:r>
        <w:rPr>
          <w:lang w:eastAsia="zh-CN"/>
        </w:rPr>
        <w:t>7.2 噪声影响分析与评价</w:t>
      </w:r>
      <w:bookmarkEnd w:id="398"/>
      <w:bookmarkEnd w:id="399"/>
    </w:p>
    <w:p w14:paraId="3A4A8A84">
      <w:pPr>
        <w:pStyle w:val="4"/>
        <w:rPr>
          <w:lang w:eastAsia="zh-CN"/>
        </w:rPr>
      </w:pPr>
      <w:bookmarkStart w:id="400" w:name="_Toc280020108"/>
      <w:bookmarkStart w:id="401" w:name="_Toc338663569"/>
      <w:bookmarkStart w:id="402" w:name="_Toc408413992"/>
      <w:bookmarkStart w:id="403" w:name="_Toc279676709"/>
      <w:r>
        <w:rPr>
          <w:lang w:eastAsia="zh-CN"/>
        </w:rPr>
        <w:t>7.2.1 施工期噪声影响分析</w:t>
      </w:r>
      <w:bookmarkEnd w:id="400"/>
      <w:bookmarkEnd w:id="401"/>
      <w:bookmarkEnd w:id="402"/>
      <w:bookmarkEnd w:id="403"/>
    </w:p>
    <w:p w14:paraId="73D877D4">
      <w:pPr>
        <w:ind w:firstLine="480"/>
        <w:rPr>
          <w:rFonts w:asciiTheme="minorEastAsia" w:hAnsiTheme="minorEastAsia" w:eastAsiaTheme="minorEastAsia"/>
          <w:lang w:eastAsia="zh-CN"/>
        </w:rPr>
      </w:pPr>
      <w:r>
        <w:rPr>
          <w:rFonts w:asciiTheme="minorEastAsia" w:hAnsiTheme="minorEastAsia" w:eastAsiaTheme="minorEastAsia"/>
          <w:lang w:eastAsia="zh-CN"/>
        </w:rPr>
        <w:t>雅斯联合站、</w:t>
      </w:r>
      <w:r>
        <w:rPr>
          <w:rFonts w:hint="eastAsia" w:asciiTheme="minorEastAsia" w:hAnsiTheme="minorEastAsia" w:eastAsiaTheme="minorEastAsia"/>
          <w:lang w:eastAsia="zh-CN"/>
        </w:rPr>
        <w:t>采油</w:t>
      </w:r>
      <w:r>
        <w:rPr>
          <w:rFonts w:asciiTheme="minorEastAsia" w:hAnsiTheme="minorEastAsia" w:eastAsiaTheme="minorEastAsia"/>
          <w:lang w:eastAsia="zh-CN"/>
        </w:rPr>
        <w:t>区等都已建成。因此，乌里雅斯太油田施工期对声环境的影响主要是由</w:t>
      </w:r>
      <w:r>
        <w:rPr>
          <w:rFonts w:hint="eastAsia" w:asciiTheme="minorEastAsia" w:hAnsiTheme="minorEastAsia" w:eastAsiaTheme="minorEastAsia"/>
          <w:lang w:eastAsia="zh-CN"/>
        </w:rPr>
        <w:t>钻井</w:t>
      </w:r>
      <w:r>
        <w:rPr>
          <w:rFonts w:asciiTheme="minorEastAsia" w:hAnsiTheme="minorEastAsia" w:eastAsiaTheme="minorEastAsia"/>
          <w:lang w:eastAsia="zh-CN"/>
        </w:rPr>
        <w:t>施工机械及运输车辆造成的，主要噪声源</w:t>
      </w:r>
      <w:r>
        <w:rPr>
          <w:rFonts w:hint="eastAsia" w:asciiTheme="minorEastAsia" w:hAnsiTheme="minorEastAsia" w:eastAsiaTheme="minorEastAsia"/>
          <w:lang w:eastAsia="zh-CN"/>
        </w:rPr>
        <w:t>见章节3.6.5。</w:t>
      </w:r>
      <w:r>
        <w:rPr>
          <w:rFonts w:asciiTheme="minorEastAsia" w:hAnsiTheme="minorEastAsia" w:eastAsiaTheme="minorEastAsia"/>
          <w:lang w:eastAsia="zh-CN"/>
        </w:rPr>
        <w:t>在油田钻井期间，噪声的主要来源有：钻前拖拉机作业、钻井作业、固井作业、修井试油作业、酸化压裂作业、油气输送作业等。由于这些作业多系野外作业，具有明显的流动性，因此，声源也具有不固定性和不稳定性。噪声源强在60-1</w:t>
      </w:r>
      <w:r>
        <w:rPr>
          <w:rFonts w:hint="eastAsia" w:asciiTheme="minorEastAsia" w:hAnsiTheme="minorEastAsia" w:eastAsiaTheme="minorEastAsia"/>
          <w:lang w:eastAsia="zh-CN"/>
        </w:rPr>
        <w:t>10</w:t>
      </w:r>
      <w:r>
        <w:rPr>
          <w:rFonts w:asciiTheme="minorEastAsia" w:hAnsiTheme="minorEastAsia" w:eastAsiaTheme="minorEastAsia"/>
          <w:lang w:eastAsia="zh-CN"/>
        </w:rPr>
        <w:t>之间，</w:t>
      </w:r>
      <w:r>
        <w:rPr>
          <w:rFonts w:hint="eastAsia" w:asciiTheme="minorEastAsia" w:hAnsiTheme="minorEastAsia" w:eastAsiaTheme="minorEastAsia"/>
          <w:lang w:eastAsia="zh-CN"/>
        </w:rPr>
        <w:t>根据预测</w:t>
      </w:r>
      <w:r>
        <w:rPr>
          <w:rFonts w:asciiTheme="minorEastAsia" w:hAnsiTheme="minorEastAsia" w:eastAsiaTheme="minorEastAsia"/>
          <w:lang w:eastAsia="zh-CN"/>
        </w:rPr>
        <w:t>，</w:t>
      </w:r>
      <w:r>
        <w:rPr>
          <w:rFonts w:hint="eastAsia" w:asciiTheme="minorEastAsia" w:hAnsiTheme="minorEastAsia" w:eastAsiaTheme="minorEastAsia"/>
          <w:lang w:eastAsia="zh-CN"/>
        </w:rPr>
        <w:t>到井场</w:t>
      </w:r>
      <w:r>
        <w:rPr>
          <w:rFonts w:asciiTheme="minorEastAsia" w:hAnsiTheme="minorEastAsia" w:eastAsiaTheme="minorEastAsia"/>
          <w:lang w:eastAsia="zh-CN"/>
        </w:rPr>
        <w:t>边界</w:t>
      </w:r>
      <w:r>
        <w:rPr>
          <w:rFonts w:hint="eastAsia" w:asciiTheme="minorEastAsia" w:hAnsiTheme="minorEastAsia" w:eastAsiaTheme="minorEastAsia"/>
          <w:lang w:eastAsia="zh-CN"/>
        </w:rPr>
        <w:t>160m处最大噪声可降至45.93</w:t>
      </w:r>
      <w:r>
        <w:rPr>
          <w:rFonts w:asciiTheme="minorEastAsia" w:hAnsiTheme="minorEastAsia" w:eastAsiaTheme="minorEastAsia"/>
          <w:lang w:eastAsia="zh-CN"/>
        </w:rPr>
        <w:t>dB(A)。噪声随着施工的结束而结束，</w:t>
      </w:r>
      <w:r>
        <w:rPr>
          <w:rFonts w:hint="eastAsia" w:asciiTheme="minorEastAsia" w:hAnsiTheme="minorEastAsia" w:eastAsiaTheme="minorEastAsia"/>
          <w:lang w:eastAsia="zh-CN"/>
        </w:rPr>
        <w:t>另外</w:t>
      </w:r>
      <w:r>
        <w:rPr>
          <w:rFonts w:asciiTheme="minorEastAsia" w:hAnsiTheme="minorEastAsia" w:eastAsiaTheme="minorEastAsia"/>
          <w:lang w:eastAsia="zh-CN"/>
        </w:rPr>
        <w:t>工程建设区域位于草原地带，</w:t>
      </w:r>
      <w:r>
        <w:rPr>
          <w:rFonts w:hint="eastAsia" w:asciiTheme="minorEastAsia" w:hAnsiTheme="minorEastAsia" w:eastAsiaTheme="minorEastAsia"/>
          <w:lang w:eastAsia="zh-CN"/>
        </w:rPr>
        <w:t>采井</w:t>
      </w:r>
      <w:r>
        <w:rPr>
          <w:rFonts w:asciiTheme="minorEastAsia" w:hAnsiTheme="minorEastAsia" w:eastAsiaTheme="minorEastAsia"/>
          <w:lang w:eastAsia="zh-CN"/>
        </w:rPr>
        <w:t>施工区域200m范围内没有住户，因此施工噪声对周围环境的影响较小。</w:t>
      </w:r>
    </w:p>
    <w:p w14:paraId="0EFFAB16">
      <w:pPr>
        <w:pStyle w:val="4"/>
        <w:keepNext w:val="0"/>
        <w:keepLines w:val="0"/>
        <w:rPr>
          <w:lang w:eastAsia="zh-CN"/>
        </w:rPr>
      </w:pPr>
      <w:bookmarkStart w:id="404" w:name="_Toc338663570"/>
      <w:bookmarkStart w:id="405" w:name="_Toc408413993"/>
      <w:bookmarkStart w:id="406" w:name="_Toc279676710"/>
      <w:bookmarkStart w:id="407" w:name="_Toc280020109"/>
      <w:r>
        <w:rPr>
          <w:lang w:eastAsia="zh-CN"/>
        </w:rPr>
        <w:t>7.2.2 运行期噪声影响与评价</w:t>
      </w:r>
      <w:bookmarkEnd w:id="404"/>
      <w:bookmarkEnd w:id="405"/>
      <w:bookmarkEnd w:id="406"/>
      <w:bookmarkEnd w:id="407"/>
    </w:p>
    <w:p w14:paraId="3A9A9166">
      <w:pPr>
        <w:ind w:firstLine="480"/>
        <w:rPr>
          <w:rFonts w:asciiTheme="minorEastAsia" w:hAnsiTheme="minorEastAsia" w:eastAsiaTheme="minorEastAsia"/>
          <w:lang w:eastAsia="zh-CN"/>
        </w:rPr>
      </w:pPr>
      <w:r>
        <w:rPr>
          <w:rFonts w:asciiTheme="minorEastAsia" w:hAnsiTheme="minorEastAsia" w:eastAsiaTheme="minorEastAsia"/>
          <w:lang w:eastAsia="zh-CN"/>
        </w:rPr>
        <w:t>1</w:t>
      </w:r>
      <w:r>
        <w:rPr>
          <w:rFonts w:hint="eastAsia" w:asciiTheme="minorEastAsia" w:hAnsiTheme="minorEastAsia" w:eastAsiaTheme="minorEastAsia"/>
          <w:lang w:eastAsia="zh-CN"/>
        </w:rPr>
        <w:t>、</w:t>
      </w:r>
      <w:r>
        <w:rPr>
          <w:rFonts w:asciiTheme="minorEastAsia" w:hAnsiTheme="minorEastAsia" w:eastAsiaTheme="minorEastAsia"/>
          <w:lang w:eastAsia="zh-CN"/>
        </w:rPr>
        <w:t>预测模式</w:t>
      </w:r>
    </w:p>
    <w:p w14:paraId="420B58AA">
      <w:pPr>
        <w:ind w:firstLine="480"/>
        <w:rPr>
          <w:rFonts w:asciiTheme="minorEastAsia" w:hAnsiTheme="minorEastAsia" w:eastAsiaTheme="minorEastAsia"/>
          <w:lang w:eastAsia="zh-CN"/>
        </w:rPr>
      </w:pPr>
      <w:r>
        <w:rPr>
          <w:rFonts w:asciiTheme="minorEastAsia" w:hAnsiTheme="minorEastAsia" w:eastAsiaTheme="minorEastAsia"/>
          <w:lang w:eastAsia="zh-CN"/>
        </w:rPr>
        <w:t>（1）厂界噪声预测模式</w:t>
      </w:r>
    </w:p>
    <w:p w14:paraId="45EB7EF1">
      <w:pPr>
        <w:ind w:firstLine="480"/>
        <w:rPr>
          <w:rFonts w:asciiTheme="minorEastAsia" w:hAnsiTheme="minorEastAsia" w:eastAsiaTheme="minorEastAsia"/>
          <w:lang w:eastAsia="zh-CN"/>
        </w:rPr>
      </w:pPr>
      <w:r>
        <w:rPr>
          <w:rFonts w:asciiTheme="minorEastAsia" w:hAnsiTheme="minorEastAsia" w:eastAsiaTheme="minorEastAsia"/>
          <w:lang w:eastAsia="zh-CN"/>
        </w:rPr>
        <w:t>根据《环境影响评价技术导则 声环境》（HJ2.4-2009）推荐的公式：</w:t>
      </w:r>
    </w:p>
    <w:p w14:paraId="5815EEBF">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LA（r）=Laref（r0）</w:t>
      </w:r>
      <w:r>
        <w:rPr>
          <w:rFonts w:hint="eastAsia" w:asciiTheme="minorEastAsia" w:hAnsiTheme="minorEastAsia" w:eastAsiaTheme="minorEastAsia"/>
          <w:lang w:eastAsia="zh-CN"/>
        </w:rPr>
        <w:t>-</w:t>
      </w:r>
      <w:r>
        <w:rPr>
          <w:rFonts w:asciiTheme="minorEastAsia" w:hAnsiTheme="minorEastAsia" w:eastAsiaTheme="minorEastAsia"/>
          <w:lang w:eastAsia="zh-CN"/>
        </w:rPr>
        <w:t>（Adiv+Abar+Aabm+Aaxc）</w:t>
      </w:r>
    </w:p>
    <w:p w14:paraId="48D8282F">
      <w:pPr>
        <w:ind w:firstLine="480"/>
        <w:rPr>
          <w:rFonts w:asciiTheme="minorEastAsia" w:hAnsiTheme="minorEastAsia" w:eastAsiaTheme="minorEastAsia"/>
          <w:lang w:eastAsia="zh-CN"/>
        </w:rPr>
      </w:pPr>
      <w:r>
        <w:rPr>
          <w:rFonts w:asciiTheme="minorEastAsia" w:hAnsiTheme="minorEastAsia" w:eastAsiaTheme="minorEastAsia"/>
          <w:lang w:eastAsia="zh-CN"/>
        </w:rPr>
        <w:t>对单个点声源的几何衰减用以下公式计算：</w:t>
      </w:r>
    </w:p>
    <w:p w14:paraId="32053D68">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L（r）= L（r0）</w:t>
      </w:r>
      <w:r>
        <w:rPr>
          <w:rFonts w:hint="eastAsia" w:asciiTheme="minorEastAsia" w:hAnsiTheme="minorEastAsia" w:eastAsiaTheme="minorEastAsia"/>
          <w:lang w:eastAsia="zh-CN"/>
        </w:rPr>
        <w:t>-</w:t>
      </w:r>
      <w:r>
        <w:rPr>
          <w:rFonts w:asciiTheme="minorEastAsia" w:hAnsiTheme="minorEastAsia" w:eastAsiaTheme="minorEastAsia"/>
          <w:lang w:eastAsia="zh-CN"/>
        </w:rPr>
        <w:t>20lg（r/r0）</w:t>
      </w:r>
    </w:p>
    <w:p w14:paraId="5B57D31E">
      <w:pPr>
        <w:ind w:firstLine="480"/>
        <w:rPr>
          <w:rFonts w:asciiTheme="minorEastAsia" w:hAnsiTheme="minorEastAsia" w:eastAsiaTheme="minorEastAsia"/>
          <w:lang w:eastAsia="zh-CN"/>
        </w:rPr>
      </w:pPr>
      <w:r>
        <w:rPr>
          <w:rFonts w:asciiTheme="minorEastAsia" w:hAnsiTheme="minorEastAsia" w:eastAsiaTheme="minorEastAsia"/>
          <w:lang w:eastAsia="zh-CN"/>
        </w:rPr>
        <w:t>两个以上的多个噪声源同时存在时，总声级计算公式为：</w:t>
      </w:r>
    </w:p>
    <w:p w14:paraId="749A5B79">
      <w:pPr>
        <w:ind w:firstLine="480"/>
        <w:rPr>
          <w:rFonts w:asciiTheme="minorEastAsia" w:hAnsiTheme="minorEastAsia" w:eastAsiaTheme="minorEastAsia"/>
          <w:lang w:eastAsia="zh-CN"/>
        </w:rPr>
      </w:pPr>
      <w:r>
        <w:rPr>
          <w:rFonts w:asciiTheme="minorEastAsia" w:hAnsiTheme="minorEastAsia" w:eastAsiaTheme="minorEastAsia"/>
          <w:lang w:eastAsia="zh-CN"/>
        </w:rPr>
        <w:pict>
          <v:shape id="_x0000_s1302" o:spid="_x0000_s1302" o:spt="75" type="#_x0000_t75" style="position:absolute;left:0pt;margin-left:142.55pt;margin-top:5.85pt;height:36.3pt;width:105.7pt;z-index:251666432;mso-width-relative:page;mso-height-relative:page;" o:ole="t" filled="f" o:preferrelative="t" stroked="f" coordsize="21600,21600">
            <v:path/>
            <v:fill on="f" focussize="0,0"/>
            <v:stroke on="f" joinstyle="miter"/>
            <v:imagedata r:id="rId39" o:title=""/>
            <o:lock v:ext="edit" aspectratio="t"/>
          </v:shape>
          <o:OLEObject Type="Embed" ProgID="Equation.3" ShapeID="_x0000_s1302" DrawAspect="Content" ObjectID="_1468075727" r:id="rId38">
            <o:LockedField>false</o:LockedField>
          </o:OLEObject>
        </w:pict>
      </w:r>
    </w:p>
    <w:p w14:paraId="3852678D">
      <w:pPr>
        <w:ind w:firstLine="480"/>
        <w:rPr>
          <w:rFonts w:asciiTheme="minorEastAsia" w:hAnsiTheme="minorEastAsia" w:eastAsiaTheme="minorEastAsia"/>
          <w:lang w:eastAsia="zh-CN"/>
        </w:rPr>
      </w:pPr>
    </w:p>
    <w:p w14:paraId="00479C83">
      <w:pPr>
        <w:ind w:firstLine="480"/>
        <w:rPr>
          <w:rFonts w:asciiTheme="minorEastAsia" w:hAnsiTheme="minorEastAsia" w:eastAsiaTheme="minorEastAsia"/>
          <w:lang w:eastAsia="zh-CN"/>
        </w:rPr>
      </w:pPr>
      <w:r>
        <w:rPr>
          <w:rFonts w:asciiTheme="minorEastAsia" w:hAnsiTheme="minorEastAsia" w:eastAsiaTheme="minorEastAsia"/>
          <w:lang w:eastAsia="zh-CN"/>
        </w:rPr>
        <w:t>现状监测值与预测贡献值叠加的预测总声级计算公式为：</w:t>
      </w:r>
    </w:p>
    <w:p w14:paraId="59979770">
      <w:pPr>
        <w:ind w:firstLine="480"/>
        <w:rPr>
          <w:rFonts w:asciiTheme="minorEastAsia" w:hAnsiTheme="minorEastAsia" w:eastAsiaTheme="minorEastAsia"/>
          <w:lang w:eastAsia="zh-CN"/>
        </w:rPr>
      </w:pPr>
      <w:r>
        <w:rPr>
          <w:rFonts w:asciiTheme="minorEastAsia" w:hAnsiTheme="minorEastAsia" w:eastAsiaTheme="minorEastAsia"/>
          <w:lang w:eastAsia="zh-CN"/>
        </w:rPr>
        <w:pict>
          <v:shape id="_x0000_s1303" o:spid="_x0000_s1303" o:spt="75" type="#_x0000_t75" style="position:absolute;left:0pt;margin-left:142.55pt;margin-top:5.05pt;height:18pt;width:120pt;z-index:251667456;mso-width-relative:page;mso-height-relative:page;" o:ole="t" filled="f" o:preferrelative="t" stroked="f" coordsize="21600,21600">
            <v:path/>
            <v:fill on="f" focussize="0,0"/>
            <v:stroke on="f" joinstyle="miter"/>
            <v:imagedata r:id="rId41" o:title=""/>
            <o:lock v:ext="edit" aspectratio="t"/>
          </v:shape>
          <o:OLEObject Type="Embed" ProgID="Equation.3" ShapeID="_x0000_s1303" DrawAspect="Content" ObjectID="_1468075728" r:id="rId40">
            <o:LockedField>false</o:LockedField>
          </o:OLEObject>
        </w:pict>
      </w:r>
    </w:p>
    <w:p w14:paraId="49104E7E">
      <w:pPr>
        <w:ind w:firstLine="480"/>
        <w:rPr>
          <w:rFonts w:asciiTheme="minorEastAsia" w:hAnsiTheme="minorEastAsia" w:eastAsiaTheme="minorEastAsia"/>
          <w:lang w:eastAsia="zh-CN"/>
        </w:rPr>
      </w:pPr>
      <w:r>
        <w:rPr>
          <w:rFonts w:asciiTheme="minorEastAsia" w:hAnsiTheme="minorEastAsia" w:eastAsiaTheme="minorEastAsia"/>
          <w:lang w:eastAsia="zh-CN"/>
        </w:rPr>
        <w:t>以上式中：r ——预测点到声源的距离；</w:t>
      </w:r>
    </w:p>
    <w:p w14:paraId="21F9EFE6">
      <w:pPr>
        <w:ind w:firstLine="1560" w:firstLineChars="650"/>
        <w:rPr>
          <w:rFonts w:asciiTheme="minorEastAsia" w:hAnsiTheme="minorEastAsia" w:eastAsiaTheme="minorEastAsia"/>
          <w:lang w:eastAsia="zh-CN"/>
        </w:rPr>
      </w:pPr>
      <w:r>
        <w:rPr>
          <w:rFonts w:asciiTheme="minorEastAsia" w:hAnsiTheme="minorEastAsia" w:eastAsiaTheme="minorEastAsia"/>
          <w:lang w:eastAsia="zh-CN"/>
        </w:rPr>
        <w:t>Adiv ——距离衰减，dB；</w:t>
      </w:r>
    </w:p>
    <w:p w14:paraId="72441B55">
      <w:pPr>
        <w:ind w:firstLine="1440" w:firstLineChars="600"/>
        <w:rPr>
          <w:rFonts w:asciiTheme="minorEastAsia" w:hAnsiTheme="minorEastAsia" w:eastAsiaTheme="minorEastAsia"/>
          <w:lang w:eastAsia="zh-CN"/>
        </w:rPr>
      </w:pPr>
      <w:r>
        <w:rPr>
          <w:rFonts w:asciiTheme="minorEastAsia" w:hAnsiTheme="minorEastAsia" w:eastAsiaTheme="minorEastAsia"/>
          <w:lang w:eastAsia="zh-CN"/>
        </w:rPr>
        <w:t>Abar ——遮挡物衰减，dB；</w:t>
      </w:r>
    </w:p>
    <w:p w14:paraId="75BF033B">
      <w:pPr>
        <w:ind w:firstLine="1440" w:firstLineChars="600"/>
        <w:rPr>
          <w:rFonts w:asciiTheme="minorEastAsia" w:hAnsiTheme="minorEastAsia" w:eastAsiaTheme="minorEastAsia"/>
          <w:lang w:eastAsia="zh-CN"/>
        </w:rPr>
      </w:pPr>
      <w:r>
        <w:rPr>
          <w:rFonts w:asciiTheme="minorEastAsia" w:hAnsiTheme="minorEastAsia" w:eastAsiaTheme="minorEastAsia"/>
          <w:lang w:eastAsia="zh-CN"/>
        </w:rPr>
        <w:t>Aatm ——空气吸收衰减，dB；</w:t>
      </w:r>
    </w:p>
    <w:p w14:paraId="54C04FEA">
      <w:pPr>
        <w:ind w:firstLine="1440" w:firstLineChars="600"/>
        <w:rPr>
          <w:rFonts w:asciiTheme="minorEastAsia" w:hAnsiTheme="minorEastAsia" w:eastAsiaTheme="minorEastAsia"/>
          <w:lang w:eastAsia="zh-CN"/>
        </w:rPr>
      </w:pPr>
      <w:r>
        <w:rPr>
          <w:rFonts w:asciiTheme="minorEastAsia" w:hAnsiTheme="minorEastAsia" w:eastAsiaTheme="minorEastAsia"/>
          <w:lang w:eastAsia="zh-CN"/>
        </w:rPr>
        <w:t>Aaxc ——附加衰减，dB；</w:t>
      </w:r>
    </w:p>
    <w:p w14:paraId="3E74DD05">
      <w:pPr>
        <w:ind w:firstLine="1440" w:firstLineChars="600"/>
        <w:rPr>
          <w:rFonts w:asciiTheme="minorEastAsia" w:hAnsiTheme="minorEastAsia" w:eastAsiaTheme="minorEastAsia"/>
          <w:lang w:eastAsia="zh-CN"/>
        </w:rPr>
      </w:pPr>
      <w:r>
        <w:rPr>
          <w:rFonts w:asciiTheme="minorEastAsia" w:hAnsiTheme="minorEastAsia" w:eastAsiaTheme="minorEastAsia"/>
          <w:lang w:eastAsia="zh-CN"/>
        </w:rPr>
        <w:t>L（r）——声源衰减至r处的声压级，dB；</w:t>
      </w:r>
    </w:p>
    <w:p w14:paraId="574B7160">
      <w:pPr>
        <w:ind w:firstLine="1440" w:firstLineChars="600"/>
        <w:rPr>
          <w:rFonts w:asciiTheme="minorEastAsia" w:hAnsiTheme="minorEastAsia" w:eastAsiaTheme="minorEastAsia"/>
          <w:lang w:eastAsia="zh-CN"/>
        </w:rPr>
      </w:pPr>
      <w:r>
        <w:rPr>
          <w:rFonts w:asciiTheme="minorEastAsia" w:hAnsiTheme="minorEastAsia" w:eastAsiaTheme="minorEastAsia"/>
          <w:lang w:eastAsia="zh-CN"/>
        </w:rPr>
        <w:t>L（r0）——声源在参考距离r0处的</w:t>
      </w:r>
      <w:r>
        <w:rPr>
          <w:rFonts w:hint="eastAsia" w:asciiTheme="minorEastAsia" w:hAnsiTheme="minorEastAsia" w:eastAsiaTheme="minorEastAsia"/>
          <w:lang w:eastAsia="zh-CN"/>
        </w:rPr>
        <w:t>声</w:t>
      </w:r>
      <w:r>
        <w:rPr>
          <w:rFonts w:asciiTheme="minorEastAsia" w:hAnsiTheme="minorEastAsia" w:eastAsiaTheme="minorEastAsia"/>
          <w:lang w:eastAsia="zh-CN"/>
        </w:rPr>
        <w:t>压级；</w:t>
      </w:r>
    </w:p>
    <w:p w14:paraId="2537FA1A">
      <w:pPr>
        <w:ind w:firstLine="1440" w:firstLineChars="600"/>
        <w:rPr>
          <w:rFonts w:asciiTheme="minorEastAsia" w:hAnsiTheme="minorEastAsia" w:eastAsiaTheme="minorEastAsia"/>
          <w:lang w:eastAsia="zh-CN"/>
        </w:rPr>
      </w:pPr>
      <w:r>
        <w:rPr>
          <w:rFonts w:asciiTheme="minorEastAsia" w:hAnsiTheme="minorEastAsia" w:eastAsiaTheme="minorEastAsia"/>
          <w:lang w:eastAsia="zh-CN"/>
        </w:rPr>
        <w:t>r0——预测参考距离，m；</w:t>
      </w:r>
    </w:p>
    <w:p w14:paraId="06326685">
      <w:pPr>
        <w:ind w:firstLine="1440" w:firstLineChars="600"/>
        <w:rPr>
          <w:rFonts w:asciiTheme="minorEastAsia" w:hAnsiTheme="minorEastAsia" w:eastAsiaTheme="minorEastAsia"/>
          <w:lang w:eastAsia="zh-CN"/>
        </w:rPr>
      </w:pPr>
      <w:r>
        <w:rPr>
          <w:rFonts w:asciiTheme="minorEastAsia" w:hAnsiTheme="minorEastAsia" w:eastAsiaTheme="minorEastAsia"/>
          <w:lang w:eastAsia="zh-CN"/>
        </w:rPr>
        <w:t>L0——预测点的噪声现状值，dB。</w:t>
      </w:r>
    </w:p>
    <w:p w14:paraId="062BB25F">
      <w:pPr>
        <w:ind w:firstLine="480"/>
        <w:rPr>
          <w:rFonts w:asciiTheme="minorEastAsia" w:hAnsiTheme="minorEastAsia" w:eastAsiaTheme="minorEastAsia"/>
          <w:lang w:eastAsia="zh-CN"/>
        </w:rPr>
      </w:pPr>
      <w:r>
        <w:rPr>
          <w:rFonts w:asciiTheme="minorEastAsia" w:hAnsiTheme="minorEastAsia" w:eastAsiaTheme="minorEastAsia"/>
          <w:lang w:eastAsia="zh-CN"/>
        </w:rPr>
        <w:t>本次噪声预测计算从偏保守出发，只考虑声波随距离的衰减Adiv，以保证实际效果优于预测结果。</w:t>
      </w:r>
    </w:p>
    <w:p w14:paraId="184DCE91">
      <w:pPr>
        <w:ind w:firstLine="480"/>
        <w:rPr>
          <w:rFonts w:asciiTheme="minorEastAsia" w:hAnsiTheme="minorEastAsia" w:eastAsiaTheme="minorEastAsia"/>
          <w:lang w:eastAsia="zh-CN"/>
        </w:rPr>
      </w:pPr>
      <w:r>
        <w:rPr>
          <w:rFonts w:asciiTheme="minorEastAsia" w:hAnsiTheme="minorEastAsia" w:eastAsiaTheme="minorEastAsia"/>
          <w:lang w:eastAsia="zh-CN"/>
        </w:rPr>
        <w:t>2</w:t>
      </w:r>
      <w:r>
        <w:rPr>
          <w:rFonts w:hint="eastAsia" w:asciiTheme="minorEastAsia" w:hAnsiTheme="minorEastAsia" w:eastAsiaTheme="minorEastAsia"/>
          <w:lang w:eastAsia="zh-CN"/>
        </w:rPr>
        <w:t>、</w:t>
      </w:r>
      <w:r>
        <w:rPr>
          <w:rFonts w:asciiTheme="minorEastAsia" w:hAnsiTheme="minorEastAsia" w:eastAsiaTheme="minorEastAsia"/>
          <w:lang w:eastAsia="zh-CN"/>
        </w:rPr>
        <w:t>预测结果</w:t>
      </w:r>
    </w:p>
    <w:p w14:paraId="03F024E3">
      <w:pPr>
        <w:ind w:firstLine="480"/>
        <w:rPr>
          <w:rFonts w:asciiTheme="minorEastAsia" w:hAnsiTheme="minorEastAsia" w:eastAsiaTheme="minorEastAsia"/>
          <w:lang w:eastAsia="zh-CN"/>
        </w:rPr>
      </w:pPr>
      <w:r>
        <w:rPr>
          <w:rFonts w:asciiTheme="minorEastAsia" w:hAnsiTheme="minorEastAsia" w:eastAsiaTheme="minorEastAsia"/>
          <w:lang w:eastAsia="zh-CN"/>
        </w:rPr>
        <w:t>（1）生产设备噪声值预测</w:t>
      </w:r>
    </w:p>
    <w:p w14:paraId="4110A8F6">
      <w:pPr>
        <w:ind w:firstLine="480"/>
        <w:rPr>
          <w:rFonts w:asciiTheme="minorEastAsia" w:hAnsiTheme="minorEastAsia" w:eastAsiaTheme="minorEastAsia"/>
          <w:lang w:eastAsia="zh-CN"/>
        </w:rPr>
      </w:pPr>
      <w:r>
        <w:rPr>
          <w:rFonts w:asciiTheme="minorEastAsia" w:hAnsiTheme="minorEastAsia" w:eastAsiaTheme="minorEastAsia"/>
          <w:lang w:eastAsia="zh-CN"/>
        </w:rPr>
        <w:t>联合站内主要噪声源为</w:t>
      </w:r>
      <w:r>
        <w:rPr>
          <w:rFonts w:hint="eastAsia" w:asciiTheme="minorEastAsia" w:hAnsiTheme="minorEastAsia" w:eastAsiaTheme="minorEastAsia"/>
          <w:lang w:eastAsia="zh-CN"/>
        </w:rPr>
        <w:t>曝气风机、</w:t>
      </w:r>
      <w:r>
        <w:rPr>
          <w:rFonts w:asciiTheme="minorEastAsia" w:hAnsiTheme="minorEastAsia" w:eastAsiaTheme="minorEastAsia"/>
          <w:lang w:eastAsia="zh-CN"/>
        </w:rPr>
        <w:t>注水、掺水泵</w:t>
      </w:r>
      <w:r>
        <w:rPr>
          <w:rFonts w:hint="eastAsia" w:asciiTheme="minorEastAsia" w:hAnsiTheme="minorEastAsia" w:eastAsiaTheme="minorEastAsia"/>
          <w:lang w:eastAsia="zh-CN"/>
        </w:rPr>
        <w:t>等</w:t>
      </w:r>
      <w:r>
        <w:rPr>
          <w:rFonts w:asciiTheme="minorEastAsia" w:hAnsiTheme="minorEastAsia" w:eastAsiaTheme="minorEastAsia"/>
          <w:lang w:eastAsia="zh-CN"/>
        </w:rPr>
        <w:t>，</w:t>
      </w:r>
      <w:r>
        <w:rPr>
          <w:rFonts w:hint="eastAsia" w:asciiTheme="minorEastAsia" w:hAnsiTheme="minorEastAsia" w:eastAsiaTheme="minorEastAsia"/>
          <w:lang w:eastAsia="zh-CN"/>
        </w:rPr>
        <w:t>各类产噪声设备采取封闭、基础减振降噪、风机房和泵房</w:t>
      </w:r>
      <w:r>
        <w:rPr>
          <w:rFonts w:asciiTheme="minorEastAsia" w:hAnsiTheme="minorEastAsia" w:eastAsiaTheme="minorEastAsia"/>
          <w:lang w:eastAsia="zh-CN"/>
        </w:rPr>
        <w:t>设隔音材料</w:t>
      </w:r>
      <w:r>
        <w:rPr>
          <w:rFonts w:hint="eastAsia" w:asciiTheme="minorEastAsia" w:hAnsiTheme="minorEastAsia" w:eastAsiaTheme="minorEastAsia"/>
          <w:lang w:eastAsia="zh-CN"/>
        </w:rPr>
        <w:t>等措施，</w:t>
      </w:r>
      <w:r>
        <w:rPr>
          <w:rFonts w:asciiTheme="minorEastAsia" w:hAnsiTheme="minorEastAsia" w:eastAsiaTheme="minorEastAsia"/>
          <w:lang w:eastAsia="zh-CN"/>
        </w:rPr>
        <w:t>其降噪声10</w:t>
      </w:r>
      <w:r>
        <w:rPr>
          <w:rFonts w:hint="eastAsia" w:asciiTheme="minorEastAsia" w:hAnsiTheme="minorEastAsia" w:eastAsiaTheme="minorEastAsia"/>
          <w:lang w:eastAsia="zh-CN"/>
        </w:rPr>
        <w:t>～</w:t>
      </w:r>
      <w:r>
        <w:rPr>
          <w:rFonts w:asciiTheme="minorEastAsia" w:hAnsiTheme="minorEastAsia" w:eastAsiaTheme="minorEastAsia"/>
          <w:lang w:eastAsia="zh-CN"/>
        </w:rPr>
        <w:t>20dB（A）左右</w:t>
      </w:r>
      <w:r>
        <w:rPr>
          <w:rFonts w:hint="eastAsia" w:asciiTheme="minorEastAsia" w:hAnsiTheme="minorEastAsia" w:eastAsiaTheme="minorEastAsia"/>
          <w:lang w:eastAsia="zh-CN"/>
        </w:rPr>
        <w:t>。本项目运行期大部分依托现有的设备，本次改扩建工程在联合站内主要增加发电机房及加热炉，布置在联合站东侧，新增</w:t>
      </w:r>
      <w:r>
        <w:rPr>
          <w:rFonts w:asciiTheme="minorEastAsia" w:hAnsiTheme="minorEastAsia" w:eastAsiaTheme="minorEastAsia"/>
          <w:lang w:eastAsia="zh-CN"/>
        </w:rPr>
        <w:t>主要设备噪声源及声源特性表</w:t>
      </w:r>
      <w:r>
        <w:rPr>
          <w:rFonts w:hint="eastAsia" w:asciiTheme="minorEastAsia" w:hAnsiTheme="minorEastAsia" w:eastAsiaTheme="minorEastAsia"/>
          <w:lang w:eastAsia="zh-CN"/>
        </w:rPr>
        <w:t>见表7.2-1</w:t>
      </w:r>
      <w:r>
        <w:rPr>
          <w:rFonts w:asciiTheme="minorEastAsia" w:hAnsiTheme="minorEastAsia" w:eastAsiaTheme="minorEastAsia"/>
          <w:lang w:eastAsia="zh-CN"/>
        </w:rPr>
        <w:t>。利用预测模式计算出各设备噪声预测贡献值</w:t>
      </w:r>
      <w:r>
        <w:rPr>
          <w:rFonts w:hint="eastAsia" w:asciiTheme="minorEastAsia" w:hAnsiTheme="minorEastAsia" w:eastAsiaTheme="minorEastAsia"/>
          <w:lang w:eastAsia="zh-CN"/>
        </w:rPr>
        <w:t>，叠加现状值。联合站厂界</w:t>
      </w:r>
      <w:r>
        <w:rPr>
          <w:rFonts w:asciiTheme="minorEastAsia" w:hAnsiTheme="minorEastAsia" w:eastAsiaTheme="minorEastAsia"/>
          <w:lang w:eastAsia="zh-CN"/>
        </w:rPr>
        <w:t>噪声预测结果见</w:t>
      </w:r>
      <w:r>
        <w:rPr>
          <w:rFonts w:hint="eastAsia" w:asciiTheme="minorEastAsia" w:hAnsiTheme="minorEastAsia" w:eastAsiaTheme="minorEastAsia"/>
          <w:lang w:eastAsia="zh-CN"/>
        </w:rPr>
        <w:t>表7</w:t>
      </w:r>
      <w:r>
        <w:rPr>
          <w:rFonts w:asciiTheme="minorEastAsia" w:hAnsiTheme="minorEastAsia" w:eastAsiaTheme="minorEastAsia"/>
          <w:lang w:eastAsia="zh-CN"/>
        </w:rPr>
        <w:t>.</w:t>
      </w:r>
      <w:r>
        <w:rPr>
          <w:rFonts w:hint="eastAsia" w:asciiTheme="minorEastAsia" w:hAnsiTheme="minorEastAsia" w:eastAsiaTheme="minorEastAsia"/>
          <w:lang w:eastAsia="zh-CN"/>
        </w:rPr>
        <w:t>2</w:t>
      </w:r>
      <w:r>
        <w:rPr>
          <w:rFonts w:asciiTheme="minorEastAsia" w:hAnsiTheme="minorEastAsia" w:eastAsiaTheme="minorEastAsia"/>
          <w:lang w:eastAsia="zh-CN"/>
        </w:rPr>
        <w:t>-</w:t>
      </w:r>
      <w:r>
        <w:rPr>
          <w:rFonts w:hint="eastAsia" w:asciiTheme="minorEastAsia" w:hAnsiTheme="minorEastAsia" w:eastAsiaTheme="minorEastAsia"/>
          <w:lang w:eastAsia="zh-CN"/>
        </w:rPr>
        <w:t>2。</w:t>
      </w:r>
    </w:p>
    <w:p w14:paraId="6E9B527D">
      <w:pPr>
        <w:spacing w:line="240" w:lineRule="auto"/>
        <w:ind w:firstLine="472" w:firstLineChars="196"/>
        <w:rPr>
          <w:rFonts w:asciiTheme="minorEastAsia" w:hAnsiTheme="minorEastAsia" w:eastAsiaTheme="minorEastAsia"/>
          <w:lang w:eastAsia="zh-CN"/>
        </w:rPr>
      </w:pPr>
      <w:r>
        <w:rPr>
          <w:b/>
          <w:lang w:eastAsia="zh-CN"/>
        </w:rPr>
        <w:t>表</w:t>
      </w:r>
      <w:r>
        <w:rPr>
          <w:rFonts w:hint="eastAsia"/>
          <w:b/>
          <w:lang w:eastAsia="zh-CN"/>
        </w:rPr>
        <w:t>7</w:t>
      </w:r>
      <w:r>
        <w:rPr>
          <w:b/>
          <w:lang w:eastAsia="zh-CN"/>
        </w:rPr>
        <w:t>.</w:t>
      </w:r>
      <w:r>
        <w:rPr>
          <w:rFonts w:hint="eastAsia"/>
          <w:b/>
          <w:lang w:eastAsia="zh-CN"/>
        </w:rPr>
        <w:t>2</w:t>
      </w:r>
      <w:r>
        <w:rPr>
          <w:b/>
          <w:lang w:eastAsia="zh-CN"/>
        </w:rPr>
        <w:t>-</w:t>
      </w:r>
      <w:r>
        <w:rPr>
          <w:rFonts w:hint="eastAsia"/>
          <w:b/>
          <w:lang w:eastAsia="zh-CN"/>
        </w:rPr>
        <w:t>1</w:t>
      </w:r>
      <w:r>
        <w:rPr>
          <w:b/>
          <w:lang w:eastAsia="zh-CN"/>
        </w:rPr>
        <w:t xml:space="preserve">  </w:t>
      </w:r>
      <w:r>
        <w:rPr>
          <w:rFonts w:hint="eastAsia"/>
          <w:b/>
          <w:lang w:eastAsia="zh-CN"/>
        </w:rPr>
        <w:t xml:space="preserve">  建设项目新增噪声源特性表</w:t>
      </w:r>
      <w:r>
        <w:rPr>
          <w:b/>
          <w:lang w:eastAsia="zh-CN"/>
        </w:rPr>
        <w:t xml:space="preserve">  </w:t>
      </w:r>
      <w:r>
        <w:rPr>
          <w:rFonts w:hint="eastAsia"/>
          <w:b/>
          <w:lang w:eastAsia="zh-CN"/>
        </w:rPr>
        <w:t xml:space="preserve">   </w:t>
      </w:r>
      <w:r>
        <w:rPr>
          <w:b/>
          <w:lang w:eastAsia="zh-CN"/>
        </w:rPr>
        <w:t xml:space="preserve"> 单位：dB（A）</w:t>
      </w:r>
    </w:p>
    <w:tbl>
      <w:tblPr>
        <w:tblStyle w:val="76"/>
        <w:tblW w:w="5079" w:type="pct"/>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1"/>
        <w:gridCol w:w="1275"/>
        <w:gridCol w:w="1339"/>
        <w:gridCol w:w="1071"/>
        <w:gridCol w:w="1277"/>
        <w:gridCol w:w="567"/>
        <w:gridCol w:w="709"/>
        <w:gridCol w:w="710"/>
        <w:gridCol w:w="775"/>
      </w:tblGrid>
      <w:tr w14:paraId="7E6DCD94">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3" w:type="pct"/>
            <w:vMerge w:val="restart"/>
            <w:tcBorders>
              <w:left w:val="single" w:color="auto" w:sz="12" w:space="0"/>
            </w:tcBorders>
            <w:vAlign w:val="center"/>
          </w:tcPr>
          <w:p w14:paraId="17FE9C84">
            <w:pPr>
              <w:pStyle w:val="574"/>
              <w:spacing w:line="240" w:lineRule="auto"/>
              <w:rPr>
                <w:rFonts w:ascii="Times New Roman" w:hAnsi="Times New Roman"/>
                <w:sz w:val="21"/>
                <w:szCs w:val="21"/>
              </w:rPr>
            </w:pPr>
            <w:r>
              <w:rPr>
                <w:rFonts w:ascii="Times New Roman" w:hAnsi="Times New Roman"/>
                <w:sz w:val="21"/>
                <w:szCs w:val="21"/>
              </w:rPr>
              <w:t>噪声源</w:t>
            </w:r>
          </w:p>
        </w:tc>
        <w:tc>
          <w:tcPr>
            <w:tcW w:w="736" w:type="pct"/>
            <w:vMerge w:val="restart"/>
            <w:vAlign w:val="center"/>
          </w:tcPr>
          <w:p w14:paraId="246ADB8B">
            <w:pPr>
              <w:pStyle w:val="574"/>
              <w:spacing w:line="240" w:lineRule="auto"/>
              <w:rPr>
                <w:rFonts w:ascii="Times New Roman" w:hAnsi="Times New Roman"/>
                <w:sz w:val="21"/>
                <w:szCs w:val="21"/>
              </w:rPr>
            </w:pPr>
            <w:r>
              <w:rPr>
                <w:rFonts w:hint="eastAsia" w:ascii="Times New Roman" w:hAnsi="Times New Roman"/>
                <w:sz w:val="21"/>
                <w:szCs w:val="21"/>
              </w:rPr>
              <w:t>治理前噪声</w:t>
            </w:r>
          </w:p>
          <w:p w14:paraId="0660464F">
            <w:pPr>
              <w:pStyle w:val="574"/>
              <w:spacing w:line="240" w:lineRule="auto"/>
              <w:rPr>
                <w:rFonts w:ascii="Times New Roman" w:hAnsi="Times New Roman"/>
                <w:sz w:val="21"/>
                <w:szCs w:val="21"/>
              </w:rPr>
            </w:pPr>
            <w:r>
              <w:rPr>
                <w:rFonts w:ascii="Times New Roman" w:hAnsi="Times New Roman"/>
                <w:sz w:val="21"/>
                <w:szCs w:val="21"/>
              </w:rPr>
              <w:t>dB（A）</w:t>
            </w:r>
          </w:p>
        </w:tc>
        <w:tc>
          <w:tcPr>
            <w:tcW w:w="773" w:type="pct"/>
            <w:vMerge w:val="restart"/>
            <w:vAlign w:val="center"/>
          </w:tcPr>
          <w:p w14:paraId="1A4B2A2C">
            <w:pPr>
              <w:pStyle w:val="574"/>
              <w:spacing w:line="240" w:lineRule="auto"/>
              <w:rPr>
                <w:rFonts w:ascii="Times New Roman" w:hAnsi="Times New Roman"/>
                <w:sz w:val="21"/>
                <w:szCs w:val="21"/>
              </w:rPr>
            </w:pPr>
            <w:r>
              <w:rPr>
                <w:rFonts w:hint="eastAsia" w:ascii="Times New Roman" w:hAnsi="Times New Roman"/>
                <w:sz w:val="21"/>
                <w:szCs w:val="21"/>
              </w:rPr>
              <w:t>措施</w:t>
            </w:r>
          </w:p>
        </w:tc>
        <w:tc>
          <w:tcPr>
            <w:tcW w:w="618" w:type="pct"/>
            <w:vMerge w:val="restart"/>
            <w:vAlign w:val="center"/>
          </w:tcPr>
          <w:p w14:paraId="0C86D29D">
            <w:pPr>
              <w:pStyle w:val="574"/>
              <w:spacing w:line="240" w:lineRule="auto"/>
              <w:rPr>
                <w:rFonts w:ascii="Times New Roman" w:hAnsi="Times New Roman"/>
                <w:sz w:val="21"/>
                <w:szCs w:val="21"/>
              </w:rPr>
            </w:pPr>
            <w:r>
              <w:rPr>
                <w:rFonts w:hint="eastAsia" w:ascii="Times New Roman" w:hAnsi="Times New Roman"/>
                <w:sz w:val="21"/>
                <w:szCs w:val="21"/>
              </w:rPr>
              <w:t>治理后噪声</w:t>
            </w:r>
            <w:r>
              <w:rPr>
                <w:rFonts w:ascii="Times New Roman" w:hAnsi="Times New Roman"/>
                <w:sz w:val="21"/>
                <w:szCs w:val="21"/>
              </w:rPr>
              <w:t>dB（A）</w:t>
            </w:r>
          </w:p>
        </w:tc>
        <w:tc>
          <w:tcPr>
            <w:tcW w:w="737" w:type="pct"/>
            <w:vMerge w:val="restart"/>
            <w:vAlign w:val="center"/>
          </w:tcPr>
          <w:p w14:paraId="351BC039">
            <w:pPr>
              <w:pStyle w:val="574"/>
              <w:spacing w:line="240" w:lineRule="auto"/>
              <w:rPr>
                <w:rFonts w:ascii="Times New Roman" w:hAnsi="Times New Roman"/>
                <w:sz w:val="21"/>
                <w:szCs w:val="21"/>
              </w:rPr>
            </w:pPr>
            <w:r>
              <w:rPr>
                <w:rFonts w:ascii="Times New Roman" w:hAnsi="Times New Roman"/>
                <w:sz w:val="21"/>
                <w:szCs w:val="21"/>
              </w:rPr>
              <w:t>噪声值</w:t>
            </w:r>
          </w:p>
          <w:p w14:paraId="049C92C8">
            <w:pPr>
              <w:pStyle w:val="574"/>
              <w:spacing w:line="240" w:lineRule="auto"/>
              <w:rPr>
                <w:rFonts w:ascii="Times New Roman" w:hAnsi="Times New Roman"/>
                <w:sz w:val="21"/>
                <w:szCs w:val="21"/>
              </w:rPr>
            </w:pPr>
            <w:r>
              <w:rPr>
                <w:rFonts w:ascii="Times New Roman" w:hAnsi="Times New Roman"/>
                <w:sz w:val="21"/>
                <w:szCs w:val="21"/>
              </w:rPr>
              <w:t>dB（A）</w:t>
            </w:r>
          </w:p>
        </w:tc>
        <w:tc>
          <w:tcPr>
            <w:tcW w:w="1593" w:type="pct"/>
            <w:gridSpan w:val="4"/>
            <w:tcBorders>
              <w:right w:val="single" w:color="auto" w:sz="12" w:space="0"/>
            </w:tcBorders>
            <w:vAlign w:val="center"/>
          </w:tcPr>
          <w:p w14:paraId="4A210989">
            <w:pPr>
              <w:pStyle w:val="574"/>
              <w:spacing w:line="240" w:lineRule="auto"/>
              <w:rPr>
                <w:rFonts w:ascii="Times New Roman" w:hAnsi="Times New Roman"/>
                <w:sz w:val="21"/>
                <w:szCs w:val="21"/>
              </w:rPr>
            </w:pPr>
            <w:r>
              <w:rPr>
                <w:rFonts w:ascii="Times New Roman" w:hAnsi="Times New Roman"/>
                <w:sz w:val="21"/>
                <w:szCs w:val="21"/>
              </w:rPr>
              <w:t>距</w:t>
            </w:r>
            <w:r>
              <w:rPr>
                <w:rFonts w:hint="eastAsia" w:ascii="Times New Roman" w:hAnsi="Times New Roman"/>
                <w:sz w:val="21"/>
                <w:szCs w:val="21"/>
              </w:rPr>
              <w:t>厂界</w:t>
            </w:r>
            <w:r>
              <w:rPr>
                <w:rFonts w:ascii="Times New Roman" w:hAnsi="Times New Roman"/>
                <w:sz w:val="21"/>
                <w:szCs w:val="21"/>
              </w:rPr>
              <w:t>各预测点（m）</w:t>
            </w:r>
          </w:p>
        </w:tc>
      </w:tr>
      <w:tr w14:paraId="2D26B27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3" w:type="pct"/>
            <w:vMerge w:val="continue"/>
            <w:tcBorders>
              <w:left w:val="single" w:color="auto" w:sz="12" w:space="0"/>
            </w:tcBorders>
            <w:vAlign w:val="center"/>
          </w:tcPr>
          <w:p w14:paraId="59B27211">
            <w:pPr>
              <w:pStyle w:val="574"/>
              <w:spacing w:line="240" w:lineRule="auto"/>
              <w:rPr>
                <w:rFonts w:ascii="Times New Roman" w:hAnsi="Times New Roman"/>
                <w:sz w:val="21"/>
                <w:szCs w:val="21"/>
              </w:rPr>
            </w:pPr>
          </w:p>
        </w:tc>
        <w:tc>
          <w:tcPr>
            <w:tcW w:w="736" w:type="pct"/>
            <w:vMerge w:val="continue"/>
            <w:vAlign w:val="center"/>
          </w:tcPr>
          <w:p w14:paraId="69F9A391">
            <w:pPr>
              <w:pStyle w:val="574"/>
              <w:spacing w:line="240" w:lineRule="auto"/>
              <w:rPr>
                <w:rFonts w:ascii="Times New Roman" w:hAnsi="Times New Roman"/>
                <w:sz w:val="21"/>
                <w:szCs w:val="21"/>
              </w:rPr>
            </w:pPr>
          </w:p>
        </w:tc>
        <w:tc>
          <w:tcPr>
            <w:tcW w:w="773" w:type="pct"/>
            <w:vMerge w:val="continue"/>
            <w:vAlign w:val="center"/>
          </w:tcPr>
          <w:p w14:paraId="78F7489E">
            <w:pPr>
              <w:pStyle w:val="574"/>
              <w:spacing w:line="240" w:lineRule="auto"/>
              <w:rPr>
                <w:rFonts w:ascii="Times New Roman" w:hAnsi="Times New Roman"/>
                <w:sz w:val="21"/>
                <w:szCs w:val="21"/>
              </w:rPr>
            </w:pPr>
          </w:p>
        </w:tc>
        <w:tc>
          <w:tcPr>
            <w:tcW w:w="618" w:type="pct"/>
            <w:vMerge w:val="continue"/>
            <w:vAlign w:val="center"/>
          </w:tcPr>
          <w:p w14:paraId="362E5856">
            <w:pPr>
              <w:pStyle w:val="574"/>
              <w:spacing w:line="240" w:lineRule="auto"/>
              <w:rPr>
                <w:rFonts w:ascii="Times New Roman" w:hAnsi="Times New Roman"/>
                <w:sz w:val="21"/>
                <w:szCs w:val="21"/>
              </w:rPr>
            </w:pPr>
          </w:p>
        </w:tc>
        <w:tc>
          <w:tcPr>
            <w:tcW w:w="737" w:type="pct"/>
            <w:vMerge w:val="continue"/>
            <w:vAlign w:val="center"/>
          </w:tcPr>
          <w:p w14:paraId="315DD2E9">
            <w:pPr>
              <w:pStyle w:val="574"/>
              <w:spacing w:line="240" w:lineRule="auto"/>
              <w:rPr>
                <w:rFonts w:ascii="Times New Roman" w:hAnsi="Times New Roman"/>
                <w:sz w:val="21"/>
                <w:szCs w:val="21"/>
              </w:rPr>
            </w:pPr>
          </w:p>
        </w:tc>
        <w:tc>
          <w:tcPr>
            <w:tcW w:w="327" w:type="pct"/>
            <w:vAlign w:val="center"/>
          </w:tcPr>
          <w:p w14:paraId="230FE1FC">
            <w:pPr>
              <w:pStyle w:val="574"/>
              <w:spacing w:line="240" w:lineRule="auto"/>
              <w:rPr>
                <w:rFonts w:ascii="Times New Roman" w:hAnsi="Times New Roman"/>
                <w:sz w:val="21"/>
                <w:szCs w:val="21"/>
              </w:rPr>
            </w:pPr>
            <w:r>
              <w:rPr>
                <w:rFonts w:ascii="Times New Roman" w:hAnsi="Times New Roman"/>
                <w:sz w:val="21"/>
                <w:szCs w:val="21"/>
              </w:rPr>
              <w:t>东</w:t>
            </w:r>
          </w:p>
        </w:tc>
        <w:tc>
          <w:tcPr>
            <w:tcW w:w="409" w:type="pct"/>
            <w:vAlign w:val="center"/>
          </w:tcPr>
          <w:p w14:paraId="7C05139C">
            <w:pPr>
              <w:pStyle w:val="574"/>
              <w:spacing w:line="240" w:lineRule="auto"/>
              <w:rPr>
                <w:rFonts w:ascii="Times New Roman" w:hAnsi="Times New Roman"/>
                <w:sz w:val="21"/>
                <w:szCs w:val="21"/>
              </w:rPr>
            </w:pPr>
            <w:r>
              <w:rPr>
                <w:rFonts w:ascii="Times New Roman" w:hAnsi="Times New Roman"/>
                <w:sz w:val="21"/>
                <w:szCs w:val="21"/>
              </w:rPr>
              <w:t>南</w:t>
            </w:r>
          </w:p>
        </w:tc>
        <w:tc>
          <w:tcPr>
            <w:tcW w:w="410" w:type="pct"/>
            <w:vAlign w:val="center"/>
          </w:tcPr>
          <w:p w14:paraId="4BD9223F">
            <w:pPr>
              <w:pStyle w:val="574"/>
              <w:spacing w:line="240" w:lineRule="auto"/>
              <w:rPr>
                <w:rFonts w:ascii="Times New Roman" w:hAnsi="Times New Roman"/>
                <w:sz w:val="21"/>
                <w:szCs w:val="21"/>
              </w:rPr>
            </w:pPr>
            <w:r>
              <w:rPr>
                <w:rFonts w:ascii="Times New Roman" w:hAnsi="Times New Roman"/>
                <w:sz w:val="21"/>
                <w:szCs w:val="21"/>
              </w:rPr>
              <w:t>西</w:t>
            </w:r>
          </w:p>
        </w:tc>
        <w:tc>
          <w:tcPr>
            <w:tcW w:w="448" w:type="pct"/>
            <w:tcBorders>
              <w:right w:val="single" w:color="auto" w:sz="12" w:space="0"/>
            </w:tcBorders>
            <w:vAlign w:val="center"/>
          </w:tcPr>
          <w:p w14:paraId="7E9E2E59">
            <w:pPr>
              <w:pStyle w:val="574"/>
              <w:spacing w:line="240" w:lineRule="auto"/>
              <w:rPr>
                <w:rFonts w:ascii="Times New Roman" w:hAnsi="Times New Roman"/>
                <w:sz w:val="21"/>
                <w:szCs w:val="21"/>
              </w:rPr>
            </w:pPr>
            <w:r>
              <w:rPr>
                <w:rFonts w:ascii="Times New Roman" w:hAnsi="Times New Roman"/>
                <w:sz w:val="21"/>
                <w:szCs w:val="21"/>
              </w:rPr>
              <w:t>北</w:t>
            </w:r>
          </w:p>
        </w:tc>
      </w:tr>
      <w:tr w14:paraId="59DDAB52">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3" w:type="pct"/>
            <w:tcBorders>
              <w:left w:val="single" w:color="auto" w:sz="12" w:space="0"/>
            </w:tcBorders>
            <w:vAlign w:val="center"/>
          </w:tcPr>
          <w:p w14:paraId="2748A9C6">
            <w:pPr>
              <w:pStyle w:val="574"/>
              <w:spacing w:line="240" w:lineRule="auto"/>
              <w:rPr>
                <w:rFonts w:ascii="Times New Roman" w:hAnsi="Times New Roman"/>
                <w:sz w:val="21"/>
                <w:szCs w:val="21"/>
              </w:rPr>
            </w:pPr>
            <w:r>
              <w:rPr>
                <w:rFonts w:hint="eastAsia" w:ascii="Times New Roman" w:hAnsi="Times New Roman"/>
                <w:sz w:val="21"/>
                <w:szCs w:val="21"/>
              </w:rPr>
              <w:t>新增发电机组</w:t>
            </w:r>
          </w:p>
        </w:tc>
        <w:tc>
          <w:tcPr>
            <w:tcW w:w="736" w:type="pct"/>
            <w:vAlign w:val="center"/>
          </w:tcPr>
          <w:p w14:paraId="2ECF7653">
            <w:pPr>
              <w:pStyle w:val="574"/>
              <w:spacing w:line="240" w:lineRule="auto"/>
              <w:rPr>
                <w:rFonts w:ascii="Times New Roman" w:hAnsi="Times New Roman"/>
                <w:sz w:val="21"/>
                <w:szCs w:val="21"/>
              </w:rPr>
            </w:pPr>
            <w:r>
              <w:rPr>
                <w:rFonts w:hint="eastAsia" w:ascii="Times New Roman" w:hAnsi="Times New Roman"/>
                <w:sz w:val="21"/>
                <w:szCs w:val="21"/>
              </w:rPr>
              <w:t>101</w:t>
            </w:r>
          </w:p>
        </w:tc>
        <w:tc>
          <w:tcPr>
            <w:tcW w:w="773" w:type="pct"/>
            <w:vAlign w:val="center"/>
          </w:tcPr>
          <w:p w14:paraId="0870AA18">
            <w:pPr>
              <w:pStyle w:val="574"/>
              <w:spacing w:line="240" w:lineRule="auto"/>
              <w:rPr>
                <w:rFonts w:ascii="Times New Roman" w:hAnsi="Times New Roman"/>
                <w:sz w:val="21"/>
                <w:szCs w:val="21"/>
              </w:rPr>
            </w:pPr>
            <w:r>
              <w:rPr>
                <w:rFonts w:ascii="Times New Roman" w:hAnsi="Times New Roman"/>
                <w:sz w:val="21"/>
                <w:szCs w:val="21"/>
              </w:rPr>
              <w:t>基础减振、</w:t>
            </w:r>
          </w:p>
          <w:p w14:paraId="2B411E20">
            <w:pPr>
              <w:pStyle w:val="574"/>
              <w:spacing w:line="240" w:lineRule="auto"/>
              <w:rPr>
                <w:rFonts w:ascii="Times New Roman" w:hAnsi="Times New Roman"/>
                <w:sz w:val="21"/>
                <w:szCs w:val="21"/>
              </w:rPr>
            </w:pPr>
            <w:r>
              <w:rPr>
                <w:rFonts w:ascii="Times New Roman" w:hAnsi="Times New Roman"/>
                <w:sz w:val="21"/>
                <w:szCs w:val="21"/>
              </w:rPr>
              <w:t>隔声、</w:t>
            </w:r>
          </w:p>
          <w:p w14:paraId="2A06233F">
            <w:pPr>
              <w:pStyle w:val="574"/>
              <w:spacing w:line="240" w:lineRule="auto"/>
              <w:rPr>
                <w:rFonts w:ascii="Times New Roman" w:hAnsi="Times New Roman"/>
                <w:sz w:val="21"/>
                <w:szCs w:val="21"/>
              </w:rPr>
            </w:pPr>
            <w:r>
              <w:rPr>
                <w:rFonts w:ascii="Times New Roman" w:hAnsi="Times New Roman"/>
                <w:sz w:val="21"/>
                <w:szCs w:val="21"/>
              </w:rPr>
              <w:t>室内屏蔽</w:t>
            </w:r>
          </w:p>
        </w:tc>
        <w:tc>
          <w:tcPr>
            <w:tcW w:w="618" w:type="pct"/>
            <w:vAlign w:val="center"/>
          </w:tcPr>
          <w:p w14:paraId="17845274">
            <w:pPr>
              <w:pStyle w:val="574"/>
              <w:spacing w:line="240" w:lineRule="auto"/>
              <w:rPr>
                <w:rFonts w:ascii="Times New Roman" w:hAnsi="Times New Roman"/>
                <w:sz w:val="21"/>
                <w:szCs w:val="21"/>
              </w:rPr>
            </w:pPr>
            <w:r>
              <w:rPr>
                <w:rFonts w:hint="eastAsia" w:ascii="Times New Roman" w:hAnsi="Times New Roman"/>
                <w:sz w:val="21"/>
                <w:szCs w:val="21"/>
              </w:rPr>
              <w:t>86</w:t>
            </w:r>
          </w:p>
        </w:tc>
        <w:tc>
          <w:tcPr>
            <w:tcW w:w="737" w:type="pct"/>
            <w:vMerge w:val="restart"/>
            <w:vAlign w:val="center"/>
          </w:tcPr>
          <w:p w14:paraId="0ADD8DD6">
            <w:pPr>
              <w:pStyle w:val="574"/>
              <w:spacing w:line="240" w:lineRule="auto"/>
              <w:rPr>
                <w:rFonts w:ascii="Times New Roman" w:hAnsi="Times New Roman"/>
                <w:sz w:val="21"/>
                <w:szCs w:val="21"/>
              </w:rPr>
            </w:pPr>
            <w:r>
              <w:rPr>
                <w:rFonts w:hint="eastAsia" w:ascii="Times New Roman" w:hAnsi="Times New Roman"/>
                <w:sz w:val="21"/>
                <w:szCs w:val="21"/>
              </w:rPr>
              <w:t>叠加后为88</w:t>
            </w:r>
          </w:p>
        </w:tc>
        <w:tc>
          <w:tcPr>
            <w:tcW w:w="327" w:type="pct"/>
            <w:vAlign w:val="center"/>
          </w:tcPr>
          <w:p w14:paraId="28711143">
            <w:pPr>
              <w:pStyle w:val="574"/>
              <w:spacing w:line="240" w:lineRule="auto"/>
              <w:rPr>
                <w:rFonts w:ascii="Times New Roman" w:hAnsi="Times New Roman"/>
                <w:sz w:val="21"/>
                <w:szCs w:val="21"/>
              </w:rPr>
            </w:pPr>
            <w:r>
              <w:rPr>
                <w:rFonts w:hint="eastAsia" w:ascii="Times New Roman" w:hAnsi="Times New Roman"/>
                <w:sz w:val="21"/>
                <w:szCs w:val="21"/>
              </w:rPr>
              <w:t>30</w:t>
            </w:r>
          </w:p>
        </w:tc>
        <w:tc>
          <w:tcPr>
            <w:tcW w:w="409" w:type="pct"/>
            <w:vAlign w:val="center"/>
          </w:tcPr>
          <w:p w14:paraId="64D8C0A9">
            <w:pPr>
              <w:pStyle w:val="574"/>
              <w:spacing w:line="240" w:lineRule="auto"/>
              <w:rPr>
                <w:rFonts w:ascii="Times New Roman" w:hAnsi="Times New Roman"/>
                <w:sz w:val="21"/>
                <w:szCs w:val="21"/>
              </w:rPr>
            </w:pPr>
            <w:r>
              <w:rPr>
                <w:rFonts w:hint="eastAsia" w:ascii="Times New Roman" w:hAnsi="Times New Roman"/>
                <w:sz w:val="21"/>
                <w:szCs w:val="21"/>
              </w:rPr>
              <w:t>150</w:t>
            </w:r>
          </w:p>
        </w:tc>
        <w:tc>
          <w:tcPr>
            <w:tcW w:w="410" w:type="pct"/>
            <w:vAlign w:val="center"/>
          </w:tcPr>
          <w:p w14:paraId="3615EC4D">
            <w:pPr>
              <w:pStyle w:val="574"/>
              <w:spacing w:line="240" w:lineRule="auto"/>
              <w:rPr>
                <w:rFonts w:ascii="Times New Roman" w:hAnsi="Times New Roman"/>
                <w:sz w:val="21"/>
                <w:szCs w:val="21"/>
              </w:rPr>
            </w:pPr>
            <w:r>
              <w:rPr>
                <w:rFonts w:hint="eastAsia" w:ascii="Times New Roman" w:hAnsi="Times New Roman"/>
                <w:sz w:val="21"/>
                <w:szCs w:val="21"/>
              </w:rPr>
              <w:t>175</w:t>
            </w:r>
          </w:p>
        </w:tc>
        <w:tc>
          <w:tcPr>
            <w:tcW w:w="448" w:type="pct"/>
            <w:tcBorders>
              <w:right w:val="single" w:color="auto" w:sz="12" w:space="0"/>
            </w:tcBorders>
            <w:vAlign w:val="center"/>
          </w:tcPr>
          <w:p w14:paraId="7C6856A3">
            <w:pPr>
              <w:pStyle w:val="574"/>
              <w:spacing w:line="240" w:lineRule="auto"/>
              <w:rPr>
                <w:rFonts w:ascii="Times New Roman" w:hAnsi="Times New Roman"/>
                <w:sz w:val="21"/>
                <w:szCs w:val="21"/>
              </w:rPr>
            </w:pPr>
            <w:r>
              <w:rPr>
                <w:rFonts w:hint="eastAsia" w:ascii="Times New Roman" w:hAnsi="Times New Roman"/>
                <w:sz w:val="21"/>
                <w:szCs w:val="21"/>
              </w:rPr>
              <w:t>90</w:t>
            </w:r>
          </w:p>
        </w:tc>
      </w:tr>
      <w:tr w14:paraId="0BF0C39E">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43" w:type="pct"/>
            <w:tcBorders>
              <w:left w:val="single" w:color="auto" w:sz="12" w:space="0"/>
            </w:tcBorders>
            <w:vAlign w:val="center"/>
          </w:tcPr>
          <w:p w14:paraId="252AEA5C">
            <w:pPr>
              <w:pStyle w:val="574"/>
              <w:spacing w:line="240" w:lineRule="auto"/>
              <w:rPr>
                <w:rFonts w:ascii="Times New Roman" w:hAnsi="Times New Roman"/>
                <w:sz w:val="21"/>
                <w:szCs w:val="21"/>
              </w:rPr>
            </w:pPr>
            <w:r>
              <w:rPr>
                <w:rFonts w:hint="eastAsia" w:ascii="Times New Roman" w:hAnsi="Times New Roman"/>
                <w:sz w:val="21"/>
                <w:szCs w:val="21"/>
              </w:rPr>
              <w:t>新增加热锅炉</w:t>
            </w:r>
          </w:p>
        </w:tc>
        <w:tc>
          <w:tcPr>
            <w:tcW w:w="736" w:type="pct"/>
            <w:vAlign w:val="center"/>
          </w:tcPr>
          <w:p w14:paraId="161E4868">
            <w:pPr>
              <w:pStyle w:val="574"/>
              <w:spacing w:line="240" w:lineRule="auto"/>
              <w:rPr>
                <w:rFonts w:ascii="Times New Roman" w:hAnsi="Times New Roman"/>
                <w:sz w:val="21"/>
                <w:szCs w:val="21"/>
              </w:rPr>
            </w:pPr>
            <w:r>
              <w:rPr>
                <w:rFonts w:hint="eastAsia" w:ascii="Times New Roman" w:hAnsi="Times New Roman"/>
                <w:sz w:val="21"/>
                <w:szCs w:val="21"/>
              </w:rPr>
              <w:t>100</w:t>
            </w:r>
          </w:p>
        </w:tc>
        <w:tc>
          <w:tcPr>
            <w:tcW w:w="773" w:type="pct"/>
            <w:vAlign w:val="center"/>
          </w:tcPr>
          <w:p w14:paraId="22A4693C">
            <w:pPr>
              <w:pStyle w:val="574"/>
              <w:spacing w:line="240" w:lineRule="auto"/>
              <w:rPr>
                <w:rFonts w:ascii="Times New Roman" w:hAnsi="Times New Roman"/>
                <w:sz w:val="21"/>
                <w:szCs w:val="21"/>
              </w:rPr>
            </w:pPr>
            <w:r>
              <w:rPr>
                <w:rFonts w:ascii="Times New Roman" w:hAnsi="Times New Roman"/>
                <w:sz w:val="21"/>
                <w:szCs w:val="21"/>
              </w:rPr>
              <w:t>基础减振、</w:t>
            </w:r>
          </w:p>
          <w:p w14:paraId="7D6D478E">
            <w:pPr>
              <w:pStyle w:val="574"/>
              <w:spacing w:line="240" w:lineRule="auto"/>
              <w:rPr>
                <w:rFonts w:ascii="Times New Roman" w:hAnsi="Times New Roman"/>
                <w:sz w:val="21"/>
                <w:szCs w:val="21"/>
              </w:rPr>
            </w:pPr>
            <w:r>
              <w:rPr>
                <w:rFonts w:ascii="Times New Roman" w:hAnsi="Times New Roman"/>
                <w:sz w:val="21"/>
                <w:szCs w:val="21"/>
              </w:rPr>
              <w:t>隔声、</w:t>
            </w:r>
          </w:p>
          <w:p w14:paraId="04646300">
            <w:pPr>
              <w:pStyle w:val="574"/>
              <w:spacing w:line="240" w:lineRule="auto"/>
              <w:rPr>
                <w:rFonts w:ascii="Times New Roman" w:hAnsi="Times New Roman"/>
                <w:sz w:val="21"/>
                <w:szCs w:val="21"/>
              </w:rPr>
            </w:pPr>
            <w:r>
              <w:rPr>
                <w:rFonts w:ascii="Times New Roman" w:hAnsi="Times New Roman"/>
                <w:sz w:val="21"/>
                <w:szCs w:val="21"/>
              </w:rPr>
              <w:t>室内屏蔽</w:t>
            </w:r>
          </w:p>
        </w:tc>
        <w:tc>
          <w:tcPr>
            <w:tcW w:w="618" w:type="pct"/>
            <w:vAlign w:val="center"/>
          </w:tcPr>
          <w:p w14:paraId="055704B4">
            <w:pPr>
              <w:pStyle w:val="574"/>
              <w:spacing w:line="240" w:lineRule="auto"/>
              <w:rPr>
                <w:rFonts w:ascii="Times New Roman" w:hAnsi="Times New Roman"/>
                <w:sz w:val="21"/>
                <w:szCs w:val="21"/>
              </w:rPr>
            </w:pPr>
            <w:r>
              <w:rPr>
                <w:rFonts w:hint="eastAsia" w:ascii="Times New Roman" w:hAnsi="Times New Roman"/>
                <w:sz w:val="21"/>
                <w:szCs w:val="21"/>
              </w:rPr>
              <w:t>85</w:t>
            </w:r>
          </w:p>
        </w:tc>
        <w:tc>
          <w:tcPr>
            <w:tcW w:w="737" w:type="pct"/>
            <w:vMerge w:val="continue"/>
            <w:vAlign w:val="center"/>
          </w:tcPr>
          <w:p w14:paraId="4E043220">
            <w:pPr>
              <w:pStyle w:val="574"/>
              <w:spacing w:line="240" w:lineRule="auto"/>
              <w:rPr>
                <w:rFonts w:ascii="Times New Roman" w:hAnsi="Times New Roman"/>
                <w:sz w:val="21"/>
                <w:szCs w:val="21"/>
              </w:rPr>
            </w:pPr>
          </w:p>
        </w:tc>
        <w:tc>
          <w:tcPr>
            <w:tcW w:w="327" w:type="pct"/>
            <w:vAlign w:val="center"/>
          </w:tcPr>
          <w:p w14:paraId="277691A7">
            <w:pPr>
              <w:pStyle w:val="574"/>
              <w:spacing w:line="240" w:lineRule="auto"/>
              <w:rPr>
                <w:rFonts w:ascii="Times New Roman" w:hAnsi="Times New Roman"/>
                <w:sz w:val="21"/>
                <w:szCs w:val="21"/>
              </w:rPr>
            </w:pPr>
            <w:r>
              <w:rPr>
                <w:rFonts w:hint="eastAsia" w:ascii="Times New Roman" w:hAnsi="Times New Roman"/>
                <w:sz w:val="21"/>
                <w:szCs w:val="21"/>
              </w:rPr>
              <w:t>30</w:t>
            </w:r>
          </w:p>
        </w:tc>
        <w:tc>
          <w:tcPr>
            <w:tcW w:w="409" w:type="pct"/>
            <w:vAlign w:val="center"/>
          </w:tcPr>
          <w:p w14:paraId="4CEA348A">
            <w:pPr>
              <w:pStyle w:val="574"/>
              <w:spacing w:line="240" w:lineRule="auto"/>
              <w:rPr>
                <w:rFonts w:ascii="Times New Roman" w:hAnsi="Times New Roman"/>
                <w:sz w:val="21"/>
                <w:szCs w:val="21"/>
              </w:rPr>
            </w:pPr>
            <w:r>
              <w:rPr>
                <w:rFonts w:hint="eastAsia" w:ascii="Times New Roman" w:hAnsi="Times New Roman"/>
                <w:sz w:val="21"/>
                <w:szCs w:val="21"/>
              </w:rPr>
              <w:t>165</w:t>
            </w:r>
          </w:p>
        </w:tc>
        <w:tc>
          <w:tcPr>
            <w:tcW w:w="410" w:type="pct"/>
            <w:vAlign w:val="center"/>
          </w:tcPr>
          <w:p w14:paraId="101C831C">
            <w:pPr>
              <w:pStyle w:val="574"/>
              <w:spacing w:line="240" w:lineRule="auto"/>
              <w:rPr>
                <w:rFonts w:ascii="Times New Roman" w:hAnsi="Times New Roman"/>
                <w:sz w:val="21"/>
                <w:szCs w:val="21"/>
              </w:rPr>
            </w:pPr>
            <w:r>
              <w:rPr>
                <w:rFonts w:hint="eastAsia" w:ascii="Times New Roman" w:hAnsi="Times New Roman"/>
                <w:sz w:val="21"/>
                <w:szCs w:val="21"/>
              </w:rPr>
              <w:t>170</w:t>
            </w:r>
          </w:p>
        </w:tc>
        <w:tc>
          <w:tcPr>
            <w:tcW w:w="448" w:type="pct"/>
            <w:tcBorders>
              <w:right w:val="single" w:color="auto" w:sz="12" w:space="0"/>
            </w:tcBorders>
            <w:vAlign w:val="center"/>
          </w:tcPr>
          <w:p w14:paraId="273E1CB3">
            <w:pPr>
              <w:pStyle w:val="574"/>
              <w:spacing w:line="240" w:lineRule="auto"/>
              <w:rPr>
                <w:rFonts w:ascii="Times New Roman" w:hAnsi="Times New Roman"/>
                <w:sz w:val="21"/>
                <w:szCs w:val="21"/>
              </w:rPr>
            </w:pPr>
            <w:r>
              <w:rPr>
                <w:rFonts w:hint="eastAsia" w:ascii="Times New Roman" w:hAnsi="Times New Roman"/>
                <w:sz w:val="21"/>
                <w:szCs w:val="21"/>
              </w:rPr>
              <w:t>75</w:t>
            </w:r>
          </w:p>
        </w:tc>
      </w:tr>
    </w:tbl>
    <w:p w14:paraId="67E0D9DC">
      <w:pPr>
        <w:spacing w:beforeLines="50" w:line="480" w:lineRule="exact"/>
        <w:ind w:firstLine="482"/>
        <w:rPr>
          <w:b/>
          <w:lang w:eastAsia="zh-CN"/>
        </w:rPr>
      </w:pPr>
      <w:r>
        <w:rPr>
          <w:b/>
          <w:lang w:eastAsia="zh-CN"/>
        </w:rPr>
        <w:t>表</w:t>
      </w:r>
      <w:r>
        <w:rPr>
          <w:rFonts w:hint="eastAsia"/>
          <w:b/>
          <w:lang w:eastAsia="zh-CN"/>
        </w:rPr>
        <w:t>7</w:t>
      </w:r>
      <w:r>
        <w:rPr>
          <w:b/>
          <w:lang w:eastAsia="zh-CN"/>
        </w:rPr>
        <w:t>.</w:t>
      </w:r>
      <w:r>
        <w:rPr>
          <w:rFonts w:hint="eastAsia"/>
          <w:b/>
          <w:lang w:eastAsia="zh-CN"/>
        </w:rPr>
        <w:t>2</w:t>
      </w:r>
      <w:r>
        <w:rPr>
          <w:b/>
          <w:lang w:eastAsia="zh-CN"/>
        </w:rPr>
        <w:t>-</w:t>
      </w:r>
      <w:r>
        <w:rPr>
          <w:rFonts w:hint="eastAsia"/>
          <w:b/>
          <w:lang w:eastAsia="zh-CN"/>
        </w:rPr>
        <w:t>2</w:t>
      </w:r>
      <w:r>
        <w:rPr>
          <w:b/>
          <w:lang w:eastAsia="zh-CN"/>
        </w:rPr>
        <w:t xml:space="preserve">  </w:t>
      </w:r>
      <w:r>
        <w:rPr>
          <w:rFonts w:hint="eastAsia"/>
          <w:b/>
          <w:lang w:eastAsia="zh-CN"/>
        </w:rPr>
        <w:t xml:space="preserve">     联合站 </w:t>
      </w:r>
      <w:r>
        <w:rPr>
          <w:b/>
          <w:lang w:eastAsia="zh-CN"/>
        </w:rPr>
        <w:t>厂界噪声预测结果    单位：dB（A）</w:t>
      </w:r>
    </w:p>
    <w:tbl>
      <w:tblPr>
        <w:tblStyle w:val="76"/>
        <w:tblW w:w="5132" w:type="pct"/>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2"/>
        <w:gridCol w:w="616"/>
        <w:gridCol w:w="924"/>
        <w:gridCol w:w="991"/>
        <w:gridCol w:w="993"/>
        <w:gridCol w:w="849"/>
        <w:gridCol w:w="849"/>
        <w:gridCol w:w="849"/>
        <w:gridCol w:w="851"/>
        <w:gridCol w:w="850"/>
      </w:tblGrid>
      <w:tr w14:paraId="10D09356">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3" w:type="pct"/>
            <w:gridSpan w:val="2"/>
            <w:vMerge w:val="restart"/>
            <w:tcBorders>
              <w:left w:val="single" w:color="auto" w:sz="12" w:space="0"/>
            </w:tcBorders>
            <w:vAlign w:val="center"/>
          </w:tcPr>
          <w:p w14:paraId="5E39F659">
            <w:pPr>
              <w:pStyle w:val="574"/>
              <w:spacing w:line="240" w:lineRule="auto"/>
              <w:ind w:firstLine="420"/>
              <w:rPr>
                <w:rFonts w:ascii="Times New Roman" w:hAnsi="Times New Roman"/>
                <w:sz w:val="21"/>
                <w:szCs w:val="21"/>
              </w:rPr>
            </w:pPr>
            <w:r>
              <w:rPr>
                <w:rFonts w:hint="eastAsia" w:ascii="Times New Roman" w:hAnsi="Times New Roman"/>
                <w:sz w:val="21"/>
                <w:szCs w:val="21"/>
              </w:rPr>
              <w:t>预</w:t>
            </w:r>
            <w:r>
              <w:rPr>
                <w:rFonts w:ascii="Times New Roman" w:hAnsi="Times New Roman"/>
                <w:sz w:val="21"/>
                <w:szCs w:val="21"/>
              </w:rPr>
              <w:t>测点位</w:t>
            </w:r>
          </w:p>
        </w:tc>
        <w:tc>
          <w:tcPr>
            <w:tcW w:w="2146" w:type="pct"/>
            <w:gridSpan w:val="4"/>
            <w:vAlign w:val="center"/>
          </w:tcPr>
          <w:p w14:paraId="1E02EB1C">
            <w:pPr>
              <w:pStyle w:val="574"/>
              <w:spacing w:line="240" w:lineRule="auto"/>
              <w:rPr>
                <w:rFonts w:ascii="Times New Roman" w:hAnsi="Times New Roman"/>
                <w:sz w:val="21"/>
                <w:szCs w:val="21"/>
              </w:rPr>
            </w:pPr>
            <w:r>
              <w:rPr>
                <w:rFonts w:ascii="Times New Roman" w:hAnsi="Times New Roman"/>
                <w:sz w:val="21"/>
                <w:szCs w:val="21"/>
              </w:rPr>
              <w:t>昼  间</w:t>
            </w:r>
          </w:p>
        </w:tc>
        <w:tc>
          <w:tcPr>
            <w:tcW w:w="1941" w:type="pct"/>
            <w:gridSpan w:val="4"/>
            <w:tcBorders>
              <w:right w:val="single" w:color="auto" w:sz="12" w:space="0"/>
            </w:tcBorders>
            <w:vAlign w:val="center"/>
          </w:tcPr>
          <w:p w14:paraId="281B9FD1">
            <w:pPr>
              <w:pStyle w:val="574"/>
              <w:spacing w:line="240" w:lineRule="auto"/>
              <w:rPr>
                <w:rFonts w:ascii="Times New Roman" w:hAnsi="Times New Roman"/>
                <w:sz w:val="21"/>
                <w:szCs w:val="21"/>
              </w:rPr>
            </w:pPr>
            <w:r>
              <w:rPr>
                <w:rFonts w:ascii="Times New Roman" w:hAnsi="Times New Roman"/>
                <w:sz w:val="21"/>
                <w:szCs w:val="21"/>
              </w:rPr>
              <w:t>夜  间</w:t>
            </w:r>
          </w:p>
        </w:tc>
      </w:tr>
      <w:tr w14:paraId="06F77006">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3" w:type="pct"/>
            <w:gridSpan w:val="2"/>
            <w:vMerge w:val="continue"/>
            <w:tcBorders>
              <w:left w:val="single" w:color="auto" w:sz="12" w:space="0"/>
            </w:tcBorders>
            <w:vAlign w:val="center"/>
          </w:tcPr>
          <w:p w14:paraId="114AA766">
            <w:pPr>
              <w:pStyle w:val="574"/>
              <w:spacing w:line="240" w:lineRule="auto"/>
              <w:rPr>
                <w:rFonts w:ascii="Times New Roman" w:hAnsi="Times New Roman"/>
                <w:sz w:val="21"/>
                <w:szCs w:val="21"/>
              </w:rPr>
            </w:pPr>
          </w:p>
        </w:tc>
        <w:tc>
          <w:tcPr>
            <w:tcW w:w="528" w:type="pct"/>
            <w:vAlign w:val="center"/>
          </w:tcPr>
          <w:p w14:paraId="0A41BE1D">
            <w:pPr>
              <w:pStyle w:val="574"/>
              <w:spacing w:line="240" w:lineRule="auto"/>
              <w:rPr>
                <w:rFonts w:ascii="Times New Roman" w:hAnsi="Times New Roman"/>
                <w:sz w:val="21"/>
                <w:szCs w:val="21"/>
              </w:rPr>
            </w:pPr>
            <w:r>
              <w:rPr>
                <w:rFonts w:ascii="Times New Roman" w:hAnsi="Times New Roman"/>
                <w:sz w:val="21"/>
                <w:szCs w:val="21"/>
              </w:rPr>
              <w:t>背景值</w:t>
            </w:r>
          </w:p>
        </w:tc>
        <w:tc>
          <w:tcPr>
            <w:tcW w:w="566" w:type="pct"/>
            <w:vAlign w:val="center"/>
          </w:tcPr>
          <w:p w14:paraId="08D4981B">
            <w:pPr>
              <w:pStyle w:val="574"/>
              <w:spacing w:line="240" w:lineRule="auto"/>
              <w:rPr>
                <w:rFonts w:ascii="Times New Roman" w:hAnsi="Times New Roman"/>
                <w:sz w:val="21"/>
                <w:szCs w:val="21"/>
              </w:rPr>
            </w:pPr>
            <w:r>
              <w:rPr>
                <w:rFonts w:hint="eastAsia" w:ascii="Times New Roman" w:hAnsi="Times New Roman"/>
                <w:sz w:val="21"/>
                <w:szCs w:val="21"/>
              </w:rPr>
              <w:t>贡献</w:t>
            </w:r>
            <w:r>
              <w:rPr>
                <w:rFonts w:ascii="Times New Roman" w:hAnsi="Times New Roman"/>
                <w:sz w:val="21"/>
                <w:szCs w:val="21"/>
              </w:rPr>
              <w:t>值</w:t>
            </w:r>
          </w:p>
        </w:tc>
        <w:tc>
          <w:tcPr>
            <w:tcW w:w="567" w:type="pct"/>
            <w:vAlign w:val="center"/>
          </w:tcPr>
          <w:p w14:paraId="74E6F676">
            <w:pPr>
              <w:pStyle w:val="574"/>
              <w:spacing w:line="240" w:lineRule="auto"/>
              <w:rPr>
                <w:rFonts w:ascii="Times New Roman" w:hAnsi="Times New Roman"/>
                <w:sz w:val="21"/>
                <w:szCs w:val="21"/>
              </w:rPr>
            </w:pPr>
            <w:r>
              <w:rPr>
                <w:rFonts w:ascii="Times New Roman" w:hAnsi="Times New Roman"/>
                <w:sz w:val="21"/>
                <w:szCs w:val="21"/>
              </w:rPr>
              <w:t>叠加值</w:t>
            </w:r>
          </w:p>
        </w:tc>
        <w:tc>
          <w:tcPr>
            <w:tcW w:w="485" w:type="pct"/>
            <w:vAlign w:val="center"/>
          </w:tcPr>
          <w:p w14:paraId="37DDDD24">
            <w:pPr>
              <w:pStyle w:val="574"/>
              <w:spacing w:line="240" w:lineRule="auto"/>
              <w:rPr>
                <w:rFonts w:ascii="Times New Roman" w:hAnsi="Times New Roman"/>
                <w:sz w:val="21"/>
                <w:szCs w:val="21"/>
              </w:rPr>
            </w:pPr>
            <w:r>
              <w:rPr>
                <w:rFonts w:ascii="Times New Roman" w:hAnsi="Times New Roman"/>
                <w:sz w:val="21"/>
                <w:szCs w:val="21"/>
              </w:rPr>
              <w:t>标准</w:t>
            </w:r>
            <w:r>
              <w:rPr>
                <w:rFonts w:hint="eastAsia" w:ascii="Times New Roman" w:hAnsi="Times New Roman"/>
                <w:sz w:val="21"/>
                <w:szCs w:val="21"/>
              </w:rPr>
              <w:t>值</w:t>
            </w:r>
          </w:p>
        </w:tc>
        <w:tc>
          <w:tcPr>
            <w:tcW w:w="485" w:type="pct"/>
            <w:vAlign w:val="center"/>
          </w:tcPr>
          <w:p w14:paraId="3893E488">
            <w:pPr>
              <w:pStyle w:val="574"/>
              <w:spacing w:line="240" w:lineRule="auto"/>
              <w:rPr>
                <w:rFonts w:ascii="Times New Roman" w:hAnsi="Times New Roman"/>
                <w:sz w:val="21"/>
                <w:szCs w:val="21"/>
              </w:rPr>
            </w:pPr>
            <w:r>
              <w:rPr>
                <w:rFonts w:ascii="Times New Roman" w:hAnsi="Times New Roman"/>
                <w:sz w:val="21"/>
                <w:szCs w:val="21"/>
              </w:rPr>
              <w:t>背景值</w:t>
            </w:r>
          </w:p>
        </w:tc>
        <w:tc>
          <w:tcPr>
            <w:tcW w:w="485" w:type="pct"/>
            <w:vAlign w:val="center"/>
          </w:tcPr>
          <w:p w14:paraId="225E3F7C">
            <w:pPr>
              <w:pStyle w:val="574"/>
              <w:spacing w:line="240" w:lineRule="auto"/>
              <w:rPr>
                <w:rFonts w:ascii="Times New Roman" w:hAnsi="Times New Roman"/>
                <w:sz w:val="21"/>
                <w:szCs w:val="21"/>
              </w:rPr>
            </w:pPr>
            <w:r>
              <w:rPr>
                <w:rFonts w:hint="eastAsia" w:ascii="Times New Roman" w:hAnsi="Times New Roman"/>
                <w:sz w:val="21"/>
                <w:szCs w:val="21"/>
              </w:rPr>
              <w:t>贡献</w:t>
            </w:r>
            <w:r>
              <w:rPr>
                <w:rFonts w:ascii="Times New Roman" w:hAnsi="Times New Roman"/>
                <w:sz w:val="21"/>
                <w:szCs w:val="21"/>
              </w:rPr>
              <w:t>值</w:t>
            </w:r>
          </w:p>
        </w:tc>
        <w:tc>
          <w:tcPr>
            <w:tcW w:w="486" w:type="pct"/>
            <w:vAlign w:val="center"/>
          </w:tcPr>
          <w:p w14:paraId="1E870DDA">
            <w:pPr>
              <w:pStyle w:val="574"/>
              <w:spacing w:line="240" w:lineRule="auto"/>
              <w:rPr>
                <w:rFonts w:ascii="Times New Roman" w:hAnsi="Times New Roman"/>
                <w:sz w:val="21"/>
                <w:szCs w:val="21"/>
              </w:rPr>
            </w:pPr>
            <w:r>
              <w:rPr>
                <w:rFonts w:ascii="Times New Roman" w:hAnsi="Times New Roman"/>
                <w:sz w:val="21"/>
                <w:szCs w:val="21"/>
              </w:rPr>
              <w:t>叠加值</w:t>
            </w:r>
          </w:p>
        </w:tc>
        <w:tc>
          <w:tcPr>
            <w:tcW w:w="485" w:type="pct"/>
            <w:tcBorders>
              <w:right w:val="single" w:color="auto" w:sz="12" w:space="0"/>
            </w:tcBorders>
            <w:vAlign w:val="center"/>
          </w:tcPr>
          <w:p w14:paraId="0ED948E6">
            <w:pPr>
              <w:pStyle w:val="574"/>
              <w:spacing w:line="240" w:lineRule="auto"/>
              <w:rPr>
                <w:rFonts w:ascii="Times New Roman" w:hAnsi="Times New Roman"/>
                <w:sz w:val="21"/>
                <w:szCs w:val="21"/>
              </w:rPr>
            </w:pPr>
            <w:r>
              <w:rPr>
                <w:rFonts w:ascii="Times New Roman" w:hAnsi="Times New Roman"/>
                <w:sz w:val="21"/>
                <w:szCs w:val="21"/>
              </w:rPr>
              <w:t>标准</w:t>
            </w:r>
            <w:r>
              <w:rPr>
                <w:rFonts w:hint="eastAsia" w:ascii="Times New Roman" w:hAnsi="Times New Roman"/>
                <w:sz w:val="21"/>
                <w:szCs w:val="21"/>
              </w:rPr>
              <w:t>值</w:t>
            </w:r>
          </w:p>
        </w:tc>
      </w:tr>
      <w:tr w14:paraId="28193265">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1" w:type="pct"/>
            <w:tcBorders>
              <w:left w:val="single" w:color="auto" w:sz="12" w:space="0"/>
            </w:tcBorders>
            <w:vAlign w:val="center"/>
          </w:tcPr>
          <w:p w14:paraId="5A27A68B">
            <w:pPr>
              <w:pStyle w:val="574"/>
              <w:spacing w:line="240" w:lineRule="auto"/>
              <w:rPr>
                <w:rFonts w:ascii="Times New Roman" w:hAnsi="Times New Roman"/>
                <w:sz w:val="21"/>
                <w:szCs w:val="21"/>
              </w:rPr>
            </w:pPr>
            <w:r>
              <w:rPr>
                <w:rFonts w:ascii="Times New Roman" w:hAnsi="Times New Roman"/>
                <w:sz w:val="21"/>
                <w:szCs w:val="21"/>
              </w:rPr>
              <w:t>厂界</w:t>
            </w:r>
            <w:r>
              <w:rPr>
                <w:rFonts w:hint="eastAsia" w:ascii="Times New Roman" w:hAnsi="Times New Roman"/>
                <w:sz w:val="21"/>
                <w:szCs w:val="21"/>
              </w:rPr>
              <w:t>东</w:t>
            </w:r>
          </w:p>
        </w:tc>
        <w:tc>
          <w:tcPr>
            <w:tcW w:w="352" w:type="pct"/>
            <w:vAlign w:val="center"/>
          </w:tcPr>
          <w:p w14:paraId="0A3D32CC">
            <w:pPr>
              <w:pStyle w:val="576"/>
              <w:spacing w:line="240" w:lineRule="auto"/>
              <w:rPr>
                <w:rFonts w:ascii="Times New Roman" w:hAnsi="Times New Roman"/>
                <w:szCs w:val="21"/>
              </w:rPr>
            </w:pPr>
            <w:r>
              <w:rPr>
                <w:rFonts w:ascii="Times New Roman" w:hAnsi="Times New Roman"/>
                <w:szCs w:val="21"/>
              </w:rPr>
              <w:t>1#</w:t>
            </w:r>
          </w:p>
        </w:tc>
        <w:tc>
          <w:tcPr>
            <w:tcW w:w="528" w:type="pct"/>
            <w:vAlign w:val="center"/>
          </w:tcPr>
          <w:p w14:paraId="579570AB">
            <w:pPr>
              <w:pStyle w:val="574"/>
              <w:spacing w:line="240" w:lineRule="auto"/>
              <w:rPr>
                <w:rFonts w:ascii="Times New Roman" w:hAnsi="Times New Roman"/>
                <w:sz w:val="21"/>
                <w:szCs w:val="21"/>
              </w:rPr>
            </w:pPr>
            <w:r>
              <w:rPr>
                <w:rFonts w:hint="eastAsia" w:ascii="Times New Roman" w:hAnsi="Times New Roman"/>
                <w:sz w:val="21"/>
                <w:szCs w:val="21"/>
              </w:rPr>
              <w:t>52.0</w:t>
            </w:r>
          </w:p>
        </w:tc>
        <w:tc>
          <w:tcPr>
            <w:tcW w:w="566" w:type="pct"/>
            <w:vAlign w:val="center"/>
          </w:tcPr>
          <w:p w14:paraId="050511FF">
            <w:pPr>
              <w:pStyle w:val="576"/>
              <w:spacing w:line="240" w:lineRule="auto"/>
              <w:rPr>
                <w:rFonts w:ascii="Times New Roman" w:hAnsi="Times New Roman"/>
                <w:szCs w:val="21"/>
              </w:rPr>
            </w:pPr>
            <w:r>
              <w:rPr>
                <w:rFonts w:hint="eastAsia" w:ascii="Times New Roman" w:hAnsi="Times New Roman"/>
                <w:szCs w:val="21"/>
              </w:rPr>
              <w:t>47.0</w:t>
            </w:r>
          </w:p>
        </w:tc>
        <w:tc>
          <w:tcPr>
            <w:tcW w:w="567" w:type="pct"/>
            <w:vAlign w:val="center"/>
          </w:tcPr>
          <w:p w14:paraId="4AF33B16">
            <w:pPr>
              <w:pStyle w:val="576"/>
              <w:spacing w:line="240" w:lineRule="auto"/>
              <w:rPr>
                <w:rFonts w:ascii="Times New Roman" w:hAnsi="Times New Roman"/>
                <w:szCs w:val="21"/>
              </w:rPr>
            </w:pPr>
            <w:r>
              <w:rPr>
                <w:rFonts w:hint="eastAsia" w:ascii="Times New Roman" w:hAnsi="Times New Roman"/>
                <w:szCs w:val="21"/>
              </w:rPr>
              <w:t>53.2</w:t>
            </w:r>
          </w:p>
        </w:tc>
        <w:tc>
          <w:tcPr>
            <w:tcW w:w="485" w:type="pct"/>
            <w:vMerge w:val="restart"/>
            <w:vAlign w:val="center"/>
          </w:tcPr>
          <w:p w14:paraId="679E8293">
            <w:pPr>
              <w:pStyle w:val="576"/>
              <w:spacing w:line="240" w:lineRule="auto"/>
              <w:rPr>
                <w:rFonts w:ascii="Times New Roman" w:hAnsi="Times New Roman"/>
                <w:szCs w:val="21"/>
              </w:rPr>
            </w:pPr>
            <w:r>
              <w:rPr>
                <w:rFonts w:ascii="Times New Roman" w:hAnsi="Times New Roman"/>
                <w:szCs w:val="21"/>
              </w:rPr>
              <w:t>6</w:t>
            </w:r>
            <w:r>
              <w:rPr>
                <w:rFonts w:hint="eastAsia" w:ascii="Times New Roman" w:hAnsi="Times New Roman"/>
                <w:szCs w:val="21"/>
              </w:rPr>
              <w:t>0</w:t>
            </w:r>
          </w:p>
        </w:tc>
        <w:tc>
          <w:tcPr>
            <w:tcW w:w="485" w:type="pct"/>
            <w:vAlign w:val="center"/>
          </w:tcPr>
          <w:p w14:paraId="4170216C">
            <w:pPr>
              <w:pStyle w:val="576"/>
              <w:spacing w:line="240" w:lineRule="auto"/>
              <w:rPr>
                <w:rFonts w:ascii="Times New Roman" w:hAnsi="Times New Roman"/>
                <w:szCs w:val="21"/>
              </w:rPr>
            </w:pPr>
            <w:r>
              <w:rPr>
                <w:rFonts w:hint="eastAsia" w:ascii="Times New Roman" w:hAnsi="Times New Roman"/>
                <w:szCs w:val="21"/>
              </w:rPr>
              <w:t>41.8</w:t>
            </w:r>
          </w:p>
        </w:tc>
        <w:tc>
          <w:tcPr>
            <w:tcW w:w="485" w:type="pct"/>
            <w:vAlign w:val="center"/>
          </w:tcPr>
          <w:p w14:paraId="20C0D267">
            <w:pPr>
              <w:pStyle w:val="576"/>
              <w:spacing w:line="240" w:lineRule="auto"/>
              <w:rPr>
                <w:rFonts w:ascii="Times New Roman" w:hAnsi="Times New Roman"/>
                <w:szCs w:val="21"/>
              </w:rPr>
            </w:pPr>
            <w:r>
              <w:rPr>
                <w:rFonts w:hint="eastAsia" w:ascii="Times New Roman" w:hAnsi="Times New Roman"/>
                <w:szCs w:val="21"/>
              </w:rPr>
              <w:t>47.0</w:t>
            </w:r>
          </w:p>
        </w:tc>
        <w:tc>
          <w:tcPr>
            <w:tcW w:w="486" w:type="pct"/>
            <w:vAlign w:val="center"/>
          </w:tcPr>
          <w:p w14:paraId="64C90128">
            <w:pPr>
              <w:pStyle w:val="576"/>
              <w:spacing w:line="240" w:lineRule="auto"/>
              <w:rPr>
                <w:rFonts w:ascii="Times New Roman" w:hAnsi="Times New Roman"/>
                <w:szCs w:val="21"/>
              </w:rPr>
            </w:pPr>
            <w:r>
              <w:rPr>
                <w:rFonts w:hint="eastAsia" w:ascii="Times New Roman" w:hAnsi="Times New Roman"/>
                <w:szCs w:val="21"/>
              </w:rPr>
              <w:t>48.1</w:t>
            </w:r>
          </w:p>
        </w:tc>
        <w:tc>
          <w:tcPr>
            <w:tcW w:w="485" w:type="pct"/>
            <w:vMerge w:val="restart"/>
            <w:tcBorders>
              <w:right w:val="single" w:color="auto" w:sz="12" w:space="0"/>
            </w:tcBorders>
            <w:vAlign w:val="center"/>
          </w:tcPr>
          <w:p w14:paraId="2A6C9FB0">
            <w:pPr>
              <w:pStyle w:val="576"/>
              <w:spacing w:line="240" w:lineRule="auto"/>
              <w:rPr>
                <w:rFonts w:ascii="Times New Roman" w:hAnsi="Times New Roman"/>
              </w:rPr>
            </w:pPr>
            <w:r>
              <w:rPr>
                <w:rFonts w:hint="eastAsia" w:ascii="Times New Roman" w:hAnsi="Times New Roman"/>
              </w:rPr>
              <w:t>50</w:t>
            </w:r>
          </w:p>
        </w:tc>
      </w:tr>
      <w:tr w14:paraId="196CD4BF">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1" w:type="pct"/>
            <w:tcBorders>
              <w:left w:val="single" w:color="auto" w:sz="12" w:space="0"/>
            </w:tcBorders>
            <w:vAlign w:val="center"/>
          </w:tcPr>
          <w:p w14:paraId="67E3C41B">
            <w:pPr>
              <w:pStyle w:val="574"/>
              <w:spacing w:line="240" w:lineRule="auto"/>
              <w:rPr>
                <w:rFonts w:ascii="Times New Roman" w:hAnsi="Times New Roman"/>
                <w:sz w:val="21"/>
                <w:szCs w:val="21"/>
              </w:rPr>
            </w:pPr>
            <w:r>
              <w:rPr>
                <w:rFonts w:ascii="Times New Roman" w:hAnsi="Times New Roman"/>
                <w:sz w:val="21"/>
                <w:szCs w:val="21"/>
              </w:rPr>
              <w:t>厂界</w:t>
            </w:r>
            <w:r>
              <w:rPr>
                <w:rFonts w:hint="eastAsia" w:ascii="Times New Roman" w:hAnsi="Times New Roman"/>
                <w:sz w:val="21"/>
                <w:szCs w:val="21"/>
              </w:rPr>
              <w:t>南</w:t>
            </w:r>
          </w:p>
        </w:tc>
        <w:tc>
          <w:tcPr>
            <w:tcW w:w="352" w:type="pct"/>
            <w:vAlign w:val="center"/>
          </w:tcPr>
          <w:p w14:paraId="49DAC042">
            <w:pPr>
              <w:pStyle w:val="574"/>
              <w:spacing w:line="240" w:lineRule="auto"/>
              <w:rPr>
                <w:rFonts w:ascii="Times New Roman" w:hAnsi="Times New Roman"/>
                <w:sz w:val="21"/>
                <w:szCs w:val="21"/>
              </w:rPr>
            </w:pPr>
            <w:r>
              <w:rPr>
                <w:rFonts w:ascii="Times New Roman" w:hAnsi="Times New Roman"/>
                <w:sz w:val="21"/>
                <w:szCs w:val="21"/>
              </w:rPr>
              <w:t>2#</w:t>
            </w:r>
          </w:p>
        </w:tc>
        <w:tc>
          <w:tcPr>
            <w:tcW w:w="528" w:type="pct"/>
            <w:vAlign w:val="center"/>
          </w:tcPr>
          <w:p w14:paraId="31883E25">
            <w:pPr>
              <w:pStyle w:val="574"/>
              <w:spacing w:line="240" w:lineRule="auto"/>
              <w:rPr>
                <w:rFonts w:ascii="Times New Roman" w:hAnsi="Times New Roman"/>
                <w:sz w:val="21"/>
                <w:szCs w:val="21"/>
              </w:rPr>
            </w:pPr>
            <w:r>
              <w:rPr>
                <w:rFonts w:hint="eastAsia" w:ascii="Times New Roman" w:hAnsi="Times New Roman"/>
                <w:sz w:val="21"/>
                <w:szCs w:val="21"/>
              </w:rPr>
              <w:t>51.1</w:t>
            </w:r>
          </w:p>
        </w:tc>
        <w:tc>
          <w:tcPr>
            <w:tcW w:w="566" w:type="pct"/>
            <w:vAlign w:val="center"/>
          </w:tcPr>
          <w:p w14:paraId="6B8142A1">
            <w:pPr>
              <w:pStyle w:val="574"/>
              <w:spacing w:line="240" w:lineRule="auto"/>
              <w:rPr>
                <w:rFonts w:ascii="Times New Roman" w:hAnsi="Times New Roman"/>
                <w:sz w:val="21"/>
                <w:szCs w:val="21"/>
              </w:rPr>
            </w:pPr>
            <w:r>
              <w:rPr>
                <w:rFonts w:hint="eastAsia" w:ascii="Times New Roman" w:hAnsi="Times New Roman"/>
                <w:sz w:val="21"/>
                <w:szCs w:val="21"/>
              </w:rPr>
              <w:t>44.0</w:t>
            </w:r>
          </w:p>
        </w:tc>
        <w:tc>
          <w:tcPr>
            <w:tcW w:w="567" w:type="pct"/>
            <w:vAlign w:val="center"/>
          </w:tcPr>
          <w:p w14:paraId="4B48D311">
            <w:pPr>
              <w:pStyle w:val="574"/>
              <w:spacing w:line="240" w:lineRule="auto"/>
              <w:rPr>
                <w:rFonts w:ascii="Times New Roman" w:hAnsi="Times New Roman"/>
                <w:sz w:val="21"/>
                <w:szCs w:val="21"/>
              </w:rPr>
            </w:pPr>
            <w:r>
              <w:rPr>
                <w:rFonts w:hint="eastAsia" w:ascii="Times New Roman" w:hAnsi="Times New Roman"/>
                <w:sz w:val="21"/>
                <w:szCs w:val="21"/>
              </w:rPr>
              <w:t>51.9</w:t>
            </w:r>
          </w:p>
        </w:tc>
        <w:tc>
          <w:tcPr>
            <w:tcW w:w="485" w:type="pct"/>
            <w:vMerge w:val="continue"/>
            <w:vAlign w:val="center"/>
          </w:tcPr>
          <w:p w14:paraId="08BE2750">
            <w:pPr>
              <w:pStyle w:val="574"/>
              <w:spacing w:line="240" w:lineRule="auto"/>
              <w:rPr>
                <w:rFonts w:ascii="Times New Roman" w:hAnsi="Times New Roman"/>
                <w:sz w:val="21"/>
                <w:szCs w:val="21"/>
              </w:rPr>
            </w:pPr>
          </w:p>
        </w:tc>
        <w:tc>
          <w:tcPr>
            <w:tcW w:w="485" w:type="pct"/>
            <w:vAlign w:val="center"/>
          </w:tcPr>
          <w:p w14:paraId="541EF14A">
            <w:pPr>
              <w:pStyle w:val="574"/>
              <w:spacing w:line="240" w:lineRule="auto"/>
              <w:rPr>
                <w:rFonts w:ascii="Times New Roman" w:hAnsi="Times New Roman"/>
                <w:sz w:val="21"/>
                <w:szCs w:val="21"/>
              </w:rPr>
            </w:pPr>
            <w:r>
              <w:rPr>
                <w:rFonts w:hint="eastAsia" w:ascii="Times New Roman" w:hAnsi="Times New Roman"/>
                <w:sz w:val="21"/>
                <w:szCs w:val="21"/>
              </w:rPr>
              <w:t>41.2</w:t>
            </w:r>
          </w:p>
        </w:tc>
        <w:tc>
          <w:tcPr>
            <w:tcW w:w="485" w:type="pct"/>
            <w:vAlign w:val="center"/>
          </w:tcPr>
          <w:p w14:paraId="12DF7662">
            <w:pPr>
              <w:pStyle w:val="574"/>
              <w:spacing w:line="240" w:lineRule="auto"/>
              <w:rPr>
                <w:rFonts w:ascii="Times New Roman" w:hAnsi="Times New Roman"/>
                <w:sz w:val="21"/>
                <w:szCs w:val="21"/>
              </w:rPr>
            </w:pPr>
            <w:r>
              <w:rPr>
                <w:rFonts w:hint="eastAsia" w:ascii="Times New Roman" w:hAnsi="Times New Roman"/>
                <w:sz w:val="21"/>
                <w:szCs w:val="21"/>
              </w:rPr>
              <w:t>44.0</w:t>
            </w:r>
          </w:p>
        </w:tc>
        <w:tc>
          <w:tcPr>
            <w:tcW w:w="486" w:type="pct"/>
            <w:vAlign w:val="center"/>
          </w:tcPr>
          <w:p w14:paraId="6C70FE7D">
            <w:pPr>
              <w:pStyle w:val="574"/>
              <w:spacing w:line="240" w:lineRule="auto"/>
              <w:rPr>
                <w:rFonts w:ascii="Times New Roman" w:hAnsi="Times New Roman"/>
                <w:sz w:val="21"/>
                <w:szCs w:val="21"/>
              </w:rPr>
            </w:pPr>
            <w:r>
              <w:rPr>
                <w:rFonts w:hint="eastAsia" w:ascii="Times New Roman" w:hAnsi="Times New Roman"/>
                <w:sz w:val="21"/>
                <w:szCs w:val="21"/>
              </w:rPr>
              <w:t>45.8</w:t>
            </w:r>
          </w:p>
        </w:tc>
        <w:tc>
          <w:tcPr>
            <w:tcW w:w="485" w:type="pct"/>
            <w:vMerge w:val="continue"/>
            <w:tcBorders>
              <w:right w:val="single" w:color="auto" w:sz="12" w:space="0"/>
            </w:tcBorders>
            <w:vAlign w:val="center"/>
          </w:tcPr>
          <w:p w14:paraId="2CBE18D0">
            <w:pPr>
              <w:pStyle w:val="574"/>
              <w:spacing w:line="240" w:lineRule="auto"/>
              <w:rPr>
                <w:rFonts w:ascii="Times New Roman" w:hAnsi="Times New Roman"/>
                <w:sz w:val="21"/>
                <w:szCs w:val="21"/>
              </w:rPr>
            </w:pPr>
          </w:p>
        </w:tc>
      </w:tr>
      <w:tr w14:paraId="6A510122">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1" w:type="pct"/>
            <w:tcBorders>
              <w:left w:val="single" w:color="auto" w:sz="12" w:space="0"/>
            </w:tcBorders>
            <w:vAlign w:val="center"/>
          </w:tcPr>
          <w:p w14:paraId="23DF57A4">
            <w:pPr>
              <w:pStyle w:val="574"/>
              <w:spacing w:line="240" w:lineRule="auto"/>
              <w:rPr>
                <w:rFonts w:ascii="Times New Roman" w:hAnsi="Times New Roman"/>
                <w:sz w:val="21"/>
                <w:szCs w:val="21"/>
              </w:rPr>
            </w:pPr>
            <w:r>
              <w:rPr>
                <w:rFonts w:ascii="Times New Roman" w:hAnsi="Times New Roman"/>
                <w:sz w:val="21"/>
                <w:szCs w:val="21"/>
              </w:rPr>
              <w:t>厂界</w:t>
            </w:r>
            <w:r>
              <w:rPr>
                <w:rFonts w:hint="eastAsia" w:ascii="Times New Roman" w:hAnsi="Times New Roman"/>
                <w:sz w:val="21"/>
                <w:szCs w:val="21"/>
              </w:rPr>
              <w:t>西</w:t>
            </w:r>
          </w:p>
        </w:tc>
        <w:tc>
          <w:tcPr>
            <w:tcW w:w="352" w:type="pct"/>
            <w:vAlign w:val="center"/>
          </w:tcPr>
          <w:p w14:paraId="1E1B076E">
            <w:pPr>
              <w:pStyle w:val="574"/>
              <w:spacing w:line="240" w:lineRule="auto"/>
              <w:rPr>
                <w:rFonts w:ascii="Times New Roman" w:hAnsi="Times New Roman"/>
                <w:sz w:val="21"/>
                <w:szCs w:val="21"/>
              </w:rPr>
            </w:pPr>
            <w:r>
              <w:rPr>
                <w:rFonts w:ascii="Times New Roman" w:hAnsi="Times New Roman"/>
                <w:sz w:val="21"/>
                <w:szCs w:val="21"/>
              </w:rPr>
              <w:t>3#</w:t>
            </w:r>
          </w:p>
        </w:tc>
        <w:tc>
          <w:tcPr>
            <w:tcW w:w="528" w:type="pct"/>
            <w:vAlign w:val="center"/>
          </w:tcPr>
          <w:p w14:paraId="6748A5A8">
            <w:pPr>
              <w:pStyle w:val="574"/>
              <w:spacing w:line="240" w:lineRule="auto"/>
              <w:rPr>
                <w:rFonts w:ascii="Times New Roman" w:hAnsi="Times New Roman"/>
                <w:sz w:val="21"/>
                <w:szCs w:val="21"/>
              </w:rPr>
            </w:pPr>
            <w:r>
              <w:rPr>
                <w:rFonts w:hint="eastAsia" w:ascii="Times New Roman" w:hAnsi="Times New Roman"/>
                <w:sz w:val="21"/>
                <w:szCs w:val="21"/>
              </w:rPr>
              <w:t>51.9</w:t>
            </w:r>
          </w:p>
        </w:tc>
        <w:tc>
          <w:tcPr>
            <w:tcW w:w="566" w:type="pct"/>
            <w:vAlign w:val="center"/>
          </w:tcPr>
          <w:p w14:paraId="384A30A4">
            <w:pPr>
              <w:pStyle w:val="574"/>
              <w:spacing w:line="240" w:lineRule="auto"/>
              <w:rPr>
                <w:rFonts w:ascii="Times New Roman" w:hAnsi="Times New Roman"/>
                <w:sz w:val="21"/>
                <w:szCs w:val="21"/>
              </w:rPr>
            </w:pPr>
            <w:r>
              <w:rPr>
                <w:rFonts w:hint="eastAsia" w:ascii="Times New Roman" w:hAnsi="Times New Roman"/>
                <w:sz w:val="21"/>
                <w:szCs w:val="21"/>
              </w:rPr>
              <w:t>43.2</w:t>
            </w:r>
          </w:p>
        </w:tc>
        <w:tc>
          <w:tcPr>
            <w:tcW w:w="567" w:type="pct"/>
            <w:vAlign w:val="center"/>
          </w:tcPr>
          <w:p w14:paraId="707E87EB">
            <w:pPr>
              <w:pStyle w:val="574"/>
              <w:spacing w:line="240" w:lineRule="auto"/>
              <w:rPr>
                <w:rFonts w:ascii="Times New Roman" w:hAnsi="Times New Roman"/>
                <w:sz w:val="21"/>
                <w:szCs w:val="21"/>
              </w:rPr>
            </w:pPr>
            <w:r>
              <w:rPr>
                <w:rFonts w:hint="eastAsia" w:ascii="Times New Roman" w:hAnsi="Times New Roman"/>
                <w:sz w:val="21"/>
                <w:szCs w:val="21"/>
              </w:rPr>
              <w:t>52.4</w:t>
            </w:r>
          </w:p>
        </w:tc>
        <w:tc>
          <w:tcPr>
            <w:tcW w:w="485" w:type="pct"/>
            <w:vMerge w:val="continue"/>
            <w:vAlign w:val="center"/>
          </w:tcPr>
          <w:p w14:paraId="55B05B53">
            <w:pPr>
              <w:pStyle w:val="574"/>
              <w:spacing w:line="240" w:lineRule="auto"/>
              <w:rPr>
                <w:rFonts w:ascii="Times New Roman" w:hAnsi="Times New Roman"/>
                <w:sz w:val="21"/>
                <w:szCs w:val="21"/>
              </w:rPr>
            </w:pPr>
          </w:p>
        </w:tc>
        <w:tc>
          <w:tcPr>
            <w:tcW w:w="485" w:type="pct"/>
            <w:vAlign w:val="center"/>
          </w:tcPr>
          <w:p w14:paraId="57B2724E">
            <w:pPr>
              <w:pStyle w:val="574"/>
              <w:spacing w:line="240" w:lineRule="auto"/>
              <w:rPr>
                <w:rFonts w:ascii="Times New Roman" w:hAnsi="Times New Roman"/>
                <w:sz w:val="21"/>
                <w:szCs w:val="21"/>
              </w:rPr>
            </w:pPr>
            <w:r>
              <w:rPr>
                <w:rFonts w:hint="eastAsia" w:ascii="Times New Roman" w:hAnsi="Times New Roman"/>
                <w:sz w:val="21"/>
                <w:szCs w:val="21"/>
              </w:rPr>
              <w:t>41.9</w:t>
            </w:r>
          </w:p>
        </w:tc>
        <w:tc>
          <w:tcPr>
            <w:tcW w:w="485" w:type="pct"/>
            <w:vAlign w:val="center"/>
          </w:tcPr>
          <w:p w14:paraId="756B6BB2">
            <w:pPr>
              <w:pStyle w:val="574"/>
              <w:spacing w:line="240" w:lineRule="auto"/>
              <w:rPr>
                <w:rFonts w:ascii="Times New Roman" w:hAnsi="Times New Roman"/>
                <w:sz w:val="21"/>
                <w:szCs w:val="21"/>
              </w:rPr>
            </w:pPr>
            <w:r>
              <w:rPr>
                <w:rFonts w:hint="eastAsia" w:ascii="Times New Roman" w:hAnsi="Times New Roman"/>
                <w:sz w:val="21"/>
                <w:szCs w:val="21"/>
              </w:rPr>
              <w:t>43.2</w:t>
            </w:r>
          </w:p>
        </w:tc>
        <w:tc>
          <w:tcPr>
            <w:tcW w:w="486" w:type="pct"/>
            <w:vAlign w:val="center"/>
          </w:tcPr>
          <w:p w14:paraId="03243F83">
            <w:pPr>
              <w:pStyle w:val="574"/>
              <w:spacing w:line="240" w:lineRule="auto"/>
              <w:rPr>
                <w:rFonts w:ascii="Times New Roman" w:hAnsi="Times New Roman"/>
                <w:sz w:val="21"/>
                <w:szCs w:val="21"/>
              </w:rPr>
            </w:pPr>
            <w:r>
              <w:rPr>
                <w:rFonts w:hint="eastAsia" w:ascii="Times New Roman" w:hAnsi="Times New Roman"/>
                <w:sz w:val="21"/>
                <w:szCs w:val="21"/>
              </w:rPr>
              <w:t>45.6</w:t>
            </w:r>
          </w:p>
        </w:tc>
        <w:tc>
          <w:tcPr>
            <w:tcW w:w="485" w:type="pct"/>
            <w:vMerge w:val="continue"/>
            <w:tcBorders>
              <w:right w:val="single" w:color="auto" w:sz="12" w:space="0"/>
            </w:tcBorders>
            <w:vAlign w:val="center"/>
          </w:tcPr>
          <w:p w14:paraId="32A1ADC2">
            <w:pPr>
              <w:pStyle w:val="574"/>
              <w:spacing w:line="240" w:lineRule="auto"/>
              <w:rPr>
                <w:rFonts w:ascii="Times New Roman" w:hAnsi="Times New Roman"/>
                <w:sz w:val="21"/>
                <w:szCs w:val="21"/>
              </w:rPr>
            </w:pPr>
          </w:p>
        </w:tc>
      </w:tr>
      <w:tr w14:paraId="08A7EB78">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1" w:type="pct"/>
            <w:tcBorders>
              <w:left w:val="single" w:color="auto" w:sz="12" w:space="0"/>
            </w:tcBorders>
            <w:vAlign w:val="center"/>
          </w:tcPr>
          <w:p w14:paraId="38E423CE">
            <w:pPr>
              <w:pStyle w:val="574"/>
              <w:spacing w:line="240" w:lineRule="auto"/>
              <w:rPr>
                <w:rFonts w:ascii="Times New Roman" w:hAnsi="Times New Roman"/>
                <w:sz w:val="21"/>
                <w:szCs w:val="21"/>
              </w:rPr>
            </w:pPr>
            <w:r>
              <w:rPr>
                <w:rFonts w:ascii="Times New Roman" w:hAnsi="Times New Roman"/>
                <w:sz w:val="21"/>
                <w:szCs w:val="21"/>
              </w:rPr>
              <w:t>厂界</w:t>
            </w:r>
            <w:r>
              <w:rPr>
                <w:rFonts w:hint="eastAsia" w:ascii="Times New Roman" w:hAnsi="Times New Roman"/>
                <w:sz w:val="21"/>
                <w:szCs w:val="21"/>
              </w:rPr>
              <w:t>北</w:t>
            </w:r>
          </w:p>
        </w:tc>
        <w:tc>
          <w:tcPr>
            <w:tcW w:w="352" w:type="pct"/>
            <w:vAlign w:val="center"/>
          </w:tcPr>
          <w:p w14:paraId="05779601">
            <w:pPr>
              <w:pStyle w:val="574"/>
              <w:spacing w:line="240" w:lineRule="auto"/>
              <w:rPr>
                <w:rFonts w:ascii="Times New Roman" w:hAnsi="Times New Roman"/>
                <w:sz w:val="21"/>
                <w:szCs w:val="21"/>
              </w:rPr>
            </w:pPr>
            <w:r>
              <w:rPr>
                <w:rFonts w:ascii="Times New Roman" w:hAnsi="Times New Roman"/>
                <w:sz w:val="21"/>
                <w:szCs w:val="21"/>
              </w:rPr>
              <w:t>4#</w:t>
            </w:r>
          </w:p>
        </w:tc>
        <w:tc>
          <w:tcPr>
            <w:tcW w:w="528" w:type="pct"/>
            <w:vAlign w:val="center"/>
          </w:tcPr>
          <w:p w14:paraId="3B603205">
            <w:pPr>
              <w:pStyle w:val="574"/>
              <w:spacing w:line="240" w:lineRule="auto"/>
              <w:rPr>
                <w:rFonts w:ascii="Times New Roman" w:hAnsi="Times New Roman"/>
                <w:sz w:val="21"/>
                <w:szCs w:val="21"/>
              </w:rPr>
            </w:pPr>
            <w:r>
              <w:rPr>
                <w:rFonts w:hint="eastAsia" w:ascii="Times New Roman" w:hAnsi="Times New Roman"/>
                <w:sz w:val="21"/>
                <w:szCs w:val="21"/>
              </w:rPr>
              <w:t>53.1</w:t>
            </w:r>
          </w:p>
        </w:tc>
        <w:tc>
          <w:tcPr>
            <w:tcW w:w="566" w:type="pct"/>
            <w:vAlign w:val="center"/>
          </w:tcPr>
          <w:p w14:paraId="3AED69FA">
            <w:pPr>
              <w:pStyle w:val="574"/>
              <w:spacing w:line="240" w:lineRule="auto"/>
              <w:rPr>
                <w:rFonts w:ascii="Times New Roman" w:hAnsi="Times New Roman"/>
                <w:sz w:val="21"/>
                <w:szCs w:val="21"/>
              </w:rPr>
            </w:pPr>
            <w:r>
              <w:rPr>
                <w:rFonts w:hint="eastAsia" w:ascii="Times New Roman" w:hAnsi="Times New Roman"/>
                <w:sz w:val="21"/>
                <w:szCs w:val="21"/>
              </w:rPr>
              <w:t>45.0</w:t>
            </w:r>
          </w:p>
        </w:tc>
        <w:tc>
          <w:tcPr>
            <w:tcW w:w="567" w:type="pct"/>
            <w:vAlign w:val="center"/>
          </w:tcPr>
          <w:p w14:paraId="1AFACBB8">
            <w:pPr>
              <w:pStyle w:val="574"/>
              <w:spacing w:line="240" w:lineRule="auto"/>
              <w:rPr>
                <w:rFonts w:ascii="Times New Roman" w:hAnsi="Times New Roman"/>
                <w:sz w:val="21"/>
                <w:szCs w:val="21"/>
              </w:rPr>
            </w:pPr>
            <w:r>
              <w:rPr>
                <w:rFonts w:hint="eastAsia" w:ascii="Times New Roman" w:hAnsi="Times New Roman"/>
                <w:sz w:val="21"/>
                <w:szCs w:val="21"/>
              </w:rPr>
              <w:t>53.7</w:t>
            </w:r>
          </w:p>
        </w:tc>
        <w:tc>
          <w:tcPr>
            <w:tcW w:w="485" w:type="pct"/>
            <w:vMerge w:val="continue"/>
            <w:vAlign w:val="center"/>
          </w:tcPr>
          <w:p w14:paraId="5D438832">
            <w:pPr>
              <w:pStyle w:val="574"/>
              <w:spacing w:line="240" w:lineRule="auto"/>
              <w:rPr>
                <w:rFonts w:ascii="Times New Roman" w:hAnsi="Times New Roman"/>
                <w:sz w:val="21"/>
                <w:szCs w:val="21"/>
              </w:rPr>
            </w:pPr>
          </w:p>
        </w:tc>
        <w:tc>
          <w:tcPr>
            <w:tcW w:w="485" w:type="pct"/>
            <w:vAlign w:val="center"/>
          </w:tcPr>
          <w:p w14:paraId="02E0EAAF">
            <w:pPr>
              <w:pStyle w:val="574"/>
              <w:spacing w:line="240" w:lineRule="auto"/>
              <w:rPr>
                <w:rFonts w:ascii="Times New Roman" w:hAnsi="Times New Roman"/>
                <w:sz w:val="21"/>
                <w:szCs w:val="21"/>
              </w:rPr>
            </w:pPr>
            <w:r>
              <w:rPr>
                <w:rFonts w:hint="eastAsia" w:ascii="Times New Roman" w:hAnsi="Times New Roman"/>
                <w:sz w:val="21"/>
                <w:szCs w:val="21"/>
              </w:rPr>
              <w:t>42.8</w:t>
            </w:r>
          </w:p>
        </w:tc>
        <w:tc>
          <w:tcPr>
            <w:tcW w:w="485" w:type="pct"/>
            <w:vAlign w:val="center"/>
          </w:tcPr>
          <w:p w14:paraId="760C6CD3">
            <w:pPr>
              <w:pStyle w:val="574"/>
              <w:spacing w:line="240" w:lineRule="auto"/>
              <w:rPr>
                <w:rFonts w:ascii="Times New Roman" w:hAnsi="Times New Roman"/>
                <w:sz w:val="21"/>
                <w:szCs w:val="21"/>
              </w:rPr>
            </w:pPr>
            <w:r>
              <w:rPr>
                <w:rFonts w:hint="eastAsia" w:ascii="Times New Roman" w:hAnsi="Times New Roman"/>
                <w:sz w:val="21"/>
                <w:szCs w:val="21"/>
              </w:rPr>
              <w:t>45.0</w:t>
            </w:r>
          </w:p>
        </w:tc>
        <w:tc>
          <w:tcPr>
            <w:tcW w:w="486" w:type="pct"/>
            <w:vAlign w:val="center"/>
          </w:tcPr>
          <w:p w14:paraId="2A3BD38F">
            <w:pPr>
              <w:pStyle w:val="574"/>
              <w:spacing w:line="240" w:lineRule="auto"/>
              <w:rPr>
                <w:rFonts w:ascii="Times New Roman" w:hAnsi="Times New Roman"/>
                <w:sz w:val="21"/>
                <w:szCs w:val="21"/>
              </w:rPr>
            </w:pPr>
            <w:r>
              <w:rPr>
                <w:rFonts w:hint="eastAsia" w:ascii="Times New Roman" w:hAnsi="Times New Roman"/>
                <w:sz w:val="21"/>
                <w:szCs w:val="21"/>
              </w:rPr>
              <w:t>47.0</w:t>
            </w:r>
          </w:p>
        </w:tc>
        <w:tc>
          <w:tcPr>
            <w:tcW w:w="485" w:type="pct"/>
            <w:vMerge w:val="continue"/>
            <w:tcBorders>
              <w:right w:val="single" w:color="auto" w:sz="12" w:space="0"/>
            </w:tcBorders>
            <w:vAlign w:val="center"/>
          </w:tcPr>
          <w:p w14:paraId="4C203CDB">
            <w:pPr>
              <w:pStyle w:val="574"/>
              <w:spacing w:line="240" w:lineRule="auto"/>
              <w:rPr>
                <w:rFonts w:ascii="Times New Roman" w:hAnsi="Times New Roman"/>
                <w:sz w:val="21"/>
                <w:szCs w:val="21"/>
              </w:rPr>
            </w:pPr>
          </w:p>
        </w:tc>
      </w:tr>
    </w:tbl>
    <w:p w14:paraId="33C075C7">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由表7.2-2噪声预测结果</w:t>
      </w:r>
      <w:r>
        <w:rPr>
          <w:rFonts w:asciiTheme="minorEastAsia" w:hAnsiTheme="minorEastAsia" w:eastAsiaTheme="minorEastAsia"/>
          <w:lang w:eastAsia="zh-CN"/>
        </w:rPr>
        <w:t>表可</w:t>
      </w:r>
      <w:r>
        <w:rPr>
          <w:rFonts w:hint="eastAsia" w:asciiTheme="minorEastAsia" w:hAnsiTheme="minorEastAsia" w:eastAsiaTheme="minorEastAsia"/>
          <w:lang w:eastAsia="zh-CN"/>
        </w:rPr>
        <w:t>知</w:t>
      </w:r>
      <w:r>
        <w:rPr>
          <w:rFonts w:asciiTheme="minorEastAsia" w:hAnsiTheme="minorEastAsia" w:eastAsiaTheme="minorEastAsia"/>
          <w:lang w:eastAsia="zh-CN"/>
        </w:rPr>
        <w:t>，</w:t>
      </w:r>
      <w:r>
        <w:rPr>
          <w:rFonts w:hint="eastAsia" w:asciiTheme="minorEastAsia" w:hAnsiTheme="minorEastAsia" w:eastAsiaTheme="minorEastAsia"/>
          <w:lang w:eastAsia="zh-CN"/>
        </w:rPr>
        <w:t>建设项目联合站厂界新增噪声与现状叠加后</w:t>
      </w:r>
      <w:r>
        <w:rPr>
          <w:rFonts w:asciiTheme="minorEastAsia" w:hAnsiTheme="minorEastAsia" w:eastAsiaTheme="minorEastAsia"/>
          <w:lang w:eastAsia="zh-CN"/>
        </w:rPr>
        <w:t>昼间预测值范围在</w:t>
      </w:r>
      <w:r>
        <w:rPr>
          <w:rFonts w:hint="eastAsia" w:asciiTheme="minorEastAsia" w:hAnsiTheme="minorEastAsia" w:eastAsiaTheme="minorEastAsia"/>
          <w:lang w:eastAsia="zh-CN"/>
        </w:rPr>
        <w:t>51.9～53.7</w:t>
      </w:r>
      <w:r>
        <w:rPr>
          <w:rFonts w:asciiTheme="minorEastAsia" w:hAnsiTheme="minorEastAsia" w:eastAsiaTheme="minorEastAsia"/>
          <w:lang w:eastAsia="zh-CN"/>
        </w:rPr>
        <w:t>dB(A)之间，</w:t>
      </w:r>
      <w:r>
        <w:rPr>
          <w:rFonts w:hint="eastAsia" w:asciiTheme="minorEastAsia" w:hAnsiTheme="minorEastAsia" w:eastAsiaTheme="minorEastAsia"/>
          <w:lang w:eastAsia="zh-CN"/>
        </w:rPr>
        <w:t>夜</w:t>
      </w:r>
      <w:r>
        <w:rPr>
          <w:rFonts w:asciiTheme="minorEastAsia" w:hAnsiTheme="minorEastAsia" w:eastAsiaTheme="minorEastAsia"/>
          <w:lang w:eastAsia="zh-CN"/>
        </w:rPr>
        <w:t>间预测值范围在</w:t>
      </w:r>
      <w:r>
        <w:rPr>
          <w:rFonts w:hint="eastAsia" w:asciiTheme="minorEastAsia" w:hAnsiTheme="minorEastAsia" w:eastAsiaTheme="minorEastAsia"/>
          <w:lang w:eastAsia="zh-CN"/>
        </w:rPr>
        <w:t>45.6～47.0</w:t>
      </w:r>
      <w:r>
        <w:rPr>
          <w:rFonts w:asciiTheme="minorEastAsia" w:hAnsiTheme="minorEastAsia" w:eastAsiaTheme="minorEastAsia"/>
          <w:lang w:eastAsia="zh-CN"/>
        </w:rPr>
        <w:t>dB(A)之间</w:t>
      </w:r>
      <w:r>
        <w:rPr>
          <w:rFonts w:hint="eastAsia" w:asciiTheme="minorEastAsia" w:hAnsiTheme="minorEastAsia" w:eastAsiaTheme="minorEastAsia"/>
          <w:lang w:eastAsia="zh-CN"/>
        </w:rPr>
        <w:t>，建设项目联合站厂界四周1m处噪声</w:t>
      </w:r>
      <w:r>
        <w:rPr>
          <w:rFonts w:asciiTheme="minorEastAsia" w:hAnsiTheme="minorEastAsia" w:eastAsiaTheme="minorEastAsia"/>
          <w:lang w:eastAsia="zh-CN"/>
        </w:rPr>
        <w:t>均未超过《工业企业厂界环境噪声排放标准》（GB12348-2008）</w:t>
      </w:r>
      <w:r>
        <w:rPr>
          <w:rFonts w:hint="eastAsia" w:asciiTheme="minorEastAsia" w:hAnsiTheme="minorEastAsia" w:eastAsiaTheme="minorEastAsia"/>
          <w:lang w:eastAsia="zh-CN"/>
        </w:rPr>
        <w:t>2</w:t>
      </w:r>
      <w:r>
        <w:rPr>
          <w:rFonts w:asciiTheme="minorEastAsia" w:hAnsiTheme="minorEastAsia" w:eastAsiaTheme="minorEastAsia"/>
          <w:lang w:eastAsia="zh-CN"/>
        </w:rPr>
        <w:t>类区标准</w:t>
      </w:r>
      <w:r>
        <w:rPr>
          <w:rFonts w:hint="eastAsia" w:asciiTheme="minorEastAsia" w:hAnsiTheme="minorEastAsia" w:eastAsiaTheme="minorEastAsia"/>
          <w:lang w:eastAsia="zh-CN"/>
        </w:rPr>
        <w:t>值（昼间</w:t>
      </w:r>
      <w:r>
        <w:rPr>
          <w:rFonts w:asciiTheme="minorEastAsia" w:hAnsiTheme="minorEastAsia" w:eastAsiaTheme="minorEastAsia"/>
          <w:lang w:eastAsia="zh-CN"/>
        </w:rPr>
        <w:t>6</w:t>
      </w:r>
      <w:r>
        <w:rPr>
          <w:rFonts w:hint="eastAsia" w:asciiTheme="minorEastAsia" w:hAnsiTheme="minorEastAsia" w:eastAsiaTheme="minorEastAsia"/>
          <w:lang w:eastAsia="zh-CN"/>
        </w:rPr>
        <w:t>0</w:t>
      </w:r>
      <w:r>
        <w:rPr>
          <w:rFonts w:asciiTheme="minorEastAsia" w:hAnsiTheme="minorEastAsia" w:eastAsiaTheme="minorEastAsia"/>
          <w:lang w:eastAsia="zh-CN"/>
        </w:rPr>
        <w:t>dB(A)</w:t>
      </w:r>
      <w:r>
        <w:rPr>
          <w:rFonts w:hint="eastAsia" w:asciiTheme="minorEastAsia" w:hAnsiTheme="minorEastAsia" w:eastAsiaTheme="minorEastAsia"/>
          <w:lang w:eastAsia="zh-CN"/>
        </w:rPr>
        <w:t>、夜间</w:t>
      </w:r>
      <w:r>
        <w:rPr>
          <w:rFonts w:asciiTheme="minorEastAsia" w:hAnsiTheme="minorEastAsia" w:eastAsiaTheme="minorEastAsia"/>
          <w:lang w:eastAsia="zh-CN"/>
        </w:rPr>
        <w:t>50dB(A)</w:t>
      </w:r>
      <w:r>
        <w:rPr>
          <w:rFonts w:hint="eastAsia" w:asciiTheme="minorEastAsia" w:hAnsiTheme="minorEastAsia" w:eastAsiaTheme="minorEastAsia"/>
          <w:lang w:eastAsia="zh-CN"/>
        </w:rPr>
        <w:t>）</w:t>
      </w:r>
      <w:r>
        <w:rPr>
          <w:rFonts w:asciiTheme="minorEastAsia" w:hAnsiTheme="minorEastAsia" w:eastAsiaTheme="minorEastAsia"/>
          <w:lang w:eastAsia="zh-CN"/>
        </w:rPr>
        <w:t>。</w:t>
      </w:r>
    </w:p>
    <w:p w14:paraId="481D3A23">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 xml:space="preserve">  由于距离联合站最近的牧户在1000m以远，联合站新增设备噪声经过距离衰减后，对牧户家基本没有影响。</w:t>
      </w:r>
    </w:p>
    <w:p w14:paraId="19E5D6CB">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（2）交通噪声值预测</w:t>
      </w:r>
    </w:p>
    <w:p w14:paraId="5DACA92D">
      <w:pPr>
        <w:ind w:firstLine="480"/>
        <w:rPr>
          <w:rFonts w:asciiTheme="minorEastAsia" w:hAnsiTheme="minorEastAsia" w:eastAsiaTheme="minorEastAsia"/>
          <w:lang w:eastAsia="zh-CN"/>
        </w:rPr>
      </w:pPr>
      <w:r>
        <w:rPr>
          <w:rFonts w:asciiTheme="minorEastAsia" w:hAnsiTheme="minorEastAsia" w:eastAsiaTheme="minorEastAsia"/>
          <w:lang w:eastAsia="zh-CN"/>
        </w:rPr>
        <w:t>根据《环境影响评价技术导则</w:t>
      </w:r>
      <w:r>
        <w:rPr>
          <w:rFonts w:hint="eastAsia" w:asciiTheme="minorEastAsia" w:hAnsiTheme="minorEastAsia" w:eastAsiaTheme="minorEastAsia"/>
          <w:lang w:eastAsia="zh-CN"/>
        </w:rPr>
        <w:t>-</w:t>
      </w:r>
      <w:r>
        <w:rPr>
          <w:rFonts w:asciiTheme="minorEastAsia" w:hAnsiTheme="minorEastAsia" w:eastAsiaTheme="minorEastAsia"/>
          <w:lang w:eastAsia="zh-CN"/>
        </w:rPr>
        <w:t>声环境》</w:t>
      </w:r>
      <w:r>
        <w:rPr>
          <w:rFonts w:hint="eastAsia" w:asciiTheme="minorEastAsia" w:hAnsiTheme="minorEastAsia" w:eastAsiaTheme="minorEastAsia"/>
          <w:lang w:eastAsia="zh-CN"/>
        </w:rPr>
        <w:t>（</w:t>
      </w:r>
      <w:r>
        <w:rPr>
          <w:rFonts w:asciiTheme="minorEastAsia" w:hAnsiTheme="minorEastAsia" w:eastAsiaTheme="minorEastAsia"/>
          <w:lang w:eastAsia="zh-CN"/>
        </w:rPr>
        <w:t>HJ2.4-2009</w:t>
      </w:r>
      <w:r>
        <w:rPr>
          <w:rFonts w:hint="eastAsia" w:asciiTheme="minorEastAsia" w:hAnsiTheme="minorEastAsia" w:eastAsiaTheme="minorEastAsia"/>
          <w:lang w:eastAsia="zh-CN"/>
        </w:rPr>
        <w:t>）</w:t>
      </w:r>
      <w:r>
        <w:rPr>
          <w:rFonts w:asciiTheme="minorEastAsia" w:hAnsiTheme="minorEastAsia" w:eastAsiaTheme="minorEastAsia"/>
          <w:lang w:eastAsia="zh-CN"/>
        </w:rPr>
        <w:t>中的公路交通运输噪声预测基本模式进行预测，预测模式如下：</w:t>
      </w:r>
    </w:p>
    <w:p w14:paraId="04ADEFEA">
      <w:pPr>
        <w:ind w:firstLine="480"/>
        <w:rPr>
          <w:rFonts w:asciiTheme="minorEastAsia" w:hAnsiTheme="minorEastAsia" w:eastAsiaTheme="minorEastAsia"/>
          <w:lang w:eastAsia="zh-CN"/>
        </w:rPr>
      </w:pPr>
      <w:r>
        <w:rPr>
          <w:rFonts w:asciiTheme="minorEastAsia" w:hAnsiTheme="minorEastAsia" w:eastAsiaTheme="minorEastAsia"/>
          <w:lang w:eastAsia="zh-CN"/>
        </w:rPr>
        <w:object>
          <v:shape id="_x0000_i1027" o:spt="75" type="#_x0000_t75" style="height:38.25pt;width:339pt;" o:ole="t" filled="f" o:preferrelative="t" stroked="f" coordsize="21600,21600">
            <v:path/>
            <v:fill on="f" focussize="0,0"/>
            <v:stroke on="f" joinstyle="miter"/>
            <v:imagedata r:id="rId43" o:title=""/>
            <o:lock v:ext="edit" aspectratio="t"/>
            <w10:wrap type="none"/>
            <w10:anchorlock/>
          </v:shape>
          <o:OLEObject Type="Embed" ProgID="Equation.3" ShapeID="_x0000_i1027" DrawAspect="Content" ObjectID="_1468075729" r:id="rId42">
            <o:LockedField>false</o:LockedField>
          </o:OLEObject>
        </w:object>
      </w:r>
    </w:p>
    <w:p w14:paraId="0F98A1FF">
      <w:pPr>
        <w:ind w:firstLine="480"/>
        <w:rPr>
          <w:rFonts w:asciiTheme="minorEastAsia" w:hAnsiTheme="minorEastAsia" w:eastAsiaTheme="minorEastAsia"/>
          <w:lang w:eastAsia="zh-CN"/>
        </w:rPr>
      </w:pPr>
      <w:r>
        <w:rPr>
          <w:rFonts w:asciiTheme="minorEastAsia" w:hAnsiTheme="minorEastAsia" w:eastAsiaTheme="minorEastAsia"/>
          <w:lang w:eastAsia="zh-CN"/>
        </w:rPr>
        <w:t>式中：Leq(h)i——第i类车的小时等效声级，dB(A)；</w:t>
      </w:r>
    </w:p>
    <w:p w14:paraId="0CADC16F">
      <w:pPr>
        <w:ind w:firstLine="480"/>
        <w:rPr>
          <w:rFonts w:asciiTheme="minorEastAsia" w:hAnsiTheme="minorEastAsia" w:eastAsiaTheme="minorEastAsia"/>
          <w:lang w:eastAsia="zh-CN"/>
        </w:rPr>
      </w:pPr>
      <w:r>
        <w:rPr>
          <w:rFonts w:asciiTheme="minorEastAsia" w:hAnsiTheme="minorEastAsia" w:eastAsiaTheme="minorEastAsia"/>
          <w:lang w:eastAsia="zh-CN"/>
        </w:rPr>
        <w:object>
          <v:shape id="_x0000_i1028" o:spt="75" type="#_x0000_t75" style="height:20.25pt;width:32.25pt;" o:ole="t" filled="f" o:preferrelative="t" stroked="f" coordsize="21600,21600">
            <v:path/>
            <v:fill on="f" focussize="0,0"/>
            <v:stroke on="f" joinstyle="miter"/>
            <v:imagedata r:id="rId45" o:title=""/>
            <o:lock v:ext="edit" aspectratio="t"/>
            <w10:wrap type="none"/>
            <w10:anchorlock/>
          </v:shape>
          <o:OLEObject Type="Embed" ProgID="Equation.3" ShapeID="_x0000_i1028" DrawAspect="Content" ObjectID="_1468075730" r:id="rId44">
            <o:LockedField>false</o:LockedField>
          </o:OLEObject>
        </w:object>
      </w:r>
      <w:r>
        <w:rPr>
          <w:rFonts w:asciiTheme="minorEastAsia" w:hAnsiTheme="minorEastAsia" w:eastAsiaTheme="minorEastAsia"/>
          <w:lang w:eastAsia="zh-CN"/>
        </w:rPr>
        <w:t>——第i类车速度为Vi，km/h；水平距离为7.5m处的能量平均A声级，dB(A)；</w:t>
      </w:r>
    </w:p>
    <w:p w14:paraId="5A4B261C">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Ni——昼间、夜间通过某个预测点的第i类车平均小时车流量，辆/h；</w:t>
      </w:r>
    </w:p>
    <w:p w14:paraId="5226816B">
      <w:pPr>
        <w:ind w:firstLine="480"/>
        <w:rPr>
          <w:rFonts w:asciiTheme="minorEastAsia" w:hAnsiTheme="minorEastAsia" w:eastAsiaTheme="minorEastAsia"/>
          <w:lang w:eastAsia="zh-CN"/>
        </w:rPr>
      </w:pPr>
      <w:r>
        <w:rPr>
          <w:rFonts w:asciiTheme="minorEastAsia" w:hAnsiTheme="minorEastAsia" w:eastAsiaTheme="minorEastAsia"/>
          <w:lang w:eastAsia="zh-CN"/>
        </w:rPr>
        <w:t>r——从车道中心到预测点的距离，m；</w:t>
      </w:r>
    </w:p>
    <w:p w14:paraId="52FCD3AC">
      <w:pPr>
        <w:ind w:firstLine="480"/>
        <w:rPr>
          <w:rFonts w:asciiTheme="minorEastAsia" w:hAnsiTheme="minorEastAsia" w:eastAsiaTheme="minorEastAsia"/>
          <w:lang w:eastAsia="zh-CN"/>
        </w:rPr>
      </w:pPr>
      <w:r>
        <w:rPr>
          <w:rFonts w:asciiTheme="minorEastAsia" w:hAnsiTheme="minorEastAsia" w:eastAsiaTheme="minorEastAsia"/>
          <w:lang w:eastAsia="zh-CN"/>
        </w:rPr>
        <w:t>Vi——第i类车的平均车速，km/h；</w:t>
      </w:r>
    </w:p>
    <w:p w14:paraId="4B14502A">
      <w:pPr>
        <w:ind w:firstLine="480"/>
        <w:rPr>
          <w:rFonts w:asciiTheme="minorEastAsia" w:hAnsiTheme="minorEastAsia" w:eastAsiaTheme="minorEastAsia"/>
          <w:lang w:eastAsia="zh-CN"/>
        </w:rPr>
      </w:pPr>
      <w:r>
        <w:rPr>
          <w:rFonts w:asciiTheme="minorEastAsia" w:hAnsiTheme="minorEastAsia" w:eastAsiaTheme="minorEastAsia"/>
          <w:lang w:eastAsia="zh-CN"/>
        </w:rPr>
        <w:object>
          <v:shape id="_x0000_i1029" o:spt="75" type="#_x0000_t75" style="height:17.25pt;width:27.75pt;" o:ole="t" filled="f" o:preferrelative="t" stroked="f" coordsize="21600,21600">
            <v:path/>
            <v:fill on="f" focussize="0,0"/>
            <v:stroke on="f" joinstyle="miter"/>
            <v:imagedata r:id="rId47" o:title=""/>
            <o:lock v:ext="edit" aspectratio="t"/>
            <w10:wrap type="none"/>
            <w10:anchorlock/>
          </v:shape>
          <o:OLEObject Type="Embed" ProgID="Equation.3" ShapeID="_x0000_i1029" DrawAspect="Content" ObjectID="_1468075731" r:id="rId46">
            <o:LockedField>false</o:LockedField>
          </o:OLEObject>
        </w:object>
      </w:r>
      <w:r>
        <w:rPr>
          <w:rFonts w:asciiTheme="minorEastAsia" w:hAnsiTheme="minorEastAsia" w:eastAsiaTheme="minorEastAsia"/>
          <w:lang w:eastAsia="zh-CN"/>
        </w:rPr>
        <w:t>——预测点到有线路段两端的张角，弧度；</w:t>
      </w:r>
    </w:p>
    <w:p w14:paraId="2749008C">
      <w:pPr>
        <w:ind w:firstLine="480"/>
        <w:rPr>
          <w:rFonts w:asciiTheme="minorEastAsia" w:hAnsiTheme="minorEastAsia" w:eastAsiaTheme="minorEastAsia"/>
          <w:lang w:eastAsia="zh-CN"/>
        </w:rPr>
      </w:pPr>
      <w:r>
        <w:rPr>
          <w:rFonts w:asciiTheme="minorEastAsia" w:hAnsiTheme="minorEastAsia" w:eastAsiaTheme="minorEastAsia"/>
          <w:lang w:eastAsia="zh-CN"/>
        </w:rPr>
        <w:t>△L——由其他因素引起的修正量，dB(A)</w:t>
      </w:r>
      <w:r>
        <w:rPr>
          <w:rFonts w:hint="eastAsia" w:asciiTheme="minorEastAsia" w:hAnsiTheme="minorEastAsia" w:eastAsiaTheme="minorEastAsia"/>
          <w:lang w:eastAsia="zh-CN"/>
        </w:rPr>
        <w:t>。</w:t>
      </w:r>
    </w:p>
    <w:p w14:paraId="40FF5493">
      <w:pPr>
        <w:ind w:firstLine="480"/>
        <w:rPr>
          <w:rFonts w:asciiTheme="minorEastAsia" w:hAnsiTheme="minorEastAsia" w:eastAsiaTheme="minorEastAsia"/>
          <w:lang w:eastAsia="zh-CN"/>
        </w:rPr>
      </w:pPr>
      <w:r>
        <w:rPr>
          <w:rFonts w:asciiTheme="minorEastAsia" w:hAnsiTheme="minorEastAsia" w:eastAsiaTheme="minorEastAsia"/>
          <w:lang w:eastAsia="zh-CN"/>
        </w:rPr>
        <w:t>车辆运输属于间歇性噪声，运输路线主要是沿着</w:t>
      </w:r>
      <w:r>
        <w:rPr>
          <w:rFonts w:hint="eastAsia" w:asciiTheme="minorEastAsia" w:hAnsiTheme="minorEastAsia" w:eastAsiaTheme="minorEastAsia"/>
          <w:lang w:eastAsia="zh-CN"/>
        </w:rPr>
        <w:t>固定的</w:t>
      </w:r>
      <w:r>
        <w:rPr>
          <w:rFonts w:asciiTheme="minorEastAsia" w:hAnsiTheme="minorEastAsia" w:eastAsiaTheme="minorEastAsia"/>
          <w:lang w:eastAsia="zh-CN"/>
        </w:rPr>
        <w:t>道路运输，运输产生噪声值约为75dB（A），随着距离衰减结果见表</w:t>
      </w:r>
      <w:r>
        <w:rPr>
          <w:rFonts w:hint="eastAsia" w:asciiTheme="minorEastAsia" w:hAnsiTheme="minorEastAsia" w:eastAsiaTheme="minorEastAsia"/>
          <w:lang w:eastAsia="zh-CN"/>
        </w:rPr>
        <w:t>7</w:t>
      </w:r>
      <w:r>
        <w:rPr>
          <w:rFonts w:asciiTheme="minorEastAsia" w:hAnsiTheme="minorEastAsia" w:eastAsiaTheme="minorEastAsia"/>
          <w:lang w:eastAsia="zh-CN"/>
        </w:rPr>
        <w:t>.</w:t>
      </w:r>
      <w:r>
        <w:rPr>
          <w:rFonts w:hint="eastAsia" w:asciiTheme="minorEastAsia" w:hAnsiTheme="minorEastAsia" w:eastAsiaTheme="minorEastAsia"/>
          <w:lang w:eastAsia="zh-CN"/>
        </w:rPr>
        <w:t>2</w:t>
      </w:r>
      <w:r>
        <w:rPr>
          <w:rFonts w:asciiTheme="minorEastAsia" w:hAnsiTheme="minorEastAsia" w:eastAsiaTheme="minorEastAsia"/>
          <w:lang w:eastAsia="zh-CN"/>
        </w:rPr>
        <w:t>-</w:t>
      </w:r>
      <w:r>
        <w:rPr>
          <w:rFonts w:hint="eastAsia" w:asciiTheme="minorEastAsia" w:hAnsiTheme="minorEastAsia" w:eastAsiaTheme="minorEastAsia"/>
          <w:lang w:eastAsia="zh-CN"/>
        </w:rPr>
        <w:t>3</w:t>
      </w:r>
      <w:r>
        <w:rPr>
          <w:rFonts w:asciiTheme="minorEastAsia" w:hAnsiTheme="minorEastAsia" w:eastAsiaTheme="minorEastAsia"/>
          <w:lang w:eastAsia="zh-CN"/>
        </w:rPr>
        <w:t>。</w:t>
      </w:r>
    </w:p>
    <w:p w14:paraId="7433535F">
      <w:pPr>
        <w:spacing w:line="240" w:lineRule="auto"/>
        <w:ind w:firstLine="600" w:firstLineChars="249"/>
        <w:rPr>
          <w:b/>
          <w:lang w:eastAsia="zh-CN"/>
        </w:rPr>
      </w:pPr>
      <w:r>
        <w:rPr>
          <w:b/>
          <w:lang w:eastAsia="zh-CN"/>
        </w:rPr>
        <w:t>表</w:t>
      </w:r>
      <w:r>
        <w:rPr>
          <w:rFonts w:hint="eastAsia"/>
          <w:b/>
          <w:lang w:eastAsia="zh-CN"/>
        </w:rPr>
        <w:t>7</w:t>
      </w:r>
      <w:r>
        <w:rPr>
          <w:b/>
          <w:lang w:eastAsia="zh-CN"/>
        </w:rPr>
        <w:t>.</w:t>
      </w:r>
      <w:r>
        <w:rPr>
          <w:rFonts w:hint="eastAsia"/>
          <w:b/>
          <w:lang w:eastAsia="zh-CN"/>
        </w:rPr>
        <w:t>2</w:t>
      </w:r>
      <w:r>
        <w:rPr>
          <w:b/>
          <w:lang w:eastAsia="zh-CN"/>
        </w:rPr>
        <w:t>-</w:t>
      </w:r>
      <w:r>
        <w:rPr>
          <w:rFonts w:hint="eastAsia"/>
          <w:b/>
          <w:lang w:eastAsia="zh-CN"/>
        </w:rPr>
        <w:t>3</w:t>
      </w:r>
      <w:r>
        <w:rPr>
          <w:b/>
          <w:lang w:eastAsia="zh-CN"/>
        </w:rPr>
        <w:t xml:space="preserve">  </w:t>
      </w:r>
      <w:r>
        <w:rPr>
          <w:rFonts w:hint="eastAsia"/>
          <w:b/>
          <w:lang w:eastAsia="zh-CN"/>
        </w:rPr>
        <w:t xml:space="preserve">  </w:t>
      </w:r>
      <w:r>
        <w:rPr>
          <w:b/>
          <w:lang w:eastAsia="zh-CN"/>
        </w:rPr>
        <w:t>交通噪声随距离衰减结果    单位：dB（A）</w:t>
      </w:r>
    </w:p>
    <w:tbl>
      <w:tblPr>
        <w:tblStyle w:val="76"/>
        <w:tblW w:w="5000" w:type="pct"/>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9"/>
        <w:gridCol w:w="971"/>
        <w:gridCol w:w="1157"/>
        <w:gridCol w:w="1159"/>
        <w:gridCol w:w="1159"/>
        <w:gridCol w:w="979"/>
        <w:gridCol w:w="976"/>
        <w:gridCol w:w="1029"/>
      </w:tblGrid>
      <w:tr w14:paraId="266DEB1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vAlign w:val="center"/>
          </w:tcPr>
          <w:p w14:paraId="4152FD95">
            <w:pPr>
              <w:pStyle w:val="574"/>
              <w:spacing w:line="240" w:lineRule="auto"/>
              <w:rPr>
                <w:rFonts w:ascii="Times New Roman" w:hAnsi="Times New Roman"/>
                <w:sz w:val="21"/>
                <w:szCs w:val="21"/>
              </w:rPr>
            </w:pPr>
            <w:r>
              <w:rPr>
                <w:rFonts w:ascii="Times New Roman" w:hAnsi="Times New Roman"/>
                <w:sz w:val="21"/>
                <w:szCs w:val="21"/>
              </w:rPr>
              <w:t>距离</w:t>
            </w:r>
            <w:r>
              <w:rPr>
                <w:rFonts w:hint="eastAsia" w:ascii="Times New Roman" w:hAnsi="Times New Roman"/>
                <w:sz w:val="21"/>
                <w:szCs w:val="21"/>
              </w:rPr>
              <w:t>（m）</w:t>
            </w:r>
          </w:p>
        </w:tc>
        <w:tc>
          <w:tcPr>
            <w:tcW w:w="569" w:type="pct"/>
            <w:vAlign w:val="center"/>
          </w:tcPr>
          <w:p w14:paraId="0C194DF4">
            <w:pPr>
              <w:pStyle w:val="574"/>
              <w:spacing w:line="240" w:lineRule="auto"/>
              <w:rPr>
                <w:rFonts w:ascii="Times New Roman" w:hAnsi="Times New Roman"/>
                <w:sz w:val="21"/>
                <w:szCs w:val="21"/>
              </w:rPr>
            </w:pPr>
            <w:r>
              <w:rPr>
                <w:rFonts w:ascii="Times New Roman" w:hAnsi="Times New Roman"/>
                <w:sz w:val="21"/>
                <w:szCs w:val="21"/>
              </w:rPr>
              <w:t>10</w:t>
            </w:r>
          </w:p>
        </w:tc>
        <w:tc>
          <w:tcPr>
            <w:tcW w:w="678" w:type="pct"/>
            <w:vAlign w:val="center"/>
          </w:tcPr>
          <w:p w14:paraId="07AAE504">
            <w:pPr>
              <w:pStyle w:val="574"/>
              <w:spacing w:line="240" w:lineRule="auto"/>
              <w:rPr>
                <w:rFonts w:ascii="Times New Roman" w:hAnsi="Times New Roman"/>
                <w:sz w:val="21"/>
                <w:szCs w:val="21"/>
              </w:rPr>
            </w:pPr>
            <w:r>
              <w:rPr>
                <w:rFonts w:ascii="Times New Roman" w:hAnsi="Times New Roman"/>
                <w:sz w:val="21"/>
                <w:szCs w:val="21"/>
              </w:rPr>
              <w:t>20</w:t>
            </w:r>
          </w:p>
        </w:tc>
        <w:tc>
          <w:tcPr>
            <w:tcW w:w="679" w:type="pct"/>
            <w:vAlign w:val="center"/>
          </w:tcPr>
          <w:p w14:paraId="73277BD2">
            <w:pPr>
              <w:pStyle w:val="574"/>
              <w:spacing w:line="240" w:lineRule="auto"/>
              <w:rPr>
                <w:rFonts w:ascii="Times New Roman" w:hAnsi="Times New Roman"/>
                <w:sz w:val="21"/>
                <w:szCs w:val="21"/>
              </w:rPr>
            </w:pPr>
            <w:r>
              <w:rPr>
                <w:rFonts w:ascii="Times New Roman" w:hAnsi="Times New Roman"/>
                <w:sz w:val="21"/>
                <w:szCs w:val="21"/>
              </w:rPr>
              <w:t>30</w:t>
            </w:r>
          </w:p>
        </w:tc>
        <w:tc>
          <w:tcPr>
            <w:tcW w:w="679" w:type="pct"/>
            <w:vAlign w:val="center"/>
          </w:tcPr>
          <w:p w14:paraId="2450FC42">
            <w:pPr>
              <w:pStyle w:val="574"/>
              <w:spacing w:line="240" w:lineRule="auto"/>
              <w:rPr>
                <w:rFonts w:ascii="Times New Roman" w:hAnsi="Times New Roman"/>
                <w:sz w:val="21"/>
                <w:szCs w:val="21"/>
              </w:rPr>
            </w:pPr>
            <w:r>
              <w:rPr>
                <w:rFonts w:ascii="Times New Roman" w:hAnsi="Times New Roman"/>
                <w:sz w:val="21"/>
                <w:szCs w:val="21"/>
              </w:rPr>
              <w:t>40</w:t>
            </w:r>
          </w:p>
        </w:tc>
        <w:tc>
          <w:tcPr>
            <w:tcW w:w="574" w:type="pct"/>
            <w:vAlign w:val="center"/>
          </w:tcPr>
          <w:p w14:paraId="258B7AE3">
            <w:pPr>
              <w:pStyle w:val="574"/>
              <w:spacing w:line="240" w:lineRule="auto"/>
              <w:rPr>
                <w:rFonts w:ascii="Times New Roman" w:hAnsi="Times New Roman" w:eastAsia="隶书"/>
                <w:sz w:val="21"/>
                <w:szCs w:val="21"/>
              </w:rPr>
            </w:pPr>
            <w:r>
              <w:rPr>
                <w:rFonts w:ascii="Times New Roman" w:hAnsi="Times New Roman" w:eastAsia="隶书"/>
                <w:sz w:val="21"/>
                <w:szCs w:val="21"/>
              </w:rPr>
              <w:t>50</w:t>
            </w:r>
          </w:p>
        </w:tc>
        <w:tc>
          <w:tcPr>
            <w:tcW w:w="572" w:type="pct"/>
            <w:vAlign w:val="center"/>
          </w:tcPr>
          <w:p w14:paraId="6DCB2319">
            <w:pPr>
              <w:pStyle w:val="574"/>
              <w:spacing w:line="240" w:lineRule="auto"/>
              <w:rPr>
                <w:rFonts w:ascii="Times New Roman" w:hAnsi="Times New Roman" w:eastAsia="隶书"/>
                <w:sz w:val="21"/>
                <w:szCs w:val="21"/>
              </w:rPr>
            </w:pPr>
            <w:r>
              <w:rPr>
                <w:rFonts w:ascii="Times New Roman" w:hAnsi="Times New Roman" w:eastAsia="隶书"/>
                <w:sz w:val="21"/>
                <w:szCs w:val="21"/>
              </w:rPr>
              <w:t>100</w:t>
            </w:r>
          </w:p>
        </w:tc>
        <w:tc>
          <w:tcPr>
            <w:tcW w:w="603" w:type="pct"/>
            <w:vAlign w:val="center"/>
          </w:tcPr>
          <w:p w14:paraId="264F1FFC">
            <w:pPr>
              <w:pStyle w:val="574"/>
              <w:spacing w:line="240" w:lineRule="auto"/>
              <w:rPr>
                <w:rFonts w:ascii="Times New Roman" w:hAnsi="Times New Roman" w:eastAsia="隶书"/>
                <w:sz w:val="21"/>
                <w:szCs w:val="21"/>
              </w:rPr>
            </w:pPr>
            <w:r>
              <w:rPr>
                <w:rFonts w:ascii="Times New Roman" w:hAnsi="Times New Roman" w:eastAsia="隶书"/>
                <w:sz w:val="21"/>
                <w:szCs w:val="21"/>
              </w:rPr>
              <w:t>200</w:t>
            </w:r>
          </w:p>
        </w:tc>
      </w:tr>
      <w:tr w14:paraId="17BE164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45" w:type="pct"/>
            <w:vAlign w:val="center"/>
          </w:tcPr>
          <w:p w14:paraId="7B80673A">
            <w:pPr>
              <w:pStyle w:val="574"/>
              <w:spacing w:line="240" w:lineRule="auto"/>
              <w:rPr>
                <w:rFonts w:ascii="Times New Roman" w:hAnsi="Times New Roman"/>
                <w:sz w:val="21"/>
                <w:szCs w:val="21"/>
              </w:rPr>
            </w:pPr>
            <w:r>
              <w:rPr>
                <w:rFonts w:ascii="Times New Roman" w:hAnsi="Times New Roman"/>
                <w:sz w:val="21"/>
                <w:szCs w:val="21"/>
              </w:rPr>
              <w:t>交通噪声</w:t>
            </w:r>
          </w:p>
        </w:tc>
        <w:tc>
          <w:tcPr>
            <w:tcW w:w="569" w:type="pct"/>
            <w:vAlign w:val="center"/>
          </w:tcPr>
          <w:p w14:paraId="105E64CE">
            <w:pPr>
              <w:pStyle w:val="574"/>
              <w:spacing w:line="240" w:lineRule="auto"/>
              <w:rPr>
                <w:rFonts w:ascii="Times New Roman" w:hAnsi="Times New Roman"/>
                <w:sz w:val="21"/>
                <w:szCs w:val="21"/>
              </w:rPr>
            </w:pPr>
            <w:r>
              <w:rPr>
                <w:rFonts w:ascii="Times New Roman" w:hAnsi="Times New Roman"/>
                <w:sz w:val="21"/>
                <w:szCs w:val="21"/>
              </w:rPr>
              <w:t>55.0</w:t>
            </w:r>
          </w:p>
        </w:tc>
        <w:tc>
          <w:tcPr>
            <w:tcW w:w="678" w:type="pct"/>
            <w:vAlign w:val="center"/>
          </w:tcPr>
          <w:p w14:paraId="64D20B1C">
            <w:pPr>
              <w:pStyle w:val="574"/>
              <w:spacing w:line="240" w:lineRule="auto"/>
              <w:rPr>
                <w:rFonts w:ascii="Times New Roman" w:hAnsi="Times New Roman"/>
                <w:sz w:val="21"/>
                <w:szCs w:val="21"/>
              </w:rPr>
            </w:pPr>
            <w:r>
              <w:rPr>
                <w:rFonts w:ascii="Times New Roman" w:hAnsi="Times New Roman"/>
                <w:sz w:val="21"/>
                <w:szCs w:val="21"/>
              </w:rPr>
              <w:t>48.97</w:t>
            </w:r>
          </w:p>
        </w:tc>
        <w:tc>
          <w:tcPr>
            <w:tcW w:w="679" w:type="pct"/>
            <w:vAlign w:val="center"/>
          </w:tcPr>
          <w:p w14:paraId="5E3F17C9">
            <w:pPr>
              <w:pStyle w:val="574"/>
              <w:spacing w:line="240" w:lineRule="auto"/>
              <w:rPr>
                <w:rFonts w:ascii="Times New Roman" w:hAnsi="Times New Roman"/>
                <w:sz w:val="21"/>
                <w:szCs w:val="21"/>
              </w:rPr>
            </w:pPr>
            <w:r>
              <w:rPr>
                <w:rFonts w:ascii="Times New Roman" w:hAnsi="Times New Roman"/>
                <w:sz w:val="21"/>
                <w:szCs w:val="21"/>
              </w:rPr>
              <w:t>45.46</w:t>
            </w:r>
          </w:p>
        </w:tc>
        <w:tc>
          <w:tcPr>
            <w:tcW w:w="679" w:type="pct"/>
            <w:vAlign w:val="center"/>
          </w:tcPr>
          <w:p w14:paraId="6A0A9294">
            <w:pPr>
              <w:pStyle w:val="574"/>
              <w:spacing w:line="240" w:lineRule="auto"/>
              <w:rPr>
                <w:rFonts w:ascii="Times New Roman" w:hAnsi="Times New Roman"/>
                <w:sz w:val="21"/>
                <w:szCs w:val="21"/>
              </w:rPr>
            </w:pPr>
            <w:r>
              <w:rPr>
                <w:rFonts w:ascii="Times New Roman" w:hAnsi="Times New Roman"/>
                <w:sz w:val="21"/>
                <w:szCs w:val="21"/>
              </w:rPr>
              <w:t>42.96</w:t>
            </w:r>
          </w:p>
        </w:tc>
        <w:tc>
          <w:tcPr>
            <w:tcW w:w="574" w:type="pct"/>
            <w:vAlign w:val="center"/>
          </w:tcPr>
          <w:p w14:paraId="6EB169E1">
            <w:pPr>
              <w:pStyle w:val="574"/>
              <w:spacing w:line="240" w:lineRule="auto"/>
              <w:rPr>
                <w:rFonts w:ascii="Times New Roman" w:hAnsi="Times New Roman" w:eastAsia="隶书"/>
                <w:sz w:val="21"/>
                <w:szCs w:val="21"/>
              </w:rPr>
            </w:pPr>
            <w:r>
              <w:rPr>
                <w:rFonts w:ascii="Times New Roman" w:hAnsi="Times New Roman" w:eastAsia="隶书"/>
                <w:sz w:val="21"/>
                <w:szCs w:val="21"/>
              </w:rPr>
              <w:t>41.02</w:t>
            </w:r>
          </w:p>
        </w:tc>
        <w:tc>
          <w:tcPr>
            <w:tcW w:w="572" w:type="pct"/>
            <w:vAlign w:val="center"/>
          </w:tcPr>
          <w:p w14:paraId="6DC5B242">
            <w:pPr>
              <w:pStyle w:val="574"/>
              <w:spacing w:line="240" w:lineRule="auto"/>
              <w:rPr>
                <w:rFonts w:ascii="Times New Roman" w:hAnsi="Times New Roman" w:eastAsia="隶书"/>
                <w:sz w:val="21"/>
                <w:szCs w:val="21"/>
              </w:rPr>
            </w:pPr>
            <w:r>
              <w:rPr>
                <w:rFonts w:ascii="Times New Roman" w:hAnsi="Times New Roman" w:eastAsia="隶书"/>
                <w:sz w:val="21"/>
                <w:szCs w:val="21"/>
              </w:rPr>
              <w:t>35.0</w:t>
            </w:r>
          </w:p>
        </w:tc>
        <w:tc>
          <w:tcPr>
            <w:tcW w:w="603" w:type="pct"/>
            <w:vAlign w:val="center"/>
          </w:tcPr>
          <w:p w14:paraId="073296C0">
            <w:pPr>
              <w:pStyle w:val="574"/>
              <w:spacing w:line="240" w:lineRule="auto"/>
              <w:rPr>
                <w:rFonts w:ascii="Times New Roman" w:hAnsi="Times New Roman" w:eastAsia="隶书"/>
                <w:sz w:val="21"/>
                <w:szCs w:val="21"/>
              </w:rPr>
            </w:pPr>
            <w:r>
              <w:rPr>
                <w:rFonts w:ascii="Times New Roman" w:hAnsi="Times New Roman" w:eastAsia="隶书"/>
                <w:sz w:val="21"/>
                <w:szCs w:val="21"/>
              </w:rPr>
              <w:t>28.98</w:t>
            </w:r>
          </w:p>
        </w:tc>
      </w:tr>
    </w:tbl>
    <w:p w14:paraId="07C9CA91">
      <w:pPr>
        <w:ind w:firstLine="480"/>
        <w:rPr>
          <w:rFonts w:asciiTheme="minorEastAsia" w:hAnsiTheme="minorEastAsia" w:eastAsiaTheme="minorEastAsia"/>
          <w:lang w:eastAsia="zh-CN"/>
        </w:rPr>
      </w:pPr>
      <w:r>
        <w:rPr>
          <w:rFonts w:asciiTheme="minorEastAsia" w:hAnsiTheme="minorEastAsia" w:eastAsiaTheme="minorEastAsia"/>
          <w:lang w:eastAsia="zh-CN"/>
        </w:rPr>
        <w:t>由表</w:t>
      </w:r>
      <w:r>
        <w:rPr>
          <w:rFonts w:hint="eastAsia" w:asciiTheme="minorEastAsia" w:hAnsiTheme="minorEastAsia" w:eastAsiaTheme="minorEastAsia"/>
          <w:lang w:eastAsia="zh-CN"/>
        </w:rPr>
        <w:t>7.2-3</w:t>
      </w:r>
      <w:r>
        <w:rPr>
          <w:rFonts w:asciiTheme="minorEastAsia" w:hAnsiTheme="minorEastAsia" w:eastAsiaTheme="minorEastAsia"/>
          <w:lang w:eastAsia="zh-CN"/>
        </w:rPr>
        <w:t>可以看出，交通噪声主要为距离衰减，在50m</w:t>
      </w:r>
      <w:r>
        <w:rPr>
          <w:rFonts w:hint="eastAsia" w:asciiTheme="minorEastAsia" w:hAnsiTheme="minorEastAsia" w:eastAsiaTheme="minorEastAsia"/>
          <w:lang w:eastAsia="zh-CN"/>
        </w:rPr>
        <w:t>处</w:t>
      </w:r>
      <w:r>
        <w:rPr>
          <w:rFonts w:asciiTheme="minorEastAsia" w:hAnsiTheme="minorEastAsia" w:eastAsiaTheme="minorEastAsia"/>
          <w:lang w:eastAsia="zh-CN"/>
        </w:rPr>
        <w:t>噪声值为41.02dB（A），车辆运输</w:t>
      </w:r>
      <w:r>
        <w:rPr>
          <w:rFonts w:hint="eastAsia" w:asciiTheme="minorEastAsia" w:hAnsiTheme="minorEastAsia" w:eastAsiaTheme="minorEastAsia"/>
          <w:lang w:eastAsia="zh-CN"/>
        </w:rPr>
        <w:t>时应</w:t>
      </w:r>
      <w:r>
        <w:rPr>
          <w:rFonts w:asciiTheme="minorEastAsia" w:hAnsiTheme="minorEastAsia" w:eastAsiaTheme="minorEastAsia"/>
          <w:lang w:eastAsia="zh-CN"/>
        </w:rPr>
        <w:t>禁止鸣笛，可有效减少噪声对环境的影响。</w:t>
      </w:r>
    </w:p>
    <w:p w14:paraId="77731152">
      <w:pPr>
        <w:ind w:firstLine="480"/>
        <w:rPr>
          <w:rFonts w:asciiTheme="minorEastAsia" w:hAnsiTheme="minorEastAsia" w:eastAsiaTheme="minorEastAsia"/>
          <w:lang w:eastAsia="zh-CN"/>
        </w:rPr>
      </w:pPr>
      <w:r>
        <w:rPr>
          <w:rFonts w:asciiTheme="minorEastAsia" w:hAnsiTheme="minorEastAsia" w:eastAsiaTheme="minorEastAsia"/>
          <w:lang w:eastAsia="zh-CN"/>
        </w:rPr>
        <w:t>本项目进场道路及油田范围内联络道路两侧</w:t>
      </w:r>
      <w:r>
        <w:rPr>
          <w:rFonts w:hint="eastAsia" w:asciiTheme="minorEastAsia" w:hAnsiTheme="minorEastAsia" w:eastAsiaTheme="minorEastAsia"/>
          <w:lang w:eastAsia="zh-CN"/>
        </w:rPr>
        <w:t>50</w:t>
      </w:r>
      <w:r>
        <w:rPr>
          <w:rFonts w:asciiTheme="minorEastAsia" w:hAnsiTheme="minorEastAsia" w:eastAsiaTheme="minorEastAsia"/>
          <w:lang w:eastAsia="zh-CN"/>
        </w:rPr>
        <w:t>m范围内均无居民，车辆对周围环境的影响较小。</w:t>
      </w:r>
    </w:p>
    <w:p w14:paraId="37B42B32">
      <w:pPr>
        <w:pStyle w:val="3"/>
        <w:spacing w:afterLines="50" w:line="560" w:lineRule="exact"/>
        <w:rPr>
          <w:lang w:eastAsia="zh-CN"/>
        </w:rPr>
      </w:pPr>
      <w:bookmarkStart w:id="408" w:name="_Toc408413994"/>
      <w:bookmarkStart w:id="409" w:name="_Toc338663571"/>
      <w:bookmarkStart w:id="410" w:name="_Toc280020167"/>
      <w:bookmarkStart w:id="411" w:name="_Toc279676768"/>
      <w:r>
        <w:rPr>
          <w:lang w:eastAsia="zh-CN"/>
        </w:rPr>
        <w:t>7.3噪声污染防治措施</w:t>
      </w:r>
      <w:bookmarkEnd w:id="408"/>
      <w:bookmarkEnd w:id="409"/>
      <w:bookmarkEnd w:id="410"/>
      <w:bookmarkEnd w:id="411"/>
    </w:p>
    <w:p w14:paraId="0FDCE8E4">
      <w:pPr>
        <w:pStyle w:val="4"/>
        <w:spacing w:afterLines="50" w:line="560" w:lineRule="exact"/>
        <w:rPr>
          <w:lang w:eastAsia="zh-CN"/>
        </w:rPr>
      </w:pPr>
      <w:bookmarkStart w:id="412" w:name="_Toc408413995"/>
      <w:bookmarkStart w:id="413" w:name="_Toc338663572"/>
      <w:r>
        <w:rPr>
          <w:lang w:eastAsia="zh-CN"/>
        </w:rPr>
        <w:t>7.3.1施工期噪声污染防治措施</w:t>
      </w:r>
      <w:bookmarkEnd w:id="412"/>
      <w:bookmarkEnd w:id="413"/>
    </w:p>
    <w:p w14:paraId="3457A90E">
      <w:pPr>
        <w:ind w:firstLine="480"/>
        <w:rPr>
          <w:rFonts w:asciiTheme="minorEastAsia" w:hAnsiTheme="minorEastAsia" w:eastAsiaTheme="minorEastAsia"/>
          <w:lang w:eastAsia="zh-CN"/>
        </w:rPr>
      </w:pPr>
      <w:r>
        <w:rPr>
          <w:rFonts w:asciiTheme="minorEastAsia" w:hAnsiTheme="minorEastAsia" w:eastAsiaTheme="minorEastAsia"/>
          <w:lang w:eastAsia="zh-CN"/>
        </w:rPr>
        <w:t>1、对钻井作业过程中使用的柴油机，要求一律在排气口安装消声器，既可减少对外环境的影响，又有利于井场工作人员的自身防护；</w:t>
      </w:r>
    </w:p>
    <w:p w14:paraId="292A675B">
      <w:pPr>
        <w:ind w:firstLine="480"/>
        <w:rPr>
          <w:rFonts w:asciiTheme="minorEastAsia" w:hAnsiTheme="minorEastAsia" w:eastAsiaTheme="minorEastAsia"/>
          <w:lang w:eastAsia="zh-CN"/>
        </w:rPr>
      </w:pPr>
      <w:r>
        <w:rPr>
          <w:rFonts w:asciiTheme="minorEastAsia" w:hAnsiTheme="minorEastAsia" w:eastAsiaTheme="minorEastAsia"/>
          <w:lang w:eastAsia="zh-CN"/>
        </w:rPr>
        <w:t>2、项目在施工过程中，施工设备坚持日常检查制度，按规定期限进行保养，控制设备因不正常运行而出现高噪声的排放；</w:t>
      </w:r>
    </w:p>
    <w:p w14:paraId="285C19CD">
      <w:pPr>
        <w:ind w:firstLine="480"/>
        <w:rPr>
          <w:rFonts w:asciiTheme="minorEastAsia" w:hAnsiTheme="minorEastAsia" w:eastAsiaTheme="minorEastAsia"/>
          <w:lang w:eastAsia="zh-CN"/>
        </w:rPr>
      </w:pPr>
      <w:r>
        <w:rPr>
          <w:rFonts w:asciiTheme="minorEastAsia" w:hAnsiTheme="minorEastAsia" w:eastAsiaTheme="minorEastAsia"/>
          <w:lang w:eastAsia="zh-CN"/>
        </w:rPr>
        <w:t>3、合理安排施工平面布局，控制施工进度，调整同时作业的施工机械数量，合理安排施工时间；</w:t>
      </w:r>
    </w:p>
    <w:p w14:paraId="40BEADCC">
      <w:pPr>
        <w:ind w:firstLine="480"/>
        <w:rPr>
          <w:rFonts w:asciiTheme="minorEastAsia" w:hAnsiTheme="minorEastAsia" w:eastAsiaTheme="minorEastAsia"/>
          <w:lang w:eastAsia="zh-CN"/>
        </w:rPr>
      </w:pPr>
      <w:r>
        <w:rPr>
          <w:rFonts w:asciiTheme="minorEastAsia" w:hAnsiTheme="minorEastAsia" w:eastAsiaTheme="minorEastAsia"/>
          <w:lang w:eastAsia="zh-CN"/>
        </w:rPr>
        <w:t>4、尽量避免夜间施工，以降低施工噪声对周围环境的影响</w:t>
      </w:r>
      <w:r>
        <w:rPr>
          <w:rFonts w:hint="eastAsia" w:asciiTheme="minorEastAsia" w:hAnsiTheme="minorEastAsia" w:eastAsiaTheme="minorEastAsia"/>
          <w:lang w:eastAsia="zh-CN"/>
        </w:rPr>
        <w:t>。</w:t>
      </w:r>
    </w:p>
    <w:p w14:paraId="5C044862">
      <w:pPr>
        <w:pStyle w:val="4"/>
        <w:rPr>
          <w:lang w:eastAsia="zh-CN"/>
        </w:rPr>
      </w:pPr>
      <w:bookmarkStart w:id="414" w:name="_Toc408413996"/>
      <w:bookmarkStart w:id="415" w:name="_Toc338663573"/>
      <w:r>
        <w:rPr>
          <w:lang w:eastAsia="zh-CN"/>
        </w:rPr>
        <w:t>7.3.2运行期噪声污染防治措施</w:t>
      </w:r>
      <w:bookmarkEnd w:id="414"/>
      <w:bookmarkEnd w:id="415"/>
    </w:p>
    <w:p w14:paraId="7BA9E7BB">
      <w:pPr>
        <w:ind w:firstLine="480"/>
        <w:rPr>
          <w:rFonts w:asciiTheme="minorEastAsia" w:hAnsiTheme="minorEastAsia" w:eastAsiaTheme="minorEastAsia"/>
          <w:lang w:eastAsia="zh-CN"/>
        </w:rPr>
      </w:pPr>
      <w:r>
        <w:rPr>
          <w:rFonts w:asciiTheme="minorEastAsia" w:hAnsiTheme="minorEastAsia" w:eastAsiaTheme="minorEastAsia"/>
          <w:lang w:eastAsia="zh-CN"/>
        </w:rPr>
        <w:t>1、对各种机电产品选用时，除考虑满足生产工艺技术要求外，选型还必须考虑产品具备良好的声学特性（高效低噪），向供货制造设备厂方提出限制噪声要求。对于噪声较高的设备应与厂方协商提供相配套的降噪设施。</w:t>
      </w:r>
    </w:p>
    <w:p w14:paraId="1929141D">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2、高噪声设备至于封闭厂房内，各类产噪声设备采取基础减振降噪、风机房和泵房</w:t>
      </w:r>
      <w:r>
        <w:rPr>
          <w:rFonts w:asciiTheme="minorEastAsia" w:hAnsiTheme="minorEastAsia" w:eastAsiaTheme="minorEastAsia"/>
          <w:lang w:eastAsia="zh-CN"/>
        </w:rPr>
        <w:t>设隔音材料</w:t>
      </w:r>
      <w:r>
        <w:rPr>
          <w:rFonts w:hint="eastAsia" w:asciiTheme="minorEastAsia" w:hAnsiTheme="minorEastAsia" w:eastAsiaTheme="minorEastAsia"/>
          <w:lang w:eastAsia="zh-CN"/>
        </w:rPr>
        <w:t>等措施。</w:t>
      </w:r>
    </w:p>
    <w:p w14:paraId="4073B50E">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3</w:t>
      </w:r>
      <w:r>
        <w:rPr>
          <w:rFonts w:asciiTheme="minorEastAsia" w:hAnsiTheme="minorEastAsia" w:eastAsiaTheme="minorEastAsia"/>
          <w:lang w:eastAsia="zh-CN"/>
        </w:rPr>
        <w:t>、对项目运营阶段使用的柴油发电机一律要求在排气口安装消声器</w:t>
      </w:r>
      <w:r>
        <w:rPr>
          <w:rFonts w:hint="eastAsia" w:asciiTheme="minorEastAsia" w:hAnsiTheme="minorEastAsia" w:eastAsiaTheme="minorEastAsia"/>
          <w:lang w:eastAsia="zh-CN"/>
        </w:rPr>
        <w:t>。</w:t>
      </w:r>
    </w:p>
    <w:p w14:paraId="3449020C">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4</w:t>
      </w:r>
      <w:r>
        <w:rPr>
          <w:rFonts w:asciiTheme="minorEastAsia" w:hAnsiTheme="minorEastAsia" w:eastAsiaTheme="minorEastAsia"/>
          <w:lang w:eastAsia="zh-CN"/>
        </w:rPr>
        <w:t>、对操作工人佩发耳塞、耳罩和其它防护用品，同时切合实际的提高工艺设备自动化水平，尽量减少操作工人在高噪场所的停留时间</w:t>
      </w:r>
      <w:r>
        <w:rPr>
          <w:rFonts w:hint="eastAsia" w:asciiTheme="minorEastAsia" w:hAnsiTheme="minorEastAsia" w:eastAsiaTheme="minorEastAsia"/>
          <w:lang w:eastAsia="zh-CN"/>
        </w:rPr>
        <w:t>。</w:t>
      </w:r>
    </w:p>
    <w:p w14:paraId="55CF7CA2">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5</w:t>
      </w:r>
      <w:r>
        <w:rPr>
          <w:rFonts w:asciiTheme="minorEastAsia" w:hAnsiTheme="minorEastAsia" w:eastAsiaTheme="minorEastAsia"/>
          <w:lang w:eastAsia="zh-CN"/>
        </w:rPr>
        <w:t>、在</w:t>
      </w:r>
      <w:r>
        <w:rPr>
          <w:rFonts w:hint="eastAsia" w:asciiTheme="minorEastAsia" w:hAnsiTheme="minorEastAsia" w:eastAsiaTheme="minorEastAsia"/>
          <w:lang w:eastAsia="zh-CN"/>
        </w:rPr>
        <w:t>站场</w:t>
      </w:r>
      <w:r>
        <w:rPr>
          <w:rFonts w:asciiTheme="minorEastAsia" w:hAnsiTheme="minorEastAsia" w:eastAsiaTheme="minorEastAsia"/>
          <w:lang w:eastAsia="zh-CN"/>
        </w:rPr>
        <w:t>周围200m范围内不得建设居民点等敏感建筑。</w:t>
      </w:r>
    </w:p>
    <w:p w14:paraId="26BAFB3D">
      <w:pPr>
        <w:adjustRightInd w:val="0"/>
        <w:snapToGrid w:val="0"/>
        <w:ind w:firstLine="480"/>
        <w:rPr>
          <w:snapToGrid w:val="0"/>
          <w:lang w:eastAsia="zh-CN"/>
        </w:rPr>
        <w:sectPr>
          <w:pgSz w:w="11907" w:h="16840"/>
          <w:pgMar w:top="1440" w:right="1797" w:bottom="1440" w:left="1797" w:header="851" w:footer="992" w:gutter="0"/>
          <w:cols w:space="720" w:num="1"/>
          <w:docGrid w:linePitch="312" w:charSpace="0"/>
        </w:sectPr>
      </w:pPr>
    </w:p>
    <w:p w14:paraId="22E19EBB">
      <w:pPr>
        <w:pStyle w:val="2"/>
        <w:rPr>
          <w:lang w:eastAsia="zh-CN"/>
        </w:rPr>
      </w:pPr>
      <w:bookmarkStart w:id="416" w:name="_Toc408413997"/>
      <w:bookmarkStart w:id="417" w:name="_Toc248649437"/>
      <w:bookmarkStart w:id="418" w:name="_Toc248649450"/>
      <w:bookmarkStart w:id="419" w:name="_Toc196215812"/>
      <w:bookmarkStart w:id="420" w:name="_Toc189535436"/>
      <w:r>
        <w:rPr>
          <w:lang w:eastAsia="zh-CN"/>
        </w:rPr>
        <w:t>8固体</w:t>
      </w:r>
      <w:r>
        <w:rPr>
          <w:rFonts w:hint="eastAsia"/>
          <w:lang w:eastAsia="zh-CN"/>
        </w:rPr>
        <w:t>废物</w:t>
      </w:r>
      <w:r>
        <w:rPr>
          <w:lang w:eastAsia="zh-CN"/>
        </w:rPr>
        <w:t>环境影响评价</w:t>
      </w:r>
      <w:bookmarkEnd w:id="416"/>
    </w:p>
    <w:bookmarkEnd w:id="417"/>
    <w:p w14:paraId="672C8F50">
      <w:pPr>
        <w:ind w:firstLine="480"/>
        <w:rPr>
          <w:rFonts w:asciiTheme="minorEastAsia" w:hAnsiTheme="minorEastAsia" w:eastAsiaTheme="minorEastAsia"/>
          <w:lang w:eastAsia="zh-CN"/>
        </w:rPr>
      </w:pPr>
      <w:bookmarkStart w:id="421" w:name="_Toc182140937"/>
      <w:bookmarkStart w:id="422" w:name="_Toc338663576"/>
      <w:bookmarkStart w:id="423" w:name="_Toc280020111"/>
      <w:bookmarkStart w:id="424" w:name="_Toc279676712"/>
      <w:r>
        <w:rPr>
          <w:rFonts w:asciiTheme="minorEastAsia" w:hAnsiTheme="minorEastAsia" w:eastAsiaTheme="minorEastAsia"/>
          <w:lang w:eastAsia="zh-CN"/>
        </w:rPr>
        <w:t>油田开发过程中的废弃物主要有钻井废弃泥浆、钻井岩屑、</w:t>
      </w:r>
      <w:r>
        <w:rPr>
          <w:rFonts w:hint="eastAsia" w:asciiTheme="minorEastAsia" w:hAnsiTheme="minorEastAsia" w:eastAsiaTheme="minorEastAsia"/>
          <w:lang w:eastAsia="zh-CN"/>
        </w:rPr>
        <w:t>落地油、</w:t>
      </w:r>
      <w:r>
        <w:rPr>
          <w:rFonts w:asciiTheme="minorEastAsia" w:hAnsiTheme="minorEastAsia" w:eastAsiaTheme="minorEastAsia"/>
          <w:lang w:eastAsia="zh-CN"/>
        </w:rPr>
        <w:t>原油储罐底部分离出的泥砂、办公生活区产生的生活垃圾，以及生产废水及生活污水处理产生的污泥。</w:t>
      </w:r>
    </w:p>
    <w:p w14:paraId="40FE3BE9">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乌里雅斯太油田开发建设过程中固体废物</w:t>
      </w:r>
      <w:r>
        <w:rPr>
          <w:rFonts w:asciiTheme="minorEastAsia" w:hAnsiTheme="minorEastAsia" w:eastAsiaTheme="minorEastAsia"/>
          <w:lang w:eastAsia="zh-CN"/>
        </w:rPr>
        <w:t>产</w:t>
      </w:r>
      <w:r>
        <w:rPr>
          <w:rFonts w:hint="eastAsia" w:asciiTheme="minorEastAsia" w:hAnsiTheme="minorEastAsia" w:eastAsiaTheme="minorEastAsia"/>
          <w:lang w:eastAsia="zh-CN"/>
        </w:rPr>
        <w:t>（排）情况见表3.6-6。</w:t>
      </w:r>
    </w:p>
    <w:p w14:paraId="4A4BA171">
      <w:pPr>
        <w:pStyle w:val="3"/>
        <w:rPr>
          <w:lang w:eastAsia="zh-CN"/>
        </w:rPr>
      </w:pPr>
      <w:bookmarkStart w:id="425" w:name="_Toc408413998"/>
      <w:r>
        <w:rPr>
          <w:lang w:eastAsia="zh-CN"/>
        </w:rPr>
        <w:t>8.</w:t>
      </w:r>
      <w:r>
        <w:rPr>
          <w:rFonts w:hint="eastAsia"/>
          <w:lang w:eastAsia="zh-CN"/>
        </w:rPr>
        <w:t>1</w:t>
      </w:r>
      <w:r>
        <w:rPr>
          <w:lang w:eastAsia="zh-CN"/>
        </w:rPr>
        <w:t>钻井废弃泥浆对环境</w:t>
      </w:r>
      <w:r>
        <w:rPr>
          <w:rFonts w:hint="eastAsia"/>
          <w:lang w:eastAsia="zh-CN"/>
        </w:rPr>
        <w:t>的</w:t>
      </w:r>
      <w:r>
        <w:rPr>
          <w:lang w:eastAsia="zh-CN"/>
        </w:rPr>
        <w:t>影响</w:t>
      </w:r>
      <w:bookmarkEnd w:id="421"/>
      <w:bookmarkEnd w:id="422"/>
      <w:bookmarkEnd w:id="423"/>
      <w:bookmarkEnd w:id="424"/>
      <w:r>
        <w:rPr>
          <w:rFonts w:hint="eastAsia"/>
          <w:lang w:eastAsia="zh-CN"/>
        </w:rPr>
        <w:t>及保护措施</w:t>
      </w:r>
      <w:bookmarkEnd w:id="425"/>
    </w:p>
    <w:p w14:paraId="4D1F1115">
      <w:pPr>
        <w:ind w:firstLine="480"/>
        <w:rPr>
          <w:rFonts w:asciiTheme="minorEastAsia" w:hAnsiTheme="minorEastAsia" w:eastAsiaTheme="minorEastAsia"/>
          <w:lang w:eastAsia="zh-CN"/>
        </w:rPr>
      </w:pPr>
      <w:r>
        <w:rPr>
          <w:rFonts w:asciiTheme="minorEastAsia" w:hAnsiTheme="minorEastAsia" w:eastAsiaTheme="minorEastAsia"/>
          <w:lang w:eastAsia="zh-CN"/>
        </w:rPr>
        <w:t>泥浆用于钻井作业，起携带岩屑、稳定井壁、冷却和冲洗钻头、调节油层区压以及防止井喷、塌、卡等作用。本项目在钻井过程中根据不同的地层和不同的时段，本着以下原则选用不同的钻井泥浆体系：一要毒性小、满足环保要求；二要泥浆流动性能要好，环空阻力小，减少或避免漏失发生；三是保持井壁稳定，防止井径扩大；四是泥浆润滑性要好，满足定向井施工要求；五是保护油层，防止油层伤害。</w:t>
      </w:r>
    </w:p>
    <w:p w14:paraId="339942F3">
      <w:pPr>
        <w:ind w:firstLine="480"/>
        <w:rPr>
          <w:rFonts w:asciiTheme="minorEastAsia" w:hAnsiTheme="minorEastAsia" w:eastAsiaTheme="minorEastAsia"/>
          <w:lang w:eastAsia="zh-CN"/>
        </w:rPr>
      </w:pPr>
      <w:r>
        <w:rPr>
          <w:rFonts w:asciiTheme="minorEastAsia" w:hAnsiTheme="minorEastAsia" w:eastAsiaTheme="minorEastAsia"/>
          <w:lang w:eastAsia="zh-CN"/>
        </w:rPr>
        <w:t>乌里雅斯太油田对产生的钻井废弃泥浆进行无害化处理，产生的废弃泥浆排入井场泥浆池中进行无害化固化稳定处理，然后进行填埋。对开发区块内的所有泥浆池进行防渗防漏处理，防止泥浆渗漏对土壤和地下水的影响。泥浆池防渗系数应小于1.0×10</w:t>
      </w:r>
      <w:r>
        <w:rPr>
          <w:rFonts w:asciiTheme="minorEastAsia" w:hAnsiTheme="minorEastAsia" w:eastAsiaTheme="minorEastAsia"/>
          <w:vertAlign w:val="superscript"/>
          <w:lang w:eastAsia="zh-CN"/>
        </w:rPr>
        <w:t>-7</w:t>
      </w:r>
      <w:r>
        <w:rPr>
          <w:rFonts w:asciiTheme="minorEastAsia" w:hAnsiTheme="minorEastAsia" w:eastAsiaTheme="minorEastAsia"/>
          <w:lang w:eastAsia="zh-CN"/>
        </w:rPr>
        <w:t>cm/s。</w:t>
      </w:r>
    </w:p>
    <w:p w14:paraId="70587C16">
      <w:pPr>
        <w:ind w:firstLine="480"/>
        <w:rPr>
          <w:lang w:eastAsia="zh-CN"/>
        </w:rPr>
      </w:pPr>
      <w:r>
        <w:rPr>
          <w:lang w:eastAsia="zh-CN"/>
        </w:rPr>
        <w:t>根据</w:t>
      </w:r>
      <w:r>
        <w:rPr>
          <w:rFonts w:hint="eastAsia"/>
          <w:lang w:eastAsia="zh-CN"/>
        </w:rPr>
        <w:t>阿尔善油田开采数据类比</w:t>
      </w:r>
      <w:r>
        <w:rPr>
          <w:lang w:eastAsia="zh-CN"/>
        </w:rPr>
        <w:t>，泥浆采取无害化固化措施处理后，固化前后泥浆池中的污染物浓度的变化情况见表8.</w:t>
      </w:r>
      <w:r>
        <w:rPr>
          <w:rFonts w:hint="eastAsia"/>
          <w:lang w:eastAsia="zh-CN"/>
        </w:rPr>
        <w:t>1</w:t>
      </w:r>
      <w:r>
        <w:rPr>
          <w:lang w:eastAsia="zh-CN"/>
        </w:rPr>
        <w:t>-1。</w:t>
      </w:r>
    </w:p>
    <w:p w14:paraId="7CA37D2A">
      <w:pPr>
        <w:spacing w:line="240" w:lineRule="auto"/>
        <w:ind w:firstLine="482"/>
        <w:rPr>
          <w:b/>
          <w:lang w:eastAsia="zh-CN"/>
        </w:rPr>
      </w:pPr>
      <w:r>
        <w:rPr>
          <w:b/>
          <w:lang w:eastAsia="zh-CN"/>
        </w:rPr>
        <w:t>表8.</w:t>
      </w:r>
      <w:r>
        <w:rPr>
          <w:rFonts w:hint="eastAsia"/>
          <w:b/>
          <w:lang w:eastAsia="zh-CN"/>
        </w:rPr>
        <w:t>1</w:t>
      </w:r>
      <w:r>
        <w:rPr>
          <w:b/>
          <w:lang w:eastAsia="zh-CN"/>
        </w:rPr>
        <w:t xml:space="preserve">-1  </w:t>
      </w:r>
      <w:r>
        <w:rPr>
          <w:rFonts w:hint="eastAsia"/>
          <w:b/>
          <w:lang w:eastAsia="zh-CN"/>
        </w:rPr>
        <w:t xml:space="preserve">   </w:t>
      </w:r>
      <w:r>
        <w:rPr>
          <w:b/>
          <w:lang w:eastAsia="zh-CN"/>
        </w:rPr>
        <w:t>固化前后污染物的浓度变化表</w:t>
      </w:r>
    </w:p>
    <w:tbl>
      <w:tblPr>
        <w:tblStyle w:val="7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52"/>
        <w:gridCol w:w="3415"/>
        <w:gridCol w:w="3362"/>
      </w:tblGrid>
      <w:tr w14:paraId="3D8D29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52" w:type="dxa"/>
            <w:vAlign w:val="center"/>
          </w:tcPr>
          <w:p w14:paraId="5012641B">
            <w:pPr>
              <w:pStyle w:val="337"/>
              <w:adjustRightInd w:val="0"/>
              <w:snapToGrid w:val="0"/>
              <w:rPr>
                <w:color w:val="auto"/>
                <w:lang w:val="en-US" w:eastAsia="zh-CN" w:bidi="en-US"/>
              </w:rPr>
            </w:pPr>
            <w:r>
              <w:rPr>
                <w:color w:val="auto"/>
                <w:lang w:val="en-US" w:eastAsia="zh-CN" w:bidi="en-US"/>
              </w:rPr>
              <w:t>污染物</w:t>
            </w:r>
          </w:p>
        </w:tc>
        <w:tc>
          <w:tcPr>
            <w:tcW w:w="3415" w:type="dxa"/>
            <w:vAlign w:val="center"/>
          </w:tcPr>
          <w:p w14:paraId="2BD3E352">
            <w:pPr>
              <w:pStyle w:val="337"/>
              <w:adjustRightInd w:val="0"/>
              <w:snapToGrid w:val="0"/>
              <w:rPr>
                <w:color w:val="auto"/>
                <w:lang w:val="en-US" w:eastAsia="zh-CN" w:bidi="en-US"/>
              </w:rPr>
            </w:pPr>
            <w:r>
              <w:rPr>
                <w:color w:val="auto"/>
                <w:lang w:val="en-US" w:eastAsia="zh-CN" w:bidi="en-US"/>
              </w:rPr>
              <w:t>固化前浓度(mg/L)</w:t>
            </w:r>
          </w:p>
        </w:tc>
        <w:tc>
          <w:tcPr>
            <w:tcW w:w="3362" w:type="dxa"/>
            <w:vAlign w:val="center"/>
          </w:tcPr>
          <w:p w14:paraId="381BE466">
            <w:pPr>
              <w:pStyle w:val="337"/>
              <w:adjustRightInd w:val="0"/>
              <w:snapToGrid w:val="0"/>
              <w:rPr>
                <w:iCs/>
                <w:color w:val="auto"/>
                <w:lang w:val="en-US" w:eastAsia="zh-CN" w:bidi="en-US"/>
              </w:rPr>
            </w:pPr>
            <w:r>
              <w:rPr>
                <w:iCs/>
                <w:color w:val="auto"/>
                <w:lang w:val="en-US" w:eastAsia="zh-CN" w:bidi="en-US"/>
              </w:rPr>
              <w:t>固化后浓度(mg/</w:t>
            </w:r>
            <w:r>
              <w:rPr>
                <w:rFonts w:hint="eastAsia"/>
                <w:iCs/>
                <w:color w:val="auto"/>
                <w:lang w:val="en-US" w:eastAsia="zh-CN" w:bidi="en-US"/>
              </w:rPr>
              <w:t>m</w:t>
            </w:r>
            <w:r>
              <w:rPr>
                <w:rFonts w:hint="eastAsia"/>
                <w:iCs/>
                <w:color w:val="auto"/>
                <w:vertAlign w:val="superscript"/>
                <w:lang w:val="en-US" w:eastAsia="zh-CN" w:bidi="en-US"/>
              </w:rPr>
              <w:t>3</w:t>
            </w:r>
            <w:r>
              <w:rPr>
                <w:iCs/>
                <w:color w:val="auto"/>
                <w:lang w:val="en-US" w:eastAsia="zh-CN" w:bidi="en-US"/>
              </w:rPr>
              <w:t>)</w:t>
            </w:r>
          </w:p>
        </w:tc>
      </w:tr>
      <w:tr w14:paraId="392A69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52" w:type="dxa"/>
            <w:vAlign w:val="center"/>
          </w:tcPr>
          <w:p w14:paraId="33A52448">
            <w:pPr>
              <w:pStyle w:val="337"/>
              <w:adjustRightInd w:val="0"/>
              <w:snapToGrid w:val="0"/>
              <w:rPr>
                <w:color w:val="auto"/>
                <w:lang w:val="en-US" w:eastAsia="zh-CN" w:bidi="en-US"/>
              </w:rPr>
            </w:pPr>
            <w:r>
              <w:rPr>
                <w:color w:val="auto"/>
                <w:lang w:val="en-US" w:eastAsia="zh-CN" w:bidi="en-US"/>
              </w:rPr>
              <w:t>石油类</w:t>
            </w:r>
          </w:p>
        </w:tc>
        <w:tc>
          <w:tcPr>
            <w:tcW w:w="3415" w:type="dxa"/>
            <w:vAlign w:val="center"/>
          </w:tcPr>
          <w:p w14:paraId="52C33D1C">
            <w:pPr>
              <w:pStyle w:val="337"/>
              <w:adjustRightInd w:val="0"/>
              <w:snapToGrid w:val="0"/>
              <w:rPr>
                <w:color w:val="auto"/>
                <w:lang w:val="en-US" w:eastAsia="zh-CN" w:bidi="en-US"/>
              </w:rPr>
            </w:pPr>
            <w:r>
              <w:rPr>
                <w:color w:val="auto"/>
                <w:lang w:val="en-US" w:eastAsia="zh-CN" w:bidi="en-US"/>
              </w:rPr>
              <w:t>796</w:t>
            </w:r>
          </w:p>
        </w:tc>
        <w:tc>
          <w:tcPr>
            <w:tcW w:w="3362" w:type="dxa"/>
            <w:vAlign w:val="center"/>
          </w:tcPr>
          <w:p w14:paraId="2AA8E560">
            <w:pPr>
              <w:pStyle w:val="337"/>
              <w:adjustRightInd w:val="0"/>
              <w:snapToGrid w:val="0"/>
              <w:rPr>
                <w:iCs/>
                <w:color w:val="auto"/>
                <w:lang w:val="en-US" w:eastAsia="zh-CN" w:bidi="en-US"/>
              </w:rPr>
            </w:pPr>
            <w:r>
              <w:rPr>
                <w:iCs/>
                <w:color w:val="auto"/>
                <w:lang w:val="en-US" w:eastAsia="zh-CN" w:bidi="en-US"/>
              </w:rPr>
              <w:t>1.35</w:t>
            </w:r>
          </w:p>
        </w:tc>
      </w:tr>
      <w:tr w14:paraId="48CC37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52" w:type="dxa"/>
            <w:vAlign w:val="center"/>
          </w:tcPr>
          <w:p w14:paraId="10112EC3">
            <w:pPr>
              <w:pStyle w:val="337"/>
              <w:adjustRightInd w:val="0"/>
              <w:snapToGrid w:val="0"/>
              <w:rPr>
                <w:color w:val="auto"/>
                <w:lang w:val="en-US" w:eastAsia="zh-CN" w:bidi="en-US"/>
              </w:rPr>
            </w:pPr>
            <w:r>
              <w:rPr>
                <w:color w:val="auto"/>
                <w:lang w:val="en-US" w:eastAsia="zh-CN" w:bidi="en-US"/>
              </w:rPr>
              <w:t>COD</w:t>
            </w:r>
          </w:p>
        </w:tc>
        <w:tc>
          <w:tcPr>
            <w:tcW w:w="3415" w:type="dxa"/>
            <w:vAlign w:val="center"/>
          </w:tcPr>
          <w:p w14:paraId="1902EFED">
            <w:pPr>
              <w:pStyle w:val="337"/>
              <w:adjustRightInd w:val="0"/>
              <w:snapToGrid w:val="0"/>
              <w:rPr>
                <w:color w:val="auto"/>
                <w:lang w:val="en-US" w:eastAsia="zh-CN" w:bidi="en-US"/>
              </w:rPr>
            </w:pPr>
            <w:r>
              <w:rPr>
                <w:color w:val="auto"/>
                <w:lang w:val="en-US" w:eastAsia="zh-CN" w:bidi="en-US"/>
              </w:rPr>
              <w:t>9248</w:t>
            </w:r>
          </w:p>
        </w:tc>
        <w:tc>
          <w:tcPr>
            <w:tcW w:w="3362" w:type="dxa"/>
            <w:vAlign w:val="center"/>
          </w:tcPr>
          <w:p w14:paraId="6505059C">
            <w:pPr>
              <w:pStyle w:val="337"/>
              <w:adjustRightInd w:val="0"/>
              <w:snapToGrid w:val="0"/>
              <w:rPr>
                <w:iCs/>
                <w:color w:val="auto"/>
                <w:lang w:val="en-US" w:eastAsia="zh-CN" w:bidi="en-US"/>
              </w:rPr>
            </w:pPr>
            <w:r>
              <w:rPr>
                <w:iCs/>
                <w:color w:val="auto"/>
                <w:lang w:val="en-US" w:eastAsia="zh-CN" w:bidi="en-US"/>
              </w:rPr>
              <w:t>69.8</w:t>
            </w:r>
          </w:p>
        </w:tc>
      </w:tr>
      <w:tr w14:paraId="660890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52" w:type="dxa"/>
            <w:vAlign w:val="center"/>
          </w:tcPr>
          <w:p w14:paraId="0F3C1C1B">
            <w:pPr>
              <w:pStyle w:val="337"/>
              <w:adjustRightInd w:val="0"/>
              <w:snapToGrid w:val="0"/>
              <w:rPr>
                <w:color w:val="auto"/>
                <w:lang w:val="en-US" w:eastAsia="en-US" w:bidi="en-US"/>
              </w:rPr>
            </w:pPr>
            <w:r>
              <w:rPr>
                <w:color w:val="auto"/>
                <w:lang w:val="en-US" w:eastAsia="en-US" w:bidi="en-US"/>
              </w:rPr>
              <w:t>pH</w:t>
            </w:r>
          </w:p>
        </w:tc>
        <w:tc>
          <w:tcPr>
            <w:tcW w:w="3415" w:type="dxa"/>
            <w:vAlign w:val="center"/>
          </w:tcPr>
          <w:p w14:paraId="3EB6BF98">
            <w:pPr>
              <w:pStyle w:val="337"/>
              <w:adjustRightInd w:val="0"/>
              <w:snapToGrid w:val="0"/>
              <w:rPr>
                <w:color w:val="auto"/>
                <w:lang w:val="en-US" w:eastAsia="en-US" w:bidi="en-US"/>
              </w:rPr>
            </w:pPr>
            <w:r>
              <w:rPr>
                <w:color w:val="auto"/>
                <w:lang w:val="en-US" w:eastAsia="en-US" w:bidi="en-US"/>
              </w:rPr>
              <w:t>10</w:t>
            </w:r>
          </w:p>
        </w:tc>
        <w:tc>
          <w:tcPr>
            <w:tcW w:w="3362" w:type="dxa"/>
            <w:vAlign w:val="center"/>
          </w:tcPr>
          <w:p w14:paraId="0D26E42E">
            <w:pPr>
              <w:pStyle w:val="337"/>
              <w:adjustRightInd w:val="0"/>
              <w:snapToGrid w:val="0"/>
              <w:rPr>
                <w:iCs/>
                <w:color w:val="auto"/>
                <w:lang w:val="en-US" w:eastAsia="en-US" w:bidi="en-US"/>
              </w:rPr>
            </w:pPr>
            <w:r>
              <w:rPr>
                <w:iCs/>
                <w:color w:val="auto"/>
                <w:lang w:val="en-US" w:eastAsia="en-US" w:bidi="en-US"/>
              </w:rPr>
              <w:t>7.41</w:t>
            </w:r>
          </w:p>
        </w:tc>
      </w:tr>
    </w:tbl>
    <w:p w14:paraId="744737E8">
      <w:pPr>
        <w:ind w:firstLine="480"/>
        <w:rPr>
          <w:lang w:eastAsia="zh-CN"/>
        </w:rPr>
      </w:pPr>
      <w:r>
        <w:rPr>
          <w:lang w:eastAsia="zh-CN"/>
        </w:rPr>
        <w:t>由表8.</w:t>
      </w:r>
      <w:r>
        <w:rPr>
          <w:rFonts w:hint="eastAsia"/>
          <w:lang w:eastAsia="zh-CN"/>
        </w:rPr>
        <w:t>1</w:t>
      </w:r>
      <w:r>
        <w:rPr>
          <w:lang w:eastAsia="zh-CN"/>
        </w:rPr>
        <w:t>-1可以看出，钻井废弃泥浆进行无害化固化稳定处理后，其中的污染物浓度大大降低，在上部覆土后，不会造成覆土的污染，亦不会对环境产生影响。所以本项目采取以上措施处理后，即废弃钻井泥浆均无害化固化稳定处理后进行填埋，覆土恢复植被，对环境产生的影响较小。</w:t>
      </w:r>
    </w:p>
    <w:p w14:paraId="53185D8F">
      <w:pPr>
        <w:ind w:firstLine="480"/>
        <w:rPr>
          <w:rFonts w:asciiTheme="minorEastAsia" w:hAnsiTheme="minorEastAsia" w:eastAsiaTheme="minorEastAsia"/>
          <w:lang w:eastAsia="zh-CN"/>
        </w:rPr>
      </w:pPr>
      <w:r>
        <w:rPr>
          <w:rFonts w:asciiTheme="minorEastAsia" w:hAnsiTheme="minorEastAsia" w:eastAsiaTheme="minorEastAsia"/>
          <w:lang w:eastAsia="zh-CN"/>
        </w:rPr>
        <w:t>乌里雅斯太油田钻井过程中的废水、岩屑、泥浆均排入井场泥浆池中。根据</w:t>
      </w:r>
      <w:r>
        <w:rPr>
          <w:rFonts w:hint="eastAsia" w:asciiTheme="minorEastAsia" w:hAnsiTheme="minorEastAsia" w:eastAsiaTheme="minorEastAsia"/>
          <w:lang w:eastAsia="zh-CN"/>
        </w:rPr>
        <w:t>乌里雅斯太油田</w:t>
      </w:r>
      <w:r>
        <w:rPr>
          <w:rFonts w:asciiTheme="minorEastAsia" w:hAnsiTheme="minorEastAsia" w:eastAsiaTheme="minorEastAsia"/>
          <w:lang w:eastAsia="zh-CN"/>
        </w:rPr>
        <w:t>钻井系统工程要求，在每个单井钻井作业平台设置</w:t>
      </w:r>
      <w:r>
        <w:rPr>
          <w:rFonts w:hint="eastAsia" w:asciiTheme="minorEastAsia" w:hAnsiTheme="minorEastAsia" w:eastAsiaTheme="minorEastAsia"/>
          <w:lang w:eastAsia="zh-CN"/>
        </w:rPr>
        <w:t>144</w:t>
      </w:r>
      <w:r>
        <w:rPr>
          <w:rFonts w:asciiTheme="minorEastAsia" w:hAnsiTheme="minorEastAsia" w:eastAsiaTheme="minorEastAsia"/>
          <w:lang w:eastAsia="zh-CN"/>
        </w:rPr>
        <w:t>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的泥浆池，泥浆池容积完全可以容纳钻井过程中产生的废水、岩屑、泥浆等。</w:t>
      </w:r>
    </w:p>
    <w:p w14:paraId="1C3AE418">
      <w:pPr>
        <w:ind w:firstLine="480"/>
        <w:rPr>
          <w:rFonts w:asciiTheme="minorEastAsia" w:hAnsiTheme="minorEastAsia" w:eastAsiaTheme="minorEastAsia"/>
          <w:lang w:eastAsia="zh-CN"/>
        </w:rPr>
      </w:pPr>
      <w:r>
        <w:rPr>
          <w:rFonts w:asciiTheme="minorEastAsia" w:hAnsiTheme="minorEastAsia" w:eastAsiaTheme="minorEastAsia"/>
          <w:lang w:eastAsia="zh-CN"/>
        </w:rPr>
        <w:t>在钻井过程中应规范作业，将废弃泥浆先全部存于泥浆池，待单井钻井工程结束后对其进行无害化固化稳定处理。废弃泥浆的无害化固化稳定处理应由专业队伍在一个月内完成，对无害化固化稳定处理后的泥浆池回填覆土并恢复植被。另外泥浆池应进行防渗处理，防止泥浆渗漏对土壤和地下水造成影响。</w:t>
      </w:r>
    </w:p>
    <w:p w14:paraId="30AE6078">
      <w:pPr>
        <w:ind w:firstLine="480"/>
        <w:rPr>
          <w:rFonts w:asciiTheme="minorEastAsia" w:hAnsiTheme="minorEastAsia" w:eastAsiaTheme="minorEastAsia"/>
          <w:lang w:eastAsia="zh-CN"/>
        </w:rPr>
      </w:pPr>
      <w:r>
        <w:rPr>
          <w:rFonts w:asciiTheme="minorEastAsia" w:hAnsiTheme="minorEastAsia" w:eastAsiaTheme="minorEastAsia"/>
          <w:lang w:eastAsia="zh-CN"/>
        </w:rPr>
        <w:t>废弃泥浆和岩屑在加固化剂固化后，经监测分析其各项技术指标符合《废弃钻井液处理规范》（DB23/T693-2000）的要求，再进行填埋处理，并覆盖至少30cm厚的表层土，利于植被恢复生长。该规范对废弃钻井液处理技术指标进行了规定，见表8</w:t>
      </w:r>
      <w:r>
        <w:rPr>
          <w:rFonts w:hint="eastAsia" w:asciiTheme="minorEastAsia" w:hAnsiTheme="minorEastAsia" w:eastAsiaTheme="minorEastAsia"/>
          <w:lang w:eastAsia="zh-CN"/>
        </w:rPr>
        <w:t>.1</w:t>
      </w:r>
      <w:r>
        <w:rPr>
          <w:rFonts w:asciiTheme="minorEastAsia" w:hAnsiTheme="minorEastAsia" w:eastAsiaTheme="minorEastAsia"/>
          <w:lang w:eastAsia="zh-CN"/>
        </w:rPr>
        <w:t>-</w:t>
      </w:r>
      <w:r>
        <w:rPr>
          <w:rFonts w:hint="eastAsia" w:asciiTheme="minorEastAsia" w:hAnsiTheme="minorEastAsia" w:eastAsiaTheme="minorEastAsia"/>
          <w:lang w:eastAsia="zh-CN"/>
        </w:rPr>
        <w:t>2</w:t>
      </w:r>
      <w:r>
        <w:rPr>
          <w:rFonts w:asciiTheme="minorEastAsia" w:hAnsiTheme="minorEastAsia" w:eastAsiaTheme="minorEastAsia"/>
          <w:lang w:eastAsia="zh-CN"/>
        </w:rPr>
        <w:t>。</w:t>
      </w:r>
    </w:p>
    <w:p w14:paraId="10CDE38A">
      <w:pPr>
        <w:ind w:firstLine="480"/>
        <w:rPr>
          <w:rFonts w:asciiTheme="minorEastAsia" w:hAnsiTheme="minorEastAsia" w:eastAsiaTheme="minorEastAsia"/>
          <w:lang w:eastAsia="zh-CN"/>
        </w:rPr>
      </w:pPr>
      <w:r>
        <w:rPr>
          <w:rFonts w:asciiTheme="minorEastAsia" w:hAnsiTheme="minorEastAsia" w:eastAsiaTheme="minorEastAsia"/>
          <w:lang w:eastAsia="zh-CN"/>
        </w:rPr>
        <w:t>固化剂的主要成分是水泥、粉煤灰和高效还原剂，能够加速废弃泥浆的固化。</w:t>
      </w:r>
    </w:p>
    <w:p w14:paraId="3310F5A7">
      <w:pPr>
        <w:ind w:firstLine="482"/>
        <w:rPr>
          <w:rFonts w:asciiTheme="minorEastAsia" w:hAnsiTheme="minorEastAsia" w:eastAsiaTheme="minorEastAsia"/>
          <w:b/>
          <w:lang w:eastAsia="zh-CN"/>
        </w:rPr>
      </w:pPr>
      <w:r>
        <w:rPr>
          <w:rFonts w:asciiTheme="minorEastAsia" w:hAnsiTheme="minorEastAsia" w:eastAsiaTheme="minorEastAsia"/>
          <w:b/>
          <w:lang w:eastAsia="zh-CN"/>
        </w:rPr>
        <w:t>表8</w:t>
      </w:r>
      <w:r>
        <w:rPr>
          <w:rFonts w:hint="eastAsia" w:asciiTheme="minorEastAsia" w:hAnsiTheme="minorEastAsia" w:eastAsiaTheme="minorEastAsia"/>
          <w:b/>
          <w:lang w:eastAsia="zh-CN"/>
        </w:rPr>
        <w:t>.1</w:t>
      </w:r>
      <w:r>
        <w:rPr>
          <w:rFonts w:asciiTheme="minorEastAsia" w:hAnsiTheme="minorEastAsia" w:eastAsiaTheme="minorEastAsia"/>
          <w:b/>
          <w:lang w:eastAsia="zh-CN"/>
        </w:rPr>
        <w:t>-</w:t>
      </w:r>
      <w:r>
        <w:rPr>
          <w:rFonts w:hint="eastAsia" w:asciiTheme="minorEastAsia" w:hAnsiTheme="minorEastAsia" w:eastAsiaTheme="minorEastAsia"/>
          <w:b/>
          <w:lang w:eastAsia="zh-CN"/>
        </w:rPr>
        <w:t>2</w:t>
      </w:r>
      <w:r>
        <w:rPr>
          <w:rFonts w:asciiTheme="minorEastAsia" w:hAnsiTheme="minorEastAsia" w:eastAsiaTheme="minorEastAsia"/>
          <w:b/>
          <w:lang w:eastAsia="zh-CN"/>
        </w:rPr>
        <w:t xml:space="preserve">        废弃钻井液处理技术指标</w:t>
      </w:r>
    </w:p>
    <w:tbl>
      <w:tblPr>
        <w:tblStyle w:val="7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52"/>
        <w:gridCol w:w="3743"/>
        <w:gridCol w:w="3034"/>
      </w:tblGrid>
      <w:tr w14:paraId="2BB24A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52" w:type="dxa"/>
            <w:vAlign w:val="center"/>
          </w:tcPr>
          <w:p w14:paraId="419A83A3">
            <w:pPr>
              <w:spacing w:line="320" w:lineRule="exact"/>
              <w:ind w:firstLine="420"/>
              <w:jc w:val="center"/>
              <w:rPr>
                <w:sz w:val="21"/>
                <w:szCs w:val="21"/>
              </w:rPr>
            </w:pPr>
            <w:r>
              <w:rPr>
                <w:sz w:val="21"/>
                <w:szCs w:val="21"/>
              </w:rPr>
              <w:t>序号</w:t>
            </w:r>
          </w:p>
        </w:tc>
        <w:tc>
          <w:tcPr>
            <w:tcW w:w="3743" w:type="dxa"/>
            <w:vAlign w:val="center"/>
          </w:tcPr>
          <w:p w14:paraId="7A155068">
            <w:pPr>
              <w:spacing w:line="320" w:lineRule="exact"/>
              <w:ind w:firstLine="420"/>
              <w:jc w:val="center"/>
              <w:rPr>
                <w:sz w:val="21"/>
                <w:szCs w:val="21"/>
              </w:rPr>
            </w:pPr>
            <w:r>
              <w:rPr>
                <w:sz w:val="21"/>
                <w:szCs w:val="21"/>
              </w:rPr>
              <w:t>项  目</w:t>
            </w:r>
          </w:p>
        </w:tc>
        <w:tc>
          <w:tcPr>
            <w:tcW w:w="3034" w:type="dxa"/>
            <w:vAlign w:val="center"/>
          </w:tcPr>
          <w:p w14:paraId="2BA2D0B3">
            <w:pPr>
              <w:spacing w:line="320" w:lineRule="exact"/>
              <w:ind w:firstLine="420"/>
              <w:jc w:val="center"/>
              <w:rPr>
                <w:sz w:val="21"/>
                <w:szCs w:val="21"/>
              </w:rPr>
            </w:pPr>
            <w:r>
              <w:rPr>
                <w:sz w:val="21"/>
                <w:szCs w:val="21"/>
              </w:rPr>
              <w:t>指  标</w:t>
            </w:r>
          </w:p>
        </w:tc>
      </w:tr>
      <w:tr w14:paraId="71314E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52" w:type="dxa"/>
            <w:vAlign w:val="center"/>
          </w:tcPr>
          <w:p w14:paraId="3AC3E7FE">
            <w:pPr>
              <w:pStyle w:val="337"/>
              <w:adjustRightInd w:val="0"/>
              <w:snapToGrid w:val="0"/>
              <w:rPr>
                <w:color w:val="auto"/>
                <w:lang w:val="en-US" w:eastAsia="zh-CN" w:bidi="en-US"/>
              </w:rPr>
            </w:pPr>
            <w:r>
              <w:rPr>
                <w:rFonts w:hint="eastAsia"/>
                <w:color w:val="auto"/>
                <w:lang w:val="en-US" w:eastAsia="zh-CN" w:bidi="en-US"/>
              </w:rPr>
              <w:t>1</w:t>
            </w:r>
          </w:p>
        </w:tc>
        <w:tc>
          <w:tcPr>
            <w:tcW w:w="3743" w:type="dxa"/>
            <w:vAlign w:val="center"/>
          </w:tcPr>
          <w:p w14:paraId="311B6121">
            <w:pPr>
              <w:spacing w:line="320" w:lineRule="exact"/>
              <w:ind w:firstLine="0" w:firstLineChars="0"/>
              <w:jc w:val="center"/>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 xml:space="preserve">常温抗压强度（72h），Mpa </w:t>
            </w:r>
            <w:r>
              <w:rPr>
                <w:rFonts w:hint="eastAsia" w:asciiTheme="minorEastAsia" w:hAnsiTheme="minorEastAsia" w:eastAsiaTheme="minorEastAsia"/>
                <w:sz w:val="21"/>
                <w:szCs w:val="21"/>
                <w:lang w:eastAsia="zh-CN"/>
              </w:rPr>
              <w:t xml:space="preserve"> </w:t>
            </w:r>
            <w:r>
              <w:rPr>
                <w:rFonts w:asciiTheme="minorEastAsia" w:hAnsiTheme="minorEastAsia" w:eastAsiaTheme="minorEastAsia"/>
                <w:sz w:val="21"/>
                <w:szCs w:val="21"/>
                <w:lang w:eastAsia="zh-CN"/>
              </w:rPr>
              <w:t>≥</w:t>
            </w:r>
          </w:p>
        </w:tc>
        <w:tc>
          <w:tcPr>
            <w:tcW w:w="3034" w:type="dxa"/>
            <w:vAlign w:val="center"/>
          </w:tcPr>
          <w:p w14:paraId="7205F8F3">
            <w:pPr>
              <w:spacing w:line="320" w:lineRule="exact"/>
              <w:ind w:firstLine="420"/>
              <w:jc w:val="center"/>
              <w:rPr>
                <w:rFonts w:asciiTheme="minorEastAsia" w:hAnsiTheme="minorEastAsia" w:eastAsiaTheme="minorEastAsia"/>
                <w:sz w:val="21"/>
                <w:szCs w:val="21"/>
              </w:rPr>
            </w:pPr>
            <w:r>
              <w:rPr>
                <w:rFonts w:asciiTheme="minorEastAsia" w:hAnsiTheme="minorEastAsia" w:eastAsiaTheme="minorEastAsia"/>
                <w:sz w:val="21"/>
                <w:szCs w:val="21"/>
              </w:rPr>
              <w:t>0.7（不硬结）</w:t>
            </w:r>
          </w:p>
        </w:tc>
      </w:tr>
      <w:tr w14:paraId="160F11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52" w:type="dxa"/>
            <w:vAlign w:val="center"/>
          </w:tcPr>
          <w:p w14:paraId="2701F819">
            <w:pPr>
              <w:pStyle w:val="337"/>
              <w:adjustRightInd w:val="0"/>
              <w:snapToGrid w:val="0"/>
              <w:rPr>
                <w:color w:val="auto"/>
                <w:lang w:val="en-US" w:eastAsia="zh-CN" w:bidi="en-US"/>
              </w:rPr>
            </w:pPr>
            <w:r>
              <w:rPr>
                <w:rFonts w:hint="eastAsia"/>
                <w:color w:val="auto"/>
                <w:lang w:val="en-US" w:eastAsia="zh-CN" w:bidi="en-US"/>
              </w:rPr>
              <w:t>2</w:t>
            </w:r>
          </w:p>
        </w:tc>
        <w:tc>
          <w:tcPr>
            <w:tcW w:w="3743" w:type="dxa"/>
            <w:vAlign w:val="center"/>
          </w:tcPr>
          <w:p w14:paraId="3C6BC862">
            <w:pPr>
              <w:spacing w:line="320" w:lineRule="exact"/>
              <w:ind w:firstLine="420"/>
              <w:jc w:val="center"/>
              <w:rPr>
                <w:rFonts w:asciiTheme="minorEastAsia" w:hAnsiTheme="minorEastAsia" w:eastAsiaTheme="minorEastAsia"/>
                <w:sz w:val="21"/>
                <w:szCs w:val="21"/>
              </w:rPr>
            </w:pPr>
            <w:r>
              <w:rPr>
                <w:rFonts w:asciiTheme="minorEastAsia" w:hAnsiTheme="minorEastAsia" w:eastAsiaTheme="minorEastAsia"/>
                <w:sz w:val="21"/>
                <w:szCs w:val="21"/>
              </w:rPr>
              <w:t>pH值</w:t>
            </w:r>
          </w:p>
        </w:tc>
        <w:tc>
          <w:tcPr>
            <w:tcW w:w="3034" w:type="dxa"/>
            <w:vAlign w:val="center"/>
          </w:tcPr>
          <w:p w14:paraId="186323C2">
            <w:pPr>
              <w:spacing w:line="320" w:lineRule="exact"/>
              <w:ind w:firstLine="420"/>
              <w:jc w:val="center"/>
              <w:rPr>
                <w:rFonts w:asciiTheme="minorEastAsia" w:hAnsiTheme="minorEastAsia" w:eastAsiaTheme="minorEastAsia"/>
                <w:sz w:val="21"/>
                <w:szCs w:val="21"/>
              </w:rPr>
            </w:pPr>
            <w:r>
              <w:rPr>
                <w:rFonts w:asciiTheme="minorEastAsia" w:hAnsiTheme="minorEastAsia" w:eastAsiaTheme="minorEastAsia"/>
                <w:sz w:val="21"/>
                <w:szCs w:val="21"/>
              </w:rPr>
              <w:t>6-9</w:t>
            </w:r>
          </w:p>
        </w:tc>
      </w:tr>
      <w:tr w14:paraId="48882B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52" w:type="dxa"/>
            <w:vAlign w:val="center"/>
          </w:tcPr>
          <w:p w14:paraId="48627FF2">
            <w:pPr>
              <w:pStyle w:val="337"/>
              <w:adjustRightInd w:val="0"/>
              <w:snapToGrid w:val="0"/>
              <w:rPr>
                <w:color w:val="auto"/>
                <w:lang w:val="en-US" w:eastAsia="zh-CN" w:bidi="en-US"/>
              </w:rPr>
            </w:pPr>
            <w:r>
              <w:rPr>
                <w:rFonts w:hint="eastAsia"/>
                <w:color w:val="auto"/>
                <w:lang w:val="en-US" w:eastAsia="zh-CN" w:bidi="en-US"/>
              </w:rPr>
              <w:t>3</w:t>
            </w:r>
          </w:p>
        </w:tc>
        <w:tc>
          <w:tcPr>
            <w:tcW w:w="3743" w:type="dxa"/>
            <w:vAlign w:val="center"/>
          </w:tcPr>
          <w:p w14:paraId="52449A4D">
            <w:pPr>
              <w:spacing w:line="320" w:lineRule="exact"/>
              <w:ind w:firstLine="0" w:firstLineChars="0"/>
              <w:jc w:val="center"/>
              <w:rPr>
                <w:rFonts w:asciiTheme="minorEastAsia" w:hAnsiTheme="minorEastAsia" w:eastAsiaTheme="minorEastAsia"/>
                <w:sz w:val="21"/>
                <w:szCs w:val="21"/>
              </w:rPr>
            </w:pPr>
            <w:r>
              <w:rPr>
                <w:rFonts w:asciiTheme="minorEastAsia" w:hAnsiTheme="minorEastAsia" w:eastAsiaTheme="minorEastAsia"/>
                <w:sz w:val="21"/>
                <w:szCs w:val="21"/>
              </w:rPr>
              <w:t>化学需氧量（COD</w:t>
            </w:r>
            <w:r>
              <w:rPr>
                <w:rFonts w:asciiTheme="minorEastAsia" w:hAnsiTheme="minorEastAsia" w:eastAsiaTheme="minorEastAsia"/>
                <w:sz w:val="21"/>
                <w:szCs w:val="21"/>
                <w:vertAlign w:val="subscript"/>
              </w:rPr>
              <w:t>cr</w:t>
            </w:r>
            <w:r>
              <w:rPr>
                <w:rFonts w:asciiTheme="minorEastAsia" w:hAnsiTheme="minorEastAsia" w:eastAsiaTheme="minorEastAsia"/>
                <w:sz w:val="21"/>
                <w:szCs w:val="21"/>
              </w:rPr>
              <w:t>），mg/L  ≤</w:t>
            </w:r>
          </w:p>
        </w:tc>
        <w:tc>
          <w:tcPr>
            <w:tcW w:w="3034" w:type="dxa"/>
            <w:vAlign w:val="center"/>
          </w:tcPr>
          <w:p w14:paraId="64452078">
            <w:pPr>
              <w:spacing w:line="320" w:lineRule="exact"/>
              <w:ind w:firstLine="420"/>
              <w:jc w:val="center"/>
              <w:rPr>
                <w:rFonts w:asciiTheme="minorEastAsia" w:hAnsiTheme="minorEastAsia" w:eastAsiaTheme="minorEastAsia"/>
                <w:sz w:val="21"/>
                <w:szCs w:val="21"/>
              </w:rPr>
            </w:pPr>
            <w:r>
              <w:rPr>
                <w:rFonts w:asciiTheme="minorEastAsia" w:hAnsiTheme="minorEastAsia" w:eastAsiaTheme="minorEastAsia"/>
                <w:sz w:val="21"/>
                <w:szCs w:val="21"/>
              </w:rPr>
              <w:t>150</w:t>
            </w:r>
          </w:p>
        </w:tc>
      </w:tr>
      <w:tr w14:paraId="780AA0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52" w:type="dxa"/>
            <w:vAlign w:val="center"/>
          </w:tcPr>
          <w:p w14:paraId="2AE03FB2">
            <w:pPr>
              <w:pStyle w:val="337"/>
              <w:adjustRightInd w:val="0"/>
              <w:snapToGrid w:val="0"/>
              <w:rPr>
                <w:color w:val="auto"/>
                <w:lang w:val="en-US" w:eastAsia="zh-CN" w:bidi="en-US"/>
              </w:rPr>
            </w:pPr>
            <w:r>
              <w:rPr>
                <w:rFonts w:hint="eastAsia"/>
                <w:color w:val="auto"/>
                <w:lang w:val="en-US" w:eastAsia="zh-CN" w:bidi="en-US"/>
              </w:rPr>
              <w:t>4</w:t>
            </w:r>
          </w:p>
        </w:tc>
        <w:tc>
          <w:tcPr>
            <w:tcW w:w="3743" w:type="dxa"/>
            <w:vAlign w:val="center"/>
          </w:tcPr>
          <w:p w14:paraId="40664797">
            <w:pPr>
              <w:spacing w:line="320" w:lineRule="exact"/>
              <w:ind w:firstLine="0" w:firstLineChars="0"/>
              <w:rPr>
                <w:rFonts w:asciiTheme="minorEastAsia" w:hAnsiTheme="minorEastAsia" w:eastAsiaTheme="minorEastAsia"/>
                <w:sz w:val="21"/>
                <w:szCs w:val="21"/>
                <w:lang w:eastAsia="zh-CN"/>
              </w:rPr>
            </w:pPr>
            <w:r>
              <w:rPr>
                <w:rFonts w:asciiTheme="minorEastAsia" w:hAnsiTheme="minorEastAsia" w:eastAsiaTheme="minorEastAsia"/>
                <w:sz w:val="21"/>
                <w:szCs w:val="21"/>
                <w:lang w:eastAsia="zh-CN"/>
              </w:rPr>
              <w:t>总铬（Cr），mg/L  ≤</w:t>
            </w:r>
          </w:p>
        </w:tc>
        <w:tc>
          <w:tcPr>
            <w:tcW w:w="3034" w:type="dxa"/>
            <w:vAlign w:val="center"/>
          </w:tcPr>
          <w:p w14:paraId="14A14645">
            <w:pPr>
              <w:spacing w:line="320" w:lineRule="exact"/>
              <w:ind w:firstLine="420"/>
              <w:jc w:val="center"/>
              <w:rPr>
                <w:rFonts w:asciiTheme="minorEastAsia" w:hAnsiTheme="minorEastAsia" w:eastAsiaTheme="minorEastAsia"/>
                <w:sz w:val="21"/>
                <w:szCs w:val="21"/>
              </w:rPr>
            </w:pPr>
            <w:r>
              <w:rPr>
                <w:rFonts w:asciiTheme="minorEastAsia" w:hAnsiTheme="minorEastAsia" w:eastAsiaTheme="minorEastAsia"/>
                <w:sz w:val="21"/>
                <w:szCs w:val="21"/>
              </w:rPr>
              <w:t>5</w:t>
            </w:r>
          </w:p>
        </w:tc>
      </w:tr>
      <w:tr w14:paraId="66AFEC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52" w:type="dxa"/>
            <w:vAlign w:val="center"/>
          </w:tcPr>
          <w:p w14:paraId="6030F0CD">
            <w:pPr>
              <w:pStyle w:val="337"/>
              <w:adjustRightInd w:val="0"/>
              <w:snapToGrid w:val="0"/>
              <w:rPr>
                <w:color w:val="auto"/>
                <w:lang w:val="en-US" w:eastAsia="zh-CN" w:bidi="en-US"/>
              </w:rPr>
            </w:pPr>
            <w:r>
              <w:rPr>
                <w:rFonts w:hint="eastAsia"/>
                <w:color w:val="auto"/>
                <w:lang w:val="en-US" w:eastAsia="zh-CN" w:bidi="en-US"/>
              </w:rPr>
              <w:t>5</w:t>
            </w:r>
          </w:p>
        </w:tc>
        <w:tc>
          <w:tcPr>
            <w:tcW w:w="3743" w:type="dxa"/>
            <w:vAlign w:val="center"/>
          </w:tcPr>
          <w:p w14:paraId="757C4B27">
            <w:pPr>
              <w:spacing w:line="320" w:lineRule="exact"/>
              <w:ind w:firstLine="0" w:firstLineChars="0"/>
              <w:rPr>
                <w:rFonts w:asciiTheme="minorEastAsia" w:hAnsiTheme="minorEastAsia" w:eastAsiaTheme="minorEastAsia"/>
                <w:sz w:val="21"/>
                <w:szCs w:val="21"/>
              </w:rPr>
            </w:pPr>
            <w:r>
              <w:rPr>
                <w:rFonts w:asciiTheme="minorEastAsia" w:hAnsiTheme="minorEastAsia" w:eastAsiaTheme="minorEastAsia"/>
                <w:sz w:val="21"/>
                <w:szCs w:val="21"/>
              </w:rPr>
              <w:t>六价铬（Cr</w:t>
            </w:r>
            <w:r>
              <w:rPr>
                <w:rFonts w:asciiTheme="minorEastAsia" w:hAnsiTheme="minorEastAsia" w:eastAsiaTheme="minorEastAsia"/>
                <w:sz w:val="21"/>
                <w:szCs w:val="21"/>
                <w:vertAlign w:val="superscript"/>
              </w:rPr>
              <w:t>6+</w:t>
            </w:r>
            <w:r>
              <w:rPr>
                <w:rFonts w:asciiTheme="minorEastAsia" w:hAnsiTheme="minorEastAsia" w:eastAsiaTheme="minorEastAsia"/>
                <w:sz w:val="21"/>
                <w:szCs w:val="21"/>
              </w:rPr>
              <w:t>），mg/L  ≤</w:t>
            </w:r>
          </w:p>
        </w:tc>
        <w:tc>
          <w:tcPr>
            <w:tcW w:w="3034" w:type="dxa"/>
            <w:vAlign w:val="center"/>
          </w:tcPr>
          <w:p w14:paraId="72226089">
            <w:pPr>
              <w:spacing w:line="320" w:lineRule="exact"/>
              <w:ind w:firstLine="420"/>
              <w:jc w:val="center"/>
              <w:rPr>
                <w:rFonts w:asciiTheme="minorEastAsia" w:hAnsiTheme="minorEastAsia" w:eastAsiaTheme="minorEastAsia"/>
                <w:sz w:val="21"/>
                <w:szCs w:val="21"/>
              </w:rPr>
            </w:pPr>
            <w:r>
              <w:rPr>
                <w:rFonts w:asciiTheme="minorEastAsia" w:hAnsiTheme="minorEastAsia" w:eastAsiaTheme="minorEastAsia"/>
                <w:sz w:val="21"/>
                <w:szCs w:val="21"/>
              </w:rPr>
              <w:t>0.1</w:t>
            </w:r>
          </w:p>
        </w:tc>
      </w:tr>
      <w:tr w14:paraId="653EBA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52" w:type="dxa"/>
            <w:vAlign w:val="center"/>
          </w:tcPr>
          <w:p w14:paraId="76D56F30">
            <w:pPr>
              <w:pStyle w:val="337"/>
              <w:adjustRightInd w:val="0"/>
              <w:snapToGrid w:val="0"/>
              <w:rPr>
                <w:color w:val="auto"/>
                <w:lang w:val="en-US" w:eastAsia="zh-CN" w:bidi="en-US"/>
              </w:rPr>
            </w:pPr>
            <w:r>
              <w:rPr>
                <w:rFonts w:hint="eastAsia"/>
                <w:color w:val="auto"/>
                <w:lang w:val="en-US" w:eastAsia="zh-CN" w:bidi="en-US"/>
              </w:rPr>
              <w:t>6</w:t>
            </w:r>
          </w:p>
        </w:tc>
        <w:tc>
          <w:tcPr>
            <w:tcW w:w="3743" w:type="dxa"/>
            <w:vAlign w:val="center"/>
          </w:tcPr>
          <w:p w14:paraId="46A8A8ED">
            <w:pPr>
              <w:spacing w:line="320" w:lineRule="exact"/>
              <w:ind w:firstLine="0" w:firstLineChars="0"/>
              <w:rPr>
                <w:rFonts w:asciiTheme="minorEastAsia" w:hAnsiTheme="minorEastAsia" w:eastAsiaTheme="minorEastAsia"/>
                <w:sz w:val="21"/>
                <w:szCs w:val="21"/>
              </w:rPr>
            </w:pPr>
            <w:r>
              <w:rPr>
                <w:rFonts w:asciiTheme="minorEastAsia" w:hAnsiTheme="minorEastAsia" w:eastAsiaTheme="minorEastAsia"/>
                <w:sz w:val="21"/>
                <w:szCs w:val="21"/>
              </w:rPr>
              <w:t>石油类，mg/L  ≤</w:t>
            </w:r>
          </w:p>
        </w:tc>
        <w:tc>
          <w:tcPr>
            <w:tcW w:w="3034" w:type="dxa"/>
            <w:vAlign w:val="center"/>
          </w:tcPr>
          <w:p w14:paraId="2DF9AF30">
            <w:pPr>
              <w:spacing w:line="320" w:lineRule="exact"/>
              <w:ind w:firstLine="420"/>
              <w:jc w:val="center"/>
              <w:rPr>
                <w:rFonts w:asciiTheme="minorEastAsia" w:hAnsiTheme="minorEastAsia" w:eastAsiaTheme="minorEastAsia"/>
                <w:sz w:val="21"/>
                <w:szCs w:val="21"/>
              </w:rPr>
            </w:pPr>
            <w:r>
              <w:rPr>
                <w:rFonts w:asciiTheme="minorEastAsia" w:hAnsiTheme="minorEastAsia" w:eastAsiaTheme="minorEastAsia"/>
                <w:sz w:val="21"/>
                <w:szCs w:val="21"/>
              </w:rPr>
              <w:t>10</w:t>
            </w:r>
          </w:p>
        </w:tc>
      </w:tr>
      <w:tr w14:paraId="24B6B0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52" w:type="dxa"/>
            <w:vAlign w:val="center"/>
          </w:tcPr>
          <w:p w14:paraId="7AC4A2A1">
            <w:pPr>
              <w:pStyle w:val="337"/>
              <w:adjustRightInd w:val="0"/>
              <w:snapToGrid w:val="0"/>
              <w:rPr>
                <w:color w:val="auto"/>
                <w:lang w:val="en-US" w:eastAsia="zh-CN" w:bidi="en-US"/>
              </w:rPr>
            </w:pPr>
            <w:r>
              <w:rPr>
                <w:rFonts w:hint="eastAsia"/>
                <w:color w:val="auto"/>
                <w:lang w:val="en-US" w:eastAsia="zh-CN" w:bidi="en-US"/>
              </w:rPr>
              <w:t>7</w:t>
            </w:r>
          </w:p>
        </w:tc>
        <w:tc>
          <w:tcPr>
            <w:tcW w:w="3743" w:type="dxa"/>
            <w:vAlign w:val="center"/>
          </w:tcPr>
          <w:p w14:paraId="31DDFF8A">
            <w:pPr>
              <w:spacing w:line="320" w:lineRule="exact"/>
              <w:ind w:firstLine="0" w:firstLineChars="0"/>
              <w:rPr>
                <w:rFonts w:asciiTheme="minorEastAsia" w:hAnsiTheme="minorEastAsia" w:eastAsiaTheme="minorEastAsia"/>
                <w:sz w:val="21"/>
                <w:szCs w:val="21"/>
              </w:rPr>
            </w:pPr>
            <w:r>
              <w:rPr>
                <w:rFonts w:asciiTheme="minorEastAsia" w:hAnsiTheme="minorEastAsia" w:eastAsiaTheme="minorEastAsia"/>
                <w:sz w:val="21"/>
                <w:szCs w:val="21"/>
              </w:rPr>
              <w:t>全盐量，mg/L   ≤</w:t>
            </w:r>
          </w:p>
        </w:tc>
        <w:tc>
          <w:tcPr>
            <w:tcW w:w="3034" w:type="dxa"/>
            <w:vAlign w:val="center"/>
          </w:tcPr>
          <w:p w14:paraId="54A00FD2">
            <w:pPr>
              <w:spacing w:line="320" w:lineRule="exact"/>
              <w:ind w:firstLine="420"/>
              <w:jc w:val="center"/>
              <w:rPr>
                <w:rFonts w:asciiTheme="minorEastAsia" w:hAnsiTheme="minorEastAsia" w:eastAsiaTheme="minorEastAsia"/>
                <w:sz w:val="21"/>
                <w:szCs w:val="21"/>
              </w:rPr>
            </w:pPr>
            <w:r>
              <w:rPr>
                <w:rFonts w:asciiTheme="minorEastAsia" w:hAnsiTheme="minorEastAsia" w:eastAsiaTheme="minorEastAsia"/>
                <w:sz w:val="21"/>
                <w:szCs w:val="21"/>
              </w:rPr>
              <w:t>2000</w:t>
            </w:r>
          </w:p>
        </w:tc>
      </w:tr>
    </w:tbl>
    <w:p w14:paraId="671266C7">
      <w:pPr>
        <w:ind w:firstLine="480"/>
        <w:rPr>
          <w:rFonts w:asciiTheme="minorEastAsia" w:hAnsiTheme="minorEastAsia" w:eastAsiaTheme="minorEastAsia"/>
          <w:lang w:eastAsia="zh-CN"/>
        </w:rPr>
      </w:pPr>
      <w:r>
        <w:rPr>
          <w:rFonts w:asciiTheme="minorEastAsia" w:hAnsiTheme="minorEastAsia" w:eastAsiaTheme="minorEastAsia"/>
          <w:lang w:eastAsia="zh-CN"/>
        </w:rPr>
        <w:t>根据《大庆油田开发建设对环境影响研究》课题的研究成果，废弃泥浆如果不加处理，长期以自然状态积存于井场，对土壤中有机物含量影响不大，但会对土壤理化性质如pH、总碱度、总盐产生一定影响。由于本区块的废钻井泥浆在完井后随即采用固化方式进行处理，固化后各种盐类的析出比固化前大大减少，对土壤理化性质的影响非常小，完全可以达到《废弃钻井液处理规范》（DB23/T693-2000）的要求，可以直接进行填埋，覆土后不影响植被的恢复生长。</w:t>
      </w:r>
    </w:p>
    <w:p w14:paraId="7A294BB2">
      <w:pPr>
        <w:pStyle w:val="3"/>
        <w:rPr>
          <w:lang w:eastAsia="zh-CN"/>
        </w:rPr>
      </w:pPr>
      <w:bookmarkStart w:id="426" w:name="_Toc279676713"/>
      <w:bookmarkStart w:id="427" w:name="_Toc338663577"/>
      <w:bookmarkStart w:id="428" w:name="_Toc280020112"/>
      <w:bookmarkStart w:id="429" w:name="_Toc182140939"/>
      <w:bookmarkStart w:id="430" w:name="_Toc408413999"/>
      <w:r>
        <w:rPr>
          <w:lang w:eastAsia="zh-CN"/>
        </w:rPr>
        <w:t>8.</w:t>
      </w:r>
      <w:r>
        <w:rPr>
          <w:rFonts w:hint="eastAsia"/>
          <w:lang w:eastAsia="zh-CN"/>
        </w:rPr>
        <w:t>2</w:t>
      </w:r>
      <w:r>
        <w:rPr>
          <w:lang w:eastAsia="zh-CN"/>
        </w:rPr>
        <w:t>落地原油对环境的影响</w:t>
      </w:r>
      <w:bookmarkEnd w:id="426"/>
      <w:bookmarkEnd w:id="427"/>
      <w:bookmarkEnd w:id="428"/>
      <w:bookmarkEnd w:id="429"/>
      <w:r>
        <w:rPr>
          <w:rFonts w:hint="eastAsia"/>
          <w:lang w:eastAsia="zh-CN"/>
        </w:rPr>
        <w:t>及保护措施</w:t>
      </w:r>
      <w:bookmarkEnd w:id="430"/>
    </w:p>
    <w:p w14:paraId="76D5230F">
      <w:pPr>
        <w:ind w:firstLine="480"/>
        <w:rPr>
          <w:rFonts w:asciiTheme="minorEastAsia" w:hAnsiTheme="minorEastAsia" w:eastAsiaTheme="minorEastAsia"/>
          <w:highlight w:val="yellow"/>
          <w:lang w:eastAsia="zh-CN"/>
        </w:rPr>
      </w:pPr>
      <w:r>
        <w:rPr>
          <w:rFonts w:asciiTheme="minorEastAsia" w:hAnsiTheme="minorEastAsia" w:eastAsiaTheme="minorEastAsia"/>
          <w:lang w:eastAsia="zh-CN"/>
        </w:rPr>
        <w:t>在石油的开采过程中，建井期及采油期井下作业均有可能原油抛落于地面</w:t>
      </w:r>
      <w:r>
        <w:rPr>
          <w:rFonts w:hint="eastAsia" w:asciiTheme="minorEastAsia" w:hAnsiTheme="minorEastAsia" w:eastAsiaTheme="minorEastAsia"/>
          <w:lang w:eastAsia="zh-CN"/>
        </w:rPr>
        <w:t>。</w:t>
      </w:r>
      <w:r>
        <w:rPr>
          <w:rFonts w:asciiTheme="minorEastAsia" w:hAnsiTheme="minorEastAsia" w:eastAsiaTheme="minorEastAsia"/>
          <w:lang w:eastAsia="zh-CN"/>
        </w:rPr>
        <w:t>生产过程中产生的落地原油将进行回收处理，回收率≥99%。在正常生产条件下，落地原油不会对环境造成影响。但落地原油若不能及时回收，则不可避免地会对环境造成污染，落地原油积存于地面，会对周围小范围内的生态环境造成影响，在汛期，落地原油随地表径流漫延，影响范围将不断扩大，并会对水环境造成一定的影响。</w:t>
      </w:r>
    </w:p>
    <w:p w14:paraId="72F735D2">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落地油属于危险废物，是油田开发过程中，影响土壤—植物系统的主要污染物。因此，对落地油的防治和控制尤为重要。</w:t>
      </w:r>
    </w:p>
    <w:p w14:paraId="372640DE">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（1）</w:t>
      </w:r>
      <w:r>
        <w:rPr>
          <w:rFonts w:asciiTheme="minorEastAsia" w:hAnsiTheme="minorEastAsia" w:eastAsiaTheme="minorEastAsia"/>
          <w:lang w:eastAsia="zh-CN"/>
        </w:rPr>
        <w:t>对落地油的防治关键是要避免落地原油的大量产生。因此应对落地原油采取有效的收集措施。</w:t>
      </w:r>
    </w:p>
    <w:p w14:paraId="60E291CF">
      <w:pPr>
        <w:ind w:firstLine="480"/>
        <w:rPr>
          <w:rFonts w:asciiTheme="minorEastAsia" w:hAnsiTheme="minorEastAsia" w:eastAsiaTheme="minorEastAsia"/>
          <w:lang w:eastAsia="zh-CN"/>
        </w:rPr>
      </w:pPr>
      <w:r>
        <w:rPr>
          <w:rFonts w:asciiTheme="minorEastAsia" w:hAnsiTheme="minorEastAsia" w:eastAsiaTheme="minorEastAsia"/>
          <w:lang w:eastAsia="zh-CN"/>
        </w:rPr>
        <w:t>乌里雅斯太油田在试油以及井下作业的时候，井场作业区域内应采取“三铺一盖”措施，即在设备、工具、管杆下面都铺上防渗布，在抽油机上也用防渗布遮盖。这样避免原油直接落于地面，同时也阻止油井喷出原油。在井场内如有发生防渗布破损地方，马上更换新的防渗布填补铺盖，并且将破损地方的油泥马上收集清运，土壤清理厚度为至少10cm。同时在主要设备下面增加铺设隔油布。井场内落地原油及油泥要求在48小时之内清理完毕，在汛期雨季集中的时期，落地油要求在24小时之内清理完毕。</w:t>
      </w:r>
    </w:p>
    <w:p w14:paraId="47FE5B62">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（2）</w:t>
      </w:r>
      <w:r>
        <w:rPr>
          <w:rFonts w:asciiTheme="minorEastAsia" w:hAnsiTheme="minorEastAsia" w:eastAsiaTheme="minorEastAsia"/>
          <w:lang w:eastAsia="zh-CN"/>
        </w:rPr>
        <w:t>试油过程设置临时储油罐。</w:t>
      </w:r>
    </w:p>
    <w:p w14:paraId="328B7D9C">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（3）</w:t>
      </w:r>
      <w:r>
        <w:rPr>
          <w:rFonts w:asciiTheme="minorEastAsia" w:hAnsiTheme="minorEastAsia" w:eastAsiaTheme="minorEastAsia"/>
          <w:lang w:eastAsia="zh-CN"/>
        </w:rPr>
        <w:t>采油井口保证不漏，取样口设置盛油容器，做到原油“不落地、不见天”。</w:t>
      </w:r>
    </w:p>
    <w:p w14:paraId="7C93417A">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（4）</w:t>
      </w:r>
      <w:r>
        <w:rPr>
          <w:rFonts w:asciiTheme="minorEastAsia" w:hAnsiTheme="minorEastAsia" w:eastAsiaTheme="minorEastAsia"/>
          <w:lang w:eastAsia="zh-CN"/>
        </w:rPr>
        <w:t>井口与储油罐的连接管线加强设备管理，消除跑冒、滴、漏，静密封点泄漏率不应大于2%。</w:t>
      </w:r>
    </w:p>
    <w:p w14:paraId="6C8A27FD">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（5）</w:t>
      </w:r>
      <w:r>
        <w:rPr>
          <w:rFonts w:asciiTheme="minorEastAsia" w:hAnsiTheme="minorEastAsia" w:eastAsiaTheme="minorEastAsia"/>
          <w:lang w:eastAsia="zh-CN"/>
        </w:rPr>
        <w:t>钻井、作业队伍必须严格执行技术操作规范，防止井喷及其它污染事故的发生，严格控制原油及化学药剂落地；禁止向井外倾倒垃圾。</w:t>
      </w:r>
    </w:p>
    <w:p w14:paraId="383D7030">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（6）回收的落地油进入废液池，进行有效降解、沉降，上清液进入污水处理系统，底泥一般3-5年清理一次，委托东乌珠穆沁旗高科危险废物处理有限公司进行处置。</w:t>
      </w:r>
    </w:p>
    <w:p w14:paraId="3A1B4DCA">
      <w:pPr>
        <w:ind w:firstLine="0" w:firstLineChars="0"/>
        <w:rPr>
          <w:rFonts w:asciiTheme="minorEastAsia" w:hAnsiTheme="minorEastAsia" w:eastAsiaTheme="minorEastAsia"/>
          <w:highlight w:val="yellow"/>
          <w:lang w:eastAsia="zh-CN"/>
        </w:rPr>
      </w:pPr>
      <w:r>
        <w:rPr>
          <w:rFonts w:hint="eastAsia" w:asciiTheme="minorEastAsia" w:hAnsiTheme="minorEastAsia" w:eastAsiaTheme="minorEastAsia"/>
          <w:lang w:eastAsia="zh-CN"/>
        </w:rPr>
        <w:t xml:space="preserve">    </w:t>
      </w:r>
      <w:r>
        <w:rPr>
          <w:rFonts w:asciiTheme="minorEastAsia" w:hAnsiTheme="minorEastAsia" w:eastAsiaTheme="minorEastAsia"/>
          <w:lang w:eastAsia="zh-CN"/>
        </w:rPr>
        <w:t>经过采取上述措施后，极大降低了对环境的影响。</w:t>
      </w:r>
    </w:p>
    <w:p w14:paraId="556C9E06">
      <w:pPr>
        <w:pStyle w:val="3"/>
        <w:rPr>
          <w:lang w:eastAsia="zh-CN"/>
        </w:rPr>
      </w:pPr>
      <w:bookmarkStart w:id="431" w:name="_Toc408414000"/>
      <w:r>
        <w:rPr>
          <w:rFonts w:hint="eastAsia"/>
          <w:lang w:eastAsia="zh-CN"/>
        </w:rPr>
        <w:t>8.3钻井岩屑对环境的影响及保护措施</w:t>
      </w:r>
      <w:bookmarkEnd w:id="431"/>
    </w:p>
    <w:p w14:paraId="3671717E">
      <w:pPr>
        <w:ind w:firstLine="480"/>
        <w:rPr>
          <w:lang w:eastAsia="zh-CN"/>
        </w:rPr>
      </w:pPr>
      <w:r>
        <w:rPr>
          <w:rFonts w:hint="eastAsia"/>
          <w:lang w:eastAsia="zh-CN"/>
        </w:rPr>
        <w:t>乌里雅斯太油田在钻井过程中产生的钻井岩屑全部进入井场泥浆池，自然蒸发，然后同废弃泥浆一并实施无害化固化稳定处理，降低了其对环境的影响。</w:t>
      </w:r>
    </w:p>
    <w:p w14:paraId="4477BF23">
      <w:pPr>
        <w:pStyle w:val="3"/>
        <w:rPr>
          <w:lang w:eastAsia="zh-CN"/>
        </w:rPr>
      </w:pPr>
      <w:bookmarkStart w:id="432" w:name="_Toc408414001"/>
      <w:r>
        <w:rPr>
          <w:rFonts w:hint="eastAsia"/>
          <w:lang w:eastAsia="zh-CN"/>
        </w:rPr>
        <w:t>8.4油泥砂对环境的影响及保护措施</w:t>
      </w:r>
      <w:bookmarkEnd w:id="432"/>
    </w:p>
    <w:p w14:paraId="49A0F79A">
      <w:pPr>
        <w:ind w:firstLine="0" w:firstLineChars="0"/>
        <w:rPr>
          <w:lang w:eastAsia="zh-CN"/>
        </w:rPr>
      </w:pPr>
      <w:r>
        <w:rPr>
          <w:rFonts w:hint="eastAsia"/>
          <w:lang w:eastAsia="zh-CN"/>
        </w:rPr>
        <w:t xml:space="preserve">    油泥砂主要来源于含油污水处理系统及原油储罐，油泥砂进入废液池，进行有效降解、沉降，上清液进入污水处理系统，底泥一般3-5年清理一次，</w:t>
      </w:r>
      <w:r>
        <w:rPr>
          <w:rFonts w:hint="eastAsia" w:asciiTheme="minorEastAsia" w:hAnsiTheme="minorEastAsia" w:eastAsiaTheme="minorEastAsia"/>
          <w:lang w:eastAsia="zh-CN"/>
        </w:rPr>
        <w:t>委托东乌珠穆沁旗高科危险废物处理有限公司进行处置。</w:t>
      </w:r>
    </w:p>
    <w:bookmarkEnd w:id="418"/>
    <w:bookmarkEnd w:id="419"/>
    <w:bookmarkEnd w:id="420"/>
    <w:p w14:paraId="30EEC729">
      <w:pPr>
        <w:pStyle w:val="3"/>
        <w:rPr>
          <w:lang w:eastAsia="zh-CN"/>
        </w:rPr>
      </w:pPr>
      <w:bookmarkStart w:id="433" w:name="_Toc182140940"/>
      <w:bookmarkStart w:id="434" w:name="_Toc338663578"/>
      <w:bookmarkStart w:id="435" w:name="_Toc279676714"/>
      <w:bookmarkStart w:id="436" w:name="_Toc280020113"/>
      <w:bookmarkStart w:id="437" w:name="_Toc408414002"/>
      <w:bookmarkStart w:id="438" w:name="_Toc189535417"/>
      <w:bookmarkStart w:id="439" w:name="_Toc86985700"/>
      <w:bookmarkStart w:id="440" w:name="_Toc87278143"/>
      <w:r>
        <w:rPr>
          <w:lang w:eastAsia="zh-CN"/>
        </w:rPr>
        <w:t>8.</w:t>
      </w:r>
      <w:r>
        <w:rPr>
          <w:rFonts w:hint="eastAsia"/>
          <w:lang w:eastAsia="zh-CN"/>
        </w:rPr>
        <w:t>5</w:t>
      </w:r>
      <w:r>
        <w:rPr>
          <w:lang w:eastAsia="zh-CN"/>
        </w:rPr>
        <w:t>生活垃圾对环境</w:t>
      </w:r>
      <w:r>
        <w:rPr>
          <w:rFonts w:hint="eastAsia"/>
          <w:lang w:eastAsia="zh-CN"/>
        </w:rPr>
        <w:t>的</w:t>
      </w:r>
      <w:r>
        <w:rPr>
          <w:lang w:eastAsia="zh-CN"/>
        </w:rPr>
        <w:t>影响</w:t>
      </w:r>
      <w:bookmarkEnd w:id="433"/>
      <w:bookmarkEnd w:id="434"/>
      <w:bookmarkEnd w:id="435"/>
      <w:bookmarkEnd w:id="436"/>
      <w:r>
        <w:rPr>
          <w:rFonts w:hint="eastAsia"/>
          <w:lang w:eastAsia="zh-CN"/>
        </w:rPr>
        <w:t>及保护措施</w:t>
      </w:r>
      <w:bookmarkEnd w:id="437"/>
    </w:p>
    <w:p w14:paraId="3DDA8029">
      <w:pPr>
        <w:ind w:firstLine="480"/>
        <w:rPr>
          <w:lang w:eastAsia="zh-CN"/>
        </w:rPr>
      </w:pPr>
      <w:r>
        <w:rPr>
          <w:rFonts w:hint="eastAsia"/>
          <w:lang w:eastAsia="zh-CN"/>
        </w:rPr>
        <w:t>乌里雅斯太油田建设期建筑垃圾和</w:t>
      </w:r>
      <w:r>
        <w:rPr>
          <w:lang w:eastAsia="zh-CN"/>
        </w:rPr>
        <w:t>生活垃圾定点存放，而后按照当地</w:t>
      </w:r>
      <w:r>
        <w:rPr>
          <w:rFonts w:hint="eastAsia"/>
          <w:lang w:eastAsia="zh-CN"/>
        </w:rPr>
        <w:t>环卫</w:t>
      </w:r>
      <w:r>
        <w:rPr>
          <w:lang w:eastAsia="zh-CN"/>
        </w:rPr>
        <w:t>部门要求统一处</w:t>
      </w:r>
      <w:r>
        <w:rPr>
          <w:rFonts w:hint="eastAsia"/>
          <w:lang w:eastAsia="zh-CN"/>
        </w:rPr>
        <w:t>置，不得随意丢弃倾倒</w:t>
      </w:r>
      <w:r>
        <w:rPr>
          <w:lang w:eastAsia="zh-CN"/>
        </w:rPr>
        <w:t>。</w:t>
      </w:r>
      <w:r>
        <w:rPr>
          <w:rFonts w:hint="eastAsia"/>
          <w:lang w:eastAsia="zh-CN"/>
        </w:rPr>
        <w:t>雅斯联合站内设有生活垃圾箱，集中收集后，运至联合站西侧集中填埋处置</w:t>
      </w:r>
    </w:p>
    <w:p w14:paraId="46515207">
      <w:pPr>
        <w:ind w:firstLine="480"/>
        <w:rPr>
          <w:lang w:eastAsia="zh-CN"/>
        </w:rPr>
      </w:pPr>
      <w:r>
        <w:rPr>
          <w:lang w:eastAsia="zh-CN"/>
        </w:rPr>
        <w:t>在采取上述措施后，本项目产生的建筑及生活垃圾对环境的影响是可以接受的。</w:t>
      </w:r>
    </w:p>
    <w:p w14:paraId="4846C973">
      <w:pPr>
        <w:pStyle w:val="3"/>
        <w:rPr>
          <w:lang w:eastAsia="zh-CN"/>
        </w:rPr>
      </w:pPr>
      <w:bookmarkStart w:id="441" w:name="_Toc408414003"/>
      <w:r>
        <w:rPr>
          <w:lang w:eastAsia="zh-CN"/>
        </w:rPr>
        <w:t>8.</w:t>
      </w:r>
      <w:r>
        <w:rPr>
          <w:rFonts w:hint="eastAsia"/>
          <w:lang w:eastAsia="zh-CN"/>
        </w:rPr>
        <w:t>6</w:t>
      </w:r>
      <w:r>
        <w:rPr>
          <w:lang w:eastAsia="zh-CN"/>
        </w:rPr>
        <w:t>固体废物环境</w:t>
      </w:r>
      <w:r>
        <w:rPr>
          <w:rFonts w:hint="eastAsia"/>
          <w:lang w:eastAsia="zh-CN"/>
        </w:rPr>
        <w:t>保护措施</w:t>
      </w:r>
      <w:bookmarkEnd w:id="441"/>
    </w:p>
    <w:p w14:paraId="3904DD48">
      <w:pPr>
        <w:ind w:firstLine="480"/>
        <w:rPr>
          <w:lang w:eastAsia="zh-CN" w:bidi="ar-SA"/>
        </w:rPr>
      </w:pPr>
      <w:r>
        <w:rPr>
          <w:rFonts w:hint="eastAsia"/>
          <w:lang w:eastAsia="zh-CN" w:bidi="ar-SA"/>
        </w:rPr>
        <w:t>乌里雅斯太油田对开发建设过程中产生的固体废物，采取的处置措施见表8.6-1。</w:t>
      </w:r>
    </w:p>
    <w:p w14:paraId="47FEA7EE">
      <w:pPr>
        <w:spacing w:line="240" w:lineRule="auto"/>
        <w:ind w:firstLine="482"/>
        <w:rPr>
          <w:b/>
          <w:lang w:eastAsia="zh-CN"/>
        </w:rPr>
      </w:pPr>
      <w:r>
        <w:rPr>
          <w:b/>
          <w:lang w:eastAsia="zh-CN"/>
        </w:rPr>
        <w:t>表</w:t>
      </w:r>
      <w:r>
        <w:rPr>
          <w:rFonts w:hint="eastAsia"/>
          <w:b/>
          <w:lang w:eastAsia="zh-CN"/>
        </w:rPr>
        <w:t>8</w:t>
      </w:r>
      <w:r>
        <w:rPr>
          <w:b/>
          <w:lang w:eastAsia="zh-CN"/>
        </w:rPr>
        <w:t>.</w:t>
      </w:r>
      <w:r>
        <w:rPr>
          <w:rFonts w:hint="eastAsia"/>
          <w:b/>
          <w:lang w:eastAsia="zh-CN"/>
        </w:rPr>
        <w:t>6</w:t>
      </w:r>
      <w:r>
        <w:rPr>
          <w:b/>
          <w:lang w:eastAsia="zh-CN"/>
        </w:rPr>
        <w:t>-</w:t>
      </w:r>
      <w:r>
        <w:rPr>
          <w:rFonts w:hint="eastAsia"/>
          <w:b/>
          <w:lang w:eastAsia="zh-CN"/>
        </w:rPr>
        <w:t>1</w:t>
      </w:r>
      <w:r>
        <w:rPr>
          <w:b/>
          <w:lang w:eastAsia="zh-CN"/>
        </w:rPr>
        <w:t xml:space="preserve"> </w:t>
      </w:r>
      <w:r>
        <w:rPr>
          <w:rFonts w:hint="eastAsia"/>
          <w:b/>
          <w:lang w:eastAsia="zh-CN"/>
        </w:rPr>
        <w:t xml:space="preserve">         </w:t>
      </w:r>
      <w:r>
        <w:rPr>
          <w:b/>
          <w:lang w:eastAsia="zh-CN"/>
        </w:rPr>
        <w:t xml:space="preserve"> 固废污染物产</w:t>
      </w:r>
      <w:r>
        <w:rPr>
          <w:rFonts w:hint="eastAsia"/>
          <w:b/>
          <w:lang w:eastAsia="zh-CN"/>
        </w:rPr>
        <w:t>（排）情况汇总</w:t>
      </w:r>
      <w:r>
        <w:rPr>
          <w:b/>
          <w:lang w:eastAsia="zh-CN"/>
        </w:rPr>
        <w:t>表</w:t>
      </w:r>
    </w:p>
    <w:tbl>
      <w:tblPr>
        <w:tblStyle w:val="76"/>
        <w:tblW w:w="875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35"/>
        <w:gridCol w:w="1559"/>
        <w:gridCol w:w="4961"/>
      </w:tblGrid>
      <w:tr w14:paraId="4F2B14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235" w:type="dxa"/>
            <w:vAlign w:val="center"/>
          </w:tcPr>
          <w:p w14:paraId="5AC0745F">
            <w:pPr>
              <w:pStyle w:val="337"/>
              <w:rPr>
                <w:color w:val="auto"/>
                <w:lang w:val="en-US" w:eastAsia="en-US" w:bidi="en-US"/>
              </w:rPr>
            </w:pPr>
            <w:r>
              <w:rPr>
                <w:rFonts w:hint="eastAsia"/>
                <w:color w:val="auto"/>
                <w:lang w:val="en-US" w:eastAsia="zh-CN" w:bidi="en-US"/>
              </w:rPr>
              <w:t>污染物</w:t>
            </w:r>
            <w:r>
              <w:rPr>
                <w:color w:val="auto"/>
                <w:lang w:val="en-US" w:eastAsia="en-US" w:bidi="en-US"/>
              </w:rPr>
              <w:t>类型</w:t>
            </w:r>
          </w:p>
        </w:tc>
        <w:tc>
          <w:tcPr>
            <w:tcW w:w="1559" w:type="dxa"/>
            <w:vAlign w:val="center"/>
          </w:tcPr>
          <w:p w14:paraId="080A9B1B">
            <w:pPr>
              <w:pStyle w:val="337"/>
              <w:rPr>
                <w:color w:val="auto"/>
                <w:lang w:val="en-US" w:eastAsia="en-US" w:bidi="en-US"/>
              </w:rPr>
            </w:pPr>
            <w:r>
              <w:rPr>
                <w:color w:val="auto"/>
                <w:lang w:val="en-US" w:eastAsia="en-US" w:bidi="en-US"/>
              </w:rPr>
              <w:t>排放量(t/a)</w:t>
            </w:r>
          </w:p>
        </w:tc>
        <w:tc>
          <w:tcPr>
            <w:tcW w:w="4961" w:type="dxa"/>
            <w:vAlign w:val="center"/>
          </w:tcPr>
          <w:p w14:paraId="4E1E4DA7">
            <w:pPr>
              <w:pStyle w:val="337"/>
              <w:rPr>
                <w:color w:val="auto"/>
                <w:lang w:val="en-US" w:eastAsia="en-US" w:bidi="en-US"/>
              </w:rPr>
            </w:pPr>
            <w:r>
              <w:rPr>
                <w:rFonts w:hint="eastAsia"/>
                <w:color w:val="auto"/>
                <w:lang w:val="en-US" w:eastAsia="zh-CN" w:bidi="en-US"/>
              </w:rPr>
              <w:t>处置措施</w:t>
            </w:r>
          </w:p>
        </w:tc>
      </w:tr>
      <w:tr w14:paraId="745FAD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235" w:type="dxa"/>
            <w:vAlign w:val="center"/>
          </w:tcPr>
          <w:p w14:paraId="08B3B95D">
            <w:pPr>
              <w:pStyle w:val="337"/>
              <w:rPr>
                <w:color w:val="auto"/>
                <w:lang w:val="en-US" w:eastAsia="zh-CN" w:bidi="en-US"/>
              </w:rPr>
            </w:pPr>
            <w:r>
              <w:rPr>
                <w:color w:val="auto"/>
                <w:lang w:val="en-US" w:eastAsia="zh-CN" w:bidi="en-US"/>
              </w:rPr>
              <w:t>钻井废弃泥浆（单井）</w:t>
            </w:r>
          </w:p>
        </w:tc>
        <w:tc>
          <w:tcPr>
            <w:tcW w:w="1559" w:type="dxa"/>
            <w:vAlign w:val="center"/>
          </w:tcPr>
          <w:p w14:paraId="08D563D4">
            <w:pPr>
              <w:pStyle w:val="337"/>
              <w:rPr>
                <w:color w:val="auto"/>
                <w:lang w:val="en-US" w:eastAsia="zh-CN" w:bidi="en-US"/>
              </w:rPr>
            </w:pPr>
            <w:r>
              <w:rPr>
                <w:rFonts w:hint="eastAsia"/>
                <w:color w:val="auto"/>
                <w:lang w:val="en-US" w:eastAsia="zh-CN"/>
              </w:rPr>
              <w:t>79.2</w:t>
            </w:r>
          </w:p>
        </w:tc>
        <w:tc>
          <w:tcPr>
            <w:tcW w:w="4961" w:type="dxa"/>
            <w:vAlign w:val="center"/>
          </w:tcPr>
          <w:p w14:paraId="3AC94774">
            <w:pPr>
              <w:pStyle w:val="337"/>
              <w:rPr>
                <w:color w:val="auto"/>
                <w:lang w:val="en-US" w:eastAsia="zh-CN" w:bidi="en-US"/>
              </w:rPr>
            </w:pPr>
            <w:r>
              <w:rPr>
                <w:color w:val="auto"/>
                <w:lang w:val="en-US" w:eastAsia="zh-CN" w:bidi="en-US"/>
              </w:rPr>
              <w:t>井场</w:t>
            </w:r>
            <w:r>
              <w:rPr>
                <w:rFonts w:hint="eastAsia"/>
                <w:color w:val="auto"/>
                <w:lang w:val="en-US" w:eastAsia="zh-CN" w:bidi="en-US"/>
              </w:rPr>
              <w:t>防渗</w:t>
            </w:r>
            <w:r>
              <w:rPr>
                <w:color w:val="auto"/>
                <w:lang w:val="en-US" w:eastAsia="zh-CN" w:bidi="en-US"/>
              </w:rPr>
              <w:t>泥浆池</w:t>
            </w:r>
            <w:r>
              <w:rPr>
                <w:rFonts w:hint="eastAsia"/>
                <w:color w:val="auto"/>
                <w:lang w:val="en-US" w:eastAsia="zh-CN" w:bidi="en-US"/>
              </w:rPr>
              <w:t>，</w:t>
            </w:r>
            <w:r>
              <w:rPr>
                <w:color w:val="auto"/>
                <w:lang w:val="en-US" w:eastAsia="zh-CN" w:bidi="en-US"/>
              </w:rPr>
              <w:t>无害化固化稳定处理</w:t>
            </w:r>
          </w:p>
        </w:tc>
      </w:tr>
      <w:tr w14:paraId="62213F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235" w:type="dxa"/>
            <w:vAlign w:val="center"/>
          </w:tcPr>
          <w:p w14:paraId="48BF19B8">
            <w:pPr>
              <w:pStyle w:val="337"/>
              <w:rPr>
                <w:color w:val="auto"/>
                <w:lang w:val="en-US" w:eastAsia="en-US" w:bidi="en-US"/>
              </w:rPr>
            </w:pPr>
            <w:r>
              <w:rPr>
                <w:color w:val="auto"/>
                <w:lang w:val="en-US" w:eastAsia="en-US" w:bidi="en-US"/>
              </w:rPr>
              <w:t>钻井岩屑</w:t>
            </w:r>
            <w:r>
              <w:rPr>
                <w:color w:val="auto"/>
                <w:lang w:val="en-US" w:eastAsia="zh-CN" w:bidi="en-US"/>
              </w:rPr>
              <w:t>（单井）</w:t>
            </w:r>
          </w:p>
        </w:tc>
        <w:tc>
          <w:tcPr>
            <w:tcW w:w="1559" w:type="dxa"/>
            <w:vAlign w:val="center"/>
          </w:tcPr>
          <w:p w14:paraId="59ED2E0C">
            <w:pPr>
              <w:pStyle w:val="337"/>
              <w:rPr>
                <w:color w:val="auto"/>
                <w:lang w:val="en-US" w:eastAsia="zh-CN" w:bidi="en-US"/>
              </w:rPr>
            </w:pPr>
            <w:r>
              <w:rPr>
                <w:rFonts w:hint="eastAsia"/>
                <w:color w:val="auto"/>
                <w:lang w:val="en-US" w:eastAsia="zh-CN" w:bidi="en-US"/>
              </w:rPr>
              <w:t>36</w:t>
            </w:r>
          </w:p>
        </w:tc>
        <w:tc>
          <w:tcPr>
            <w:tcW w:w="4961" w:type="dxa"/>
            <w:vAlign w:val="center"/>
          </w:tcPr>
          <w:p w14:paraId="7AB8784D">
            <w:pPr>
              <w:pStyle w:val="337"/>
              <w:rPr>
                <w:color w:val="auto"/>
                <w:lang w:val="en-US" w:eastAsia="zh-CN" w:bidi="en-US"/>
              </w:rPr>
            </w:pPr>
            <w:r>
              <w:rPr>
                <w:color w:val="auto"/>
                <w:lang w:val="en-US" w:eastAsia="zh-CN" w:bidi="en-US"/>
              </w:rPr>
              <w:t>井场</w:t>
            </w:r>
            <w:r>
              <w:rPr>
                <w:rFonts w:hint="eastAsia"/>
                <w:color w:val="auto"/>
                <w:lang w:val="en-US" w:eastAsia="zh-CN" w:bidi="en-US"/>
              </w:rPr>
              <w:t>防渗</w:t>
            </w:r>
            <w:r>
              <w:rPr>
                <w:color w:val="auto"/>
                <w:lang w:val="en-US" w:eastAsia="zh-CN" w:bidi="en-US"/>
              </w:rPr>
              <w:t>泥浆池</w:t>
            </w:r>
            <w:r>
              <w:rPr>
                <w:rFonts w:hint="eastAsia"/>
                <w:color w:val="auto"/>
                <w:lang w:val="en-US" w:eastAsia="zh-CN" w:bidi="en-US"/>
              </w:rPr>
              <w:t>，</w:t>
            </w:r>
            <w:r>
              <w:rPr>
                <w:color w:val="auto"/>
                <w:lang w:val="en-US" w:eastAsia="zh-CN" w:bidi="en-US"/>
              </w:rPr>
              <w:t>无害化固化稳定处理</w:t>
            </w:r>
          </w:p>
        </w:tc>
      </w:tr>
      <w:tr w14:paraId="02BFB6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235" w:type="dxa"/>
            <w:vAlign w:val="center"/>
          </w:tcPr>
          <w:p w14:paraId="4756B476">
            <w:pPr>
              <w:pStyle w:val="337"/>
              <w:rPr>
                <w:color w:val="auto"/>
                <w:lang w:val="en-US" w:eastAsia="en-US" w:bidi="en-US"/>
              </w:rPr>
            </w:pPr>
            <w:r>
              <w:rPr>
                <w:color w:val="auto"/>
                <w:lang w:val="en-US" w:eastAsia="en-US" w:bidi="en-US"/>
              </w:rPr>
              <w:t>油泥砂</w:t>
            </w:r>
          </w:p>
        </w:tc>
        <w:tc>
          <w:tcPr>
            <w:tcW w:w="1559" w:type="dxa"/>
            <w:vAlign w:val="center"/>
          </w:tcPr>
          <w:p w14:paraId="4CA8E0A0">
            <w:pPr>
              <w:pStyle w:val="337"/>
              <w:rPr>
                <w:rFonts w:asciiTheme="minorEastAsia" w:hAnsiTheme="minorEastAsia" w:eastAsiaTheme="minorEastAsia"/>
                <w:color w:val="auto"/>
                <w:lang w:val="en-US" w:eastAsia="zh-CN" w:bidi="en-US"/>
              </w:rPr>
            </w:pPr>
            <w:r>
              <w:rPr>
                <w:rFonts w:hint="eastAsia" w:asciiTheme="minorEastAsia" w:hAnsiTheme="minorEastAsia" w:eastAsiaTheme="minorEastAsia"/>
                <w:color w:val="auto"/>
                <w:lang w:val="en-US" w:eastAsia="zh-CN"/>
              </w:rPr>
              <w:t>35.25</w:t>
            </w:r>
          </w:p>
        </w:tc>
        <w:tc>
          <w:tcPr>
            <w:tcW w:w="4961" w:type="dxa"/>
            <w:vAlign w:val="center"/>
          </w:tcPr>
          <w:p w14:paraId="10BA6D13">
            <w:pPr>
              <w:pStyle w:val="337"/>
              <w:rPr>
                <w:rFonts w:asciiTheme="minorEastAsia" w:hAnsiTheme="minorEastAsia" w:eastAsiaTheme="minorEastAsia"/>
                <w:color w:val="auto"/>
                <w:lang w:val="en-US" w:eastAsia="zh-CN" w:bidi="en-US"/>
              </w:rPr>
            </w:pPr>
            <w:r>
              <w:rPr>
                <w:rFonts w:hint="eastAsia" w:asciiTheme="minorEastAsia" w:hAnsiTheme="minorEastAsia" w:eastAsiaTheme="minorEastAsia"/>
                <w:color w:val="auto"/>
                <w:lang w:val="en-US" w:eastAsia="zh-CN" w:bidi="en-US"/>
              </w:rPr>
              <w:t>进入废液池进行有效降解、沉降，上清液进入污水处理系统，底泥一般3-5年清理一次，</w:t>
            </w:r>
            <w:r>
              <w:rPr>
                <w:rFonts w:hint="eastAsia" w:asciiTheme="minorEastAsia" w:hAnsiTheme="minorEastAsia" w:eastAsiaTheme="minorEastAsia"/>
                <w:color w:val="auto"/>
                <w:lang w:val="en-US" w:eastAsia="zh-CN"/>
              </w:rPr>
              <w:t>委托东乌珠穆沁旗高科危险废物处理有限公司进行处置</w:t>
            </w:r>
            <w:r>
              <w:rPr>
                <w:rFonts w:hint="eastAsia" w:asciiTheme="minorEastAsia" w:hAnsiTheme="minorEastAsia" w:eastAsiaTheme="minorEastAsia"/>
                <w:color w:val="auto"/>
                <w:lang w:val="en-US" w:eastAsia="zh-CN" w:bidi="en-US"/>
              </w:rPr>
              <w:t>。</w:t>
            </w:r>
          </w:p>
        </w:tc>
      </w:tr>
      <w:tr w14:paraId="752ADC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15" w:hRule="atLeast"/>
        </w:trPr>
        <w:tc>
          <w:tcPr>
            <w:tcW w:w="2235" w:type="dxa"/>
            <w:vMerge w:val="restart"/>
            <w:vAlign w:val="center"/>
          </w:tcPr>
          <w:p w14:paraId="207057F9">
            <w:pPr>
              <w:pStyle w:val="337"/>
              <w:rPr>
                <w:color w:val="auto"/>
                <w:lang w:val="en-US" w:eastAsia="en-US" w:bidi="en-US"/>
              </w:rPr>
            </w:pPr>
            <w:r>
              <w:rPr>
                <w:color w:val="auto"/>
                <w:lang w:val="en-US" w:eastAsia="en-US" w:bidi="en-US"/>
              </w:rPr>
              <w:t>落地油</w:t>
            </w:r>
          </w:p>
        </w:tc>
        <w:tc>
          <w:tcPr>
            <w:tcW w:w="1559" w:type="dxa"/>
            <w:vAlign w:val="center"/>
          </w:tcPr>
          <w:p w14:paraId="10A30546">
            <w:pPr>
              <w:pStyle w:val="337"/>
              <w:jc w:val="both"/>
              <w:rPr>
                <w:rFonts w:asciiTheme="minorEastAsia" w:hAnsiTheme="minorEastAsia" w:eastAsiaTheme="minorEastAsia"/>
                <w:color w:val="auto"/>
                <w:lang w:val="en-US" w:eastAsia="zh-CN" w:bidi="en-US"/>
              </w:rPr>
            </w:pPr>
            <w:r>
              <w:rPr>
                <w:rFonts w:asciiTheme="minorEastAsia" w:hAnsiTheme="minorEastAsia" w:eastAsiaTheme="minorEastAsia"/>
                <w:color w:val="auto"/>
                <w:lang w:val="en-US" w:eastAsia="zh-CN" w:bidi="en-US"/>
              </w:rPr>
              <w:t>运营期</w:t>
            </w:r>
            <w:r>
              <w:rPr>
                <w:rFonts w:hint="eastAsia" w:asciiTheme="minorEastAsia" w:hAnsiTheme="minorEastAsia" w:eastAsiaTheme="minorEastAsia"/>
                <w:color w:val="auto"/>
                <w:lang w:val="en-US" w:eastAsia="zh-CN" w:bidi="en-US"/>
              </w:rPr>
              <w:t>270.6</w:t>
            </w:r>
          </w:p>
        </w:tc>
        <w:tc>
          <w:tcPr>
            <w:tcW w:w="4961" w:type="dxa"/>
            <w:vMerge w:val="restart"/>
            <w:vAlign w:val="center"/>
          </w:tcPr>
          <w:p w14:paraId="5E8DA1F4">
            <w:pPr>
              <w:pStyle w:val="337"/>
              <w:rPr>
                <w:rFonts w:asciiTheme="minorEastAsia" w:hAnsiTheme="minorEastAsia" w:eastAsiaTheme="minorEastAsia"/>
                <w:color w:val="auto"/>
                <w:lang w:val="en-US" w:eastAsia="zh-CN" w:bidi="en-US"/>
              </w:rPr>
            </w:pPr>
            <w:r>
              <w:rPr>
                <w:rFonts w:asciiTheme="minorEastAsia" w:hAnsiTheme="minorEastAsia" w:eastAsiaTheme="minorEastAsia"/>
                <w:color w:val="auto"/>
                <w:lang w:val="en-US" w:eastAsia="zh-CN"/>
              </w:rPr>
              <w:t>回收的落地油</w:t>
            </w:r>
            <w:r>
              <w:rPr>
                <w:rFonts w:hint="eastAsia" w:asciiTheme="minorEastAsia" w:hAnsiTheme="minorEastAsia" w:eastAsiaTheme="minorEastAsia"/>
                <w:color w:val="auto"/>
                <w:lang w:val="en-US" w:eastAsia="zh-CN"/>
              </w:rPr>
              <w:t>进入废液池，进行有效降解、沉降，上清液进入污水处理系统，底泥一般3-5年清理一次，委托东乌珠穆沁旗高科危险废物处理有限公司进行处置。</w:t>
            </w:r>
            <w:r>
              <w:rPr>
                <w:rFonts w:asciiTheme="minorEastAsia" w:hAnsiTheme="minorEastAsia" w:eastAsiaTheme="minorEastAsia"/>
                <w:color w:val="auto"/>
                <w:lang w:val="en-US" w:eastAsia="zh-CN" w:bidi="en-US"/>
              </w:rPr>
              <w:t xml:space="preserve"> </w:t>
            </w:r>
          </w:p>
        </w:tc>
      </w:tr>
      <w:tr w14:paraId="09E9FD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235" w:type="dxa"/>
            <w:vMerge w:val="continue"/>
            <w:vAlign w:val="center"/>
          </w:tcPr>
          <w:p w14:paraId="3013A340">
            <w:pPr>
              <w:pStyle w:val="337"/>
              <w:rPr>
                <w:color w:val="auto"/>
                <w:lang w:val="en-US" w:eastAsia="zh-CN" w:bidi="en-US"/>
              </w:rPr>
            </w:pPr>
          </w:p>
        </w:tc>
        <w:tc>
          <w:tcPr>
            <w:tcW w:w="1559" w:type="dxa"/>
            <w:vAlign w:val="center"/>
          </w:tcPr>
          <w:p w14:paraId="6F505BEC">
            <w:pPr>
              <w:pStyle w:val="337"/>
              <w:rPr>
                <w:rFonts w:asciiTheme="minorEastAsia" w:hAnsiTheme="minorEastAsia" w:eastAsiaTheme="minorEastAsia"/>
                <w:color w:val="auto"/>
                <w:lang w:val="en-US" w:eastAsia="zh-CN" w:bidi="en-US"/>
              </w:rPr>
            </w:pPr>
            <w:r>
              <w:rPr>
                <w:rFonts w:asciiTheme="minorEastAsia" w:hAnsiTheme="minorEastAsia" w:eastAsiaTheme="minorEastAsia"/>
                <w:color w:val="auto"/>
                <w:lang w:val="en-US" w:eastAsia="zh-CN" w:bidi="en-US"/>
              </w:rPr>
              <w:t>建设期</w:t>
            </w:r>
            <w:r>
              <w:rPr>
                <w:rFonts w:hint="eastAsia" w:asciiTheme="minorEastAsia" w:hAnsiTheme="minorEastAsia" w:eastAsiaTheme="minorEastAsia"/>
                <w:color w:val="auto"/>
                <w:lang w:val="en-US" w:eastAsia="zh-CN" w:bidi="en-US"/>
              </w:rPr>
              <w:t>0.09</w:t>
            </w:r>
          </w:p>
        </w:tc>
        <w:tc>
          <w:tcPr>
            <w:tcW w:w="4961" w:type="dxa"/>
            <w:vMerge w:val="continue"/>
            <w:vAlign w:val="center"/>
          </w:tcPr>
          <w:p w14:paraId="0793982B">
            <w:pPr>
              <w:pStyle w:val="337"/>
              <w:rPr>
                <w:rFonts w:asciiTheme="minorEastAsia" w:hAnsiTheme="minorEastAsia" w:eastAsiaTheme="minorEastAsia"/>
                <w:color w:val="auto"/>
                <w:lang w:val="en-US" w:eastAsia="zh-CN" w:bidi="en-US"/>
              </w:rPr>
            </w:pPr>
          </w:p>
        </w:tc>
      </w:tr>
      <w:tr w14:paraId="62DC81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235" w:type="dxa"/>
            <w:vAlign w:val="center"/>
          </w:tcPr>
          <w:p w14:paraId="29FB6CBA">
            <w:pPr>
              <w:pStyle w:val="337"/>
              <w:rPr>
                <w:color w:val="auto"/>
                <w:lang w:val="en-US" w:eastAsia="en-US" w:bidi="en-US"/>
              </w:rPr>
            </w:pPr>
            <w:r>
              <w:rPr>
                <w:color w:val="auto"/>
                <w:lang w:val="en-US" w:eastAsia="en-US" w:bidi="en-US"/>
              </w:rPr>
              <w:t>生活垃圾</w:t>
            </w:r>
          </w:p>
        </w:tc>
        <w:tc>
          <w:tcPr>
            <w:tcW w:w="1559" w:type="dxa"/>
            <w:vAlign w:val="center"/>
          </w:tcPr>
          <w:p w14:paraId="0E26BD5B">
            <w:pPr>
              <w:pStyle w:val="337"/>
              <w:rPr>
                <w:rFonts w:asciiTheme="minorEastAsia" w:hAnsiTheme="minorEastAsia" w:eastAsiaTheme="minorEastAsia"/>
                <w:color w:val="auto"/>
                <w:lang w:val="en-US" w:eastAsia="zh-CN" w:bidi="en-US"/>
              </w:rPr>
            </w:pPr>
            <w:r>
              <w:rPr>
                <w:rFonts w:hint="eastAsia" w:asciiTheme="minorEastAsia" w:hAnsiTheme="minorEastAsia" w:eastAsiaTheme="minorEastAsia"/>
                <w:color w:val="auto"/>
                <w:lang w:val="en-US" w:eastAsia="zh-CN" w:bidi="en-US"/>
              </w:rPr>
              <w:t>23.0</w:t>
            </w:r>
          </w:p>
        </w:tc>
        <w:tc>
          <w:tcPr>
            <w:tcW w:w="4961" w:type="dxa"/>
            <w:vAlign w:val="center"/>
          </w:tcPr>
          <w:p w14:paraId="185815C4">
            <w:pPr>
              <w:pStyle w:val="337"/>
              <w:rPr>
                <w:rFonts w:asciiTheme="minorEastAsia" w:hAnsiTheme="minorEastAsia" w:eastAsiaTheme="minorEastAsia"/>
                <w:color w:val="auto"/>
                <w:lang w:val="en-US" w:eastAsia="zh-CN" w:bidi="en-US"/>
              </w:rPr>
            </w:pPr>
            <w:r>
              <w:rPr>
                <w:rFonts w:hint="eastAsia" w:asciiTheme="minorEastAsia" w:hAnsiTheme="minorEastAsia" w:eastAsiaTheme="minorEastAsia"/>
                <w:color w:val="auto"/>
                <w:lang w:val="en-US" w:eastAsia="zh-CN"/>
              </w:rPr>
              <w:t>雅斯联合站内设有生活垃圾箱，集中收集后，运至联合站西侧集中填埋处置</w:t>
            </w:r>
          </w:p>
        </w:tc>
      </w:tr>
    </w:tbl>
    <w:p w14:paraId="6351E35A">
      <w:pPr>
        <w:ind w:firstLine="480"/>
        <w:rPr>
          <w:lang w:eastAsia="zh-CN"/>
        </w:rPr>
        <w:sectPr>
          <w:pgSz w:w="11907" w:h="16840"/>
          <w:pgMar w:top="1440" w:right="1797" w:bottom="1440" w:left="1797" w:header="851" w:footer="992" w:gutter="0"/>
          <w:cols w:space="720" w:num="1"/>
          <w:docGrid w:linePitch="312" w:charSpace="0"/>
        </w:sectPr>
      </w:pPr>
    </w:p>
    <w:p w14:paraId="1B6AAC0F">
      <w:pPr>
        <w:pStyle w:val="2"/>
        <w:rPr>
          <w:lang w:eastAsia="zh-CN"/>
        </w:rPr>
      </w:pPr>
      <w:bookmarkStart w:id="442" w:name="_Toc408414004"/>
      <w:r>
        <w:rPr>
          <w:lang w:eastAsia="zh-CN"/>
        </w:rPr>
        <w:t>9生态环境影响评价</w:t>
      </w:r>
      <w:bookmarkEnd w:id="438"/>
      <w:bookmarkEnd w:id="442"/>
      <w:bookmarkStart w:id="443" w:name="_Toc208830081"/>
      <w:bookmarkStart w:id="444" w:name="_Toc208829541"/>
      <w:bookmarkStart w:id="445" w:name="_Toc208823865"/>
      <w:bookmarkStart w:id="446" w:name="_Toc208827985"/>
      <w:bookmarkStart w:id="447" w:name="_Toc226348332"/>
      <w:bookmarkStart w:id="448" w:name="_Toc208826697"/>
      <w:bookmarkStart w:id="449" w:name="_Toc306547323"/>
      <w:bookmarkStart w:id="450" w:name="_Toc309208214"/>
      <w:bookmarkStart w:id="451" w:name="_Toc208829811"/>
      <w:bookmarkStart w:id="452" w:name="_Toc114213964"/>
      <w:bookmarkStart w:id="453" w:name="_Toc153387881"/>
      <w:bookmarkStart w:id="454" w:name="_Toc209538637"/>
      <w:bookmarkStart w:id="455" w:name="_Toc208826332"/>
      <w:bookmarkStart w:id="456" w:name="_Toc208825740"/>
      <w:bookmarkStart w:id="457" w:name="_Toc208825288"/>
      <w:bookmarkStart w:id="458" w:name="_Toc106708275"/>
      <w:bookmarkStart w:id="459" w:name="_Toc208827711"/>
      <w:bookmarkStart w:id="460" w:name="_Toc206995602"/>
      <w:bookmarkStart w:id="461" w:name="_Toc203877912"/>
      <w:bookmarkStart w:id="462" w:name="_Toc116514597"/>
      <w:bookmarkStart w:id="463" w:name="_Toc226349815"/>
      <w:bookmarkStart w:id="464" w:name="_Toc115831109"/>
      <w:bookmarkStart w:id="465" w:name="_Toc138663714"/>
      <w:bookmarkStart w:id="466" w:name="_Toc185145945"/>
      <w:bookmarkStart w:id="467" w:name="_Toc106508949"/>
    </w:p>
    <w:p w14:paraId="0BD48316">
      <w:pPr>
        <w:pStyle w:val="3"/>
        <w:rPr>
          <w:lang w:eastAsia="zh-CN"/>
        </w:rPr>
      </w:pPr>
      <w:bookmarkStart w:id="468" w:name="_Toc408414005"/>
      <w:r>
        <w:rPr>
          <w:lang w:eastAsia="zh-CN"/>
        </w:rPr>
        <w:t>9.1生态环境现状评价</w:t>
      </w:r>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8"/>
    </w:p>
    <w:p w14:paraId="53AF123F">
      <w:pPr>
        <w:pStyle w:val="4"/>
        <w:rPr>
          <w:lang w:eastAsia="zh-CN"/>
        </w:rPr>
      </w:pPr>
      <w:bookmarkStart w:id="469" w:name="_Toc408414006"/>
      <w:r>
        <w:rPr>
          <w:lang w:eastAsia="zh-CN"/>
        </w:rPr>
        <w:t>9.1.1现状</w:t>
      </w:r>
      <w:r>
        <w:rPr>
          <w:rFonts w:hint="eastAsia"/>
          <w:lang w:eastAsia="zh-CN"/>
        </w:rPr>
        <w:t>调查与评价方法</w:t>
      </w:r>
      <w:bookmarkEnd w:id="469"/>
    </w:p>
    <w:p w14:paraId="645F8BE8">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本次现状调查以现代遥感技术和地理信息系统（GIS）为手段，通过对资源二号卫星影像片的解译，结合地面定点调查编绘出建设项目评价区域土地利用现状图以及植被类型图、土壤侵蚀图等图件。</w:t>
      </w:r>
    </w:p>
    <w:p w14:paraId="59514628">
      <w:pPr>
        <w:pStyle w:val="4"/>
        <w:rPr>
          <w:lang w:eastAsia="zh-CN"/>
        </w:rPr>
      </w:pPr>
      <w:bookmarkStart w:id="470" w:name="_Toc408414007"/>
      <w:r>
        <w:rPr>
          <w:rFonts w:hint="eastAsia"/>
          <w:lang w:eastAsia="zh-CN"/>
        </w:rPr>
        <w:t>9</w:t>
      </w:r>
      <w:r>
        <w:rPr>
          <w:lang w:eastAsia="zh-CN"/>
        </w:rPr>
        <w:t>.</w:t>
      </w:r>
      <w:r>
        <w:rPr>
          <w:rFonts w:hint="eastAsia"/>
          <w:lang w:eastAsia="zh-CN"/>
        </w:rPr>
        <w:t>1</w:t>
      </w:r>
      <w:r>
        <w:rPr>
          <w:lang w:eastAsia="zh-CN"/>
        </w:rPr>
        <w:t>.</w:t>
      </w:r>
      <w:r>
        <w:rPr>
          <w:rFonts w:hint="eastAsia"/>
          <w:lang w:eastAsia="zh-CN"/>
        </w:rPr>
        <w:t>2</w:t>
      </w:r>
      <w:r>
        <w:rPr>
          <w:lang w:eastAsia="zh-CN"/>
        </w:rPr>
        <w:t>建设拆迁情况调查</w:t>
      </w:r>
      <w:bookmarkEnd w:id="470"/>
    </w:p>
    <w:p w14:paraId="31D08D86">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本工程为改扩建工程，在现有的乌里雅斯太油田范围内建设，新部署油水井是在现有的太53、太27断块布置，地面工程主要是对现有的雅—站进行改扩建，油田范围内住户较少，本次工程没有拆迁。</w:t>
      </w:r>
    </w:p>
    <w:p w14:paraId="759B6006">
      <w:pPr>
        <w:pStyle w:val="4"/>
        <w:rPr>
          <w:lang w:eastAsia="zh-CN"/>
        </w:rPr>
      </w:pPr>
      <w:bookmarkStart w:id="471" w:name="_Toc408414008"/>
      <w:r>
        <w:rPr>
          <w:rFonts w:hint="eastAsia"/>
          <w:lang w:eastAsia="zh-CN"/>
        </w:rPr>
        <w:t>9</w:t>
      </w:r>
      <w:r>
        <w:rPr>
          <w:lang w:eastAsia="zh-CN"/>
        </w:rPr>
        <w:t>.</w:t>
      </w:r>
      <w:r>
        <w:rPr>
          <w:rFonts w:hint="eastAsia"/>
          <w:lang w:eastAsia="zh-CN"/>
        </w:rPr>
        <w:t>1</w:t>
      </w:r>
      <w:r>
        <w:rPr>
          <w:lang w:eastAsia="zh-CN"/>
        </w:rPr>
        <w:t>.3景观</w:t>
      </w:r>
      <w:r>
        <w:rPr>
          <w:rFonts w:hint="eastAsia"/>
          <w:lang w:eastAsia="zh-CN"/>
        </w:rPr>
        <w:t>现状</w:t>
      </w:r>
      <w:bookmarkEnd w:id="471"/>
    </w:p>
    <w:p w14:paraId="5AB4A18C">
      <w:pPr>
        <w:ind w:firstLine="480"/>
        <w:rPr>
          <w:rFonts w:asciiTheme="minorEastAsia" w:hAnsiTheme="minorEastAsia" w:eastAsiaTheme="minorEastAsia"/>
          <w:bCs/>
          <w:szCs w:val="24"/>
          <w:lang w:eastAsia="zh-CN"/>
        </w:rPr>
      </w:pPr>
      <w:r>
        <w:rPr>
          <w:rFonts w:hint="eastAsia" w:asciiTheme="minorEastAsia" w:hAnsiTheme="minorEastAsia" w:eastAsiaTheme="minorEastAsia"/>
          <w:bCs/>
          <w:szCs w:val="24"/>
          <w:lang w:eastAsia="zh-CN"/>
        </w:rPr>
        <w:t>景观是由镶嵌体（Patch</w:t>
      </w:r>
      <w:r>
        <w:rPr>
          <w:rFonts w:asciiTheme="minorEastAsia" w:hAnsiTheme="minorEastAsia" w:eastAsiaTheme="minorEastAsia"/>
          <w:bCs/>
          <w:szCs w:val="24"/>
          <w:lang w:eastAsia="zh-CN"/>
        </w:rPr>
        <w:t>）</w:t>
      </w:r>
      <w:r>
        <w:rPr>
          <w:rFonts w:hint="eastAsia" w:asciiTheme="minorEastAsia" w:hAnsiTheme="minorEastAsia" w:eastAsiaTheme="minorEastAsia"/>
          <w:bCs/>
          <w:szCs w:val="24"/>
          <w:lang w:eastAsia="zh-CN"/>
        </w:rPr>
        <w:t>、廊道（Corridor</w:t>
      </w:r>
      <w:r>
        <w:rPr>
          <w:rFonts w:asciiTheme="minorEastAsia" w:hAnsiTheme="minorEastAsia" w:eastAsiaTheme="minorEastAsia"/>
          <w:bCs/>
          <w:szCs w:val="24"/>
          <w:lang w:eastAsia="zh-CN"/>
        </w:rPr>
        <w:t>）</w:t>
      </w:r>
      <w:r>
        <w:rPr>
          <w:rFonts w:hint="eastAsia" w:asciiTheme="minorEastAsia" w:hAnsiTheme="minorEastAsia" w:eastAsiaTheme="minorEastAsia"/>
          <w:bCs/>
          <w:szCs w:val="24"/>
          <w:lang w:eastAsia="zh-CN"/>
        </w:rPr>
        <w:t>和基质（Matrix</w:t>
      </w:r>
      <w:r>
        <w:rPr>
          <w:rFonts w:asciiTheme="minorEastAsia" w:hAnsiTheme="minorEastAsia" w:eastAsiaTheme="minorEastAsia"/>
          <w:bCs/>
          <w:szCs w:val="24"/>
          <w:lang w:eastAsia="zh-CN"/>
        </w:rPr>
        <w:t>）</w:t>
      </w:r>
      <w:r>
        <w:rPr>
          <w:rFonts w:hint="eastAsia" w:asciiTheme="minorEastAsia" w:hAnsiTheme="minorEastAsia" w:eastAsiaTheme="minorEastAsia"/>
          <w:bCs/>
          <w:szCs w:val="24"/>
          <w:lang w:eastAsia="zh-CN"/>
        </w:rPr>
        <w:t>所组成，基质构成了景观的背景。从评价区域及周边地区大的景观分析，它是由典型草原和草甸草原2种基质构成了景观背景，可称其为草原景观。道路、工矿区景观等作为嵌块体分布在这一景观中。</w:t>
      </w:r>
    </w:p>
    <w:p w14:paraId="57AC7304">
      <w:pPr>
        <w:ind w:firstLine="480"/>
        <w:rPr>
          <w:rFonts w:asciiTheme="minorEastAsia" w:hAnsiTheme="minorEastAsia" w:eastAsiaTheme="minorEastAsia"/>
          <w:bCs/>
          <w:szCs w:val="24"/>
          <w:lang w:eastAsia="zh-CN"/>
        </w:rPr>
      </w:pPr>
      <w:r>
        <w:rPr>
          <w:rFonts w:asciiTheme="minorEastAsia" w:hAnsiTheme="minorEastAsia" w:eastAsiaTheme="minorEastAsia"/>
          <w:bCs/>
          <w:szCs w:val="24"/>
          <w:lang w:eastAsia="zh-CN"/>
        </w:rPr>
        <w:t>本次评价范围确定为</w:t>
      </w:r>
      <w:r>
        <w:rPr>
          <w:rFonts w:hint="eastAsia" w:asciiTheme="minorEastAsia" w:hAnsiTheme="minorEastAsia" w:eastAsiaTheme="minorEastAsia"/>
          <w:bCs/>
          <w:szCs w:val="24"/>
          <w:lang w:eastAsia="zh-CN"/>
        </w:rPr>
        <w:t>油田境界范围外扩1km</w:t>
      </w:r>
      <w:r>
        <w:rPr>
          <w:rFonts w:asciiTheme="minorEastAsia" w:hAnsiTheme="minorEastAsia" w:eastAsiaTheme="minorEastAsia"/>
          <w:bCs/>
          <w:szCs w:val="24"/>
          <w:lang w:eastAsia="zh-CN"/>
        </w:rPr>
        <w:t>。根据本次评价现场调查和相关</w:t>
      </w:r>
      <w:r>
        <w:rPr>
          <w:rFonts w:hint="eastAsia" w:asciiTheme="minorEastAsia" w:hAnsiTheme="minorEastAsia" w:eastAsiaTheme="minorEastAsia"/>
          <w:bCs/>
          <w:szCs w:val="24"/>
          <w:lang w:eastAsia="zh-CN"/>
        </w:rPr>
        <w:t>既有</w:t>
      </w:r>
      <w:r>
        <w:rPr>
          <w:rFonts w:asciiTheme="minorEastAsia" w:hAnsiTheme="minorEastAsia" w:eastAsiaTheme="minorEastAsia"/>
          <w:bCs/>
          <w:szCs w:val="24"/>
          <w:lang w:eastAsia="zh-CN"/>
        </w:rPr>
        <w:t>资料分析，</w:t>
      </w:r>
      <w:r>
        <w:rPr>
          <w:rFonts w:hint="eastAsia" w:asciiTheme="minorEastAsia" w:hAnsiTheme="minorEastAsia" w:eastAsiaTheme="minorEastAsia"/>
          <w:bCs/>
          <w:szCs w:val="24"/>
          <w:lang w:eastAsia="zh-CN"/>
        </w:rPr>
        <w:t>评价区域内</w:t>
      </w:r>
      <w:r>
        <w:rPr>
          <w:rFonts w:asciiTheme="minorEastAsia" w:hAnsiTheme="minorEastAsia" w:eastAsiaTheme="minorEastAsia"/>
          <w:bCs/>
          <w:szCs w:val="24"/>
          <w:lang w:eastAsia="zh-CN"/>
        </w:rPr>
        <w:t>主要</w:t>
      </w:r>
      <w:r>
        <w:rPr>
          <w:rFonts w:hint="eastAsia" w:asciiTheme="minorEastAsia" w:hAnsiTheme="minorEastAsia" w:eastAsiaTheme="minorEastAsia"/>
          <w:bCs/>
          <w:szCs w:val="24"/>
          <w:lang w:eastAsia="zh-CN"/>
        </w:rPr>
        <w:t>包括4</w:t>
      </w:r>
      <w:r>
        <w:rPr>
          <w:rFonts w:asciiTheme="minorEastAsia" w:hAnsiTheme="minorEastAsia" w:eastAsiaTheme="minorEastAsia"/>
          <w:bCs/>
          <w:szCs w:val="24"/>
          <w:lang w:eastAsia="zh-CN"/>
        </w:rPr>
        <w:t>个景观类型，</w:t>
      </w:r>
      <w:r>
        <w:rPr>
          <w:rFonts w:hint="eastAsia" w:asciiTheme="minorEastAsia" w:hAnsiTheme="minorEastAsia" w:eastAsiaTheme="minorEastAsia"/>
          <w:bCs/>
          <w:szCs w:val="24"/>
          <w:lang w:eastAsia="zh-CN"/>
        </w:rPr>
        <w:t>高平原典型草原景观、交通工矿城镇景观、低湿地景观以及少量的旱作农田（高产饲草料地）景观，其中以高平原典型草原景观为主。</w:t>
      </w:r>
    </w:p>
    <w:p w14:paraId="0572BBFA">
      <w:pPr>
        <w:pStyle w:val="4"/>
        <w:rPr>
          <w:lang w:eastAsia="zh-CN"/>
        </w:rPr>
      </w:pPr>
      <w:bookmarkStart w:id="472" w:name="_Toc408414009"/>
      <w:r>
        <w:rPr>
          <w:lang w:eastAsia="zh-CN"/>
        </w:rPr>
        <w:t>9.1.</w:t>
      </w:r>
      <w:r>
        <w:rPr>
          <w:rFonts w:hint="eastAsia"/>
          <w:lang w:eastAsia="zh-CN"/>
        </w:rPr>
        <w:t>4</w:t>
      </w:r>
      <w:r>
        <w:rPr>
          <w:lang w:eastAsia="zh-CN"/>
        </w:rPr>
        <w:t>评价区土地利用现状</w:t>
      </w:r>
      <w:bookmarkEnd w:id="472"/>
    </w:p>
    <w:p w14:paraId="24F2CA63">
      <w:pPr>
        <w:ind w:firstLine="480"/>
        <w:rPr>
          <w:lang w:eastAsia="zh-CN"/>
        </w:rPr>
      </w:pPr>
      <w:r>
        <w:rPr>
          <w:rFonts w:hint="eastAsia"/>
          <w:lang w:eastAsia="zh-CN"/>
        </w:rPr>
        <w:t>项目评价区域土地利用现状，</w:t>
      </w:r>
      <w:r>
        <w:rPr>
          <w:lang w:eastAsia="zh-CN"/>
        </w:rPr>
        <w:t>根据遥感</w:t>
      </w:r>
      <w:r>
        <w:rPr>
          <w:rFonts w:hint="eastAsia"/>
          <w:lang w:eastAsia="zh-CN"/>
        </w:rPr>
        <w:t>影像解译成果</w:t>
      </w:r>
      <w:r>
        <w:rPr>
          <w:lang w:eastAsia="zh-CN"/>
        </w:rPr>
        <w:t>，并参照《土地利用现状分类》（GBT21010-2007）中</w:t>
      </w:r>
      <w:r>
        <w:rPr>
          <w:rFonts w:hint="eastAsia"/>
          <w:lang w:eastAsia="zh-CN"/>
        </w:rPr>
        <w:t>二级</w:t>
      </w:r>
      <w:r>
        <w:rPr>
          <w:lang w:eastAsia="zh-CN"/>
        </w:rPr>
        <w:t>指标，以确定评价范围内的土地利用类型，并统计各类土地利用类型的面积，将成果绘制成土地利用现状图。</w:t>
      </w:r>
      <w:r>
        <w:rPr>
          <w:rFonts w:hint="eastAsia"/>
          <w:lang w:eastAsia="zh-CN"/>
        </w:rPr>
        <w:t>评价区</w:t>
      </w:r>
      <w:r>
        <w:rPr>
          <w:lang w:eastAsia="zh-CN"/>
        </w:rPr>
        <w:t>土地利用现状统计见表</w:t>
      </w:r>
      <w:r>
        <w:rPr>
          <w:rFonts w:hint="eastAsia"/>
          <w:lang w:eastAsia="zh-CN"/>
        </w:rPr>
        <w:t>9.1-1，</w:t>
      </w:r>
      <w:r>
        <w:rPr>
          <w:lang w:eastAsia="zh-CN"/>
        </w:rPr>
        <w:t>评价区土地利用现状图见图</w:t>
      </w:r>
      <w:r>
        <w:rPr>
          <w:rFonts w:hint="eastAsia"/>
          <w:lang w:eastAsia="zh-CN"/>
        </w:rPr>
        <w:t>9.1-1。</w:t>
      </w:r>
    </w:p>
    <w:p w14:paraId="7542A7A6">
      <w:pPr>
        <w:ind w:firstLine="480"/>
        <w:rPr>
          <w:lang w:eastAsia="zh-CN"/>
        </w:rPr>
      </w:pPr>
      <w:r>
        <w:rPr>
          <w:rFonts w:hint="eastAsia"/>
          <w:lang w:eastAsia="zh-CN"/>
        </w:rPr>
        <w:t>项目区域土地利用方式主要以草地为主，高覆盖度草地面积为7855.10</w:t>
      </w:r>
      <w:r>
        <w:rPr>
          <w:lang w:eastAsia="zh-CN"/>
        </w:rPr>
        <w:t xml:space="preserve"> hm</w:t>
      </w:r>
      <w:r>
        <w:rPr>
          <w:vertAlign w:val="superscript"/>
          <w:lang w:eastAsia="zh-CN"/>
        </w:rPr>
        <w:t>2</w:t>
      </w:r>
      <w:r>
        <w:rPr>
          <w:lang w:eastAsia="zh-CN"/>
        </w:rPr>
        <w:t>，占评价区面积的</w:t>
      </w:r>
      <w:r>
        <w:rPr>
          <w:rFonts w:hint="eastAsia"/>
          <w:lang w:eastAsia="zh-CN"/>
        </w:rPr>
        <w:t>51.62</w:t>
      </w:r>
      <w:r>
        <w:rPr>
          <w:lang w:eastAsia="zh-CN"/>
        </w:rPr>
        <w:t>%</w:t>
      </w:r>
      <w:r>
        <w:rPr>
          <w:rFonts w:hint="eastAsia"/>
          <w:lang w:eastAsia="zh-CN"/>
        </w:rPr>
        <w:t>，中覆盖度草地面积为5274.00</w:t>
      </w:r>
      <w:r>
        <w:rPr>
          <w:lang w:eastAsia="zh-CN"/>
        </w:rPr>
        <w:t xml:space="preserve"> hm</w:t>
      </w:r>
      <w:r>
        <w:rPr>
          <w:vertAlign w:val="superscript"/>
          <w:lang w:eastAsia="zh-CN"/>
        </w:rPr>
        <w:t>2</w:t>
      </w:r>
      <w:r>
        <w:rPr>
          <w:lang w:eastAsia="zh-CN"/>
        </w:rPr>
        <w:t>，占评价区面积的</w:t>
      </w:r>
      <w:r>
        <w:rPr>
          <w:rFonts w:hint="eastAsia"/>
          <w:lang w:eastAsia="zh-CN"/>
        </w:rPr>
        <w:t>34.66</w:t>
      </w:r>
      <w:r>
        <w:rPr>
          <w:lang w:eastAsia="zh-CN"/>
        </w:rPr>
        <w:t>%</w:t>
      </w:r>
      <w:r>
        <w:rPr>
          <w:rFonts w:hint="eastAsia"/>
          <w:lang w:eastAsia="zh-CN"/>
        </w:rPr>
        <w:t>；湖泊湿地面积1777.01</w:t>
      </w:r>
      <w:r>
        <w:rPr>
          <w:lang w:eastAsia="zh-CN"/>
        </w:rPr>
        <w:t>hm</w:t>
      </w:r>
      <w:r>
        <w:rPr>
          <w:vertAlign w:val="superscript"/>
          <w:lang w:eastAsia="zh-CN"/>
        </w:rPr>
        <w:t>2</w:t>
      </w:r>
      <w:r>
        <w:rPr>
          <w:lang w:eastAsia="zh-CN"/>
        </w:rPr>
        <w:t>，占评价区面积的</w:t>
      </w:r>
      <w:r>
        <w:rPr>
          <w:rFonts w:hint="eastAsia"/>
          <w:lang w:eastAsia="zh-CN"/>
        </w:rPr>
        <w:t>11.67</w:t>
      </w:r>
      <w:r>
        <w:rPr>
          <w:lang w:eastAsia="zh-CN"/>
        </w:rPr>
        <w:t>%</w:t>
      </w:r>
      <w:r>
        <w:rPr>
          <w:rFonts w:hint="eastAsia"/>
          <w:lang w:eastAsia="zh-CN"/>
        </w:rPr>
        <w:t>；交通工矿用地50.35</w:t>
      </w:r>
      <w:r>
        <w:rPr>
          <w:lang w:eastAsia="zh-CN"/>
        </w:rPr>
        <w:t xml:space="preserve"> hm</w:t>
      </w:r>
      <w:r>
        <w:rPr>
          <w:vertAlign w:val="superscript"/>
          <w:lang w:eastAsia="zh-CN"/>
        </w:rPr>
        <w:t>2</w:t>
      </w:r>
      <w:r>
        <w:rPr>
          <w:lang w:eastAsia="zh-CN"/>
        </w:rPr>
        <w:t>，占评价区面积的</w:t>
      </w:r>
      <w:r>
        <w:rPr>
          <w:rFonts w:hint="eastAsia"/>
          <w:lang w:eastAsia="zh-CN"/>
        </w:rPr>
        <w:t>0.33</w:t>
      </w:r>
      <w:r>
        <w:rPr>
          <w:lang w:eastAsia="zh-CN"/>
        </w:rPr>
        <w:t>%</w:t>
      </w:r>
      <w:r>
        <w:rPr>
          <w:rFonts w:hint="eastAsia"/>
          <w:lang w:eastAsia="zh-CN"/>
        </w:rPr>
        <w:t>；旱作农田（高产饲料地）面积157.44</w:t>
      </w:r>
      <w:r>
        <w:rPr>
          <w:lang w:eastAsia="zh-CN"/>
        </w:rPr>
        <w:t>hm</w:t>
      </w:r>
      <w:r>
        <w:rPr>
          <w:vertAlign w:val="superscript"/>
          <w:lang w:eastAsia="zh-CN"/>
        </w:rPr>
        <w:t>2</w:t>
      </w:r>
      <w:r>
        <w:rPr>
          <w:lang w:eastAsia="zh-CN"/>
        </w:rPr>
        <w:t>，占评价区面积的</w:t>
      </w:r>
      <w:r>
        <w:rPr>
          <w:rFonts w:hint="eastAsia"/>
          <w:lang w:eastAsia="zh-CN"/>
        </w:rPr>
        <w:t>1.03</w:t>
      </w:r>
      <w:r>
        <w:rPr>
          <w:lang w:eastAsia="zh-CN"/>
        </w:rPr>
        <w:t>%</w:t>
      </w:r>
      <w:r>
        <w:rPr>
          <w:rFonts w:hint="eastAsia"/>
          <w:lang w:eastAsia="zh-CN"/>
        </w:rPr>
        <w:t>。</w:t>
      </w:r>
    </w:p>
    <w:p w14:paraId="674E6843">
      <w:pPr>
        <w:spacing w:line="240" w:lineRule="auto"/>
        <w:ind w:firstLine="198" w:firstLineChars="82"/>
        <w:rPr>
          <w:b/>
          <w:lang w:eastAsia="zh-CN"/>
        </w:rPr>
      </w:pPr>
      <w:r>
        <w:rPr>
          <w:rFonts w:hint="eastAsia"/>
          <w:b/>
          <w:lang w:eastAsia="zh-CN"/>
        </w:rPr>
        <w:t xml:space="preserve">    </w:t>
      </w:r>
      <w:r>
        <w:rPr>
          <w:b/>
          <w:lang w:eastAsia="zh-CN"/>
        </w:rPr>
        <w:t xml:space="preserve">表9.1-8  </w:t>
      </w:r>
      <w:r>
        <w:rPr>
          <w:rFonts w:hint="eastAsia"/>
          <w:b/>
          <w:lang w:eastAsia="zh-CN"/>
        </w:rPr>
        <w:t xml:space="preserve">   </w:t>
      </w:r>
      <w:r>
        <w:rPr>
          <w:b/>
          <w:lang w:eastAsia="zh-CN"/>
        </w:rPr>
        <w:t>评价区土地利用现状统计表</w:t>
      </w:r>
    </w:p>
    <w:tbl>
      <w:tblPr>
        <w:tblStyle w:val="7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712"/>
        <w:gridCol w:w="2925"/>
        <w:gridCol w:w="2693"/>
      </w:tblGrid>
      <w:tr w14:paraId="68A7DF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12" w:type="dxa"/>
          </w:tcPr>
          <w:p w14:paraId="01B1DD34">
            <w:pPr>
              <w:pStyle w:val="518"/>
              <w:rPr>
                <w:lang w:eastAsia="zh-CN"/>
              </w:rPr>
            </w:pPr>
            <w:r>
              <w:rPr>
                <w:rFonts w:hint="eastAsia"/>
                <w:lang w:eastAsia="zh-CN"/>
              </w:rPr>
              <w:t>类型</w:t>
            </w:r>
          </w:p>
        </w:tc>
        <w:tc>
          <w:tcPr>
            <w:tcW w:w="2925" w:type="dxa"/>
          </w:tcPr>
          <w:p w14:paraId="52A76FA3">
            <w:pPr>
              <w:pStyle w:val="518"/>
              <w:rPr>
                <w:lang w:eastAsia="zh-CN"/>
              </w:rPr>
            </w:pPr>
            <w:r>
              <w:t>面积</w:t>
            </w:r>
          </w:p>
          <w:p w14:paraId="37CC5934">
            <w:pPr>
              <w:pStyle w:val="518"/>
            </w:pPr>
            <w:r>
              <w:t>（hm</w:t>
            </w:r>
            <w:r>
              <w:rPr>
                <w:vertAlign w:val="superscript"/>
              </w:rPr>
              <w:t>2</w:t>
            </w:r>
            <w:r>
              <w:t>)</w:t>
            </w:r>
          </w:p>
        </w:tc>
        <w:tc>
          <w:tcPr>
            <w:tcW w:w="2693" w:type="dxa"/>
          </w:tcPr>
          <w:p w14:paraId="7C886013">
            <w:pPr>
              <w:pStyle w:val="518"/>
              <w:rPr>
                <w:lang w:eastAsia="zh-CN"/>
              </w:rPr>
            </w:pPr>
            <w:r>
              <w:rPr>
                <w:lang w:eastAsia="zh-CN"/>
              </w:rPr>
              <w:t>占</w:t>
            </w:r>
            <w:r>
              <w:rPr>
                <w:rFonts w:hint="eastAsia"/>
                <w:lang w:eastAsia="zh-CN"/>
              </w:rPr>
              <w:t>评价区</w:t>
            </w:r>
            <w:r>
              <w:rPr>
                <w:lang w:eastAsia="zh-CN"/>
              </w:rPr>
              <w:t>面积比例</w:t>
            </w:r>
          </w:p>
          <w:p w14:paraId="022E7E2E">
            <w:pPr>
              <w:pStyle w:val="518"/>
              <w:rPr>
                <w:lang w:eastAsia="zh-CN"/>
              </w:rPr>
            </w:pPr>
            <w:r>
              <w:rPr>
                <w:lang w:eastAsia="zh-CN"/>
              </w:rPr>
              <w:t>（%）</w:t>
            </w:r>
          </w:p>
        </w:tc>
      </w:tr>
      <w:tr w14:paraId="110007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12" w:type="dxa"/>
          </w:tcPr>
          <w:p w14:paraId="28BF093D">
            <w:pPr>
              <w:pStyle w:val="518"/>
            </w:pPr>
            <w:r>
              <w:rPr>
                <w:rFonts w:hint="eastAsia"/>
                <w:lang w:eastAsia="zh-CN"/>
              </w:rPr>
              <w:t>高覆盖度</w:t>
            </w:r>
            <w:r>
              <w:t>草地</w:t>
            </w:r>
          </w:p>
        </w:tc>
        <w:tc>
          <w:tcPr>
            <w:tcW w:w="2925" w:type="dxa"/>
            <w:vAlign w:val="center"/>
          </w:tcPr>
          <w:p w14:paraId="3CC619A9">
            <w:pPr>
              <w:pStyle w:val="518"/>
              <w:rPr>
                <w:lang w:eastAsia="zh-CN"/>
              </w:rPr>
            </w:pPr>
            <w:r>
              <w:rPr>
                <w:rFonts w:hint="eastAsia"/>
                <w:lang w:eastAsia="zh-CN"/>
              </w:rPr>
              <w:t>7855.10</w:t>
            </w:r>
          </w:p>
        </w:tc>
        <w:tc>
          <w:tcPr>
            <w:tcW w:w="2693" w:type="dxa"/>
            <w:vAlign w:val="center"/>
          </w:tcPr>
          <w:p w14:paraId="69D42180">
            <w:pPr>
              <w:pStyle w:val="518"/>
              <w:rPr>
                <w:lang w:eastAsia="zh-CN"/>
              </w:rPr>
            </w:pPr>
            <w:r>
              <w:rPr>
                <w:rFonts w:hint="eastAsia"/>
                <w:lang w:eastAsia="zh-CN"/>
              </w:rPr>
              <w:t>51.62</w:t>
            </w:r>
          </w:p>
        </w:tc>
      </w:tr>
      <w:tr w14:paraId="31DA47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12" w:type="dxa"/>
          </w:tcPr>
          <w:p w14:paraId="33897584">
            <w:pPr>
              <w:pStyle w:val="518"/>
              <w:rPr>
                <w:lang w:eastAsia="zh-CN"/>
              </w:rPr>
            </w:pPr>
            <w:r>
              <w:rPr>
                <w:rFonts w:hint="eastAsia"/>
                <w:lang w:eastAsia="zh-CN"/>
              </w:rPr>
              <w:t>中覆盖度草地</w:t>
            </w:r>
          </w:p>
        </w:tc>
        <w:tc>
          <w:tcPr>
            <w:tcW w:w="2925" w:type="dxa"/>
            <w:vAlign w:val="center"/>
          </w:tcPr>
          <w:p w14:paraId="371266C1">
            <w:pPr>
              <w:pStyle w:val="518"/>
              <w:rPr>
                <w:lang w:eastAsia="zh-CN"/>
              </w:rPr>
            </w:pPr>
            <w:r>
              <w:rPr>
                <w:rFonts w:hint="eastAsia"/>
                <w:lang w:eastAsia="zh-CN"/>
              </w:rPr>
              <w:t>5274.00</w:t>
            </w:r>
          </w:p>
        </w:tc>
        <w:tc>
          <w:tcPr>
            <w:tcW w:w="2693" w:type="dxa"/>
            <w:vAlign w:val="center"/>
          </w:tcPr>
          <w:p w14:paraId="535658BC">
            <w:pPr>
              <w:pStyle w:val="518"/>
              <w:rPr>
                <w:lang w:eastAsia="zh-CN"/>
              </w:rPr>
            </w:pPr>
            <w:r>
              <w:rPr>
                <w:rFonts w:hint="eastAsia"/>
                <w:lang w:eastAsia="zh-CN"/>
              </w:rPr>
              <w:t>34.66</w:t>
            </w:r>
          </w:p>
        </w:tc>
      </w:tr>
      <w:tr w14:paraId="4A1635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12" w:type="dxa"/>
          </w:tcPr>
          <w:p w14:paraId="4E6BAB73">
            <w:pPr>
              <w:pStyle w:val="518"/>
            </w:pPr>
            <w:r>
              <w:rPr>
                <w:rFonts w:hint="eastAsia"/>
                <w:lang w:eastAsia="zh-CN"/>
              </w:rPr>
              <w:t>交通工矿</w:t>
            </w:r>
            <w:r>
              <w:t>用地</w:t>
            </w:r>
          </w:p>
        </w:tc>
        <w:tc>
          <w:tcPr>
            <w:tcW w:w="2925" w:type="dxa"/>
            <w:vAlign w:val="center"/>
          </w:tcPr>
          <w:p w14:paraId="126235BE">
            <w:pPr>
              <w:pStyle w:val="518"/>
              <w:rPr>
                <w:lang w:eastAsia="zh-CN"/>
              </w:rPr>
            </w:pPr>
            <w:r>
              <w:rPr>
                <w:rFonts w:hint="eastAsia"/>
                <w:lang w:eastAsia="zh-CN"/>
              </w:rPr>
              <w:t>50.35</w:t>
            </w:r>
          </w:p>
        </w:tc>
        <w:tc>
          <w:tcPr>
            <w:tcW w:w="2693" w:type="dxa"/>
            <w:vAlign w:val="center"/>
          </w:tcPr>
          <w:p w14:paraId="7AAA25BF">
            <w:pPr>
              <w:pStyle w:val="518"/>
              <w:rPr>
                <w:lang w:eastAsia="zh-CN"/>
              </w:rPr>
            </w:pPr>
            <w:r>
              <w:rPr>
                <w:rFonts w:hint="eastAsia"/>
                <w:lang w:eastAsia="zh-CN"/>
              </w:rPr>
              <w:t>0.33</w:t>
            </w:r>
          </w:p>
        </w:tc>
      </w:tr>
      <w:tr w14:paraId="7B6D8B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12" w:type="dxa"/>
          </w:tcPr>
          <w:p w14:paraId="71916C64">
            <w:pPr>
              <w:pStyle w:val="518"/>
              <w:rPr>
                <w:lang w:eastAsia="zh-CN"/>
              </w:rPr>
            </w:pPr>
            <w:r>
              <w:rPr>
                <w:rFonts w:hint="eastAsia"/>
                <w:lang w:eastAsia="zh-CN"/>
              </w:rPr>
              <w:t>湖泊</w:t>
            </w:r>
          </w:p>
        </w:tc>
        <w:tc>
          <w:tcPr>
            <w:tcW w:w="2925" w:type="dxa"/>
            <w:vAlign w:val="center"/>
          </w:tcPr>
          <w:p w14:paraId="3A0D4B82">
            <w:pPr>
              <w:pStyle w:val="518"/>
              <w:rPr>
                <w:lang w:eastAsia="zh-CN"/>
              </w:rPr>
            </w:pPr>
            <w:r>
              <w:rPr>
                <w:rFonts w:hint="eastAsia"/>
                <w:lang w:eastAsia="zh-CN"/>
              </w:rPr>
              <w:t>23.30</w:t>
            </w:r>
          </w:p>
        </w:tc>
        <w:tc>
          <w:tcPr>
            <w:tcW w:w="2693" w:type="dxa"/>
            <w:vAlign w:val="center"/>
          </w:tcPr>
          <w:p w14:paraId="02F41B62">
            <w:pPr>
              <w:pStyle w:val="518"/>
              <w:rPr>
                <w:lang w:eastAsia="zh-CN"/>
              </w:rPr>
            </w:pPr>
            <w:r>
              <w:rPr>
                <w:rFonts w:hint="eastAsia"/>
                <w:lang w:eastAsia="zh-CN"/>
              </w:rPr>
              <w:t>0.15</w:t>
            </w:r>
          </w:p>
        </w:tc>
      </w:tr>
      <w:tr w14:paraId="191E17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12" w:type="dxa"/>
          </w:tcPr>
          <w:p w14:paraId="34AFEADF">
            <w:pPr>
              <w:pStyle w:val="518"/>
              <w:rPr>
                <w:lang w:eastAsia="zh-CN"/>
              </w:rPr>
            </w:pPr>
            <w:r>
              <w:rPr>
                <w:rFonts w:hint="eastAsia"/>
                <w:lang w:eastAsia="zh-CN"/>
              </w:rPr>
              <w:t>低湿地</w:t>
            </w:r>
          </w:p>
        </w:tc>
        <w:tc>
          <w:tcPr>
            <w:tcW w:w="2925" w:type="dxa"/>
            <w:vAlign w:val="center"/>
          </w:tcPr>
          <w:p w14:paraId="6C5873DE">
            <w:pPr>
              <w:pStyle w:val="518"/>
              <w:rPr>
                <w:lang w:eastAsia="zh-CN"/>
              </w:rPr>
            </w:pPr>
            <w:r>
              <w:rPr>
                <w:rFonts w:hint="eastAsia"/>
                <w:lang w:eastAsia="zh-CN"/>
              </w:rPr>
              <w:t>1753.71</w:t>
            </w:r>
          </w:p>
        </w:tc>
        <w:tc>
          <w:tcPr>
            <w:tcW w:w="2693" w:type="dxa"/>
            <w:vAlign w:val="center"/>
          </w:tcPr>
          <w:p w14:paraId="2323CAF1">
            <w:pPr>
              <w:pStyle w:val="518"/>
              <w:rPr>
                <w:lang w:eastAsia="zh-CN"/>
              </w:rPr>
            </w:pPr>
            <w:r>
              <w:rPr>
                <w:rFonts w:hint="eastAsia"/>
                <w:lang w:eastAsia="zh-CN"/>
              </w:rPr>
              <w:t>11.52</w:t>
            </w:r>
          </w:p>
        </w:tc>
      </w:tr>
      <w:tr w14:paraId="77D4C1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12" w:type="dxa"/>
          </w:tcPr>
          <w:p w14:paraId="0C762C6E">
            <w:pPr>
              <w:pStyle w:val="518"/>
              <w:rPr>
                <w:lang w:eastAsia="zh-CN"/>
              </w:rPr>
            </w:pPr>
            <w:r>
              <w:rPr>
                <w:rFonts w:hint="eastAsia"/>
                <w:lang w:eastAsia="zh-CN"/>
              </w:rPr>
              <w:t>盐碱地</w:t>
            </w:r>
          </w:p>
        </w:tc>
        <w:tc>
          <w:tcPr>
            <w:tcW w:w="2925" w:type="dxa"/>
            <w:vAlign w:val="center"/>
          </w:tcPr>
          <w:p w14:paraId="0E9EE4C3">
            <w:pPr>
              <w:pStyle w:val="518"/>
              <w:rPr>
                <w:lang w:eastAsia="zh-CN"/>
              </w:rPr>
            </w:pPr>
            <w:r>
              <w:rPr>
                <w:rFonts w:hint="eastAsia"/>
                <w:lang w:eastAsia="zh-CN"/>
              </w:rPr>
              <w:t>104.31</w:t>
            </w:r>
          </w:p>
        </w:tc>
        <w:tc>
          <w:tcPr>
            <w:tcW w:w="2693" w:type="dxa"/>
            <w:vAlign w:val="center"/>
          </w:tcPr>
          <w:p w14:paraId="109306E0">
            <w:pPr>
              <w:pStyle w:val="518"/>
              <w:rPr>
                <w:lang w:eastAsia="zh-CN"/>
              </w:rPr>
            </w:pPr>
            <w:r>
              <w:rPr>
                <w:rFonts w:hint="eastAsia"/>
                <w:lang w:eastAsia="zh-CN"/>
              </w:rPr>
              <w:t>0.69</w:t>
            </w:r>
          </w:p>
        </w:tc>
      </w:tr>
      <w:tr w14:paraId="042032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712" w:type="dxa"/>
          </w:tcPr>
          <w:p w14:paraId="2CCECA69">
            <w:pPr>
              <w:pStyle w:val="518"/>
              <w:rPr>
                <w:lang w:eastAsia="zh-CN"/>
              </w:rPr>
            </w:pPr>
            <w:r>
              <w:rPr>
                <w:rFonts w:hint="eastAsia"/>
                <w:lang w:eastAsia="zh-CN"/>
              </w:rPr>
              <w:t>旱作农田（高产饲草料地）</w:t>
            </w:r>
          </w:p>
        </w:tc>
        <w:tc>
          <w:tcPr>
            <w:tcW w:w="2925" w:type="dxa"/>
            <w:vAlign w:val="center"/>
          </w:tcPr>
          <w:p w14:paraId="0A7DB99F">
            <w:pPr>
              <w:pStyle w:val="518"/>
              <w:rPr>
                <w:lang w:eastAsia="zh-CN"/>
              </w:rPr>
            </w:pPr>
            <w:r>
              <w:rPr>
                <w:rFonts w:hint="eastAsia"/>
                <w:lang w:eastAsia="zh-CN"/>
              </w:rPr>
              <w:t>157.45</w:t>
            </w:r>
          </w:p>
        </w:tc>
        <w:tc>
          <w:tcPr>
            <w:tcW w:w="2693" w:type="dxa"/>
            <w:vAlign w:val="center"/>
          </w:tcPr>
          <w:p w14:paraId="1D37B41D">
            <w:pPr>
              <w:pStyle w:val="518"/>
              <w:rPr>
                <w:lang w:eastAsia="zh-CN"/>
              </w:rPr>
            </w:pPr>
            <w:r>
              <w:rPr>
                <w:rFonts w:hint="eastAsia"/>
                <w:lang w:eastAsia="zh-CN"/>
              </w:rPr>
              <w:t>1.03</w:t>
            </w:r>
          </w:p>
        </w:tc>
      </w:tr>
    </w:tbl>
    <w:p w14:paraId="61AE2573">
      <w:pPr>
        <w:pStyle w:val="4"/>
        <w:rPr>
          <w:lang w:eastAsia="zh-CN"/>
        </w:rPr>
      </w:pPr>
      <w:bookmarkStart w:id="473" w:name="_Toc408414010"/>
      <w:r>
        <w:rPr>
          <w:rFonts w:hint="eastAsia"/>
          <w:lang w:eastAsia="zh-CN"/>
        </w:rPr>
        <w:t>9</w:t>
      </w:r>
      <w:r>
        <w:rPr>
          <w:lang w:eastAsia="zh-CN"/>
        </w:rPr>
        <w:t>.</w:t>
      </w:r>
      <w:r>
        <w:rPr>
          <w:rFonts w:hint="eastAsia"/>
          <w:lang w:eastAsia="zh-CN"/>
        </w:rPr>
        <w:t>1</w:t>
      </w:r>
      <w:r>
        <w:rPr>
          <w:lang w:eastAsia="zh-CN"/>
        </w:rPr>
        <w:t>.</w:t>
      </w:r>
      <w:r>
        <w:rPr>
          <w:rFonts w:hint="eastAsia"/>
          <w:lang w:eastAsia="zh-CN"/>
        </w:rPr>
        <w:t>5</w:t>
      </w:r>
      <w:r>
        <w:rPr>
          <w:lang w:eastAsia="zh-CN"/>
        </w:rPr>
        <w:t>植被</w:t>
      </w:r>
      <w:r>
        <w:rPr>
          <w:rFonts w:hint="eastAsia"/>
          <w:lang w:eastAsia="zh-CN"/>
        </w:rPr>
        <w:t>现状评价</w:t>
      </w:r>
      <w:bookmarkEnd w:id="473"/>
    </w:p>
    <w:p w14:paraId="2EC599CA">
      <w:pPr>
        <w:ind w:firstLine="480"/>
        <w:outlineLvl w:val="0"/>
        <w:rPr>
          <w:rFonts w:asciiTheme="minorEastAsia" w:hAnsiTheme="minorEastAsia" w:eastAsiaTheme="minorEastAsia"/>
          <w:lang w:eastAsia="zh-CN"/>
        </w:rPr>
      </w:pPr>
      <w:r>
        <w:rPr>
          <w:rFonts w:hint="eastAsia" w:asciiTheme="minorEastAsia" w:hAnsiTheme="minorEastAsia" w:eastAsiaTheme="minorEastAsia"/>
          <w:lang w:eastAsia="zh-CN"/>
        </w:rPr>
        <w:t xml:space="preserve">9.1.5.1 </w:t>
      </w:r>
      <w:r>
        <w:rPr>
          <w:rFonts w:asciiTheme="minorEastAsia" w:hAnsiTheme="minorEastAsia" w:eastAsiaTheme="minorEastAsia"/>
          <w:lang w:eastAsia="zh-CN"/>
        </w:rPr>
        <w:t>植被</w:t>
      </w:r>
      <w:r>
        <w:rPr>
          <w:rFonts w:hint="eastAsia" w:asciiTheme="minorEastAsia" w:hAnsiTheme="minorEastAsia" w:eastAsiaTheme="minorEastAsia"/>
          <w:lang w:eastAsia="zh-CN"/>
        </w:rPr>
        <w:t>分布特征</w:t>
      </w:r>
    </w:p>
    <w:p w14:paraId="032B23D6">
      <w:pPr>
        <w:ind w:firstLine="480"/>
        <w:rPr>
          <w:rFonts w:asciiTheme="minorEastAsia" w:hAnsiTheme="minorEastAsia" w:eastAsiaTheme="minorEastAsia"/>
          <w:lang w:eastAsia="zh-CN"/>
        </w:rPr>
      </w:pPr>
      <w:r>
        <w:rPr>
          <w:rFonts w:asciiTheme="minorEastAsia" w:hAnsiTheme="minorEastAsia" w:eastAsiaTheme="minorEastAsia"/>
          <w:lang w:eastAsia="zh-CN"/>
        </w:rPr>
        <w:t>根据现场调查和资料</w:t>
      </w:r>
      <w:r>
        <w:rPr>
          <w:rFonts w:hint="eastAsia" w:asciiTheme="minorEastAsia" w:hAnsiTheme="minorEastAsia" w:eastAsiaTheme="minorEastAsia"/>
          <w:lang w:eastAsia="zh-CN"/>
        </w:rPr>
        <w:t>记载</w:t>
      </w:r>
      <w:r>
        <w:rPr>
          <w:rFonts w:asciiTheme="minorEastAsia" w:hAnsiTheme="minorEastAsia" w:eastAsiaTheme="minorEastAsia"/>
          <w:lang w:eastAsia="zh-CN"/>
        </w:rPr>
        <w:t>，</w:t>
      </w:r>
      <w:r>
        <w:rPr>
          <w:rFonts w:hint="eastAsia" w:asciiTheme="minorEastAsia" w:hAnsiTheme="minorEastAsia" w:eastAsiaTheme="minorEastAsia"/>
          <w:lang w:eastAsia="zh-CN"/>
        </w:rPr>
        <w:t>本区域植被主要为以大针茅和羊草为建群种的丛生禾～根茎禾草草原即</w:t>
      </w:r>
      <w:r>
        <w:rPr>
          <w:rFonts w:asciiTheme="minorEastAsia" w:hAnsiTheme="minorEastAsia" w:eastAsiaTheme="minorEastAsia"/>
          <w:lang w:eastAsia="zh-CN"/>
        </w:rPr>
        <w:t>典型草原</w:t>
      </w:r>
      <w:r>
        <w:rPr>
          <w:rFonts w:hint="eastAsia" w:asciiTheme="minorEastAsia" w:hAnsiTheme="minorEastAsia" w:eastAsiaTheme="minorEastAsia"/>
          <w:lang w:eastAsia="zh-CN"/>
        </w:rPr>
        <w:t>。根据资料记载、卫星遥感、结合实地调查分析，本项目评价区内未发现</w:t>
      </w:r>
      <w:r>
        <w:rPr>
          <w:rFonts w:asciiTheme="minorEastAsia" w:hAnsiTheme="minorEastAsia" w:eastAsiaTheme="minorEastAsia"/>
          <w:lang w:eastAsia="zh-CN"/>
        </w:rPr>
        <w:t>珍稀濒危植物</w:t>
      </w:r>
      <w:r>
        <w:rPr>
          <w:rFonts w:hint="eastAsia" w:asciiTheme="minorEastAsia" w:hAnsiTheme="minorEastAsia" w:eastAsiaTheme="minorEastAsia"/>
          <w:lang w:eastAsia="zh-CN"/>
        </w:rPr>
        <w:t>的分布，评价区内自然植被主要以典型</w:t>
      </w:r>
      <w:r>
        <w:rPr>
          <w:rFonts w:asciiTheme="minorEastAsia" w:hAnsiTheme="minorEastAsia" w:eastAsiaTheme="minorEastAsia"/>
          <w:lang w:eastAsia="zh-CN"/>
        </w:rPr>
        <w:t>草原植被</w:t>
      </w:r>
      <w:r>
        <w:rPr>
          <w:rFonts w:hint="eastAsia" w:asciiTheme="minorEastAsia" w:hAnsiTheme="minorEastAsia" w:eastAsiaTheme="minorEastAsia"/>
          <w:lang w:eastAsia="zh-CN"/>
        </w:rPr>
        <w:t>为主，另外还分布有芨芨草盐化草甸植被和零星分布的一年一熟的饲草料地。</w:t>
      </w:r>
    </w:p>
    <w:p w14:paraId="3002D012">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（1）典型</w:t>
      </w:r>
      <w:r>
        <w:rPr>
          <w:rFonts w:asciiTheme="minorEastAsia" w:hAnsiTheme="minorEastAsia" w:eastAsiaTheme="minorEastAsia"/>
          <w:lang w:eastAsia="zh-CN"/>
        </w:rPr>
        <w:t>草原植被</w:t>
      </w:r>
    </w:p>
    <w:p w14:paraId="0511B457">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典型</w:t>
      </w:r>
      <w:r>
        <w:rPr>
          <w:rFonts w:asciiTheme="minorEastAsia" w:hAnsiTheme="minorEastAsia" w:eastAsiaTheme="minorEastAsia"/>
          <w:lang w:eastAsia="zh-CN"/>
        </w:rPr>
        <w:t>草原植被为本区的地带性植被，分布于该区内的</w:t>
      </w:r>
      <w:r>
        <w:rPr>
          <w:rFonts w:hint="eastAsia" w:asciiTheme="minorEastAsia" w:hAnsiTheme="minorEastAsia" w:eastAsiaTheme="minorEastAsia"/>
          <w:lang w:eastAsia="zh-CN"/>
        </w:rPr>
        <w:t>高平原平坦地段和波状丘陵的缓坡地段，在评价区域内主要有大针茅+羊草+苔草群落、大针茅+羊草+糙隐子草群落。</w:t>
      </w:r>
    </w:p>
    <w:p w14:paraId="2224C18B">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大针茅+羊草群落，该群落自然植被的高度在30～40cm，群落总盖度在30～40%，每平方米植物种在12～15种左右。优势植物主要为大针茅、羊草，主要伴生植物有冰草、菊叶委陵菜、冷蒿、百里香、糙隐子草、黄囊苔草、星毛萎陵菜等。</w:t>
      </w:r>
    </w:p>
    <w:p w14:paraId="3BAB7E3F">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（2）低湿地草甸植被</w:t>
      </w:r>
    </w:p>
    <w:p w14:paraId="1D56CB61">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评价区内低湿地植被主要分布在低洼积水地段，主要包括小糠草+细叶</w:t>
      </w:r>
      <w:r>
        <w:rPr>
          <w:rFonts w:asciiTheme="minorEastAsia" w:hAnsiTheme="minorEastAsia" w:eastAsiaTheme="minorEastAsia"/>
          <w:lang w:eastAsia="zh-CN"/>
        </w:rPr>
        <w:t>苔草</w:t>
      </w:r>
      <w:r>
        <w:rPr>
          <w:rFonts w:hint="eastAsia" w:asciiTheme="minorEastAsia" w:hAnsiTheme="minorEastAsia" w:eastAsiaTheme="minorEastAsia"/>
          <w:lang w:eastAsia="zh-CN"/>
        </w:rPr>
        <w:t>+</w:t>
      </w:r>
      <w:r>
        <w:rPr>
          <w:rFonts w:asciiTheme="minorEastAsia" w:hAnsiTheme="minorEastAsia" w:eastAsiaTheme="minorEastAsia"/>
          <w:lang w:eastAsia="zh-CN"/>
        </w:rPr>
        <w:t>杂类草草甸</w:t>
      </w:r>
      <w:r>
        <w:rPr>
          <w:rFonts w:hint="eastAsia" w:asciiTheme="minorEastAsia" w:hAnsiTheme="minorEastAsia" w:eastAsiaTheme="minorEastAsia"/>
          <w:lang w:eastAsia="zh-CN"/>
        </w:rPr>
        <w:t>和</w:t>
      </w:r>
      <w:r>
        <w:rPr>
          <w:rFonts w:asciiTheme="minorEastAsia" w:hAnsiTheme="minorEastAsia" w:eastAsiaTheme="minorEastAsia"/>
          <w:lang w:eastAsia="zh-CN"/>
        </w:rPr>
        <w:t>盐生杂类草盐生草甸</w:t>
      </w:r>
      <w:r>
        <w:rPr>
          <w:rFonts w:hint="eastAsia" w:asciiTheme="minorEastAsia" w:hAnsiTheme="minorEastAsia" w:eastAsiaTheme="minorEastAsia"/>
          <w:lang w:eastAsia="zh-CN"/>
        </w:rPr>
        <w:t>。低湿地</w:t>
      </w:r>
      <w:r>
        <w:rPr>
          <w:rFonts w:asciiTheme="minorEastAsia" w:hAnsiTheme="minorEastAsia" w:eastAsiaTheme="minorEastAsia"/>
          <w:lang w:eastAsia="zh-CN"/>
        </w:rPr>
        <w:t>草甸</w:t>
      </w:r>
      <w:r>
        <w:rPr>
          <w:rFonts w:hint="eastAsia" w:asciiTheme="minorEastAsia" w:hAnsiTheme="minorEastAsia" w:eastAsiaTheme="minorEastAsia"/>
          <w:lang w:eastAsia="zh-CN"/>
        </w:rPr>
        <w:t>是以</w:t>
      </w:r>
      <w:r>
        <w:rPr>
          <w:rFonts w:asciiTheme="minorEastAsia" w:hAnsiTheme="minorEastAsia" w:eastAsiaTheme="minorEastAsia"/>
          <w:lang w:eastAsia="zh-CN"/>
        </w:rPr>
        <w:t>细叶苔草</w:t>
      </w:r>
      <w:r>
        <w:rPr>
          <w:rFonts w:hint="eastAsia" w:asciiTheme="minorEastAsia" w:hAnsiTheme="minorEastAsia" w:eastAsiaTheme="minorEastAsia"/>
          <w:lang w:eastAsia="zh-CN"/>
        </w:rPr>
        <w:t>为建群种的湖岸湿滩地；</w:t>
      </w:r>
      <w:r>
        <w:rPr>
          <w:rFonts w:asciiTheme="minorEastAsia" w:hAnsiTheme="minorEastAsia" w:eastAsiaTheme="minorEastAsia"/>
          <w:lang w:eastAsia="zh-CN"/>
        </w:rPr>
        <w:t>盐生杂类草盐生草甸</w:t>
      </w:r>
      <w:r>
        <w:rPr>
          <w:rFonts w:hint="eastAsia" w:asciiTheme="minorEastAsia" w:hAnsiTheme="minorEastAsia" w:eastAsiaTheme="minorEastAsia"/>
          <w:lang w:eastAsia="zh-CN"/>
        </w:rPr>
        <w:t>以芨芨草为建群种，盐生杂类草草甸在评价区内呈零散状分布。</w:t>
      </w:r>
    </w:p>
    <w:p w14:paraId="4203B4E0">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（3）一年一熟作物</w:t>
      </w:r>
    </w:p>
    <w:p w14:paraId="3489234B">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评价区内的一年一熟作物主要为饲草料地，种植的作物主要为青贮玉米。</w:t>
      </w:r>
    </w:p>
    <w:p w14:paraId="2156141A">
      <w:pPr>
        <w:ind w:firstLine="480"/>
        <w:outlineLvl w:val="0"/>
        <w:rPr>
          <w:rFonts w:asciiTheme="minorEastAsia" w:hAnsiTheme="minorEastAsia" w:eastAsiaTheme="minorEastAsia"/>
          <w:lang w:eastAsia="zh-CN"/>
        </w:rPr>
      </w:pPr>
      <w:r>
        <w:rPr>
          <w:rFonts w:hint="eastAsia" w:asciiTheme="minorEastAsia" w:hAnsiTheme="minorEastAsia" w:eastAsiaTheme="minorEastAsia"/>
          <w:lang w:eastAsia="zh-CN"/>
        </w:rPr>
        <w:t xml:space="preserve">9.1.5.2 </w:t>
      </w:r>
      <w:r>
        <w:rPr>
          <w:rFonts w:asciiTheme="minorEastAsia" w:hAnsiTheme="minorEastAsia" w:eastAsiaTheme="minorEastAsia"/>
          <w:lang w:eastAsia="zh-CN"/>
        </w:rPr>
        <w:t>植被</w:t>
      </w:r>
      <w:r>
        <w:rPr>
          <w:rFonts w:hint="eastAsia" w:asciiTheme="minorEastAsia" w:hAnsiTheme="minorEastAsia" w:eastAsiaTheme="minorEastAsia"/>
          <w:lang w:eastAsia="zh-CN"/>
        </w:rPr>
        <w:t>类型特征</w:t>
      </w:r>
    </w:p>
    <w:p w14:paraId="735C8338">
      <w:pPr>
        <w:ind w:firstLine="480"/>
        <w:rPr>
          <w:rFonts w:asciiTheme="minorEastAsia" w:hAnsiTheme="minorEastAsia" w:eastAsiaTheme="minorEastAsia"/>
          <w:lang w:eastAsia="zh-CN"/>
        </w:rPr>
      </w:pPr>
      <w:r>
        <w:rPr>
          <w:rFonts w:asciiTheme="minorEastAsia" w:hAnsiTheme="minorEastAsia" w:eastAsiaTheme="minorEastAsia"/>
          <w:lang w:eastAsia="zh-CN"/>
        </w:rPr>
        <w:t>根据卫星遥感、结合实地调查，</w:t>
      </w:r>
      <w:r>
        <w:rPr>
          <w:rFonts w:hint="eastAsia" w:asciiTheme="minorEastAsia" w:hAnsiTheme="minorEastAsia" w:eastAsiaTheme="minorEastAsia"/>
          <w:lang w:eastAsia="zh-CN"/>
        </w:rPr>
        <w:t>乌里雅斯太油田评价范围</w:t>
      </w:r>
      <w:r>
        <w:rPr>
          <w:rFonts w:asciiTheme="minorEastAsia" w:hAnsiTheme="minorEastAsia" w:eastAsiaTheme="minorEastAsia"/>
          <w:lang w:eastAsia="zh-CN"/>
        </w:rPr>
        <w:t>内的植被类型特征见表</w:t>
      </w:r>
      <w:r>
        <w:rPr>
          <w:rFonts w:hint="eastAsia" w:asciiTheme="minorEastAsia" w:hAnsiTheme="minorEastAsia" w:eastAsiaTheme="minorEastAsia"/>
          <w:lang w:eastAsia="zh-CN"/>
        </w:rPr>
        <w:t>9</w:t>
      </w:r>
      <w:r>
        <w:rPr>
          <w:rFonts w:asciiTheme="minorEastAsia" w:hAnsiTheme="minorEastAsia" w:eastAsiaTheme="minorEastAsia"/>
          <w:lang w:eastAsia="zh-CN"/>
        </w:rPr>
        <w:t>.</w:t>
      </w:r>
      <w:r>
        <w:rPr>
          <w:rFonts w:hint="eastAsia" w:asciiTheme="minorEastAsia" w:hAnsiTheme="minorEastAsia" w:eastAsiaTheme="minorEastAsia"/>
          <w:lang w:eastAsia="zh-CN"/>
        </w:rPr>
        <w:t>1-2，植被类型现状图见图9.1-2</w:t>
      </w:r>
      <w:r>
        <w:rPr>
          <w:rFonts w:asciiTheme="minorEastAsia" w:hAnsiTheme="minorEastAsia" w:eastAsiaTheme="minorEastAsia"/>
          <w:lang w:eastAsia="zh-CN"/>
        </w:rPr>
        <w:t>。</w:t>
      </w:r>
      <w:r>
        <w:rPr>
          <w:rFonts w:hint="eastAsia" w:asciiTheme="minorEastAsia" w:hAnsiTheme="minorEastAsia" w:eastAsiaTheme="minorEastAsia"/>
          <w:lang w:eastAsia="zh-CN"/>
        </w:rPr>
        <w:t>项目区域优势植物和常见植物名录见表9</w:t>
      </w:r>
      <w:r>
        <w:rPr>
          <w:rFonts w:asciiTheme="minorEastAsia" w:hAnsiTheme="minorEastAsia" w:eastAsiaTheme="minorEastAsia"/>
          <w:lang w:eastAsia="zh-CN"/>
        </w:rPr>
        <w:t>.</w:t>
      </w:r>
      <w:r>
        <w:rPr>
          <w:rFonts w:hint="eastAsia" w:asciiTheme="minorEastAsia" w:hAnsiTheme="minorEastAsia" w:eastAsiaTheme="minorEastAsia"/>
          <w:lang w:eastAsia="zh-CN"/>
        </w:rPr>
        <w:t>1</w:t>
      </w:r>
      <w:r>
        <w:rPr>
          <w:rFonts w:asciiTheme="minorEastAsia" w:hAnsiTheme="minorEastAsia" w:eastAsiaTheme="minorEastAsia"/>
          <w:lang w:eastAsia="zh-CN"/>
        </w:rPr>
        <w:t>-</w:t>
      </w:r>
      <w:r>
        <w:rPr>
          <w:rFonts w:hint="eastAsia" w:asciiTheme="minorEastAsia" w:hAnsiTheme="minorEastAsia" w:eastAsiaTheme="minorEastAsia"/>
          <w:lang w:eastAsia="zh-CN"/>
        </w:rPr>
        <w:t>3。</w:t>
      </w:r>
    </w:p>
    <w:p w14:paraId="2257565A">
      <w:pPr>
        <w:spacing w:beforeLines="50" w:line="240" w:lineRule="atLeast"/>
        <w:ind w:firstLine="480"/>
        <w:rPr>
          <w:rFonts w:eastAsia="黑体"/>
          <w:szCs w:val="24"/>
          <w:lang w:eastAsia="zh-CN"/>
        </w:rPr>
      </w:pPr>
      <w:r>
        <w:rPr>
          <w:rFonts w:eastAsia="黑体"/>
          <w:szCs w:val="24"/>
          <w:lang w:eastAsia="zh-CN"/>
        </w:rPr>
        <w:t>表</w:t>
      </w:r>
      <w:r>
        <w:rPr>
          <w:rFonts w:hint="eastAsia" w:eastAsia="黑体"/>
          <w:szCs w:val="24"/>
          <w:lang w:eastAsia="zh-CN"/>
        </w:rPr>
        <w:t>9</w:t>
      </w:r>
      <w:r>
        <w:rPr>
          <w:rFonts w:eastAsia="黑体"/>
          <w:szCs w:val="24"/>
          <w:lang w:eastAsia="zh-CN"/>
        </w:rPr>
        <w:t>.</w:t>
      </w:r>
      <w:r>
        <w:rPr>
          <w:rFonts w:hint="eastAsia" w:eastAsia="黑体"/>
          <w:szCs w:val="24"/>
          <w:lang w:eastAsia="zh-CN"/>
        </w:rPr>
        <w:t>1</w:t>
      </w:r>
      <w:r>
        <w:rPr>
          <w:rFonts w:eastAsia="黑体"/>
          <w:szCs w:val="24"/>
          <w:lang w:eastAsia="zh-CN"/>
        </w:rPr>
        <w:t>-</w:t>
      </w:r>
      <w:r>
        <w:rPr>
          <w:rFonts w:hint="eastAsia" w:eastAsia="黑体"/>
          <w:szCs w:val="24"/>
          <w:lang w:eastAsia="zh-CN"/>
        </w:rPr>
        <w:t>2</w:t>
      </w:r>
      <w:r>
        <w:rPr>
          <w:rFonts w:eastAsia="黑体"/>
          <w:szCs w:val="24"/>
          <w:lang w:eastAsia="zh-CN"/>
        </w:rPr>
        <w:t xml:space="preserve">     </w:t>
      </w:r>
      <w:r>
        <w:rPr>
          <w:rFonts w:hint="eastAsia" w:eastAsia="黑体"/>
          <w:szCs w:val="24"/>
          <w:lang w:eastAsia="zh-CN"/>
        </w:rPr>
        <w:t xml:space="preserve">       </w:t>
      </w:r>
      <w:r>
        <w:rPr>
          <w:rFonts w:eastAsia="黑体"/>
          <w:szCs w:val="24"/>
          <w:lang w:eastAsia="zh-CN"/>
        </w:rPr>
        <w:t>评价范围内植被类型特征表</w:t>
      </w:r>
    </w:p>
    <w:tbl>
      <w:tblPr>
        <w:tblStyle w:val="76"/>
        <w:tblW w:w="8848" w:type="dxa"/>
        <w:tblInd w:w="8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88"/>
        <w:gridCol w:w="3118"/>
        <w:gridCol w:w="2268"/>
        <w:gridCol w:w="1874"/>
      </w:tblGrid>
      <w:tr w14:paraId="251752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06" w:type="dxa"/>
            <w:gridSpan w:val="2"/>
            <w:noWrap/>
            <w:vAlign w:val="center"/>
          </w:tcPr>
          <w:p w14:paraId="33BB92A6">
            <w:pPr>
              <w:snapToGrid w:val="0"/>
              <w:spacing w:line="240" w:lineRule="atLeast"/>
              <w:ind w:firstLine="360"/>
              <w:jc w:val="center"/>
              <w:rPr>
                <w:sz w:val="18"/>
                <w:szCs w:val="18"/>
              </w:rPr>
            </w:pPr>
            <w:r>
              <w:rPr>
                <w:rFonts w:hint="eastAsia"/>
                <w:sz w:val="18"/>
                <w:szCs w:val="18"/>
              </w:rPr>
              <w:t>类型</w:t>
            </w:r>
          </w:p>
        </w:tc>
        <w:tc>
          <w:tcPr>
            <w:tcW w:w="2268" w:type="dxa"/>
            <w:noWrap/>
            <w:vAlign w:val="center"/>
          </w:tcPr>
          <w:p w14:paraId="371F3F40">
            <w:pPr>
              <w:snapToGrid w:val="0"/>
              <w:spacing w:line="240" w:lineRule="atLeast"/>
              <w:ind w:firstLine="0" w:firstLineChars="0"/>
              <w:rPr>
                <w:sz w:val="18"/>
                <w:szCs w:val="18"/>
              </w:rPr>
            </w:pPr>
            <w:r>
              <w:rPr>
                <w:rFonts w:hint="eastAsia"/>
                <w:sz w:val="18"/>
                <w:szCs w:val="18"/>
              </w:rPr>
              <w:t>面积</w:t>
            </w:r>
          </w:p>
          <w:p w14:paraId="7765A232">
            <w:pPr>
              <w:snapToGrid w:val="0"/>
              <w:spacing w:line="240" w:lineRule="atLeast"/>
              <w:ind w:firstLine="0" w:firstLineChars="0"/>
              <w:rPr>
                <w:sz w:val="18"/>
                <w:szCs w:val="18"/>
              </w:rPr>
            </w:pPr>
            <w:r>
              <w:rPr>
                <w:rFonts w:hint="eastAsia"/>
                <w:sz w:val="18"/>
                <w:szCs w:val="18"/>
              </w:rPr>
              <w:t>（hm</w:t>
            </w:r>
            <w:r>
              <w:rPr>
                <w:rFonts w:hint="eastAsia"/>
                <w:sz w:val="18"/>
                <w:szCs w:val="18"/>
                <w:vertAlign w:val="superscript"/>
              </w:rPr>
              <w:t>2</w:t>
            </w:r>
            <w:r>
              <w:rPr>
                <w:rFonts w:hint="eastAsia"/>
                <w:sz w:val="18"/>
                <w:szCs w:val="18"/>
              </w:rPr>
              <w:t>）</w:t>
            </w:r>
          </w:p>
        </w:tc>
        <w:tc>
          <w:tcPr>
            <w:tcW w:w="1874" w:type="dxa"/>
            <w:noWrap/>
            <w:vAlign w:val="center"/>
          </w:tcPr>
          <w:p w14:paraId="26FEF8EB">
            <w:pPr>
              <w:snapToGrid w:val="0"/>
              <w:spacing w:line="240" w:lineRule="atLeast"/>
              <w:ind w:firstLineChars="111"/>
              <w:rPr>
                <w:sz w:val="18"/>
                <w:szCs w:val="18"/>
              </w:rPr>
            </w:pPr>
            <w:r>
              <w:rPr>
                <w:rFonts w:hint="eastAsia"/>
                <w:sz w:val="18"/>
                <w:szCs w:val="18"/>
              </w:rPr>
              <w:t>占评价区</w:t>
            </w:r>
          </w:p>
          <w:p w14:paraId="1D66D402">
            <w:pPr>
              <w:snapToGrid w:val="0"/>
              <w:spacing w:line="240" w:lineRule="atLeast"/>
              <w:ind w:firstLine="360"/>
              <w:jc w:val="center"/>
              <w:rPr>
                <w:sz w:val="18"/>
                <w:szCs w:val="18"/>
              </w:rPr>
            </w:pPr>
            <w:r>
              <w:rPr>
                <w:rFonts w:hint="eastAsia"/>
                <w:sz w:val="18"/>
                <w:szCs w:val="18"/>
              </w:rPr>
              <w:t>比例（%）</w:t>
            </w:r>
          </w:p>
        </w:tc>
      </w:tr>
      <w:tr w14:paraId="4CEA33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88" w:type="dxa"/>
            <w:vMerge w:val="restart"/>
            <w:noWrap/>
            <w:vAlign w:val="center"/>
          </w:tcPr>
          <w:p w14:paraId="072FA692">
            <w:pPr>
              <w:snapToGrid w:val="0"/>
              <w:spacing w:line="240" w:lineRule="atLeast"/>
              <w:ind w:firstLine="360"/>
              <w:jc w:val="center"/>
              <w:rPr>
                <w:sz w:val="18"/>
                <w:szCs w:val="18"/>
              </w:rPr>
            </w:pPr>
            <w:r>
              <w:rPr>
                <w:rFonts w:hint="eastAsia"/>
                <w:sz w:val="18"/>
                <w:szCs w:val="18"/>
              </w:rPr>
              <w:t>典型</w:t>
            </w:r>
          </w:p>
          <w:p w14:paraId="7C41285B">
            <w:pPr>
              <w:snapToGrid w:val="0"/>
              <w:spacing w:line="240" w:lineRule="atLeast"/>
              <w:ind w:firstLine="360"/>
              <w:jc w:val="center"/>
              <w:rPr>
                <w:sz w:val="18"/>
                <w:szCs w:val="18"/>
              </w:rPr>
            </w:pPr>
            <w:r>
              <w:rPr>
                <w:rFonts w:hint="eastAsia"/>
                <w:sz w:val="18"/>
                <w:szCs w:val="18"/>
              </w:rPr>
              <w:t>草原植被</w:t>
            </w:r>
          </w:p>
        </w:tc>
        <w:tc>
          <w:tcPr>
            <w:tcW w:w="3118" w:type="dxa"/>
            <w:noWrap/>
            <w:vAlign w:val="center"/>
          </w:tcPr>
          <w:p w14:paraId="38F3149F">
            <w:pPr>
              <w:widowControl/>
              <w:snapToGrid w:val="0"/>
              <w:spacing w:line="240" w:lineRule="atLeast"/>
              <w:ind w:firstLine="360"/>
              <w:jc w:val="center"/>
              <w:rPr>
                <w:sz w:val="18"/>
                <w:szCs w:val="18"/>
                <w:lang w:eastAsia="zh-CN"/>
              </w:rPr>
            </w:pPr>
            <w:r>
              <w:rPr>
                <w:rFonts w:hint="eastAsia"/>
                <w:sz w:val="18"/>
                <w:szCs w:val="18"/>
                <w:lang w:eastAsia="zh-CN"/>
              </w:rPr>
              <w:t>大针茅+羊草+苔草群落</w:t>
            </w:r>
          </w:p>
        </w:tc>
        <w:tc>
          <w:tcPr>
            <w:tcW w:w="2268" w:type="dxa"/>
            <w:noWrap/>
            <w:vAlign w:val="center"/>
          </w:tcPr>
          <w:p w14:paraId="35A431BE">
            <w:pPr>
              <w:widowControl/>
              <w:snapToGrid w:val="0"/>
              <w:spacing w:line="240" w:lineRule="atLeast"/>
              <w:ind w:firstLine="360"/>
              <w:jc w:val="center"/>
              <w:rPr>
                <w:sz w:val="18"/>
                <w:szCs w:val="18"/>
              </w:rPr>
            </w:pPr>
            <w:r>
              <w:rPr>
                <w:rFonts w:hint="eastAsia"/>
                <w:sz w:val="18"/>
                <w:szCs w:val="18"/>
                <w:lang w:eastAsia="zh-CN"/>
              </w:rPr>
              <w:t>7855.10</w:t>
            </w:r>
          </w:p>
        </w:tc>
        <w:tc>
          <w:tcPr>
            <w:tcW w:w="1874" w:type="dxa"/>
            <w:noWrap/>
            <w:vAlign w:val="center"/>
          </w:tcPr>
          <w:p w14:paraId="50BF12CE">
            <w:pPr>
              <w:widowControl/>
              <w:snapToGrid w:val="0"/>
              <w:spacing w:line="240" w:lineRule="atLeast"/>
              <w:ind w:firstLine="360"/>
              <w:jc w:val="center"/>
              <w:rPr>
                <w:sz w:val="18"/>
                <w:szCs w:val="18"/>
                <w:lang w:eastAsia="zh-CN"/>
              </w:rPr>
            </w:pPr>
            <w:r>
              <w:rPr>
                <w:rFonts w:hint="eastAsia"/>
                <w:sz w:val="18"/>
                <w:szCs w:val="18"/>
                <w:lang w:eastAsia="zh-CN"/>
              </w:rPr>
              <w:t>51.62</w:t>
            </w:r>
          </w:p>
        </w:tc>
      </w:tr>
      <w:tr w14:paraId="6735D4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88" w:type="dxa"/>
            <w:vMerge w:val="continue"/>
            <w:vAlign w:val="center"/>
          </w:tcPr>
          <w:p w14:paraId="0DDB68C1">
            <w:pPr>
              <w:snapToGrid w:val="0"/>
              <w:spacing w:line="240" w:lineRule="atLeast"/>
              <w:ind w:firstLine="360"/>
              <w:jc w:val="center"/>
              <w:rPr>
                <w:sz w:val="18"/>
                <w:szCs w:val="18"/>
              </w:rPr>
            </w:pPr>
          </w:p>
        </w:tc>
        <w:tc>
          <w:tcPr>
            <w:tcW w:w="3118" w:type="dxa"/>
            <w:noWrap/>
            <w:vAlign w:val="center"/>
          </w:tcPr>
          <w:p w14:paraId="76DA55C3">
            <w:pPr>
              <w:snapToGrid w:val="0"/>
              <w:spacing w:line="240" w:lineRule="atLeast"/>
              <w:ind w:firstLine="360"/>
              <w:jc w:val="center"/>
              <w:rPr>
                <w:sz w:val="18"/>
                <w:szCs w:val="18"/>
                <w:lang w:eastAsia="zh-CN"/>
              </w:rPr>
            </w:pPr>
            <w:r>
              <w:rPr>
                <w:rFonts w:hint="eastAsia"/>
                <w:sz w:val="18"/>
                <w:szCs w:val="18"/>
                <w:lang w:eastAsia="zh-CN"/>
              </w:rPr>
              <w:t>大针茅+羊草+糙隐子草草群落</w:t>
            </w:r>
          </w:p>
        </w:tc>
        <w:tc>
          <w:tcPr>
            <w:tcW w:w="2268" w:type="dxa"/>
            <w:noWrap/>
            <w:vAlign w:val="center"/>
          </w:tcPr>
          <w:p w14:paraId="2AB69860">
            <w:pPr>
              <w:snapToGrid w:val="0"/>
              <w:spacing w:line="240" w:lineRule="atLeast"/>
              <w:ind w:firstLine="360"/>
              <w:jc w:val="center"/>
              <w:rPr>
                <w:sz w:val="18"/>
                <w:szCs w:val="18"/>
                <w:lang w:eastAsia="zh-CN"/>
              </w:rPr>
            </w:pPr>
            <w:r>
              <w:rPr>
                <w:rFonts w:hint="eastAsia"/>
                <w:sz w:val="18"/>
                <w:szCs w:val="18"/>
                <w:lang w:eastAsia="zh-CN"/>
              </w:rPr>
              <w:t>3671.07</w:t>
            </w:r>
          </w:p>
        </w:tc>
        <w:tc>
          <w:tcPr>
            <w:tcW w:w="1874" w:type="dxa"/>
            <w:noWrap/>
            <w:vAlign w:val="center"/>
          </w:tcPr>
          <w:p w14:paraId="30BAA68B">
            <w:pPr>
              <w:snapToGrid w:val="0"/>
              <w:spacing w:line="240" w:lineRule="atLeast"/>
              <w:ind w:firstLine="360"/>
              <w:jc w:val="center"/>
              <w:rPr>
                <w:sz w:val="18"/>
                <w:szCs w:val="18"/>
                <w:lang w:eastAsia="zh-CN"/>
              </w:rPr>
            </w:pPr>
            <w:r>
              <w:rPr>
                <w:rFonts w:hint="eastAsia"/>
                <w:sz w:val="18"/>
                <w:szCs w:val="18"/>
                <w:lang w:eastAsia="zh-CN"/>
              </w:rPr>
              <w:t>24.12</w:t>
            </w:r>
          </w:p>
        </w:tc>
      </w:tr>
      <w:tr w14:paraId="6802B4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88" w:type="dxa"/>
            <w:vMerge w:val="restart"/>
            <w:noWrap/>
            <w:vAlign w:val="center"/>
          </w:tcPr>
          <w:p w14:paraId="794C5274">
            <w:pPr>
              <w:snapToGrid w:val="0"/>
              <w:spacing w:line="240" w:lineRule="atLeast"/>
              <w:ind w:firstLine="360"/>
              <w:jc w:val="center"/>
              <w:rPr>
                <w:sz w:val="18"/>
                <w:szCs w:val="18"/>
                <w:lang w:eastAsia="zh-CN"/>
              </w:rPr>
            </w:pPr>
            <w:r>
              <w:rPr>
                <w:rFonts w:hint="eastAsia"/>
                <w:sz w:val="18"/>
                <w:szCs w:val="18"/>
              </w:rPr>
              <w:t>草甸</w:t>
            </w:r>
          </w:p>
          <w:p w14:paraId="23E5977A">
            <w:pPr>
              <w:snapToGrid w:val="0"/>
              <w:spacing w:line="240" w:lineRule="atLeast"/>
              <w:ind w:firstLine="360"/>
              <w:jc w:val="center"/>
              <w:rPr>
                <w:sz w:val="18"/>
                <w:szCs w:val="18"/>
              </w:rPr>
            </w:pPr>
            <w:r>
              <w:rPr>
                <w:rFonts w:hint="eastAsia"/>
                <w:sz w:val="18"/>
                <w:szCs w:val="18"/>
              </w:rPr>
              <w:t>植被</w:t>
            </w:r>
          </w:p>
        </w:tc>
        <w:tc>
          <w:tcPr>
            <w:tcW w:w="3118" w:type="dxa"/>
            <w:noWrap/>
            <w:vAlign w:val="center"/>
          </w:tcPr>
          <w:p w14:paraId="2DB3FC80">
            <w:pPr>
              <w:snapToGrid w:val="0"/>
              <w:spacing w:line="240" w:lineRule="atLeast"/>
              <w:ind w:firstLine="360"/>
              <w:jc w:val="center"/>
              <w:rPr>
                <w:sz w:val="18"/>
                <w:szCs w:val="18"/>
                <w:lang w:eastAsia="zh-CN"/>
              </w:rPr>
            </w:pPr>
            <w:r>
              <w:rPr>
                <w:rFonts w:hint="eastAsia"/>
                <w:sz w:val="18"/>
                <w:szCs w:val="18"/>
                <w:lang w:eastAsia="zh-CN"/>
              </w:rPr>
              <w:t>芨芨草+杂类草盐化草甸</w:t>
            </w:r>
          </w:p>
        </w:tc>
        <w:tc>
          <w:tcPr>
            <w:tcW w:w="2268" w:type="dxa"/>
            <w:noWrap/>
            <w:vAlign w:val="center"/>
          </w:tcPr>
          <w:p w14:paraId="7409897C">
            <w:pPr>
              <w:snapToGrid w:val="0"/>
              <w:spacing w:line="240" w:lineRule="atLeast"/>
              <w:ind w:firstLine="360"/>
              <w:jc w:val="center"/>
              <w:rPr>
                <w:sz w:val="18"/>
                <w:szCs w:val="18"/>
                <w:lang w:eastAsia="zh-CN"/>
              </w:rPr>
            </w:pPr>
            <w:r>
              <w:rPr>
                <w:rFonts w:hint="eastAsia"/>
                <w:sz w:val="18"/>
                <w:szCs w:val="18"/>
                <w:lang w:eastAsia="zh-CN"/>
              </w:rPr>
              <w:t>1602.92</w:t>
            </w:r>
          </w:p>
        </w:tc>
        <w:tc>
          <w:tcPr>
            <w:tcW w:w="1874" w:type="dxa"/>
            <w:noWrap/>
            <w:vAlign w:val="center"/>
          </w:tcPr>
          <w:p w14:paraId="408F3D2D">
            <w:pPr>
              <w:snapToGrid w:val="0"/>
              <w:spacing w:line="240" w:lineRule="atLeast"/>
              <w:ind w:firstLine="360"/>
              <w:jc w:val="center"/>
              <w:rPr>
                <w:sz w:val="18"/>
                <w:szCs w:val="18"/>
                <w:lang w:eastAsia="zh-CN"/>
              </w:rPr>
            </w:pPr>
            <w:r>
              <w:rPr>
                <w:rFonts w:hint="eastAsia"/>
                <w:sz w:val="18"/>
                <w:szCs w:val="18"/>
                <w:lang w:eastAsia="zh-CN"/>
              </w:rPr>
              <w:t>10.53</w:t>
            </w:r>
          </w:p>
        </w:tc>
      </w:tr>
      <w:tr w14:paraId="6C1A90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88" w:type="dxa"/>
            <w:vMerge w:val="continue"/>
            <w:noWrap/>
            <w:vAlign w:val="center"/>
          </w:tcPr>
          <w:p w14:paraId="7F506CA9">
            <w:pPr>
              <w:snapToGrid w:val="0"/>
              <w:spacing w:line="240" w:lineRule="atLeast"/>
              <w:ind w:firstLine="360"/>
              <w:jc w:val="center"/>
              <w:rPr>
                <w:sz w:val="18"/>
                <w:szCs w:val="18"/>
              </w:rPr>
            </w:pPr>
          </w:p>
        </w:tc>
        <w:tc>
          <w:tcPr>
            <w:tcW w:w="3118" w:type="dxa"/>
            <w:noWrap/>
            <w:vAlign w:val="center"/>
          </w:tcPr>
          <w:p w14:paraId="518F6386">
            <w:pPr>
              <w:snapToGrid w:val="0"/>
              <w:spacing w:line="240" w:lineRule="atLeast"/>
              <w:ind w:firstLine="360"/>
              <w:jc w:val="center"/>
              <w:rPr>
                <w:sz w:val="18"/>
                <w:szCs w:val="18"/>
                <w:lang w:eastAsia="zh-CN"/>
              </w:rPr>
            </w:pPr>
            <w:r>
              <w:rPr>
                <w:rFonts w:hint="eastAsia"/>
                <w:sz w:val="18"/>
                <w:szCs w:val="18"/>
                <w:lang w:eastAsia="zh-CN"/>
              </w:rPr>
              <w:t>苔草+杂类草草甸</w:t>
            </w:r>
          </w:p>
        </w:tc>
        <w:tc>
          <w:tcPr>
            <w:tcW w:w="2268" w:type="dxa"/>
            <w:noWrap/>
            <w:vAlign w:val="center"/>
          </w:tcPr>
          <w:p w14:paraId="424A2351">
            <w:pPr>
              <w:snapToGrid w:val="0"/>
              <w:spacing w:line="240" w:lineRule="atLeast"/>
              <w:ind w:firstLine="360"/>
              <w:jc w:val="center"/>
              <w:rPr>
                <w:sz w:val="18"/>
                <w:szCs w:val="18"/>
                <w:lang w:eastAsia="zh-CN"/>
              </w:rPr>
            </w:pPr>
            <w:r>
              <w:rPr>
                <w:rFonts w:hint="eastAsia"/>
                <w:sz w:val="18"/>
                <w:szCs w:val="18"/>
                <w:lang w:eastAsia="zh-CN"/>
              </w:rPr>
              <w:t>1753.71</w:t>
            </w:r>
          </w:p>
        </w:tc>
        <w:tc>
          <w:tcPr>
            <w:tcW w:w="1874" w:type="dxa"/>
            <w:noWrap/>
            <w:vAlign w:val="center"/>
          </w:tcPr>
          <w:p w14:paraId="1F6A2982">
            <w:pPr>
              <w:snapToGrid w:val="0"/>
              <w:spacing w:line="240" w:lineRule="atLeast"/>
              <w:ind w:firstLine="360"/>
              <w:jc w:val="center"/>
              <w:rPr>
                <w:sz w:val="18"/>
                <w:szCs w:val="18"/>
                <w:lang w:eastAsia="zh-CN"/>
              </w:rPr>
            </w:pPr>
            <w:r>
              <w:rPr>
                <w:rFonts w:hint="eastAsia"/>
                <w:sz w:val="18"/>
                <w:szCs w:val="18"/>
                <w:lang w:eastAsia="zh-CN"/>
              </w:rPr>
              <w:t>11.52</w:t>
            </w:r>
          </w:p>
        </w:tc>
      </w:tr>
      <w:tr w14:paraId="4FE5E1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88" w:type="dxa"/>
            <w:noWrap/>
            <w:vAlign w:val="center"/>
          </w:tcPr>
          <w:p w14:paraId="08F6875E">
            <w:pPr>
              <w:snapToGrid w:val="0"/>
              <w:spacing w:line="240" w:lineRule="atLeast"/>
              <w:ind w:firstLine="360"/>
              <w:jc w:val="center"/>
              <w:rPr>
                <w:sz w:val="18"/>
                <w:szCs w:val="18"/>
              </w:rPr>
            </w:pPr>
            <w:r>
              <w:rPr>
                <w:rFonts w:hint="eastAsia"/>
                <w:sz w:val="18"/>
                <w:szCs w:val="18"/>
              </w:rPr>
              <w:t>杂类草群聚</w:t>
            </w:r>
          </w:p>
        </w:tc>
        <w:tc>
          <w:tcPr>
            <w:tcW w:w="3118" w:type="dxa"/>
            <w:noWrap/>
            <w:vAlign w:val="center"/>
          </w:tcPr>
          <w:p w14:paraId="12E4C138">
            <w:pPr>
              <w:snapToGrid w:val="0"/>
              <w:spacing w:line="240" w:lineRule="atLeast"/>
              <w:ind w:firstLine="360"/>
              <w:jc w:val="center"/>
              <w:rPr>
                <w:sz w:val="18"/>
                <w:szCs w:val="18"/>
                <w:lang w:eastAsia="zh-CN"/>
              </w:rPr>
            </w:pPr>
            <w:r>
              <w:rPr>
                <w:rFonts w:hint="eastAsia"/>
                <w:sz w:val="18"/>
                <w:szCs w:val="18"/>
                <w:lang w:eastAsia="zh-CN"/>
              </w:rPr>
              <w:t>一、二年生植物群聚（碱蓬为主）</w:t>
            </w:r>
          </w:p>
        </w:tc>
        <w:tc>
          <w:tcPr>
            <w:tcW w:w="2268" w:type="dxa"/>
            <w:noWrap/>
            <w:vAlign w:val="center"/>
          </w:tcPr>
          <w:p w14:paraId="7A03F073">
            <w:pPr>
              <w:snapToGrid w:val="0"/>
              <w:spacing w:line="240" w:lineRule="atLeast"/>
              <w:ind w:firstLine="360"/>
              <w:jc w:val="center"/>
              <w:rPr>
                <w:sz w:val="18"/>
                <w:szCs w:val="18"/>
                <w:lang w:eastAsia="zh-CN"/>
              </w:rPr>
            </w:pPr>
            <w:r>
              <w:rPr>
                <w:rFonts w:hint="eastAsia"/>
                <w:sz w:val="18"/>
                <w:szCs w:val="18"/>
                <w:lang w:eastAsia="zh-CN"/>
              </w:rPr>
              <w:t>104.31</w:t>
            </w:r>
          </w:p>
        </w:tc>
        <w:tc>
          <w:tcPr>
            <w:tcW w:w="1874" w:type="dxa"/>
            <w:noWrap/>
            <w:vAlign w:val="center"/>
          </w:tcPr>
          <w:p w14:paraId="10064BD2">
            <w:pPr>
              <w:snapToGrid w:val="0"/>
              <w:spacing w:line="240" w:lineRule="atLeast"/>
              <w:ind w:firstLine="360"/>
              <w:jc w:val="center"/>
              <w:rPr>
                <w:sz w:val="18"/>
                <w:szCs w:val="18"/>
                <w:lang w:eastAsia="zh-CN"/>
              </w:rPr>
            </w:pPr>
            <w:r>
              <w:rPr>
                <w:rFonts w:hint="eastAsia"/>
                <w:sz w:val="18"/>
                <w:szCs w:val="18"/>
                <w:lang w:eastAsia="zh-CN"/>
              </w:rPr>
              <w:t>0.69</w:t>
            </w:r>
          </w:p>
        </w:tc>
      </w:tr>
      <w:tr w14:paraId="214267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88" w:type="dxa"/>
            <w:noWrap/>
            <w:vAlign w:val="center"/>
          </w:tcPr>
          <w:p w14:paraId="56678EE2">
            <w:pPr>
              <w:snapToGrid w:val="0"/>
              <w:spacing w:line="240" w:lineRule="atLeast"/>
              <w:ind w:firstLine="360"/>
              <w:jc w:val="center"/>
              <w:rPr>
                <w:sz w:val="18"/>
                <w:szCs w:val="18"/>
              </w:rPr>
            </w:pPr>
            <w:r>
              <w:rPr>
                <w:rFonts w:hint="eastAsia"/>
                <w:sz w:val="18"/>
                <w:szCs w:val="18"/>
              </w:rPr>
              <w:t>人工植被</w:t>
            </w:r>
          </w:p>
        </w:tc>
        <w:tc>
          <w:tcPr>
            <w:tcW w:w="3118" w:type="dxa"/>
            <w:noWrap/>
            <w:vAlign w:val="center"/>
          </w:tcPr>
          <w:p w14:paraId="4DFC8119">
            <w:pPr>
              <w:snapToGrid w:val="0"/>
              <w:spacing w:line="240" w:lineRule="atLeast"/>
              <w:ind w:firstLine="360"/>
              <w:jc w:val="center"/>
              <w:rPr>
                <w:sz w:val="18"/>
                <w:szCs w:val="18"/>
                <w:lang w:eastAsia="zh-CN"/>
              </w:rPr>
            </w:pPr>
            <w:r>
              <w:rPr>
                <w:rFonts w:hint="eastAsia"/>
                <w:sz w:val="18"/>
                <w:szCs w:val="18"/>
                <w:lang w:eastAsia="zh-CN"/>
              </w:rPr>
              <w:t>一年一熟作物（饲草料地）</w:t>
            </w:r>
          </w:p>
        </w:tc>
        <w:tc>
          <w:tcPr>
            <w:tcW w:w="2268" w:type="dxa"/>
            <w:noWrap/>
            <w:vAlign w:val="center"/>
          </w:tcPr>
          <w:p w14:paraId="589C0BBA">
            <w:pPr>
              <w:snapToGrid w:val="0"/>
              <w:spacing w:line="240" w:lineRule="atLeast"/>
              <w:ind w:firstLine="360"/>
              <w:jc w:val="center"/>
              <w:rPr>
                <w:sz w:val="18"/>
                <w:szCs w:val="18"/>
                <w:lang w:eastAsia="zh-CN"/>
              </w:rPr>
            </w:pPr>
            <w:r>
              <w:rPr>
                <w:rFonts w:hint="eastAsia"/>
                <w:sz w:val="18"/>
                <w:szCs w:val="18"/>
                <w:lang w:eastAsia="zh-CN"/>
              </w:rPr>
              <w:t>157.45</w:t>
            </w:r>
          </w:p>
        </w:tc>
        <w:tc>
          <w:tcPr>
            <w:tcW w:w="1874" w:type="dxa"/>
            <w:noWrap/>
            <w:vAlign w:val="center"/>
          </w:tcPr>
          <w:p w14:paraId="22EAE810">
            <w:pPr>
              <w:snapToGrid w:val="0"/>
              <w:spacing w:line="240" w:lineRule="atLeast"/>
              <w:ind w:firstLine="360"/>
              <w:jc w:val="center"/>
              <w:rPr>
                <w:sz w:val="18"/>
                <w:szCs w:val="18"/>
                <w:lang w:eastAsia="zh-CN"/>
              </w:rPr>
            </w:pPr>
            <w:r>
              <w:rPr>
                <w:rFonts w:hint="eastAsia"/>
                <w:sz w:val="18"/>
                <w:szCs w:val="18"/>
                <w:lang w:eastAsia="zh-CN"/>
              </w:rPr>
              <w:t>1.03</w:t>
            </w:r>
          </w:p>
        </w:tc>
      </w:tr>
      <w:tr w14:paraId="31FD89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88" w:type="dxa"/>
            <w:noWrap/>
            <w:vAlign w:val="center"/>
          </w:tcPr>
          <w:p w14:paraId="186AFFBB">
            <w:pPr>
              <w:snapToGrid w:val="0"/>
              <w:spacing w:line="240" w:lineRule="atLeast"/>
              <w:ind w:firstLine="360"/>
              <w:jc w:val="center"/>
              <w:rPr>
                <w:sz w:val="18"/>
                <w:szCs w:val="18"/>
                <w:lang w:eastAsia="zh-CN"/>
              </w:rPr>
            </w:pPr>
            <w:r>
              <w:rPr>
                <w:rFonts w:hint="eastAsia"/>
                <w:sz w:val="18"/>
                <w:szCs w:val="18"/>
                <w:lang w:eastAsia="zh-CN"/>
              </w:rPr>
              <w:t>湖泊</w:t>
            </w:r>
          </w:p>
        </w:tc>
        <w:tc>
          <w:tcPr>
            <w:tcW w:w="3118" w:type="dxa"/>
            <w:noWrap/>
            <w:vAlign w:val="center"/>
          </w:tcPr>
          <w:p w14:paraId="0FFBFED8">
            <w:pPr>
              <w:snapToGrid w:val="0"/>
              <w:spacing w:line="240" w:lineRule="atLeast"/>
              <w:ind w:firstLine="360"/>
              <w:jc w:val="center"/>
              <w:rPr>
                <w:sz w:val="18"/>
                <w:szCs w:val="18"/>
                <w:lang w:eastAsia="zh-CN"/>
              </w:rPr>
            </w:pPr>
            <w:r>
              <w:rPr>
                <w:rFonts w:hint="eastAsia"/>
                <w:sz w:val="18"/>
                <w:szCs w:val="18"/>
                <w:lang w:eastAsia="zh-CN"/>
              </w:rPr>
              <w:t>季节性水面</w:t>
            </w:r>
          </w:p>
        </w:tc>
        <w:tc>
          <w:tcPr>
            <w:tcW w:w="2268" w:type="dxa"/>
            <w:noWrap/>
            <w:vAlign w:val="center"/>
          </w:tcPr>
          <w:p w14:paraId="033D2414">
            <w:pPr>
              <w:snapToGrid w:val="0"/>
              <w:spacing w:line="240" w:lineRule="atLeast"/>
              <w:ind w:firstLine="360"/>
              <w:jc w:val="center"/>
              <w:rPr>
                <w:sz w:val="18"/>
                <w:szCs w:val="18"/>
                <w:lang w:eastAsia="zh-CN"/>
              </w:rPr>
            </w:pPr>
            <w:r>
              <w:rPr>
                <w:rFonts w:hint="eastAsia"/>
                <w:sz w:val="18"/>
                <w:szCs w:val="18"/>
                <w:lang w:eastAsia="zh-CN"/>
              </w:rPr>
              <w:t>23.30</w:t>
            </w:r>
          </w:p>
        </w:tc>
        <w:tc>
          <w:tcPr>
            <w:tcW w:w="1874" w:type="dxa"/>
            <w:noWrap/>
            <w:vAlign w:val="center"/>
          </w:tcPr>
          <w:p w14:paraId="70A2F03D">
            <w:pPr>
              <w:snapToGrid w:val="0"/>
              <w:spacing w:line="240" w:lineRule="atLeast"/>
              <w:ind w:firstLine="360"/>
              <w:jc w:val="center"/>
              <w:rPr>
                <w:sz w:val="18"/>
                <w:szCs w:val="18"/>
                <w:lang w:eastAsia="zh-CN"/>
              </w:rPr>
            </w:pPr>
            <w:r>
              <w:rPr>
                <w:rFonts w:hint="eastAsia"/>
                <w:sz w:val="18"/>
                <w:szCs w:val="18"/>
                <w:lang w:eastAsia="zh-CN"/>
              </w:rPr>
              <w:t>0.15</w:t>
            </w:r>
          </w:p>
        </w:tc>
      </w:tr>
      <w:tr w14:paraId="145207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88" w:type="dxa"/>
            <w:noWrap/>
            <w:vAlign w:val="center"/>
          </w:tcPr>
          <w:p w14:paraId="44A68C77">
            <w:pPr>
              <w:snapToGrid w:val="0"/>
              <w:spacing w:line="240" w:lineRule="atLeast"/>
              <w:ind w:firstLine="0" w:firstLineChars="0"/>
              <w:rPr>
                <w:sz w:val="18"/>
                <w:szCs w:val="18"/>
                <w:lang w:eastAsia="zh-CN"/>
              </w:rPr>
            </w:pPr>
            <w:r>
              <w:rPr>
                <w:rFonts w:hint="eastAsia"/>
                <w:sz w:val="18"/>
                <w:szCs w:val="18"/>
                <w:lang w:eastAsia="zh-CN"/>
              </w:rPr>
              <w:t>交通、工矿用地</w:t>
            </w:r>
          </w:p>
        </w:tc>
        <w:tc>
          <w:tcPr>
            <w:tcW w:w="3118" w:type="dxa"/>
            <w:noWrap/>
            <w:vAlign w:val="center"/>
          </w:tcPr>
          <w:p w14:paraId="3D773E8D">
            <w:pPr>
              <w:snapToGrid w:val="0"/>
              <w:spacing w:line="240" w:lineRule="atLeast"/>
              <w:ind w:firstLine="360"/>
              <w:jc w:val="center"/>
              <w:rPr>
                <w:sz w:val="18"/>
                <w:szCs w:val="18"/>
                <w:lang w:eastAsia="zh-CN"/>
              </w:rPr>
            </w:pPr>
            <w:r>
              <w:rPr>
                <w:rFonts w:hint="eastAsia"/>
                <w:sz w:val="18"/>
                <w:szCs w:val="18"/>
                <w:lang w:eastAsia="zh-CN"/>
              </w:rPr>
              <w:t>——</w:t>
            </w:r>
          </w:p>
        </w:tc>
        <w:tc>
          <w:tcPr>
            <w:tcW w:w="2268" w:type="dxa"/>
            <w:noWrap/>
            <w:vAlign w:val="center"/>
          </w:tcPr>
          <w:p w14:paraId="6FB681D8">
            <w:pPr>
              <w:snapToGrid w:val="0"/>
              <w:spacing w:line="240" w:lineRule="atLeast"/>
              <w:ind w:firstLine="360"/>
              <w:jc w:val="center"/>
              <w:rPr>
                <w:sz w:val="18"/>
                <w:szCs w:val="18"/>
                <w:lang w:eastAsia="zh-CN"/>
              </w:rPr>
            </w:pPr>
            <w:r>
              <w:rPr>
                <w:rFonts w:hint="eastAsia"/>
                <w:sz w:val="18"/>
                <w:szCs w:val="18"/>
                <w:lang w:eastAsia="zh-CN"/>
              </w:rPr>
              <w:t>54.48</w:t>
            </w:r>
          </w:p>
        </w:tc>
        <w:tc>
          <w:tcPr>
            <w:tcW w:w="1874" w:type="dxa"/>
            <w:noWrap/>
            <w:vAlign w:val="center"/>
          </w:tcPr>
          <w:p w14:paraId="112D7810">
            <w:pPr>
              <w:snapToGrid w:val="0"/>
              <w:spacing w:line="240" w:lineRule="atLeast"/>
              <w:ind w:firstLine="360"/>
              <w:jc w:val="center"/>
              <w:rPr>
                <w:sz w:val="18"/>
                <w:szCs w:val="18"/>
                <w:lang w:eastAsia="zh-CN"/>
              </w:rPr>
            </w:pPr>
            <w:r>
              <w:rPr>
                <w:rFonts w:hint="eastAsia"/>
                <w:sz w:val="18"/>
                <w:szCs w:val="18"/>
                <w:lang w:eastAsia="zh-CN"/>
              </w:rPr>
              <w:t>0.36</w:t>
            </w:r>
          </w:p>
        </w:tc>
      </w:tr>
    </w:tbl>
    <w:p w14:paraId="3D2A48D3">
      <w:pPr>
        <w:spacing w:beforeLines="50" w:line="240" w:lineRule="atLeast"/>
        <w:ind w:firstLine="480"/>
        <w:rPr>
          <w:rFonts w:eastAsia="黑体"/>
          <w:szCs w:val="24"/>
          <w:lang w:eastAsia="zh-CN"/>
        </w:rPr>
      </w:pPr>
      <w:r>
        <w:rPr>
          <w:rFonts w:hint="eastAsia" w:eastAsia="黑体"/>
          <w:szCs w:val="24"/>
          <w:lang w:eastAsia="zh-CN"/>
        </w:rPr>
        <w:t>表9</w:t>
      </w:r>
      <w:r>
        <w:rPr>
          <w:rFonts w:eastAsia="黑体"/>
          <w:szCs w:val="24"/>
          <w:lang w:eastAsia="zh-CN"/>
        </w:rPr>
        <w:t>.</w:t>
      </w:r>
      <w:r>
        <w:rPr>
          <w:rFonts w:hint="eastAsia" w:eastAsia="黑体"/>
          <w:szCs w:val="24"/>
          <w:lang w:eastAsia="zh-CN"/>
        </w:rPr>
        <w:t>1</w:t>
      </w:r>
      <w:r>
        <w:rPr>
          <w:rFonts w:eastAsia="黑体"/>
          <w:szCs w:val="24"/>
          <w:lang w:eastAsia="zh-CN"/>
        </w:rPr>
        <w:t>-</w:t>
      </w:r>
      <w:r>
        <w:rPr>
          <w:rFonts w:hint="eastAsia" w:eastAsia="黑体"/>
          <w:szCs w:val="24"/>
          <w:lang w:eastAsia="zh-CN"/>
        </w:rPr>
        <w:t>3        项目区域优势植物和常见植物名录</w:t>
      </w:r>
    </w:p>
    <w:tbl>
      <w:tblPr>
        <w:tblStyle w:val="7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34"/>
        <w:gridCol w:w="3604"/>
        <w:gridCol w:w="1708"/>
        <w:gridCol w:w="1583"/>
      </w:tblGrid>
      <w:tr w14:paraId="0F598D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6B867E1D">
            <w:pPr>
              <w:pStyle w:val="518"/>
              <w:rPr>
                <w:szCs w:val="21"/>
              </w:rPr>
            </w:pPr>
            <w:r>
              <w:rPr>
                <w:szCs w:val="21"/>
              </w:rPr>
              <w:t>名称</w:t>
            </w:r>
          </w:p>
        </w:tc>
        <w:tc>
          <w:tcPr>
            <w:tcW w:w="3604" w:type="dxa"/>
            <w:vAlign w:val="center"/>
          </w:tcPr>
          <w:p w14:paraId="70F548CF">
            <w:pPr>
              <w:pStyle w:val="518"/>
              <w:rPr>
                <w:szCs w:val="21"/>
              </w:rPr>
            </w:pPr>
            <w:r>
              <w:rPr>
                <w:szCs w:val="21"/>
              </w:rPr>
              <w:t>拉丁文</w:t>
            </w:r>
          </w:p>
        </w:tc>
        <w:tc>
          <w:tcPr>
            <w:tcW w:w="1708" w:type="dxa"/>
            <w:vAlign w:val="center"/>
          </w:tcPr>
          <w:p w14:paraId="375257E8">
            <w:pPr>
              <w:pStyle w:val="518"/>
              <w:rPr>
                <w:szCs w:val="21"/>
              </w:rPr>
            </w:pPr>
            <w:r>
              <w:rPr>
                <w:szCs w:val="21"/>
              </w:rPr>
              <w:t>生活型</w:t>
            </w:r>
          </w:p>
        </w:tc>
        <w:tc>
          <w:tcPr>
            <w:tcW w:w="1583" w:type="dxa"/>
            <w:vAlign w:val="center"/>
          </w:tcPr>
          <w:p w14:paraId="29C206CA">
            <w:pPr>
              <w:pStyle w:val="518"/>
              <w:rPr>
                <w:szCs w:val="21"/>
              </w:rPr>
            </w:pPr>
            <w:r>
              <w:rPr>
                <w:szCs w:val="21"/>
              </w:rPr>
              <w:t>地理成份</w:t>
            </w:r>
          </w:p>
        </w:tc>
      </w:tr>
      <w:tr w14:paraId="2CE7FD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29" w:type="dxa"/>
            <w:gridSpan w:val="4"/>
            <w:vAlign w:val="center"/>
          </w:tcPr>
          <w:p w14:paraId="066887FF">
            <w:pPr>
              <w:pStyle w:val="518"/>
              <w:rPr>
                <w:szCs w:val="21"/>
              </w:rPr>
            </w:pPr>
            <w:r>
              <w:rPr>
                <w:szCs w:val="21"/>
              </w:rPr>
              <w:t>Ⅰ、裸子植物门  Gymnospermae</w:t>
            </w:r>
          </w:p>
        </w:tc>
      </w:tr>
      <w:tr w14:paraId="3DC81E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089ED5F0">
            <w:pPr>
              <w:pStyle w:val="518"/>
              <w:rPr>
                <w:szCs w:val="21"/>
              </w:rPr>
            </w:pPr>
            <w:r>
              <w:rPr>
                <w:szCs w:val="21"/>
              </w:rPr>
              <w:t>麻黄</w:t>
            </w:r>
          </w:p>
        </w:tc>
        <w:tc>
          <w:tcPr>
            <w:tcW w:w="3604" w:type="dxa"/>
            <w:vAlign w:val="center"/>
          </w:tcPr>
          <w:p w14:paraId="3227B741">
            <w:pPr>
              <w:pStyle w:val="518"/>
              <w:rPr>
                <w:szCs w:val="21"/>
              </w:rPr>
            </w:pPr>
            <w:r>
              <w:rPr>
                <w:i/>
                <w:szCs w:val="21"/>
              </w:rPr>
              <w:t xml:space="preserve">Ephedra sinica </w:t>
            </w:r>
            <w:r>
              <w:rPr>
                <w:szCs w:val="21"/>
              </w:rPr>
              <w:t>Stapf</w:t>
            </w:r>
          </w:p>
        </w:tc>
        <w:tc>
          <w:tcPr>
            <w:tcW w:w="1708" w:type="dxa"/>
            <w:vAlign w:val="center"/>
          </w:tcPr>
          <w:p w14:paraId="0DB5C9F1">
            <w:pPr>
              <w:pStyle w:val="518"/>
              <w:rPr>
                <w:szCs w:val="21"/>
              </w:rPr>
            </w:pPr>
            <w:r>
              <w:rPr>
                <w:szCs w:val="21"/>
              </w:rPr>
              <w:t>常绿小灌木</w:t>
            </w:r>
          </w:p>
        </w:tc>
        <w:tc>
          <w:tcPr>
            <w:tcW w:w="1583" w:type="dxa"/>
            <w:vAlign w:val="center"/>
          </w:tcPr>
          <w:p w14:paraId="498A1257">
            <w:pPr>
              <w:pStyle w:val="518"/>
              <w:rPr>
                <w:szCs w:val="21"/>
              </w:rPr>
            </w:pPr>
            <w:r>
              <w:rPr>
                <w:szCs w:val="21"/>
              </w:rPr>
              <w:t>哈萨克—蒙古种</w:t>
            </w:r>
          </w:p>
        </w:tc>
      </w:tr>
      <w:tr w14:paraId="22BD1E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29" w:type="dxa"/>
            <w:gridSpan w:val="4"/>
            <w:vAlign w:val="center"/>
          </w:tcPr>
          <w:p w14:paraId="4DF982A4">
            <w:pPr>
              <w:pStyle w:val="518"/>
              <w:rPr>
                <w:szCs w:val="21"/>
              </w:rPr>
            </w:pPr>
            <w:r>
              <w:rPr>
                <w:szCs w:val="21"/>
              </w:rPr>
              <w:t>Ⅱ、被子植物门  Angiopermae</w:t>
            </w:r>
          </w:p>
        </w:tc>
      </w:tr>
      <w:tr w14:paraId="59B33E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29" w:type="dxa"/>
            <w:gridSpan w:val="4"/>
            <w:vAlign w:val="center"/>
          </w:tcPr>
          <w:p w14:paraId="6B0AAAFD">
            <w:pPr>
              <w:pStyle w:val="518"/>
              <w:rPr>
                <w:szCs w:val="21"/>
              </w:rPr>
            </w:pPr>
            <w:r>
              <w:rPr>
                <w:szCs w:val="21"/>
              </w:rPr>
              <w:t>二、蓼科  Polygonaceae</w:t>
            </w:r>
          </w:p>
        </w:tc>
      </w:tr>
      <w:tr w14:paraId="0EAC1B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33CCE712">
            <w:pPr>
              <w:pStyle w:val="518"/>
              <w:rPr>
                <w:szCs w:val="21"/>
              </w:rPr>
            </w:pPr>
            <w:r>
              <w:rPr>
                <w:szCs w:val="21"/>
              </w:rPr>
              <w:t>叉分蓼</w:t>
            </w:r>
          </w:p>
        </w:tc>
        <w:tc>
          <w:tcPr>
            <w:tcW w:w="3604" w:type="dxa"/>
            <w:vAlign w:val="center"/>
          </w:tcPr>
          <w:p w14:paraId="0875BC86">
            <w:pPr>
              <w:pStyle w:val="518"/>
              <w:rPr>
                <w:szCs w:val="21"/>
              </w:rPr>
            </w:pPr>
            <w:r>
              <w:rPr>
                <w:i/>
                <w:szCs w:val="21"/>
              </w:rPr>
              <w:t>Polygonum angustifolium</w:t>
            </w:r>
            <w:r>
              <w:rPr>
                <w:szCs w:val="21"/>
              </w:rPr>
              <w:t xml:space="preserve"> Pall</w:t>
            </w:r>
          </w:p>
        </w:tc>
        <w:tc>
          <w:tcPr>
            <w:tcW w:w="1708" w:type="dxa"/>
            <w:vAlign w:val="center"/>
          </w:tcPr>
          <w:p w14:paraId="17A0A774">
            <w:pPr>
              <w:pStyle w:val="518"/>
              <w:rPr>
                <w:szCs w:val="21"/>
              </w:rPr>
            </w:pPr>
            <w:r>
              <w:rPr>
                <w:szCs w:val="21"/>
              </w:rPr>
              <w:t>多年生草本</w:t>
            </w:r>
          </w:p>
        </w:tc>
        <w:tc>
          <w:tcPr>
            <w:tcW w:w="1583" w:type="dxa"/>
            <w:vAlign w:val="center"/>
          </w:tcPr>
          <w:p w14:paraId="29726196">
            <w:pPr>
              <w:pStyle w:val="518"/>
              <w:rPr>
                <w:szCs w:val="21"/>
              </w:rPr>
            </w:pPr>
            <w:r>
              <w:rPr>
                <w:szCs w:val="21"/>
              </w:rPr>
              <w:t>达乌里—蒙古种</w:t>
            </w:r>
          </w:p>
        </w:tc>
      </w:tr>
      <w:tr w14:paraId="4BD598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29" w:type="dxa"/>
            <w:gridSpan w:val="4"/>
            <w:vAlign w:val="center"/>
          </w:tcPr>
          <w:p w14:paraId="16E3FFAE">
            <w:pPr>
              <w:pStyle w:val="518"/>
              <w:rPr>
                <w:szCs w:val="21"/>
              </w:rPr>
            </w:pPr>
            <w:r>
              <w:rPr>
                <w:szCs w:val="21"/>
              </w:rPr>
              <w:t>三、藜科  Chenopodiaceae</w:t>
            </w:r>
          </w:p>
        </w:tc>
      </w:tr>
      <w:tr w14:paraId="60A61E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756ED1B4">
            <w:pPr>
              <w:pStyle w:val="518"/>
              <w:rPr>
                <w:szCs w:val="21"/>
              </w:rPr>
            </w:pPr>
            <w:r>
              <w:rPr>
                <w:szCs w:val="21"/>
              </w:rPr>
              <w:t>灰缘藜</w:t>
            </w:r>
          </w:p>
        </w:tc>
        <w:tc>
          <w:tcPr>
            <w:tcW w:w="3604" w:type="dxa"/>
            <w:vAlign w:val="center"/>
          </w:tcPr>
          <w:p w14:paraId="32998520">
            <w:pPr>
              <w:pStyle w:val="518"/>
              <w:rPr>
                <w:szCs w:val="21"/>
              </w:rPr>
            </w:pPr>
            <w:r>
              <w:rPr>
                <w:i/>
                <w:szCs w:val="21"/>
              </w:rPr>
              <w:t>Ch. Glaucum</w:t>
            </w:r>
            <w:r>
              <w:rPr>
                <w:szCs w:val="21"/>
              </w:rPr>
              <w:t xml:space="preserve"> L.</w:t>
            </w:r>
          </w:p>
        </w:tc>
        <w:tc>
          <w:tcPr>
            <w:tcW w:w="1708" w:type="dxa"/>
            <w:vAlign w:val="center"/>
          </w:tcPr>
          <w:p w14:paraId="4631C92C">
            <w:pPr>
              <w:pStyle w:val="518"/>
              <w:rPr>
                <w:szCs w:val="21"/>
              </w:rPr>
            </w:pPr>
            <w:r>
              <w:rPr>
                <w:szCs w:val="21"/>
              </w:rPr>
              <w:t>一年生草本</w:t>
            </w:r>
          </w:p>
        </w:tc>
        <w:tc>
          <w:tcPr>
            <w:tcW w:w="1583" w:type="dxa"/>
            <w:vAlign w:val="center"/>
          </w:tcPr>
          <w:p w14:paraId="2E1BFADB">
            <w:pPr>
              <w:pStyle w:val="518"/>
              <w:rPr>
                <w:szCs w:val="21"/>
              </w:rPr>
            </w:pPr>
            <w:r>
              <w:rPr>
                <w:szCs w:val="21"/>
              </w:rPr>
              <w:t>世界种</w:t>
            </w:r>
          </w:p>
        </w:tc>
      </w:tr>
      <w:tr w14:paraId="271AA5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5E9E2959">
            <w:pPr>
              <w:pStyle w:val="518"/>
              <w:rPr>
                <w:szCs w:val="21"/>
              </w:rPr>
            </w:pPr>
            <w:r>
              <w:rPr>
                <w:szCs w:val="21"/>
              </w:rPr>
              <w:t>猪毛菜</w:t>
            </w:r>
          </w:p>
        </w:tc>
        <w:tc>
          <w:tcPr>
            <w:tcW w:w="3604" w:type="dxa"/>
            <w:vAlign w:val="center"/>
          </w:tcPr>
          <w:p w14:paraId="5B5D02D7">
            <w:pPr>
              <w:pStyle w:val="518"/>
              <w:rPr>
                <w:szCs w:val="21"/>
              </w:rPr>
            </w:pPr>
            <w:r>
              <w:rPr>
                <w:i/>
                <w:szCs w:val="21"/>
              </w:rPr>
              <w:t>Salsola Collina</w:t>
            </w:r>
            <w:r>
              <w:rPr>
                <w:szCs w:val="21"/>
              </w:rPr>
              <w:t xml:space="preserve"> Pall</w:t>
            </w:r>
          </w:p>
        </w:tc>
        <w:tc>
          <w:tcPr>
            <w:tcW w:w="1708" w:type="dxa"/>
            <w:vAlign w:val="center"/>
          </w:tcPr>
          <w:p w14:paraId="6F4DB1DD">
            <w:pPr>
              <w:pStyle w:val="518"/>
              <w:rPr>
                <w:szCs w:val="21"/>
              </w:rPr>
            </w:pPr>
            <w:r>
              <w:rPr>
                <w:szCs w:val="21"/>
              </w:rPr>
              <w:t>一年草本</w:t>
            </w:r>
          </w:p>
        </w:tc>
        <w:tc>
          <w:tcPr>
            <w:tcW w:w="1583" w:type="dxa"/>
            <w:vAlign w:val="center"/>
          </w:tcPr>
          <w:p w14:paraId="297B741B">
            <w:pPr>
              <w:pStyle w:val="518"/>
              <w:rPr>
                <w:szCs w:val="21"/>
              </w:rPr>
            </w:pPr>
            <w:r>
              <w:rPr>
                <w:szCs w:val="21"/>
              </w:rPr>
              <w:t>古北极种</w:t>
            </w:r>
          </w:p>
        </w:tc>
      </w:tr>
      <w:tr w14:paraId="277440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6EE7ED9D">
            <w:pPr>
              <w:pStyle w:val="518"/>
              <w:rPr>
                <w:szCs w:val="21"/>
              </w:rPr>
            </w:pPr>
            <w:r>
              <w:rPr>
                <w:szCs w:val="21"/>
              </w:rPr>
              <w:t>木地肤</w:t>
            </w:r>
            <w:r>
              <w:rPr>
                <w:szCs w:val="21"/>
              </w:rPr>
              <w:tab/>
            </w:r>
          </w:p>
        </w:tc>
        <w:tc>
          <w:tcPr>
            <w:tcW w:w="3604" w:type="dxa"/>
            <w:vAlign w:val="center"/>
          </w:tcPr>
          <w:p w14:paraId="10E01A21">
            <w:pPr>
              <w:pStyle w:val="518"/>
              <w:rPr>
                <w:i/>
                <w:szCs w:val="21"/>
              </w:rPr>
            </w:pPr>
            <w:r>
              <w:rPr>
                <w:szCs w:val="21"/>
              </w:rPr>
              <w:t>Koehia prostrate (L) Schrad</w:t>
            </w:r>
          </w:p>
        </w:tc>
        <w:tc>
          <w:tcPr>
            <w:tcW w:w="1708" w:type="dxa"/>
            <w:vAlign w:val="center"/>
          </w:tcPr>
          <w:p w14:paraId="1CB0EE2F">
            <w:pPr>
              <w:pStyle w:val="518"/>
              <w:rPr>
                <w:szCs w:val="21"/>
                <w:lang w:eastAsia="zh-CN"/>
              </w:rPr>
            </w:pPr>
            <w:r>
              <w:rPr>
                <w:szCs w:val="21"/>
                <w:lang w:eastAsia="zh-CN"/>
              </w:rPr>
              <w:t>小半灌木</w:t>
            </w:r>
          </w:p>
        </w:tc>
        <w:tc>
          <w:tcPr>
            <w:tcW w:w="1583" w:type="dxa"/>
            <w:vAlign w:val="center"/>
          </w:tcPr>
          <w:p w14:paraId="33F48061">
            <w:pPr>
              <w:pStyle w:val="518"/>
              <w:rPr>
                <w:szCs w:val="21"/>
              </w:rPr>
            </w:pPr>
          </w:p>
        </w:tc>
      </w:tr>
      <w:tr w14:paraId="47DE43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29" w:type="dxa"/>
            <w:gridSpan w:val="4"/>
            <w:vAlign w:val="center"/>
          </w:tcPr>
          <w:p w14:paraId="395FF0C5">
            <w:pPr>
              <w:pStyle w:val="518"/>
              <w:rPr>
                <w:szCs w:val="21"/>
              </w:rPr>
            </w:pPr>
            <w:r>
              <w:rPr>
                <w:szCs w:val="21"/>
              </w:rPr>
              <w:t>四、</w:t>
            </w:r>
            <w:r>
              <w:rPr>
                <w:rFonts w:hint="eastAsia"/>
                <w:szCs w:val="21"/>
              </w:rPr>
              <w:t>毛茛科</w:t>
            </w:r>
            <w:r>
              <w:rPr>
                <w:szCs w:val="21"/>
              </w:rPr>
              <w:t xml:space="preserve">  Ranunculaccae</w:t>
            </w:r>
          </w:p>
        </w:tc>
      </w:tr>
      <w:tr w14:paraId="35246F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447A7AC7">
            <w:pPr>
              <w:pStyle w:val="518"/>
              <w:rPr>
                <w:szCs w:val="21"/>
              </w:rPr>
            </w:pPr>
            <w:r>
              <w:rPr>
                <w:szCs w:val="21"/>
              </w:rPr>
              <w:t>瓣蕊唐松草</w:t>
            </w:r>
          </w:p>
        </w:tc>
        <w:tc>
          <w:tcPr>
            <w:tcW w:w="3604" w:type="dxa"/>
            <w:vAlign w:val="center"/>
          </w:tcPr>
          <w:p w14:paraId="0C205F76">
            <w:pPr>
              <w:pStyle w:val="518"/>
              <w:rPr>
                <w:szCs w:val="21"/>
              </w:rPr>
            </w:pPr>
            <w:r>
              <w:rPr>
                <w:i/>
                <w:szCs w:val="21"/>
              </w:rPr>
              <w:t>Thalicfrum Petaloiceum</w:t>
            </w:r>
            <w:r>
              <w:rPr>
                <w:szCs w:val="21"/>
              </w:rPr>
              <w:t>.L</w:t>
            </w:r>
          </w:p>
        </w:tc>
        <w:tc>
          <w:tcPr>
            <w:tcW w:w="1708" w:type="dxa"/>
            <w:vAlign w:val="center"/>
          </w:tcPr>
          <w:p w14:paraId="04242026">
            <w:pPr>
              <w:pStyle w:val="518"/>
              <w:rPr>
                <w:szCs w:val="21"/>
              </w:rPr>
            </w:pPr>
            <w:r>
              <w:rPr>
                <w:szCs w:val="21"/>
              </w:rPr>
              <w:t>多年生草本</w:t>
            </w:r>
          </w:p>
        </w:tc>
        <w:tc>
          <w:tcPr>
            <w:tcW w:w="1583" w:type="dxa"/>
            <w:vAlign w:val="center"/>
          </w:tcPr>
          <w:p w14:paraId="6461A39E">
            <w:pPr>
              <w:pStyle w:val="518"/>
              <w:rPr>
                <w:szCs w:val="21"/>
              </w:rPr>
            </w:pPr>
            <w:r>
              <w:rPr>
                <w:szCs w:val="21"/>
              </w:rPr>
              <w:t>东古北极种</w:t>
            </w:r>
          </w:p>
        </w:tc>
      </w:tr>
      <w:tr w14:paraId="7FBAFE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29223635">
            <w:pPr>
              <w:pStyle w:val="518"/>
              <w:rPr>
                <w:szCs w:val="21"/>
              </w:rPr>
            </w:pPr>
            <w:r>
              <w:rPr>
                <w:szCs w:val="21"/>
              </w:rPr>
              <w:t>展枝唐松草</w:t>
            </w:r>
          </w:p>
        </w:tc>
        <w:tc>
          <w:tcPr>
            <w:tcW w:w="3604" w:type="dxa"/>
            <w:vAlign w:val="center"/>
          </w:tcPr>
          <w:p w14:paraId="1F08B4E7">
            <w:pPr>
              <w:pStyle w:val="518"/>
              <w:rPr>
                <w:szCs w:val="21"/>
              </w:rPr>
            </w:pPr>
            <w:r>
              <w:rPr>
                <w:i/>
                <w:szCs w:val="21"/>
              </w:rPr>
              <w:t xml:space="preserve">Th. Squarrosum </w:t>
            </w:r>
            <w:r>
              <w:rPr>
                <w:szCs w:val="21"/>
              </w:rPr>
              <w:t>Steph.</w:t>
            </w:r>
          </w:p>
        </w:tc>
        <w:tc>
          <w:tcPr>
            <w:tcW w:w="1708" w:type="dxa"/>
            <w:vAlign w:val="center"/>
          </w:tcPr>
          <w:p w14:paraId="541F353D">
            <w:pPr>
              <w:pStyle w:val="518"/>
              <w:rPr>
                <w:szCs w:val="21"/>
              </w:rPr>
            </w:pPr>
            <w:r>
              <w:rPr>
                <w:szCs w:val="21"/>
              </w:rPr>
              <w:t>多年生草本</w:t>
            </w:r>
          </w:p>
        </w:tc>
        <w:tc>
          <w:tcPr>
            <w:tcW w:w="1583" w:type="dxa"/>
            <w:vAlign w:val="center"/>
          </w:tcPr>
          <w:p w14:paraId="7319619B">
            <w:pPr>
              <w:pStyle w:val="518"/>
              <w:rPr>
                <w:szCs w:val="21"/>
              </w:rPr>
            </w:pPr>
            <w:r>
              <w:rPr>
                <w:szCs w:val="21"/>
              </w:rPr>
              <w:t>达乌里—蒙古种</w:t>
            </w:r>
          </w:p>
        </w:tc>
      </w:tr>
      <w:tr w14:paraId="32504C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29" w:type="dxa"/>
            <w:gridSpan w:val="4"/>
            <w:vAlign w:val="center"/>
          </w:tcPr>
          <w:p w14:paraId="36347AD7">
            <w:pPr>
              <w:pStyle w:val="518"/>
              <w:rPr>
                <w:szCs w:val="21"/>
              </w:rPr>
            </w:pPr>
            <w:r>
              <w:rPr>
                <w:szCs w:val="21"/>
              </w:rPr>
              <w:t>五、罂粟科  Papaveraceae</w:t>
            </w:r>
          </w:p>
        </w:tc>
      </w:tr>
      <w:tr w14:paraId="4568D9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57E6895E">
            <w:pPr>
              <w:pStyle w:val="518"/>
              <w:rPr>
                <w:szCs w:val="21"/>
              </w:rPr>
            </w:pPr>
            <w:r>
              <w:rPr>
                <w:szCs w:val="21"/>
              </w:rPr>
              <w:t>野罂粟</w:t>
            </w:r>
          </w:p>
        </w:tc>
        <w:tc>
          <w:tcPr>
            <w:tcW w:w="3604" w:type="dxa"/>
            <w:vAlign w:val="center"/>
          </w:tcPr>
          <w:p w14:paraId="3A6EE27D">
            <w:pPr>
              <w:pStyle w:val="518"/>
              <w:rPr>
                <w:i/>
                <w:szCs w:val="21"/>
              </w:rPr>
            </w:pPr>
            <w:r>
              <w:rPr>
                <w:i/>
                <w:szCs w:val="21"/>
              </w:rPr>
              <w:t>Papaver nudicaule</w:t>
            </w:r>
          </w:p>
          <w:p w14:paraId="092295AC">
            <w:pPr>
              <w:pStyle w:val="518"/>
              <w:rPr>
                <w:szCs w:val="21"/>
              </w:rPr>
            </w:pPr>
            <w:r>
              <w:rPr>
                <w:i/>
                <w:szCs w:val="21"/>
              </w:rPr>
              <w:t>L. ssp.rubro-aurantiacum</w:t>
            </w:r>
            <w:r>
              <w:rPr>
                <w:szCs w:val="21"/>
              </w:rPr>
              <w:t>(D.C.)Fedde</w:t>
            </w:r>
          </w:p>
        </w:tc>
        <w:tc>
          <w:tcPr>
            <w:tcW w:w="1708" w:type="dxa"/>
            <w:vAlign w:val="center"/>
          </w:tcPr>
          <w:p w14:paraId="6E5B3371">
            <w:pPr>
              <w:pStyle w:val="518"/>
              <w:rPr>
                <w:szCs w:val="21"/>
              </w:rPr>
            </w:pPr>
            <w:r>
              <w:rPr>
                <w:szCs w:val="21"/>
              </w:rPr>
              <w:t>多年生草本</w:t>
            </w:r>
          </w:p>
        </w:tc>
        <w:tc>
          <w:tcPr>
            <w:tcW w:w="1583" w:type="dxa"/>
            <w:vAlign w:val="center"/>
          </w:tcPr>
          <w:p w14:paraId="45D73ED3">
            <w:pPr>
              <w:pStyle w:val="518"/>
              <w:rPr>
                <w:szCs w:val="21"/>
              </w:rPr>
            </w:pPr>
            <w:r>
              <w:rPr>
                <w:szCs w:val="21"/>
              </w:rPr>
              <w:t>东古北极种</w:t>
            </w:r>
          </w:p>
        </w:tc>
      </w:tr>
      <w:tr w14:paraId="1F8266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29" w:type="dxa"/>
            <w:gridSpan w:val="4"/>
            <w:vAlign w:val="center"/>
          </w:tcPr>
          <w:p w14:paraId="56C0373D">
            <w:pPr>
              <w:pStyle w:val="518"/>
              <w:rPr>
                <w:szCs w:val="21"/>
              </w:rPr>
            </w:pPr>
            <w:r>
              <w:rPr>
                <w:szCs w:val="21"/>
              </w:rPr>
              <w:t>六、十字花科  Cruciferae</w:t>
            </w:r>
          </w:p>
        </w:tc>
      </w:tr>
      <w:tr w14:paraId="302F0E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1EACC8BB">
            <w:pPr>
              <w:pStyle w:val="518"/>
              <w:rPr>
                <w:szCs w:val="21"/>
              </w:rPr>
            </w:pPr>
            <w:r>
              <w:rPr>
                <w:szCs w:val="21"/>
              </w:rPr>
              <w:t>小花花旗竿</w:t>
            </w:r>
          </w:p>
        </w:tc>
        <w:tc>
          <w:tcPr>
            <w:tcW w:w="3604" w:type="dxa"/>
            <w:vAlign w:val="center"/>
          </w:tcPr>
          <w:p w14:paraId="0252A54E">
            <w:pPr>
              <w:pStyle w:val="518"/>
              <w:rPr>
                <w:szCs w:val="21"/>
              </w:rPr>
            </w:pPr>
            <w:r>
              <w:rPr>
                <w:i/>
                <w:szCs w:val="21"/>
              </w:rPr>
              <w:t xml:space="preserve">Dontostemon micranthus </w:t>
            </w:r>
            <w:r>
              <w:rPr>
                <w:szCs w:val="21"/>
              </w:rPr>
              <w:t>C.A.Mey</w:t>
            </w:r>
          </w:p>
        </w:tc>
        <w:tc>
          <w:tcPr>
            <w:tcW w:w="1708" w:type="dxa"/>
            <w:vAlign w:val="center"/>
          </w:tcPr>
          <w:p w14:paraId="1AF6C5A8">
            <w:pPr>
              <w:pStyle w:val="518"/>
              <w:rPr>
                <w:szCs w:val="21"/>
              </w:rPr>
            </w:pPr>
            <w:r>
              <w:rPr>
                <w:szCs w:val="21"/>
              </w:rPr>
              <w:t>一年生草本</w:t>
            </w:r>
          </w:p>
        </w:tc>
        <w:tc>
          <w:tcPr>
            <w:tcW w:w="1583" w:type="dxa"/>
            <w:vAlign w:val="center"/>
          </w:tcPr>
          <w:p w14:paraId="792E4F76">
            <w:pPr>
              <w:pStyle w:val="518"/>
              <w:rPr>
                <w:szCs w:val="21"/>
              </w:rPr>
            </w:pPr>
            <w:r>
              <w:rPr>
                <w:szCs w:val="21"/>
              </w:rPr>
              <w:t>东古北极种</w:t>
            </w:r>
          </w:p>
        </w:tc>
      </w:tr>
      <w:tr w14:paraId="6F2D1E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29" w:type="dxa"/>
            <w:gridSpan w:val="4"/>
            <w:vAlign w:val="center"/>
          </w:tcPr>
          <w:p w14:paraId="69C6A61C">
            <w:pPr>
              <w:pStyle w:val="518"/>
              <w:rPr>
                <w:szCs w:val="21"/>
              </w:rPr>
            </w:pPr>
            <w:r>
              <w:rPr>
                <w:szCs w:val="21"/>
              </w:rPr>
              <w:t>七、景天科  Crassulaceae</w:t>
            </w:r>
          </w:p>
        </w:tc>
      </w:tr>
      <w:tr w14:paraId="1EEBBA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334E8346">
            <w:pPr>
              <w:pStyle w:val="518"/>
              <w:rPr>
                <w:szCs w:val="21"/>
              </w:rPr>
            </w:pPr>
            <w:r>
              <w:rPr>
                <w:szCs w:val="21"/>
              </w:rPr>
              <w:t>瓦松</w:t>
            </w:r>
          </w:p>
        </w:tc>
        <w:tc>
          <w:tcPr>
            <w:tcW w:w="3604" w:type="dxa"/>
            <w:vAlign w:val="center"/>
          </w:tcPr>
          <w:p w14:paraId="1E917303">
            <w:pPr>
              <w:pStyle w:val="518"/>
              <w:rPr>
                <w:szCs w:val="21"/>
              </w:rPr>
            </w:pPr>
            <w:r>
              <w:rPr>
                <w:i/>
                <w:szCs w:val="21"/>
              </w:rPr>
              <w:t>Orostachys fimbriatus</w:t>
            </w:r>
            <w:r>
              <w:rPr>
                <w:szCs w:val="21"/>
              </w:rPr>
              <w:t>(Turcz. )Beryer</w:t>
            </w:r>
          </w:p>
        </w:tc>
        <w:tc>
          <w:tcPr>
            <w:tcW w:w="1708" w:type="dxa"/>
            <w:vAlign w:val="center"/>
          </w:tcPr>
          <w:p w14:paraId="1800AF28">
            <w:pPr>
              <w:pStyle w:val="518"/>
              <w:rPr>
                <w:szCs w:val="21"/>
              </w:rPr>
            </w:pPr>
            <w:r>
              <w:rPr>
                <w:szCs w:val="21"/>
              </w:rPr>
              <w:t>药用</w:t>
            </w:r>
          </w:p>
        </w:tc>
        <w:tc>
          <w:tcPr>
            <w:tcW w:w="1583" w:type="dxa"/>
            <w:vAlign w:val="center"/>
          </w:tcPr>
          <w:p w14:paraId="247C1E79">
            <w:pPr>
              <w:pStyle w:val="518"/>
              <w:rPr>
                <w:szCs w:val="21"/>
              </w:rPr>
            </w:pPr>
            <w:r>
              <w:rPr>
                <w:szCs w:val="21"/>
              </w:rPr>
              <w:t>达乌里、蒙古种</w:t>
            </w:r>
          </w:p>
        </w:tc>
      </w:tr>
      <w:tr w14:paraId="414950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7F6F3C31">
            <w:pPr>
              <w:pStyle w:val="518"/>
              <w:rPr>
                <w:szCs w:val="21"/>
              </w:rPr>
            </w:pPr>
            <w:r>
              <w:rPr>
                <w:szCs w:val="21"/>
              </w:rPr>
              <w:t>钝叶瓦松</w:t>
            </w:r>
          </w:p>
        </w:tc>
        <w:tc>
          <w:tcPr>
            <w:tcW w:w="3604" w:type="dxa"/>
            <w:vAlign w:val="center"/>
          </w:tcPr>
          <w:p w14:paraId="5A42FE59">
            <w:pPr>
              <w:pStyle w:val="518"/>
              <w:rPr>
                <w:szCs w:val="21"/>
              </w:rPr>
            </w:pPr>
            <w:r>
              <w:rPr>
                <w:i/>
                <w:szCs w:val="21"/>
              </w:rPr>
              <w:t>O.malacophyllus</w:t>
            </w:r>
            <w:r>
              <w:rPr>
                <w:szCs w:val="21"/>
              </w:rPr>
              <w:t xml:space="preserve"> (Pall.) Fisch</w:t>
            </w:r>
          </w:p>
        </w:tc>
        <w:tc>
          <w:tcPr>
            <w:tcW w:w="1708" w:type="dxa"/>
            <w:vAlign w:val="center"/>
          </w:tcPr>
          <w:p w14:paraId="009427A5">
            <w:pPr>
              <w:pStyle w:val="518"/>
              <w:rPr>
                <w:szCs w:val="21"/>
              </w:rPr>
            </w:pPr>
            <w:r>
              <w:rPr>
                <w:szCs w:val="21"/>
              </w:rPr>
              <w:t>一年生草本</w:t>
            </w:r>
          </w:p>
        </w:tc>
        <w:tc>
          <w:tcPr>
            <w:tcW w:w="1583" w:type="dxa"/>
            <w:vAlign w:val="center"/>
          </w:tcPr>
          <w:p w14:paraId="7D03EB0C">
            <w:pPr>
              <w:pStyle w:val="518"/>
              <w:rPr>
                <w:szCs w:val="21"/>
              </w:rPr>
            </w:pPr>
          </w:p>
        </w:tc>
      </w:tr>
      <w:tr w14:paraId="3795F2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29" w:type="dxa"/>
            <w:gridSpan w:val="4"/>
            <w:vAlign w:val="center"/>
          </w:tcPr>
          <w:p w14:paraId="1149CD59">
            <w:pPr>
              <w:pStyle w:val="518"/>
              <w:rPr>
                <w:szCs w:val="21"/>
              </w:rPr>
            </w:pPr>
            <w:r>
              <w:rPr>
                <w:szCs w:val="21"/>
              </w:rPr>
              <w:t>八、蔷薇科  Rosaceae</w:t>
            </w:r>
          </w:p>
        </w:tc>
      </w:tr>
      <w:tr w14:paraId="7772C4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105416D1">
            <w:pPr>
              <w:pStyle w:val="518"/>
              <w:rPr>
                <w:szCs w:val="21"/>
              </w:rPr>
            </w:pPr>
            <w:r>
              <w:rPr>
                <w:szCs w:val="21"/>
              </w:rPr>
              <w:t>星毛萎陵菜</w:t>
            </w:r>
          </w:p>
        </w:tc>
        <w:tc>
          <w:tcPr>
            <w:tcW w:w="3604" w:type="dxa"/>
            <w:vAlign w:val="center"/>
          </w:tcPr>
          <w:p w14:paraId="62EEA435">
            <w:pPr>
              <w:pStyle w:val="518"/>
              <w:rPr>
                <w:szCs w:val="21"/>
              </w:rPr>
            </w:pPr>
            <w:r>
              <w:rPr>
                <w:i/>
                <w:szCs w:val="21"/>
              </w:rPr>
              <w:t xml:space="preserve">Potentilla acaulis </w:t>
            </w:r>
            <w:r>
              <w:rPr>
                <w:szCs w:val="21"/>
              </w:rPr>
              <w:t>L.</w:t>
            </w:r>
          </w:p>
        </w:tc>
        <w:tc>
          <w:tcPr>
            <w:tcW w:w="1708" w:type="dxa"/>
            <w:vAlign w:val="center"/>
          </w:tcPr>
          <w:p w14:paraId="39242FB7">
            <w:pPr>
              <w:pStyle w:val="518"/>
              <w:rPr>
                <w:szCs w:val="21"/>
              </w:rPr>
            </w:pPr>
            <w:r>
              <w:rPr>
                <w:szCs w:val="21"/>
              </w:rPr>
              <w:t>多年生草本</w:t>
            </w:r>
          </w:p>
        </w:tc>
        <w:tc>
          <w:tcPr>
            <w:tcW w:w="1583" w:type="dxa"/>
            <w:vAlign w:val="center"/>
          </w:tcPr>
          <w:p w14:paraId="46834E43">
            <w:pPr>
              <w:pStyle w:val="518"/>
              <w:rPr>
                <w:szCs w:val="21"/>
              </w:rPr>
            </w:pPr>
            <w:r>
              <w:rPr>
                <w:szCs w:val="21"/>
              </w:rPr>
              <w:t>哈萨克—蒙古种</w:t>
            </w:r>
          </w:p>
        </w:tc>
      </w:tr>
      <w:tr w14:paraId="213A7D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216ACA03">
            <w:pPr>
              <w:pStyle w:val="518"/>
              <w:rPr>
                <w:szCs w:val="21"/>
              </w:rPr>
            </w:pPr>
            <w:r>
              <w:rPr>
                <w:szCs w:val="21"/>
              </w:rPr>
              <w:t>菊叶萎陵菜</w:t>
            </w:r>
          </w:p>
        </w:tc>
        <w:tc>
          <w:tcPr>
            <w:tcW w:w="3604" w:type="dxa"/>
            <w:vAlign w:val="center"/>
          </w:tcPr>
          <w:p w14:paraId="735CC40C">
            <w:pPr>
              <w:pStyle w:val="518"/>
              <w:rPr>
                <w:szCs w:val="21"/>
                <w:lang w:val="de-DE"/>
              </w:rPr>
            </w:pPr>
            <w:r>
              <w:rPr>
                <w:i/>
                <w:szCs w:val="21"/>
                <w:lang w:val="de-DE"/>
              </w:rPr>
              <w:t xml:space="preserve">P.tanacetifolia </w:t>
            </w:r>
            <w:r>
              <w:rPr>
                <w:szCs w:val="21"/>
                <w:lang w:val="de-DE"/>
              </w:rPr>
              <w:t>Willd ex Schlecht.</w:t>
            </w:r>
          </w:p>
        </w:tc>
        <w:tc>
          <w:tcPr>
            <w:tcW w:w="1708" w:type="dxa"/>
            <w:vAlign w:val="center"/>
          </w:tcPr>
          <w:p w14:paraId="5BD6C982">
            <w:pPr>
              <w:pStyle w:val="518"/>
              <w:rPr>
                <w:szCs w:val="21"/>
              </w:rPr>
            </w:pPr>
            <w:r>
              <w:rPr>
                <w:szCs w:val="21"/>
              </w:rPr>
              <w:t>多年生草本</w:t>
            </w:r>
          </w:p>
        </w:tc>
        <w:tc>
          <w:tcPr>
            <w:tcW w:w="1583" w:type="dxa"/>
            <w:vAlign w:val="center"/>
          </w:tcPr>
          <w:p w14:paraId="5E8855A4">
            <w:pPr>
              <w:pStyle w:val="518"/>
              <w:rPr>
                <w:szCs w:val="21"/>
              </w:rPr>
            </w:pPr>
            <w:r>
              <w:rPr>
                <w:szCs w:val="21"/>
              </w:rPr>
              <w:t>哈萨克—蒙古种</w:t>
            </w:r>
          </w:p>
        </w:tc>
      </w:tr>
      <w:tr w14:paraId="250C0F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29" w:type="dxa"/>
            <w:gridSpan w:val="4"/>
            <w:vAlign w:val="center"/>
          </w:tcPr>
          <w:p w14:paraId="2FD36858">
            <w:pPr>
              <w:pStyle w:val="518"/>
              <w:rPr>
                <w:szCs w:val="21"/>
              </w:rPr>
            </w:pPr>
            <w:r>
              <w:rPr>
                <w:szCs w:val="21"/>
              </w:rPr>
              <w:t>九、豆科  Leguminosae</w:t>
            </w:r>
          </w:p>
        </w:tc>
      </w:tr>
      <w:tr w14:paraId="3B3D90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05221AB6">
            <w:pPr>
              <w:pStyle w:val="518"/>
              <w:rPr>
                <w:szCs w:val="21"/>
              </w:rPr>
            </w:pPr>
            <w:r>
              <w:rPr>
                <w:szCs w:val="21"/>
              </w:rPr>
              <w:t>乳白花黄芪</w:t>
            </w:r>
          </w:p>
        </w:tc>
        <w:tc>
          <w:tcPr>
            <w:tcW w:w="3604" w:type="dxa"/>
            <w:vAlign w:val="center"/>
          </w:tcPr>
          <w:p w14:paraId="4A336AF9">
            <w:pPr>
              <w:pStyle w:val="518"/>
              <w:rPr>
                <w:szCs w:val="21"/>
              </w:rPr>
            </w:pPr>
            <w:r>
              <w:rPr>
                <w:i/>
                <w:szCs w:val="21"/>
              </w:rPr>
              <w:t>Atragalus galactites</w:t>
            </w:r>
            <w:r>
              <w:rPr>
                <w:szCs w:val="21"/>
              </w:rPr>
              <w:t xml:space="preserve"> Pall.</w:t>
            </w:r>
          </w:p>
        </w:tc>
        <w:tc>
          <w:tcPr>
            <w:tcW w:w="1708" w:type="dxa"/>
            <w:vAlign w:val="center"/>
          </w:tcPr>
          <w:p w14:paraId="5563F3E0">
            <w:pPr>
              <w:pStyle w:val="518"/>
              <w:rPr>
                <w:szCs w:val="21"/>
              </w:rPr>
            </w:pPr>
            <w:r>
              <w:rPr>
                <w:szCs w:val="21"/>
              </w:rPr>
              <w:t>多年生草本</w:t>
            </w:r>
          </w:p>
        </w:tc>
        <w:tc>
          <w:tcPr>
            <w:tcW w:w="1583" w:type="dxa"/>
            <w:vAlign w:val="center"/>
          </w:tcPr>
          <w:p w14:paraId="26182C81">
            <w:pPr>
              <w:pStyle w:val="518"/>
              <w:rPr>
                <w:szCs w:val="21"/>
              </w:rPr>
            </w:pPr>
            <w:r>
              <w:rPr>
                <w:szCs w:val="21"/>
              </w:rPr>
              <w:t>达乌里—蒙古种</w:t>
            </w:r>
          </w:p>
        </w:tc>
      </w:tr>
      <w:tr w14:paraId="715FEA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089580CE">
            <w:pPr>
              <w:pStyle w:val="518"/>
              <w:rPr>
                <w:szCs w:val="21"/>
              </w:rPr>
            </w:pPr>
            <w:r>
              <w:rPr>
                <w:szCs w:val="21"/>
              </w:rPr>
              <w:t>黄芪</w:t>
            </w:r>
          </w:p>
        </w:tc>
        <w:tc>
          <w:tcPr>
            <w:tcW w:w="3604" w:type="dxa"/>
            <w:vAlign w:val="center"/>
          </w:tcPr>
          <w:p w14:paraId="66138789">
            <w:pPr>
              <w:pStyle w:val="518"/>
              <w:rPr>
                <w:szCs w:val="21"/>
              </w:rPr>
            </w:pPr>
            <w:r>
              <w:rPr>
                <w:i/>
                <w:szCs w:val="21"/>
              </w:rPr>
              <w:t xml:space="preserve">A. hoantchy </w:t>
            </w:r>
            <w:r>
              <w:rPr>
                <w:szCs w:val="21"/>
              </w:rPr>
              <w:t>Franch.</w:t>
            </w:r>
          </w:p>
        </w:tc>
        <w:tc>
          <w:tcPr>
            <w:tcW w:w="1708" w:type="dxa"/>
            <w:vAlign w:val="center"/>
          </w:tcPr>
          <w:p w14:paraId="1BAEB17F">
            <w:pPr>
              <w:pStyle w:val="518"/>
              <w:rPr>
                <w:szCs w:val="21"/>
              </w:rPr>
            </w:pPr>
            <w:r>
              <w:rPr>
                <w:szCs w:val="21"/>
              </w:rPr>
              <w:t>多年生草本</w:t>
            </w:r>
          </w:p>
        </w:tc>
        <w:tc>
          <w:tcPr>
            <w:tcW w:w="1583" w:type="dxa"/>
            <w:vAlign w:val="center"/>
          </w:tcPr>
          <w:p w14:paraId="242C4951">
            <w:pPr>
              <w:pStyle w:val="518"/>
              <w:rPr>
                <w:szCs w:val="21"/>
              </w:rPr>
            </w:pPr>
          </w:p>
        </w:tc>
      </w:tr>
      <w:tr w14:paraId="629225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1A5098B8">
            <w:pPr>
              <w:pStyle w:val="518"/>
              <w:rPr>
                <w:szCs w:val="21"/>
              </w:rPr>
            </w:pPr>
            <w:r>
              <w:rPr>
                <w:szCs w:val="21"/>
              </w:rPr>
              <w:t>小叶锦鸡儿</w:t>
            </w:r>
          </w:p>
        </w:tc>
        <w:tc>
          <w:tcPr>
            <w:tcW w:w="3604" w:type="dxa"/>
            <w:vAlign w:val="center"/>
          </w:tcPr>
          <w:p w14:paraId="4FD44207">
            <w:pPr>
              <w:pStyle w:val="518"/>
              <w:rPr>
                <w:szCs w:val="21"/>
              </w:rPr>
            </w:pPr>
            <w:r>
              <w:rPr>
                <w:i/>
                <w:szCs w:val="21"/>
              </w:rPr>
              <w:t>Caragana microphylla</w:t>
            </w:r>
            <w:r>
              <w:rPr>
                <w:szCs w:val="21"/>
              </w:rPr>
              <w:t xml:space="preserve"> Lam.</w:t>
            </w:r>
          </w:p>
        </w:tc>
        <w:tc>
          <w:tcPr>
            <w:tcW w:w="1708" w:type="dxa"/>
            <w:vAlign w:val="center"/>
          </w:tcPr>
          <w:p w14:paraId="47785F9F">
            <w:pPr>
              <w:pStyle w:val="518"/>
              <w:rPr>
                <w:szCs w:val="21"/>
              </w:rPr>
            </w:pPr>
            <w:r>
              <w:rPr>
                <w:szCs w:val="21"/>
              </w:rPr>
              <w:t>灌木</w:t>
            </w:r>
          </w:p>
        </w:tc>
        <w:tc>
          <w:tcPr>
            <w:tcW w:w="1583" w:type="dxa"/>
            <w:vAlign w:val="center"/>
          </w:tcPr>
          <w:p w14:paraId="5A6A2474">
            <w:pPr>
              <w:pStyle w:val="518"/>
              <w:rPr>
                <w:szCs w:val="21"/>
              </w:rPr>
            </w:pPr>
            <w:r>
              <w:rPr>
                <w:szCs w:val="21"/>
              </w:rPr>
              <w:t>达乌里—蒙古种</w:t>
            </w:r>
          </w:p>
        </w:tc>
      </w:tr>
      <w:tr w14:paraId="5A71D4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103BCC31">
            <w:pPr>
              <w:pStyle w:val="518"/>
              <w:rPr>
                <w:szCs w:val="21"/>
              </w:rPr>
            </w:pPr>
            <w:r>
              <w:rPr>
                <w:szCs w:val="21"/>
              </w:rPr>
              <w:t>扁蓿豆</w:t>
            </w:r>
          </w:p>
        </w:tc>
        <w:tc>
          <w:tcPr>
            <w:tcW w:w="3604" w:type="dxa"/>
            <w:vAlign w:val="center"/>
          </w:tcPr>
          <w:p w14:paraId="46CEF7DF">
            <w:pPr>
              <w:pStyle w:val="518"/>
              <w:rPr>
                <w:szCs w:val="21"/>
              </w:rPr>
            </w:pPr>
            <w:r>
              <w:rPr>
                <w:i/>
                <w:szCs w:val="21"/>
              </w:rPr>
              <w:t>Melissius ruthenica(L.)</w:t>
            </w:r>
            <w:r>
              <w:rPr>
                <w:szCs w:val="21"/>
              </w:rPr>
              <w:t>Peschkova</w:t>
            </w:r>
          </w:p>
        </w:tc>
        <w:tc>
          <w:tcPr>
            <w:tcW w:w="1708" w:type="dxa"/>
            <w:vAlign w:val="center"/>
          </w:tcPr>
          <w:p w14:paraId="5A063ACD">
            <w:pPr>
              <w:pStyle w:val="518"/>
              <w:rPr>
                <w:szCs w:val="21"/>
              </w:rPr>
            </w:pPr>
            <w:r>
              <w:rPr>
                <w:szCs w:val="21"/>
              </w:rPr>
              <w:t>多年生草本</w:t>
            </w:r>
          </w:p>
        </w:tc>
        <w:tc>
          <w:tcPr>
            <w:tcW w:w="1583" w:type="dxa"/>
            <w:vAlign w:val="center"/>
          </w:tcPr>
          <w:p w14:paraId="74B197A3">
            <w:pPr>
              <w:pStyle w:val="518"/>
              <w:rPr>
                <w:szCs w:val="21"/>
              </w:rPr>
            </w:pPr>
            <w:r>
              <w:rPr>
                <w:szCs w:val="21"/>
              </w:rPr>
              <w:t>东古北极种</w:t>
            </w:r>
          </w:p>
        </w:tc>
      </w:tr>
      <w:tr w14:paraId="08DF25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3A866F44">
            <w:pPr>
              <w:pStyle w:val="518"/>
              <w:rPr>
                <w:szCs w:val="21"/>
              </w:rPr>
            </w:pPr>
            <w:r>
              <w:rPr>
                <w:szCs w:val="21"/>
              </w:rPr>
              <w:t>披针叶黄花</w:t>
            </w:r>
          </w:p>
        </w:tc>
        <w:tc>
          <w:tcPr>
            <w:tcW w:w="3604" w:type="dxa"/>
            <w:vAlign w:val="center"/>
          </w:tcPr>
          <w:p w14:paraId="35AD6BE3">
            <w:pPr>
              <w:pStyle w:val="518"/>
              <w:rPr>
                <w:szCs w:val="21"/>
              </w:rPr>
            </w:pPr>
            <w:r>
              <w:rPr>
                <w:i/>
                <w:szCs w:val="21"/>
              </w:rPr>
              <w:t>Thermopsis Lanceloata</w:t>
            </w:r>
            <w:r>
              <w:rPr>
                <w:szCs w:val="21"/>
              </w:rPr>
              <w:t xml:space="preserve"> R.Br.</w:t>
            </w:r>
          </w:p>
        </w:tc>
        <w:tc>
          <w:tcPr>
            <w:tcW w:w="1708" w:type="dxa"/>
            <w:vAlign w:val="center"/>
          </w:tcPr>
          <w:p w14:paraId="7186B17A">
            <w:pPr>
              <w:pStyle w:val="518"/>
              <w:rPr>
                <w:szCs w:val="21"/>
              </w:rPr>
            </w:pPr>
            <w:r>
              <w:rPr>
                <w:szCs w:val="21"/>
              </w:rPr>
              <w:t>多年生草本</w:t>
            </w:r>
          </w:p>
        </w:tc>
        <w:tc>
          <w:tcPr>
            <w:tcW w:w="1583" w:type="dxa"/>
            <w:vAlign w:val="center"/>
          </w:tcPr>
          <w:p w14:paraId="66910E6D">
            <w:pPr>
              <w:pStyle w:val="518"/>
              <w:rPr>
                <w:szCs w:val="21"/>
              </w:rPr>
            </w:pPr>
            <w:r>
              <w:rPr>
                <w:szCs w:val="21"/>
              </w:rPr>
              <w:t>古北极种</w:t>
            </w:r>
          </w:p>
        </w:tc>
      </w:tr>
      <w:tr w14:paraId="064D94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29" w:type="dxa"/>
            <w:gridSpan w:val="4"/>
            <w:vAlign w:val="center"/>
          </w:tcPr>
          <w:p w14:paraId="473B0977">
            <w:pPr>
              <w:pStyle w:val="518"/>
              <w:rPr>
                <w:szCs w:val="21"/>
              </w:rPr>
            </w:pPr>
            <w:r>
              <w:rPr>
                <w:szCs w:val="21"/>
              </w:rPr>
              <w:t>十、芸香料 Rutaceae</w:t>
            </w:r>
          </w:p>
        </w:tc>
      </w:tr>
      <w:tr w14:paraId="2B89B3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4DF8234E">
            <w:pPr>
              <w:pStyle w:val="518"/>
              <w:rPr>
                <w:szCs w:val="21"/>
              </w:rPr>
            </w:pPr>
            <w:r>
              <w:rPr>
                <w:szCs w:val="21"/>
              </w:rPr>
              <w:t>草芸香</w:t>
            </w:r>
          </w:p>
        </w:tc>
        <w:tc>
          <w:tcPr>
            <w:tcW w:w="3604" w:type="dxa"/>
            <w:vAlign w:val="center"/>
          </w:tcPr>
          <w:p w14:paraId="29325E84">
            <w:pPr>
              <w:pStyle w:val="518"/>
              <w:rPr>
                <w:szCs w:val="21"/>
              </w:rPr>
            </w:pPr>
            <w:r>
              <w:rPr>
                <w:i/>
                <w:szCs w:val="21"/>
              </w:rPr>
              <w:t>Haplophylum dauricum</w:t>
            </w:r>
            <w:r>
              <w:rPr>
                <w:szCs w:val="21"/>
              </w:rPr>
              <w:t xml:space="preserve"> Juss</w:t>
            </w:r>
          </w:p>
        </w:tc>
        <w:tc>
          <w:tcPr>
            <w:tcW w:w="1708" w:type="dxa"/>
            <w:vAlign w:val="center"/>
          </w:tcPr>
          <w:p w14:paraId="214938BB">
            <w:pPr>
              <w:pStyle w:val="518"/>
              <w:rPr>
                <w:szCs w:val="21"/>
              </w:rPr>
            </w:pPr>
            <w:r>
              <w:rPr>
                <w:szCs w:val="21"/>
              </w:rPr>
              <w:t>多年生草本</w:t>
            </w:r>
          </w:p>
        </w:tc>
        <w:tc>
          <w:tcPr>
            <w:tcW w:w="1583" w:type="dxa"/>
            <w:vAlign w:val="center"/>
          </w:tcPr>
          <w:p w14:paraId="22750A4A">
            <w:pPr>
              <w:pStyle w:val="518"/>
              <w:rPr>
                <w:szCs w:val="21"/>
              </w:rPr>
            </w:pPr>
            <w:r>
              <w:rPr>
                <w:szCs w:val="21"/>
              </w:rPr>
              <w:t>达乌里—蒙古种</w:t>
            </w:r>
          </w:p>
        </w:tc>
      </w:tr>
      <w:tr w14:paraId="3C6515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29" w:type="dxa"/>
            <w:gridSpan w:val="4"/>
            <w:vAlign w:val="center"/>
          </w:tcPr>
          <w:p w14:paraId="2C788F13">
            <w:pPr>
              <w:pStyle w:val="518"/>
              <w:rPr>
                <w:szCs w:val="21"/>
              </w:rPr>
            </w:pPr>
            <w:r>
              <w:rPr>
                <w:szCs w:val="21"/>
              </w:rPr>
              <w:t>十一、远志科  Plyglaceae</w:t>
            </w:r>
          </w:p>
        </w:tc>
      </w:tr>
      <w:tr w14:paraId="68FB1F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7FC36BCA">
            <w:pPr>
              <w:pStyle w:val="518"/>
              <w:rPr>
                <w:szCs w:val="21"/>
              </w:rPr>
            </w:pPr>
            <w:r>
              <w:rPr>
                <w:szCs w:val="21"/>
              </w:rPr>
              <w:t>细叶运志</w:t>
            </w:r>
          </w:p>
        </w:tc>
        <w:tc>
          <w:tcPr>
            <w:tcW w:w="3604" w:type="dxa"/>
            <w:vAlign w:val="center"/>
          </w:tcPr>
          <w:p w14:paraId="12E8896F">
            <w:pPr>
              <w:pStyle w:val="518"/>
              <w:rPr>
                <w:szCs w:val="21"/>
              </w:rPr>
            </w:pPr>
            <w:r>
              <w:rPr>
                <w:i/>
                <w:szCs w:val="21"/>
              </w:rPr>
              <w:t>Polygala tenuifolia</w:t>
            </w:r>
            <w:r>
              <w:rPr>
                <w:szCs w:val="21"/>
              </w:rPr>
              <w:t xml:space="preserve"> Willd.</w:t>
            </w:r>
          </w:p>
        </w:tc>
        <w:tc>
          <w:tcPr>
            <w:tcW w:w="1708" w:type="dxa"/>
            <w:vAlign w:val="center"/>
          </w:tcPr>
          <w:p w14:paraId="1FCCB96B">
            <w:pPr>
              <w:pStyle w:val="518"/>
              <w:rPr>
                <w:szCs w:val="21"/>
              </w:rPr>
            </w:pPr>
            <w:r>
              <w:rPr>
                <w:szCs w:val="21"/>
              </w:rPr>
              <w:t>多年生草本</w:t>
            </w:r>
          </w:p>
        </w:tc>
        <w:tc>
          <w:tcPr>
            <w:tcW w:w="1583" w:type="dxa"/>
            <w:vAlign w:val="center"/>
          </w:tcPr>
          <w:p w14:paraId="3D5BC0D0">
            <w:pPr>
              <w:pStyle w:val="518"/>
              <w:rPr>
                <w:szCs w:val="21"/>
              </w:rPr>
            </w:pPr>
            <w:r>
              <w:rPr>
                <w:szCs w:val="21"/>
              </w:rPr>
              <w:t>达乌里—蒙古种</w:t>
            </w:r>
          </w:p>
        </w:tc>
      </w:tr>
      <w:tr w14:paraId="71B394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29" w:type="dxa"/>
            <w:gridSpan w:val="4"/>
            <w:vAlign w:val="center"/>
          </w:tcPr>
          <w:p w14:paraId="033CA54D">
            <w:pPr>
              <w:pStyle w:val="518"/>
              <w:rPr>
                <w:szCs w:val="21"/>
              </w:rPr>
            </w:pPr>
            <w:r>
              <w:rPr>
                <w:szCs w:val="21"/>
              </w:rPr>
              <w:t>十二、大戟科  Euphorbiaceae</w:t>
            </w:r>
          </w:p>
        </w:tc>
      </w:tr>
      <w:tr w14:paraId="586C32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3163DC69">
            <w:pPr>
              <w:pStyle w:val="518"/>
              <w:rPr>
                <w:szCs w:val="21"/>
              </w:rPr>
            </w:pPr>
            <w:r>
              <w:rPr>
                <w:szCs w:val="21"/>
              </w:rPr>
              <w:t>乳酱大戟</w:t>
            </w:r>
          </w:p>
        </w:tc>
        <w:tc>
          <w:tcPr>
            <w:tcW w:w="3604" w:type="dxa"/>
            <w:vAlign w:val="center"/>
          </w:tcPr>
          <w:p w14:paraId="0C4FB499">
            <w:pPr>
              <w:pStyle w:val="518"/>
              <w:rPr>
                <w:szCs w:val="21"/>
              </w:rPr>
            </w:pPr>
            <w:r>
              <w:rPr>
                <w:i/>
                <w:szCs w:val="21"/>
              </w:rPr>
              <w:t>Euphorbia esula</w:t>
            </w:r>
            <w:r>
              <w:rPr>
                <w:szCs w:val="21"/>
              </w:rPr>
              <w:t xml:space="preserve"> L.</w:t>
            </w:r>
          </w:p>
        </w:tc>
        <w:tc>
          <w:tcPr>
            <w:tcW w:w="1708" w:type="dxa"/>
            <w:vAlign w:val="center"/>
          </w:tcPr>
          <w:p w14:paraId="05B24F06">
            <w:pPr>
              <w:pStyle w:val="518"/>
              <w:rPr>
                <w:szCs w:val="21"/>
              </w:rPr>
            </w:pPr>
            <w:r>
              <w:rPr>
                <w:szCs w:val="21"/>
              </w:rPr>
              <w:t>多年生草本</w:t>
            </w:r>
          </w:p>
        </w:tc>
        <w:tc>
          <w:tcPr>
            <w:tcW w:w="1583" w:type="dxa"/>
            <w:vAlign w:val="center"/>
          </w:tcPr>
          <w:p w14:paraId="30B2F424">
            <w:pPr>
              <w:pStyle w:val="518"/>
              <w:rPr>
                <w:szCs w:val="21"/>
              </w:rPr>
            </w:pPr>
            <w:r>
              <w:rPr>
                <w:szCs w:val="21"/>
              </w:rPr>
              <w:t>泛北极种</w:t>
            </w:r>
          </w:p>
        </w:tc>
      </w:tr>
      <w:tr w14:paraId="542D3C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29" w:type="dxa"/>
            <w:gridSpan w:val="4"/>
            <w:vAlign w:val="center"/>
          </w:tcPr>
          <w:p w14:paraId="09644B16">
            <w:pPr>
              <w:pStyle w:val="518"/>
              <w:rPr>
                <w:szCs w:val="21"/>
              </w:rPr>
            </w:pPr>
            <w:r>
              <w:rPr>
                <w:szCs w:val="21"/>
              </w:rPr>
              <w:t>十三、瑞香科  Thymelacaceae</w:t>
            </w:r>
          </w:p>
        </w:tc>
      </w:tr>
      <w:tr w14:paraId="6C21F5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58D197ED">
            <w:pPr>
              <w:pStyle w:val="518"/>
              <w:rPr>
                <w:szCs w:val="21"/>
              </w:rPr>
            </w:pPr>
            <w:r>
              <w:rPr>
                <w:szCs w:val="21"/>
              </w:rPr>
              <w:t>狼毒</w:t>
            </w:r>
          </w:p>
        </w:tc>
        <w:tc>
          <w:tcPr>
            <w:tcW w:w="3604" w:type="dxa"/>
            <w:vAlign w:val="center"/>
          </w:tcPr>
          <w:p w14:paraId="23257A64">
            <w:pPr>
              <w:pStyle w:val="518"/>
              <w:rPr>
                <w:szCs w:val="21"/>
              </w:rPr>
            </w:pPr>
            <w:r>
              <w:rPr>
                <w:szCs w:val="21"/>
              </w:rPr>
              <w:t>Stellera chamai jasme L.</w:t>
            </w:r>
          </w:p>
        </w:tc>
        <w:tc>
          <w:tcPr>
            <w:tcW w:w="1708" w:type="dxa"/>
            <w:vAlign w:val="center"/>
          </w:tcPr>
          <w:p w14:paraId="6F49DD78">
            <w:pPr>
              <w:pStyle w:val="518"/>
              <w:rPr>
                <w:szCs w:val="21"/>
              </w:rPr>
            </w:pPr>
            <w:r>
              <w:rPr>
                <w:szCs w:val="21"/>
              </w:rPr>
              <w:t>多年生草本</w:t>
            </w:r>
          </w:p>
        </w:tc>
        <w:tc>
          <w:tcPr>
            <w:tcW w:w="1583" w:type="dxa"/>
            <w:vAlign w:val="center"/>
          </w:tcPr>
          <w:p w14:paraId="094DB5F7">
            <w:pPr>
              <w:pStyle w:val="518"/>
              <w:rPr>
                <w:szCs w:val="21"/>
              </w:rPr>
            </w:pPr>
            <w:r>
              <w:rPr>
                <w:szCs w:val="21"/>
              </w:rPr>
              <w:t>达乌里—蒙古种</w:t>
            </w:r>
          </w:p>
        </w:tc>
      </w:tr>
      <w:tr w14:paraId="3BF2A7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29" w:type="dxa"/>
            <w:gridSpan w:val="4"/>
            <w:vAlign w:val="center"/>
          </w:tcPr>
          <w:p w14:paraId="38533AC0">
            <w:pPr>
              <w:pStyle w:val="518"/>
              <w:rPr>
                <w:szCs w:val="21"/>
              </w:rPr>
            </w:pPr>
            <w:r>
              <w:rPr>
                <w:szCs w:val="21"/>
              </w:rPr>
              <w:t>十四、伞形科  Umbelliferae</w:t>
            </w:r>
          </w:p>
        </w:tc>
      </w:tr>
      <w:tr w14:paraId="3FCFDD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1E438BF8">
            <w:pPr>
              <w:pStyle w:val="518"/>
              <w:rPr>
                <w:szCs w:val="21"/>
              </w:rPr>
            </w:pPr>
            <w:r>
              <w:rPr>
                <w:szCs w:val="21"/>
              </w:rPr>
              <w:t>狭叶柴胡</w:t>
            </w:r>
          </w:p>
        </w:tc>
        <w:tc>
          <w:tcPr>
            <w:tcW w:w="3604" w:type="dxa"/>
            <w:vAlign w:val="center"/>
          </w:tcPr>
          <w:p w14:paraId="3D741B49">
            <w:pPr>
              <w:pStyle w:val="518"/>
              <w:rPr>
                <w:szCs w:val="21"/>
              </w:rPr>
            </w:pPr>
            <w:r>
              <w:rPr>
                <w:i/>
                <w:szCs w:val="21"/>
              </w:rPr>
              <w:t>Bupleurum Scorzonerifolium</w:t>
            </w:r>
            <w:r>
              <w:rPr>
                <w:szCs w:val="21"/>
              </w:rPr>
              <w:t xml:space="preserve"> Willd</w:t>
            </w:r>
          </w:p>
        </w:tc>
        <w:tc>
          <w:tcPr>
            <w:tcW w:w="1708" w:type="dxa"/>
            <w:vAlign w:val="center"/>
          </w:tcPr>
          <w:p w14:paraId="4B85632F">
            <w:pPr>
              <w:pStyle w:val="518"/>
              <w:rPr>
                <w:szCs w:val="21"/>
              </w:rPr>
            </w:pPr>
            <w:r>
              <w:rPr>
                <w:szCs w:val="21"/>
              </w:rPr>
              <w:t>多年生草本</w:t>
            </w:r>
          </w:p>
        </w:tc>
        <w:tc>
          <w:tcPr>
            <w:tcW w:w="1583" w:type="dxa"/>
            <w:vAlign w:val="center"/>
          </w:tcPr>
          <w:p w14:paraId="20306CDD">
            <w:pPr>
              <w:pStyle w:val="518"/>
              <w:rPr>
                <w:szCs w:val="21"/>
              </w:rPr>
            </w:pPr>
            <w:r>
              <w:rPr>
                <w:szCs w:val="21"/>
              </w:rPr>
              <w:t>达乌里—蒙古种</w:t>
            </w:r>
          </w:p>
        </w:tc>
      </w:tr>
      <w:tr w14:paraId="71E6C7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10014153">
            <w:pPr>
              <w:pStyle w:val="518"/>
              <w:rPr>
                <w:szCs w:val="21"/>
              </w:rPr>
            </w:pPr>
            <w:r>
              <w:rPr>
                <w:szCs w:val="21"/>
              </w:rPr>
              <w:t>防风</w:t>
            </w:r>
          </w:p>
        </w:tc>
        <w:tc>
          <w:tcPr>
            <w:tcW w:w="3604" w:type="dxa"/>
            <w:vAlign w:val="center"/>
          </w:tcPr>
          <w:p w14:paraId="3F82CBC3">
            <w:pPr>
              <w:pStyle w:val="518"/>
              <w:rPr>
                <w:szCs w:val="21"/>
              </w:rPr>
            </w:pPr>
            <w:r>
              <w:rPr>
                <w:i/>
                <w:szCs w:val="21"/>
              </w:rPr>
              <w:t>Saposhnikovia Divaricta(Turcz.)</w:t>
            </w:r>
            <w:r>
              <w:rPr>
                <w:szCs w:val="21"/>
              </w:rPr>
              <w:t xml:space="preserve"> Schischk.</w:t>
            </w:r>
          </w:p>
        </w:tc>
        <w:tc>
          <w:tcPr>
            <w:tcW w:w="1708" w:type="dxa"/>
            <w:vAlign w:val="center"/>
          </w:tcPr>
          <w:p w14:paraId="61A0FF3F">
            <w:pPr>
              <w:pStyle w:val="518"/>
              <w:rPr>
                <w:szCs w:val="21"/>
              </w:rPr>
            </w:pPr>
            <w:r>
              <w:rPr>
                <w:szCs w:val="21"/>
              </w:rPr>
              <w:t>多年生草本</w:t>
            </w:r>
          </w:p>
        </w:tc>
        <w:tc>
          <w:tcPr>
            <w:tcW w:w="1583" w:type="dxa"/>
            <w:vAlign w:val="center"/>
          </w:tcPr>
          <w:p w14:paraId="324B6E85">
            <w:pPr>
              <w:pStyle w:val="518"/>
              <w:rPr>
                <w:szCs w:val="21"/>
              </w:rPr>
            </w:pPr>
            <w:r>
              <w:rPr>
                <w:szCs w:val="21"/>
              </w:rPr>
              <w:t>达乌里—蒙古种</w:t>
            </w:r>
          </w:p>
        </w:tc>
      </w:tr>
      <w:tr w14:paraId="532AE6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29" w:type="dxa"/>
            <w:gridSpan w:val="4"/>
            <w:vAlign w:val="center"/>
          </w:tcPr>
          <w:p w14:paraId="35FE726C">
            <w:pPr>
              <w:pStyle w:val="518"/>
              <w:rPr>
                <w:szCs w:val="21"/>
              </w:rPr>
            </w:pPr>
            <w:r>
              <w:rPr>
                <w:szCs w:val="21"/>
              </w:rPr>
              <w:t>十五、龙胆科  Gen</w:t>
            </w:r>
          </w:p>
        </w:tc>
      </w:tr>
      <w:tr w14:paraId="61D7D5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10E387AB">
            <w:pPr>
              <w:pStyle w:val="518"/>
              <w:rPr>
                <w:szCs w:val="21"/>
              </w:rPr>
            </w:pPr>
            <w:r>
              <w:rPr>
                <w:szCs w:val="21"/>
              </w:rPr>
              <w:t>小龙胆</w:t>
            </w:r>
          </w:p>
        </w:tc>
        <w:tc>
          <w:tcPr>
            <w:tcW w:w="3604" w:type="dxa"/>
            <w:vAlign w:val="center"/>
          </w:tcPr>
          <w:p w14:paraId="5E90AE89">
            <w:pPr>
              <w:pStyle w:val="518"/>
              <w:rPr>
                <w:szCs w:val="21"/>
              </w:rPr>
            </w:pPr>
            <w:r>
              <w:rPr>
                <w:i/>
                <w:szCs w:val="21"/>
              </w:rPr>
              <w:t>Gentiana Squarroas</w:t>
            </w:r>
            <w:r>
              <w:rPr>
                <w:szCs w:val="21"/>
              </w:rPr>
              <w:t xml:space="preserve"> Turcz.</w:t>
            </w:r>
          </w:p>
        </w:tc>
        <w:tc>
          <w:tcPr>
            <w:tcW w:w="1708" w:type="dxa"/>
            <w:vAlign w:val="center"/>
          </w:tcPr>
          <w:p w14:paraId="072868D5">
            <w:pPr>
              <w:pStyle w:val="518"/>
              <w:rPr>
                <w:szCs w:val="21"/>
              </w:rPr>
            </w:pPr>
            <w:r>
              <w:rPr>
                <w:szCs w:val="21"/>
              </w:rPr>
              <w:t>一年生草本</w:t>
            </w:r>
          </w:p>
        </w:tc>
        <w:tc>
          <w:tcPr>
            <w:tcW w:w="1583" w:type="dxa"/>
            <w:vAlign w:val="center"/>
          </w:tcPr>
          <w:p w14:paraId="106A2F8F">
            <w:pPr>
              <w:pStyle w:val="518"/>
              <w:rPr>
                <w:szCs w:val="21"/>
              </w:rPr>
            </w:pPr>
            <w:r>
              <w:rPr>
                <w:szCs w:val="21"/>
              </w:rPr>
              <w:t>东古北级种</w:t>
            </w:r>
          </w:p>
        </w:tc>
      </w:tr>
      <w:tr w14:paraId="5C6E5F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29" w:type="dxa"/>
            <w:gridSpan w:val="4"/>
            <w:vAlign w:val="center"/>
          </w:tcPr>
          <w:p w14:paraId="34D2D0D3">
            <w:pPr>
              <w:pStyle w:val="518"/>
              <w:rPr>
                <w:szCs w:val="21"/>
              </w:rPr>
            </w:pPr>
            <w:r>
              <w:rPr>
                <w:szCs w:val="21"/>
              </w:rPr>
              <w:t>十六、唇形科  Labiatae</w:t>
            </w:r>
          </w:p>
        </w:tc>
      </w:tr>
      <w:tr w14:paraId="39C759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556931A0">
            <w:pPr>
              <w:pStyle w:val="518"/>
              <w:rPr>
                <w:szCs w:val="21"/>
              </w:rPr>
            </w:pPr>
            <w:r>
              <w:rPr>
                <w:szCs w:val="21"/>
              </w:rPr>
              <w:t>蒙古糙苏</w:t>
            </w:r>
          </w:p>
        </w:tc>
        <w:tc>
          <w:tcPr>
            <w:tcW w:w="3604" w:type="dxa"/>
            <w:vAlign w:val="center"/>
          </w:tcPr>
          <w:p w14:paraId="545BC9DC">
            <w:pPr>
              <w:pStyle w:val="518"/>
              <w:rPr>
                <w:szCs w:val="21"/>
              </w:rPr>
            </w:pPr>
            <w:r>
              <w:rPr>
                <w:i/>
                <w:szCs w:val="21"/>
              </w:rPr>
              <w:t>Phlomis mongolica</w:t>
            </w:r>
            <w:r>
              <w:rPr>
                <w:szCs w:val="21"/>
              </w:rPr>
              <w:t xml:space="preserve"> Turcz.</w:t>
            </w:r>
          </w:p>
        </w:tc>
        <w:tc>
          <w:tcPr>
            <w:tcW w:w="1708" w:type="dxa"/>
            <w:vAlign w:val="center"/>
          </w:tcPr>
          <w:p w14:paraId="763543BB">
            <w:pPr>
              <w:pStyle w:val="518"/>
              <w:rPr>
                <w:szCs w:val="21"/>
              </w:rPr>
            </w:pPr>
            <w:r>
              <w:rPr>
                <w:szCs w:val="21"/>
              </w:rPr>
              <w:t>多年生草本</w:t>
            </w:r>
          </w:p>
        </w:tc>
        <w:tc>
          <w:tcPr>
            <w:tcW w:w="1583" w:type="dxa"/>
            <w:vAlign w:val="center"/>
          </w:tcPr>
          <w:p w14:paraId="74B42F28">
            <w:pPr>
              <w:pStyle w:val="518"/>
              <w:rPr>
                <w:szCs w:val="21"/>
              </w:rPr>
            </w:pPr>
            <w:r>
              <w:rPr>
                <w:szCs w:val="21"/>
              </w:rPr>
              <w:t>蒙古种</w:t>
            </w:r>
          </w:p>
        </w:tc>
      </w:tr>
      <w:tr w14:paraId="06FB80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6C2A4300">
            <w:pPr>
              <w:pStyle w:val="518"/>
              <w:rPr>
                <w:szCs w:val="21"/>
              </w:rPr>
            </w:pPr>
            <w:r>
              <w:rPr>
                <w:szCs w:val="21"/>
              </w:rPr>
              <w:t>裂叶荆芥</w:t>
            </w:r>
          </w:p>
        </w:tc>
        <w:tc>
          <w:tcPr>
            <w:tcW w:w="3604" w:type="dxa"/>
            <w:vAlign w:val="center"/>
          </w:tcPr>
          <w:p w14:paraId="03AAD7A6">
            <w:pPr>
              <w:pStyle w:val="518"/>
              <w:rPr>
                <w:szCs w:val="21"/>
              </w:rPr>
            </w:pPr>
            <w:r>
              <w:rPr>
                <w:i/>
                <w:szCs w:val="21"/>
              </w:rPr>
              <w:t>Schizonepeta multifid</w:t>
            </w:r>
            <w:r>
              <w:rPr>
                <w:szCs w:val="21"/>
              </w:rPr>
              <w:t>a(L.)Briq.</w:t>
            </w:r>
          </w:p>
        </w:tc>
        <w:tc>
          <w:tcPr>
            <w:tcW w:w="1708" w:type="dxa"/>
            <w:vAlign w:val="center"/>
          </w:tcPr>
          <w:p w14:paraId="1463F74A">
            <w:pPr>
              <w:pStyle w:val="518"/>
              <w:rPr>
                <w:szCs w:val="21"/>
              </w:rPr>
            </w:pPr>
            <w:r>
              <w:rPr>
                <w:szCs w:val="21"/>
              </w:rPr>
              <w:t>多年生草本</w:t>
            </w:r>
          </w:p>
        </w:tc>
        <w:tc>
          <w:tcPr>
            <w:tcW w:w="1583" w:type="dxa"/>
            <w:vAlign w:val="center"/>
          </w:tcPr>
          <w:p w14:paraId="307DC5B3">
            <w:pPr>
              <w:pStyle w:val="518"/>
              <w:rPr>
                <w:szCs w:val="21"/>
              </w:rPr>
            </w:pPr>
            <w:r>
              <w:rPr>
                <w:szCs w:val="21"/>
              </w:rPr>
              <w:t>东古北极种</w:t>
            </w:r>
          </w:p>
        </w:tc>
      </w:tr>
      <w:tr w14:paraId="2D32D2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1CCA3947">
            <w:pPr>
              <w:pStyle w:val="518"/>
              <w:rPr>
                <w:szCs w:val="21"/>
              </w:rPr>
            </w:pPr>
            <w:r>
              <w:rPr>
                <w:szCs w:val="21"/>
              </w:rPr>
              <w:t>并头黄芩</w:t>
            </w:r>
          </w:p>
        </w:tc>
        <w:tc>
          <w:tcPr>
            <w:tcW w:w="3604" w:type="dxa"/>
            <w:vAlign w:val="center"/>
          </w:tcPr>
          <w:p w14:paraId="72334020">
            <w:pPr>
              <w:pStyle w:val="518"/>
              <w:rPr>
                <w:szCs w:val="21"/>
              </w:rPr>
            </w:pPr>
            <w:r>
              <w:rPr>
                <w:i/>
                <w:szCs w:val="21"/>
              </w:rPr>
              <w:t>Sutellaria scordiifolia</w:t>
            </w:r>
            <w:r>
              <w:rPr>
                <w:szCs w:val="21"/>
              </w:rPr>
              <w:t xml:space="preserve"> Fisch.ex Schrank</w:t>
            </w:r>
          </w:p>
        </w:tc>
        <w:tc>
          <w:tcPr>
            <w:tcW w:w="1708" w:type="dxa"/>
            <w:vAlign w:val="center"/>
          </w:tcPr>
          <w:p w14:paraId="38F27005">
            <w:pPr>
              <w:pStyle w:val="518"/>
              <w:rPr>
                <w:szCs w:val="21"/>
              </w:rPr>
            </w:pPr>
            <w:r>
              <w:rPr>
                <w:szCs w:val="21"/>
              </w:rPr>
              <w:t>多年生草本</w:t>
            </w:r>
          </w:p>
        </w:tc>
        <w:tc>
          <w:tcPr>
            <w:tcW w:w="1583" w:type="dxa"/>
            <w:vAlign w:val="center"/>
          </w:tcPr>
          <w:p w14:paraId="6F13E440">
            <w:pPr>
              <w:pStyle w:val="518"/>
              <w:rPr>
                <w:szCs w:val="21"/>
              </w:rPr>
            </w:pPr>
            <w:r>
              <w:rPr>
                <w:szCs w:val="21"/>
              </w:rPr>
              <w:t>东古北极种</w:t>
            </w:r>
          </w:p>
        </w:tc>
      </w:tr>
      <w:tr w14:paraId="0C715E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3D72ED4C">
            <w:pPr>
              <w:pStyle w:val="518"/>
              <w:rPr>
                <w:szCs w:val="21"/>
              </w:rPr>
            </w:pPr>
            <w:r>
              <w:rPr>
                <w:szCs w:val="21"/>
              </w:rPr>
              <w:t>百里香</w:t>
            </w:r>
          </w:p>
        </w:tc>
        <w:tc>
          <w:tcPr>
            <w:tcW w:w="3604" w:type="dxa"/>
            <w:vAlign w:val="center"/>
          </w:tcPr>
          <w:p w14:paraId="77A3E2C1">
            <w:pPr>
              <w:pStyle w:val="518"/>
              <w:rPr>
                <w:szCs w:val="21"/>
              </w:rPr>
            </w:pPr>
            <w:r>
              <w:rPr>
                <w:i/>
                <w:szCs w:val="21"/>
              </w:rPr>
              <w:t xml:space="preserve">Thymus Kitagawianus </w:t>
            </w:r>
            <w:r>
              <w:rPr>
                <w:szCs w:val="21"/>
              </w:rPr>
              <w:t>Tschern</w:t>
            </w:r>
          </w:p>
        </w:tc>
        <w:tc>
          <w:tcPr>
            <w:tcW w:w="1708" w:type="dxa"/>
            <w:vAlign w:val="center"/>
          </w:tcPr>
          <w:p w14:paraId="5728ABA1">
            <w:pPr>
              <w:pStyle w:val="518"/>
              <w:rPr>
                <w:szCs w:val="21"/>
              </w:rPr>
            </w:pPr>
            <w:r>
              <w:rPr>
                <w:szCs w:val="21"/>
              </w:rPr>
              <w:t>小半灌木</w:t>
            </w:r>
          </w:p>
        </w:tc>
        <w:tc>
          <w:tcPr>
            <w:tcW w:w="1583" w:type="dxa"/>
            <w:vAlign w:val="center"/>
          </w:tcPr>
          <w:p w14:paraId="08E153BA">
            <w:pPr>
              <w:pStyle w:val="518"/>
              <w:rPr>
                <w:szCs w:val="21"/>
              </w:rPr>
            </w:pPr>
            <w:r>
              <w:rPr>
                <w:szCs w:val="21"/>
              </w:rPr>
              <w:t>蒙古种</w:t>
            </w:r>
          </w:p>
        </w:tc>
      </w:tr>
      <w:tr w14:paraId="23B058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29" w:type="dxa"/>
            <w:gridSpan w:val="4"/>
            <w:vAlign w:val="center"/>
          </w:tcPr>
          <w:p w14:paraId="20838CEF">
            <w:pPr>
              <w:pStyle w:val="518"/>
              <w:rPr>
                <w:szCs w:val="21"/>
              </w:rPr>
            </w:pPr>
            <w:r>
              <w:rPr>
                <w:szCs w:val="21"/>
              </w:rPr>
              <w:t>十七、玄参科  Scrophlariaceae</w:t>
            </w:r>
          </w:p>
        </w:tc>
      </w:tr>
      <w:tr w14:paraId="736085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3232EAEF">
            <w:pPr>
              <w:pStyle w:val="518"/>
              <w:rPr>
                <w:szCs w:val="21"/>
              </w:rPr>
            </w:pPr>
            <w:r>
              <w:rPr>
                <w:szCs w:val="21"/>
              </w:rPr>
              <w:t>芯芭</w:t>
            </w:r>
          </w:p>
        </w:tc>
        <w:tc>
          <w:tcPr>
            <w:tcW w:w="3604" w:type="dxa"/>
            <w:vAlign w:val="center"/>
          </w:tcPr>
          <w:p w14:paraId="69CE9D3C">
            <w:pPr>
              <w:pStyle w:val="518"/>
              <w:rPr>
                <w:szCs w:val="21"/>
              </w:rPr>
            </w:pPr>
            <w:r>
              <w:rPr>
                <w:i/>
                <w:szCs w:val="21"/>
              </w:rPr>
              <w:t>Cymbaria dahurica</w:t>
            </w:r>
            <w:r>
              <w:rPr>
                <w:szCs w:val="21"/>
              </w:rPr>
              <w:t xml:space="preserve"> L.</w:t>
            </w:r>
          </w:p>
        </w:tc>
        <w:tc>
          <w:tcPr>
            <w:tcW w:w="1708" w:type="dxa"/>
            <w:vAlign w:val="center"/>
          </w:tcPr>
          <w:p w14:paraId="6714273C">
            <w:pPr>
              <w:pStyle w:val="518"/>
              <w:rPr>
                <w:szCs w:val="21"/>
              </w:rPr>
            </w:pPr>
            <w:r>
              <w:rPr>
                <w:szCs w:val="21"/>
              </w:rPr>
              <w:t>多年生草本</w:t>
            </w:r>
          </w:p>
        </w:tc>
        <w:tc>
          <w:tcPr>
            <w:tcW w:w="1583" w:type="dxa"/>
            <w:vAlign w:val="center"/>
          </w:tcPr>
          <w:p w14:paraId="526348B5">
            <w:pPr>
              <w:pStyle w:val="518"/>
              <w:rPr>
                <w:szCs w:val="21"/>
              </w:rPr>
            </w:pPr>
            <w:r>
              <w:rPr>
                <w:szCs w:val="21"/>
              </w:rPr>
              <w:t>达乌里—蒙古种</w:t>
            </w:r>
          </w:p>
        </w:tc>
      </w:tr>
      <w:tr w14:paraId="6AC260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610E9B78">
            <w:pPr>
              <w:pStyle w:val="518"/>
              <w:rPr>
                <w:szCs w:val="21"/>
              </w:rPr>
            </w:pPr>
            <w:r>
              <w:rPr>
                <w:szCs w:val="21"/>
              </w:rPr>
              <w:t>白婆婆纳</w:t>
            </w:r>
          </w:p>
        </w:tc>
        <w:tc>
          <w:tcPr>
            <w:tcW w:w="3604" w:type="dxa"/>
            <w:vAlign w:val="center"/>
          </w:tcPr>
          <w:p w14:paraId="59DF22C9">
            <w:pPr>
              <w:pStyle w:val="518"/>
              <w:rPr>
                <w:szCs w:val="21"/>
              </w:rPr>
            </w:pPr>
            <w:r>
              <w:rPr>
                <w:i/>
                <w:szCs w:val="21"/>
              </w:rPr>
              <w:t>Veronica inocana</w:t>
            </w:r>
            <w:r>
              <w:rPr>
                <w:szCs w:val="21"/>
              </w:rPr>
              <w:t xml:space="preserve"> L.</w:t>
            </w:r>
          </w:p>
        </w:tc>
        <w:tc>
          <w:tcPr>
            <w:tcW w:w="1708" w:type="dxa"/>
            <w:vAlign w:val="center"/>
          </w:tcPr>
          <w:p w14:paraId="47C2A7D3">
            <w:pPr>
              <w:pStyle w:val="518"/>
              <w:rPr>
                <w:szCs w:val="21"/>
              </w:rPr>
            </w:pPr>
            <w:r>
              <w:rPr>
                <w:szCs w:val="21"/>
              </w:rPr>
              <w:t>多年生草本</w:t>
            </w:r>
          </w:p>
        </w:tc>
        <w:tc>
          <w:tcPr>
            <w:tcW w:w="1583" w:type="dxa"/>
            <w:vAlign w:val="center"/>
          </w:tcPr>
          <w:p w14:paraId="779272C8">
            <w:pPr>
              <w:pStyle w:val="518"/>
              <w:rPr>
                <w:szCs w:val="21"/>
              </w:rPr>
            </w:pPr>
            <w:r>
              <w:rPr>
                <w:szCs w:val="21"/>
              </w:rPr>
              <w:t>古北极种</w:t>
            </w:r>
          </w:p>
        </w:tc>
      </w:tr>
      <w:tr w14:paraId="29EB16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29" w:type="dxa"/>
            <w:gridSpan w:val="4"/>
            <w:vAlign w:val="center"/>
          </w:tcPr>
          <w:p w14:paraId="6FD69283">
            <w:pPr>
              <w:pStyle w:val="518"/>
              <w:rPr>
                <w:szCs w:val="21"/>
              </w:rPr>
            </w:pPr>
            <w:r>
              <w:rPr>
                <w:szCs w:val="21"/>
              </w:rPr>
              <w:t>十八、茜草科  Rubiaceae</w:t>
            </w:r>
          </w:p>
        </w:tc>
      </w:tr>
      <w:tr w14:paraId="56D082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1183FD1E">
            <w:pPr>
              <w:pStyle w:val="518"/>
              <w:rPr>
                <w:szCs w:val="21"/>
              </w:rPr>
            </w:pPr>
            <w:r>
              <w:rPr>
                <w:szCs w:val="21"/>
              </w:rPr>
              <w:t>蓬子莱</w:t>
            </w:r>
          </w:p>
        </w:tc>
        <w:tc>
          <w:tcPr>
            <w:tcW w:w="3604" w:type="dxa"/>
            <w:vAlign w:val="center"/>
          </w:tcPr>
          <w:p w14:paraId="2B2D7A29">
            <w:pPr>
              <w:pStyle w:val="518"/>
              <w:rPr>
                <w:szCs w:val="21"/>
              </w:rPr>
            </w:pPr>
            <w:r>
              <w:rPr>
                <w:i/>
                <w:szCs w:val="21"/>
              </w:rPr>
              <w:t>Galium uerum</w:t>
            </w:r>
            <w:r>
              <w:rPr>
                <w:szCs w:val="21"/>
              </w:rPr>
              <w:t xml:space="preserve"> L.</w:t>
            </w:r>
          </w:p>
        </w:tc>
        <w:tc>
          <w:tcPr>
            <w:tcW w:w="1708" w:type="dxa"/>
            <w:vAlign w:val="center"/>
          </w:tcPr>
          <w:p w14:paraId="1AF0FCAE">
            <w:pPr>
              <w:pStyle w:val="518"/>
              <w:rPr>
                <w:szCs w:val="21"/>
              </w:rPr>
            </w:pPr>
            <w:r>
              <w:rPr>
                <w:szCs w:val="21"/>
              </w:rPr>
              <w:t>多年生草本</w:t>
            </w:r>
          </w:p>
        </w:tc>
        <w:tc>
          <w:tcPr>
            <w:tcW w:w="1583" w:type="dxa"/>
            <w:vAlign w:val="center"/>
          </w:tcPr>
          <w:p w14:paraId="1F438BE9">
            <w:pPr>
              <w:pStyle w:val="518"/>
              <w:rPr>
                <w:szCs w:val="21"/>
              </w:rPr>
            </w:pPr>
            <w:r>
              <w:rPr>
                <w:szCs w:val="21"/>
              </w:rPr>
              <w:t>泛北极种</w:t>
            </w:r>
          </w:p>
        </w:tc>
      </w:tr>
      <w:tr w14:paraId="531ACB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29" w:type="dxa"/>
            <w:gridSpan w:val="4"/>
            <w:vAlign w:val="center"/>
          </w:tcPr>
          <w:p w14:paraId="2EC91862">
            <w:pPr>
              <w:pStyle w:val="518"/>
              <w:rPr>
                <w:szCs w:val="21"/>
              </w:rPr>
            </w:pPr>
            <w:r>
              <w:rPr>
                <w:szCs w:val="21"/>
              </w:rPr>
              <w:t>十九、菊科  Compositae</w:t>
            </w:r>
          </w:p>
        </w:tc>
      </w:tr>
      <w:tr w14:paraId="3E69F7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03CA4B21">
            <w:pPr>
              <w:pStyle w:val="518"/>
              <w:rPr>
                <w:szCs w:val="21"/>
              </w:rPr>
            </w:pPr>
            <w:r>
              <w:rPr>
                <w:szCs w:val="21"/>
              </w:rPr>
              <w:t>黄花蒿</w:t>
            </w:r>
          </w:p>
        </w:tc>
        <w:tc>
          <w:tcPr>
            <w:tcW w:w="3604" w:type="dxa"/>
            <w:vAlign w:val="center"/>
          </w:tcPr>
          <w:p w14:paraId="42ECEE85">
            <w:pPr>
              <w:pStyle w:val="518"/>
              <w:rPr>
                <w:szCs w:val="21"/>
              </w:rPr>
            </w:pPr>
            <w:r>
              <w:rPr>
                <w:i/>
                <w:szCs w:val="21"/>
              </w:rPr>
              <w:t>Artemisia anuna</w:t>
            </w:r>
            <w:r>
              <w:rPr>
                <w:szCs w:val="21"/>
              </w:rPr>
              <w:t xml:space="preserve"> L.</w:t>
            </w:r>
          </w:p>
        </w:tc>
        <w:tc>
          <w:tcPr>
            <w:tcW w:w="1708" w:type="dxa"/>
            <w:vAlign w:val="center"/>
          </w:tcPr>
          <w:p w14:paraId="6A5AB100">
            <w:pPr>
              <w:pStyle w:val="518"/>
              <w:rPr>
                <w:szCs w:val="21"/>
              </w:rPr>
            </w:pPr>
            <w:r>
              <w:rPr>
                <w:szCs w:val="21"/>
              </w:rPr>
              <w:t>一年生草本</w:t>
            </w:r>
          </w:p>
        </w:tc>
        <w:tc>
          <w:tcPr>
            <w:tcW w:w="1583" w:type="dxa"/>
            <w:vAlign w:val="center"/>
          </w:tcPr>
          <w:p w14:paraId="6B6E2358">
            <w:pPr>
              <w:pStyle w:val="518"/>
              <w:rPr>
                <w:szCs w:val="21"/>
              </w:rPr>
            </w:pPr>
            <w:r>
              <w:rPr>
                <w:szCs w:val="21"/>
              </w:rPr>
              <w:t>泛北极种</w:t>
            </w:r>
          </w:p>
        </w:tc>
      </w:tr>
      <w:tr w14:paraId="7CC23F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2E8745C3">
            <w:pPr>
              <w:pStyle w:val="518"/>
              <w:rPr>
                <w:szCs w:val="21"/>
              </w:rPr>
            </w:pPr>
            <w:r>
              <w:rPr>
                <w:szCs w:val="21"/>
              </w:rPr>
              <w:t>变 蒿</w:t>
            </w:r>
          </w:p>
        </w:tc>
        <w:tc>
          <w:tcPr>
            <w:tcW w:w="3604" w:type="dxa"/>
            <w:vAlign w:val="center"/>
          </w:tcPr>
          <w:p w14:paraId="1EC60AD5">
            <w:pPr>
              <w:pStyle w:val="518"/>
              <w:rPr>
                <w:szCs w:val="21"/>
              </w:rPr>
            </w:pPr>
            <w:r>
              <w:rPr>
                <w:i/>
                <w:szCs w:val="21"/>
              </w:rPr>
              <w:t>A. commutata</w:t>
            </w:r>
            <w:r>
              <w:rPr>
                <w:szCs w:val="21"/>
              </w:rPr>
              <w:t xml:space="preserve"> Bess.</w:t>
            </w:r>
          </w:p>
        </w:tc>
        <w:tc>
          <w:tcPr>
            <w:tcW w:w="1708" w:type="dxa"/>
            <w:vAlign w:val="center"/>
          </w:tcPr>
          <w:p w14:paraId="58961022">
            <w:pPr>
              <w:pStyle w:val="518"/>
              <w:rPr>
                <w:szCs w:val="21"/>
              </w:rPr>
            </w:pPr>
            <w:r>
              <w:rPr>
                <w:szCs w:val="21"/>
              </w:rPr>
              <w:t>多年生草本</w:t>
            </w:r>
          </w:p>
        </w:tc>
        <w:tc>
          <w:tcPr>
            <w:tcW w:w="1583" w:type="dxa"/>
            <w:vAlign w:val="center"/>
          </w:tcPr>
          <w:p w14:paraId="61C1F6C3">
            <w:pPr>
              <w:pStyle w:val="518"/>
              <w:rPr>
                <w:szCs w:val="21"/>
              </w:rPr>
            </w:pPr>
            <w:r>
              <w:rPr>
                <w:szCs w:val="21"/>
              </w:rPr>
              <w:t>古北极种</w:t>
            </w:r>
          </w:p>
        </w:tc>
      </w:tr>
      <w:tr w14:paraId="530FC0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2CB1B516">
            <w:pPr>
              <w:pStyle w:val="518"/>
              <w:rPr>
                <w:szCs w:val="21"/>
              </w:rPr>
            </w:pPr>
            <w:r>
              <w:rPr>
                <w:szCs w:val="21"/>
              </w:rPr>
              <w:t>冷蒿</w:t>
            </w:r>
          </w:p>
        </w:tc>
        <w:tc>
          <w:tcPr>
            <w:tcW w:w="3604" w:type="dxa"/>
            <w:vAlign w:val="center"/>
          </w:tcPr>
          <w:p w14:paraId="2BFF27D7">
            <w:pPr>
              <w:pStyle w:val="518"/>
              <w:rPr>
                <w:szCs w:val="21"/>
              </w:rPr>
            </w:pPr>
            <w:r>
              <w:rPr>
                <w:i/>
                <w:szCs w:val="21"/>
              </w:rPr>
              <w:t>A. frigida</w:t>
            </w:r>
            <w:r>
              <w:rPr>
                <w:szCs w:val="21"/>
              </w:rPr>
              <w:t xml:space="preserve"> Willd.</w:t>
            </w:r>
          </w:p>
        </w:tc>
        <w:tc>
          <w:tcPr>
            <w:tcW w:w="1708" w:type="dxa"/>
            <w:vAlign w:val="center"/>
          </w:tcPr>
          <w:p w14:paraId="459D49A6">
            <w:pPr>
              <w:pStyle w:val="518"/>
              <w:rPr>
                <w:szCs w:val="21"/>
              </w:rPr>
            </w:pPr>
            <w:r>
              <w:rPr>
                <w:szCs w:val="21"/>
              </w:rPr>
              <w:t>小半灌木</w:t>
            </w:r>
          </w:p>
        </w:tc>
        <w:tc>
          <w:tcPr>
            <w:tcW w:w="1583" w:type="dxa"/>
            <w:vAlign w:val="center"/>
          </w:tcPr>
          <w:p w14:paraId="3EDA1A15">
            <w:pPr>
              <w:pStyle w:val="518"/>
              <w:rPr>
                <w:szCs w:val="21"/>
              </w:rPr>
            </w:pPr>
            <w:r>
              <w:rPr>
                <w:szCs w:val="21"/>
              </w:rPr>
              <w:t>泛北极种</w:t>
            </w:r>
          </w:p>
        </w:tc>
      </w:tr>
      <w:tr w14:paraId="0DE2EC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4E0F1676">
            <w:pPr>
              <w:pStyle w:val="518"/>
              <w:rPr>
                <w:szCs w:val="21"/>
              </w:rPr>
            </w:pPr>
            <w:r>
              <w:rPr>
                <w:szCs w:val="21"/>
              </w:rPr>
              <w:t>阿尔</w:t>
            </w:r>
            <w:r>
              <w:rPr>
                <w:szCs w:val="21"/>
                <w:lang w:eastAsia="zh-CN"/>
              </w:rPr>
              <w:t>泰</w:t>
            </w:r>
            <w:r>
              <w:rPr>
                <w:szCs w:val="21"/>
              </w:rPr>
              <w:t>狗哇花</w:t>
            </w:r>
          </w:p>
        </w:tc>
        <w:tc>
          <w:tcPr>
            <w:tcW w:w="3604" w:type="dxa"/>
            <w:vAlign w:val="center"/>
          </w:tcPr>
          <w:p w14:paraId="6C468E78">
            <w:pPr>
              <w:pStyle w:val="518"/>
              <w:rPr>
                <w:szCs w:val="21"/>
              </w:rPr>
            </w:pPr>
            <w:r>
              <w:rPr>
                <w:i/>
                <w:szCs w:val="21"/>
              </w:rPr>
              <w:t>Heteropappus altuicus(Wild.)</w:t>
            </w:r>
            <w:r>
              <w:rPr>
                <w:szCs w:val="21"/>
              </w:rPr>
              <w:t xml:space="preserve"> Beauv</w:t>
            </w:r>
          </w:p>
        </w:tc>
        <w:tc>
          <w:tcPr>
            <w:tcW w:w="1708" w:type="dxa"/>
            <w:vAlign w:val="center"/>
          </w:tcPr>
          <w:p w14:paraId="4E5349C1">
            <w:pPr>
              <w:pStyle w:val="518"/>
              <w:rPr>
                <w:szCs w:val="21"/>
              </w:rPr>
            </w:pPr>
            <w:r>
              <w:rPr>
                <w:szCs w:val="21"/>
              </w:rPr>
              <w:t>多年生草本</w:t>
            </w:r>
          </w:p>
        </w:tc>
        <w:tc>
          <w:tcPr>
            <w:tcW w:w="1583" w:type="dxa"/>
            <w:vAlign w:val="center"/>
          </w:tcPr>
          <w:p w14:paraId="76F47AE5">
            <w:pPr>
              <w:pStyle w:val="518"/>
              <w:rPr>
                <w:szCs w:val="21"/>
              </w:rPr>
            </w:pPr>
            <w:r>
              <w:rPr>
                <w:szCs w:val="21"/>
              </w:rPr>
              <w:t>东北古极种</w:t>
            </w:r>
          </w:p>
        </w:tc>
      </w:tr>
      <w:tr w14:paraId="55F2BE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1DB63B5B">
            <w:pPr>
              <w:pStyle w:val="518"/>
              <w:rPr>
                <w:szCs w:val="21"/>
              </w:rPr>
            </w:pPr>
            <w:r>
              <w:rPr>
                <w:szCs w:val="21"/>
              </w:rPr>
              <w:t>麻花头</w:t>
            </w:r>
          </w:p>
        </w:tc>
        <w:tc>
          <w:tcPr>
            <w:tcW w:w="3604" w:type="dxa"/>
            <w:vAlign w:val="center"/>
          </w:tcPr>
          <w:p w14:paraId="263009A4">
            <w:pPr>
              <w:pStyle w:val="518"/>
              <w:rPr>
                <w:szCs w:val="21"/>
              </w:rPr>
            </w:pPr>
            <w:r>
              <w:rPr>
                <w:i/>
                <w:szCs w:val="21"/>
              </w:rPr>
              <w:t>Serratula centaurlides</w:t>
            </w:r>
            <w:r>
              <w:rPr>
                <w:szCs w:val="21"/>
              </w:rPr>
              <w:t xml:space="preserve"> L.</w:t>
            </w:r>
          </w:p>
        </w:tc>
        <w:tc>
          <w:tcPr>
            <w:tcW w:w="1708" w:type="dxa"/>
            <w:vAlign w:val="center"/>
          </w:tcPr>
          <w:p w14:paraId="4D97E0EE">
            <w:pPr>
              <w:pStyle w:val="518"/>
              <w:rPr>
                <w:szCs w:val="21"/>
              </w:rPr>
            </w:pPr>
            <w:r>
              <w:rPr>
                <w:szCs w:val="21"/>
              </w:rPr>
              <w:t>多年生草本</w:t>
            </w:r>
          </w:p>
        </w:tc>
        <w:tc>
          <w:tcPr>
            <w:tcW w:w="1583" w:type="dxa"/>
            <w:vAlign w:val="center"/>
          </w:tcPr>
          <w:p w14:paraId="01155C87">
            <w:pPr>
              <w:pStyle w:val="518"/>
              <w:rPr>
                <w:szCs w:val="21"/>
              </w:rPr>
            </w:pPr>
            <w:r>
              <w:rPr>
                <w:szCs w:val="21"/>
              </w:rPr>
              <w:t>达乌里—蒙古种</w:t>
            </w:r>
          </w:p>
        </w:tc>
      </w:tr>
      <w:tr w14:paraId="5A530D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05D793E0">
            <w:pPr>
              <w:pStyle w:val="518"/>
              <w:rPr>
                <w:szCs w:val="21"/>
              </w:rPr>
            </w:pPr>
            <w:r>
              <w:rPr>
                <w:szCs w:val="21"/>
              </w:rPr>
              <w:t>苍耳</w:t>
            </w:r>
          </w:p>
        </w:tc>
        <w:tc>
          <w:tcPr>
            <w:tcW w:w="3604" w:type="dxa"/>
            <w:vAlign w:val="center"/>
          </w:tcPr>
          <w:p w14:paraId="4868B994">
            <w:pPr>
              <w:pStyle w:val="518"/>
              <w:rPr>
                <w:szCs w:val="21"/>
              </w:rPr>
            </w:pPr>
            <w:r>
              <w:rPr>
                <w:i/>
                <w:szCs w:val="21"/>
              </w:rPr>
              <w:t>Xanthium sibiricum</w:t>
            </w:r>
            <w:r>
              <w:rPr>
                <w:szCs w:val="21"/>
              </w:rPr>
              <w:t xml:space="preserve"> Patrin,ex willer.</w:t>
            </w:r>
          </w:p>
        </w:tc>
        <w:tc>
          <w:tcPr>
            <w:tcW w:w="1708" w:type="dxa"/>
            <w:vAlign w:val="center"/>
          </w:tcPr>
          <w:p w14:paraId="47FFD96E">
            <w:pPr>
              <w:pStyle w:val="518"/>
              <w:rPr>
                <w:szCs w:val="21"/>
              </w:rPr>
            </w:pPr>
            <w:r>
              <w:rPr>
                <w:szCs w:val="21"/>
              </w:rPr>
              <w:t>一年生草本</w:t>
            </w:r>
          </w:p>
        </w:tc>
        <w:tc>
          <w:tcPr>
            <w:tcW w:w="1583" w:type="dxa"/>
            <w:vAlign w:val="center"/>
          </w:tcPr>
          <w:p w14:paraId="41A55BA9">
            <w:pPr>
              <w:pStyle w:val="518"/>
              <w:rPr>
                <w:szCs w:val="21"/>
              </w:rPr>
            </w:pPr>
            <w:r>
              <w:rPr>
                <w:szCs w:val="21"/>
              </w:rPr>
              <w:t>古北极种</w:t>
            </w:r>
          </w:p>
        </w:tc>
      </w:tr>
      <w:tr w14:paraId="13B94D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29" w:type="dxa"/>
            <w:gridSpan w:val="4"/>
            <w:vAlign w:val="center"/>
          </w:tcPr>
          <w:p w14:paraId="710B9ACC">
            <w:pPr>
              <w:pStyle w:val="518"/>
              <w:rPr>
                <w:szCs w:val="21"/>
              </w:rPr>
            </w:pPr>
            <w:r>
              <w:rPr>
                <w:szCs w:val="21"/>
              </w:rPr>
              <w:t>二十、禾本科  Graminae</w:t>
            </w:r>
          </w:p>
        </w:tc>
      </w:tr>
      <w:tr w14:paraId="769696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02CA3CAF">
            <w:pPr>
              <w:pStyle w:val="518"/>
              <w:rPr>
                <w:szCs w:val="21"/>
              </w:rPr>
            </w:pPr>
            <w:r>
              <w:rPr>
                <w:szCs w:val="21"/>
              </w:rPr>
              <w:t>芨芨草</w:t>
            </w:r>
          </w:p>
        </w:tc>
        <w:tc>
          <w:tcPr>
            <w:tcW w:w="3604" w:type="dxa"/>
            <w:vAlign w:val="center"/>
          </w:tcPr>
          <w:p w14:paraId="5676B6B1">
            <w:pPr>
              <w:pStyle w:val="518"/>
              <w:rPr>
                <w:szCs w:val="21"/>
              </w:rPr>
            </w:pPr>
            <w:r>
              <w:rPr>
                <w:i/>
                <w:szCs w:val="21"/>
              </w:rPr>
              <w:t>Achnatherum Splendens</w:t>
            </w:r>
            <w:r>
              <w:rPr>
                <w:szCs w:val="21"/>
              </w:rPr>
              <w:t>(Trin)Nevski</w:t>
            </w:r>
          </w:p>
        </w:tc>
        <w:tc>
          <w:tcPr>
            <w:tcW w:w="1708" w:type="dxa"/>
            <w:vAlign w:val="center"/>
          </w:tcPr>
          <w:p w14:paraId="7BF8A5F9">
            <w:pPr>
              <w:pStyle w:val="518"/>
              <w:rPr>
                <w:szCs w:val="21"/>
              </w:rPr>
            </w:pPr>
            <w:r>
              <w:rPr>
                <w:szCs w:val="21"/>
              </w:rPr>
              <w:t>多年生大型丛生禾</w:t>
            </w:r>
          </w:p>
        </w:tc>
        <w:tc>
          <w:tcPr>
            <w:tcW w:w="1583" w:type="dxa"/>
            <w:vAlign w:val="center"/>
          </w:tcPr>
          <w:p w14:paraId="2EC12D70">
            <w:pPr>
              <w:pStyle w:val="518"/>
              <w:rPr>
                <w:szCs w:val="21"/>
              </w:rPr>
            </w:pPr>
            <w:r>
              <w:rPr>
                <w:szCs w:val="21"/>
              </w:rPr>
              <w:t>古地中海种</w:t>
            </w:r>
          </w:p>
        </w:tc>
      </w:tr>
      <w:tr w14:paraId="66D4D4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3534EBA1">
            <w:pPr>
              <w:pStyle w:val="518"/>
              <w:rPr>
                <w:szCs w:val="21"/>
              </w:rPr>
            </w:pPr>
            <w:r>
              <w:rPr>
                <w:szCs w:val="21"/>
              </w:rPr>
              <w:t>西伯利亚羽茅</w:t>
            </w:r>
          </w:p>
        </w:tc>
        <w:tc>
          <w:tcPr>
            <w:tcW w:w="3604" w:type="dxa"/>
            <w:vAlign w:val="center"/>
          </w:tcPr>
          <w:p w14:paraId="309B3D27">
            <w:pPr>
              <w:pStyle w:val="518"/>
              <w:rPr>
                <w:szCs w:val="21"/>
              </w:rPr>
            </w:pPr>
            <w:r>
              <w:rPr>
                <w:i/>
                <w:szCs w:val="21"/>
              </w:rPr>
              <w:t>A.sibiricum</w:t>
            </w:r>
            <w:r>
              <w:rPr>
                <w:szCs w:val="21"/>
              </w:rPr>
              <w:t>(L.)Keng</w:t>
            </w:r>
          </w:p>
        </w:tc>
        <w:tc>
          <w:tcPr>
            <w:tcW w:w="1708" w:type="dxa"/>
            <w:vAlign w:val="center"/>
          </w:tcPr>
          <w:p w14:paraId="3D155D1C">
            <w:pPr>
              <w:pStyle w:val="518"/>
              <w:rPr>
                <w:szCs w:val="21"/>
              </w:rPr>
            </w:pPr>
            <w:r>
              <w:rPr>
                <w:szCs w:val="21"/>
              </w:rPr>
              <w:t>多年生疏丛禾草</w:t>
            </w:r>
          </w:p>
        </w:tc>
        <w:tc>
          <w:tcPr>
            <w:tcW w:w="1583" w:type="dxa"/>
            <w:vAlign w:val="center"/>
          </w:tcPr>
          <w:p w14:paraId="48F53FBC">
            <w:pPr>
              <w:pStyle w:val="518"/>
              <w:rPr>
                <w:szCs w:val="21"/>
              </w:rPr>
            </w:pPr>
            <w:r>
              <w:rPr>
                <w:szCs w:val="21"/>
              </w:rPr>
              <w:t>东古北极种</w:t>
            </w:r>
          </w:p>
        </w:tc>
      </w:tr>
      <w:tr w14:paraId="162983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28FECDFD">
            <w:pPr>
              <w:pStyle w:val="518"/>
              <w:rPr>
                <w:szCs w:val="21"/>
              </w:rPr>
            </w:pPr>
            <w:r>
              <w:rPr>
                <w:rFonts w:hint="eastAsia"/>
                <w:szCs w:val="21"/>
              </w:rPr>
              <w:t>贝加尔针茅</w:t>
            </w:r>
          </w:p>
        </w:tc>
        <w:tc>
          <w:tcPr>
            <w:tcW w:w="3604" w:type="dxa"/>
            <w:vAlign w:val="center"/>
          </w:tcPr>
          <w:p w14:paraId="53818C9A">
            <w:pPr>
              <w:pStyle w:val="518"/>
              <w:rPr>
                <w:i/>
                <w:szCs w:val="21"/>
              </w:rPr>
            </w:pPr>
            <w:r>
              <w:rPr>
                <w:i/>
                <w:iCs/>
                <w:szCs w:val="21"/>
              </w:rPr>
              <w:t>Stipa Baicalensis Roshev．</w:t>
            </w:r>
          </w:p>
        </w:tc>
        <w:tc>
          <w:tcPr>
            <w:tcW w:w="1708" w:type="dxa"/>
            <w:vAlign w:val="center"/>
          </w:tcPr>
          <w:p w14:paraId="33CE15CB">
            <w:pPr>
              <w:pStyle w:val="518"/>
              <w:rPr>
                <w:szCs w:val="21"/>
              </w:rPr>
            </w:pPr>
            <w:r>
              <w:rPr>
                <w:szCs w:val="21"/>
              </w:rPr>
              <w:t>多年生丛生禾草</w:t>
            </w:r>
          </w:p>
        </w:tc>
        <w:tc>
          <w:tcPr>
            <w:tcW w:w="1583" w:type="dxa"/>
            <w:vAlign w:val="center"/>
          </w:tcPr>
          <w:p w14:paraId="71460A74">
            <w:pPr>
              <w:pStyle w:val="518"/>
              <w:rPr>
                <w:szCs w:val="21"/>
              </w:rPr>
            </w:pPr>
            <w:r>
              <w:rPr>
                <w:szCs w:val="21"/>
              </w:rPr>
              <w:t>达乌里—蒙古种</w:t>
            </w:r>
          </w:p>
        </w:tc>
      </w:tr>
      <w:tr w14:paraId="309628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73310109">
            <w:pPr>
              <w:pStyle w:val="518"/>
              <w:rPr>
                <w:szCs w:val="21"/>
              </w:rPr>
            </w:pPr>
            <w:r>
              <w:rPr>
                <w:rFonts w:hint="eastAsia"/>
                <w:szCs w:val="21"/>
              </w:rPr>
              <w:t>大针茅</w:t>
            </w:r>
          </w:p>
        </w:tc>
        <w:tc>
          <w:tcPr>
            <w:tcW w:w="3604" w:type="dxa"/>
            <w:vAlign w:val="center"/>
          </w:tcPr>
          <w:p w14:paraId="1BBCC1B3">
            <w:pPr>
              <w:pStyle w:val="518"/>
              <w:rPr>
                <w:i/>
                <w:szCs w:val="21"/>
              </w:rPr>
            </w:pPr>
            <w:r>
              <w:rPr>
                <w:i/>
                <w:szCs w:val="21"/>
              </w:rPr>
              <w:t>Stipa grandis P．Smirn</w:t>
            </w:r>
          </w:p>
        </w:tc>
        <w:tc>
          <w:tcPr>
            <w:tcW w:w="1708" w:type="dxa"/>
            <w:vAlign w:val="center"/>
          </w:tcPr>
          <w:p w14:paraId="5EBE5F59">
            <w:pPr>
              <w:pStyle w:val="518"/>
              <w:rPr>
                <w:szCs w:val="21"/>
              </w:rPr>
            </w:pPr>
            <w:r>
              <w:rPr>
                <w:szCs w:val="21"/>
              </w:rPr>
              <w:t>多年生丛生禾草</w:t>
            </w:r>
          </w:p>
        </w:tc>
        <w:tc>
          <w:tcPr>
            <w:tcW w:w="1583" w:type="dxa"/>
            <w:vAlign w:val="center"/>
          </w:tcPr>
          <w:p w14:paraId="648F8B69">
            <w:pPr>
              <w:pStyle w:val="518"/>
              <w:rPr>
                <w:szCs w:val="21"/>
              </w:rPr>
            </w:pPr>
            <w:r>
              <w:rPr>
                <w:szCs w:val="21"/>
              </w:rPr>
              <w:t>达乌里—蒙古种</w:t>
            </w:r>
          </w:p>
        </w:tc>
      </w:tr>
      <w:tr w14:paraId="1A6FA8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1B1B49EE">
            <w:pPr>
              <w:pStyle w:val="518"/>
              <w:rPr>
                <w:szCs w:val="21"/>
              </w:rPr>
            </w:pPr>
            <w:r>
              <w:rPr>
                <w:szCs w:val="21"/>
              </w:rPr>
              <w:t>冰草</w:t>
            </w:r>
          </w:p>
        </w:tc>
        <w:tc>
          <w:tcPr>
            <w:tcW w:w="3604" w:type="dxa"/>
            <w:vAlign w:val="center"/>
          </w:tcPr>
          <w:p w14:paraId="1D9DD971">
            <w:pPr>
              <w:pStyle w:val="518"/>
              <w:rPr>
                <w:szCs w:val="21"/>
              </w:rPr>
            </w:pPr>
            <w:r>
              <w:rPr>
                <w:i/>
                <w:szCs w:val="21"/>
              </w:rPr>
              <w:t>Agropyron cristatum</w:t>
            </w:r>
            <w:r>
              <w:rPr>
                <w:szCs w:val="21"/>
              </w:rPr>
              <w:t>(L.)Gaertn</w:t>
            </w:r>
          </w:p>
        </w:tc>
        <w:tc>
          <w:tcPr>
            <w:tcW w:w="1708" w:type="dxa"/>
            <w:vAlign w:val="center"/>
          </w:tcPr>
          <w:p w14:paraId="3A191762">
            <w:pPr>
              <w:pStyle w:val="518"/>
              <w:rPr>
                <w:szCs w:val="21"/>
              </w:rPr>
            </w:pPr>
            <w:r>
              <w:rPr>
                <w:szCs w:val="21"/>
              </w:rPr>
              <w:t>多年生丛生禾草</w:t>
            </w:r>
          </w:p>
        </w:tc>
        <w:tc>
          <w:tcPr>
            <w:tcW w:w="1583" w:type="dxa"/>
            <w:vAlign w:val="center"/>
          </w:tcPr>
          <w:p w14:paraId="2CC981BD">
            <w:pPr>
              <w:pStyle w:val="518"/>
              <w:rPr>
                <w:szCs w:val="21"/>
              </w:rPr>
            </w:pPr>
            <w:r>
              <w:rPr>
                <w:szCs w:val="21"/>
              </w:rPr>
              <w:t>东古北极种</w:t>
            </w:r>
          </w:p>
        </w:tc>
      </w:tr>
      <w:tr w14:paraId="28C178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4A6D2C6A">
            <w:pPr>
              <w:pStyle w:val="518"/>
              <w:rPr>
                <w:szCs w:val="21"/>
              </w:rPr>
            </w:pPr>
            <w:r>
              <w:rPr>
                <w:szCs w:val="21"/>
              </w:rPr>
              <w:t>羊草</w:t>
            </w:r>
          </w:p>
        </w:tc>
        <w:tc>
          <w:tcPr>
            <w:tcW w:w="3604" w:type="dxa"/>
            <w:vAlign w:val="center"/>
          </w:tcPr>
          <w:p w14:paraId="341B7CE6">
            <w:pPr>
              <w:pStyle w:val="518"/>
              <w:rPr>
                <w:szCs w:val="21"/>
              </w:rPr>
            </w:pPr>
            <w:r>
              <w:rPr>
                <w:i/>
                <w:szCs w:val="21"/>
              </w:rPr>
              <w:t xml:space="preserve">Leymus chinensis </w:t>
            </w:r>
            <w:r>
              <w:rPr>
                <w:szCs w:val="21"/>
              </w:rPr>
              <w:t>Trvel</w:t>
            </w:r>
          </w:p>
        </w:tc>
        <w:tc>
          <w:tcPr>
            <w:tcW w:w="1708" w:type="dxa"/>
            <w:vAlign w:val="center"/>
          </w:tcPr>
          <w:p w14:paraId="6083244D">
            <w:pPr>
              <w:pStyle w:val="518"/>
              <w:rPr>
                <w:szCs w:val="21"/>
              </w:rPr>
            </w:pPr>
            <w:r>
              <w:rPr>
                <w:szCs w:val="21"/>
              </w:rPr>
              <w:t>多年生根茎禾草</w:t>
            </w:r>
          </w:p>
        </w:tc>
        <w:tc>
          <w:tcPr>
            <w:tcW w:w="1583" w:type="dxa"/>
            <w:vAlign w:val="center"/>
          </w:tcPr>
          <w:p w14:paraId="51B8FDEA">
            <w:pPr>
              <w:pStyle w:val="518"/>
              <w:rPr>
                <w:spacing w:val="-10"/>
                <w:szCs w:val="21"/>
                <w:lang w:eastAsia="zh-CN"/>
              </w:rPr>
            </w:pPr>
            <w:r>
              <w:rPr>
                <w:spacing w:val="-10"/>
                <w:szCs w:val="21"/>
                <w:lang w:eastAsia="zh-CN"/>
              </w:rPr>
              <w:t>达乌里-蒙古-中国北北种</w:t>
            </w:r>
          </w:p>
        </w:tc>
      </w:tr>
      <w:tr w14:paraId="725D31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21CDACE8">
            <w:pPr>
              <w:pStyle w:val="518"/>
              <w:rPr>
                <w:szCs w:val="21"/>
              </w:rPr>
            </w:pPr>
            <w:r>
              <w:rPr>
                <w:szCs w:val="21"/>
              </w:rPr>
              <w:t>糙隐子草</w:t>
            </w:r>
          </w:p>
        </w:tc>
        <w:tc>
          <w:tcPr>
            <w:tcW w:w="3604" w:type="dxa"/>
            <w:vAlign w:val="center"/>
          </w:tcPr>
          <w:p w14:paraId="33B00F81">
            <w:pPr>
              <w:pStyle w:val="518"/>
              <w:rPr>
                <w:szCs w:val="21"/>
              </w:rPr>
            </w:pPr>
            <w:r>
              <w:rPr>
                <w:i/>
                <w:szCs w:val="21"/>
              </w:rPr>
              <w:t xml:space="preserve">Cleistogenes kitagawae </w:t>
            </w:r>
            <w:r>
              <w:rPr>
                <w:szCs w:val="21"/>
              </w:rPr>
              <w:t>Handa</w:t>
            </w:r>
          </w:p>
        </w:tc>
        <w:tc>
          <w:tcPr>
            <w:tcW w:w="1708" w:type="dxa"/>
            <w:vAlign w:val="center"/>
          </w:tcPr>
          <w:p w14:paraId="0FF4EC3B">
            <w:pPr>
              <w:pStyle w:val="518"/>
              <w:rPr>
                <w:szCs w:val="21"/>
              </w:rPr>
            </w:pPr>
            <w:r>
              <w:rPr>
                <w:szCs w:val="21"/>
              </w:rPr>
              <w:t>多样生丛生禾草</w:t>
            </w:r>
          </w:p>
        </w:tc>
        <w:tc>
          <w:tcPr>
            <w:tcW w:w="1583" w:type="dxa"/>
            <w:vAlign w:val="center"/>
          </w:tcPr>
          <w:p w14:paraId="07BE98D1">
            <w:pPr>
              <w:pStyle w:val="518"/>
              <w:rPr>
                <w:szCs w:val="21"/>
              </w:rPr>
            </w:pPr>
            <w:r>
              <w:rPr>
                <w:szCs w:val="21"/>
              </w:rPr>
              <w:t>黑海-哈萨克-蒙古种</w:t>
            </w:r>
          </w:p>
        </w:tc>
      </w:tr>
      <w:tr w14:paraId="2E6807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15F62678">
            <w:pPr>
              <w:pStyle w:val="518"/>
              <w:rPr>
                <w:szCs w:val="21"/>
              </w:rPr>
            </w:pPr>
            <w:r>
              <w:rPr>
                <w:szCs w:val="21"/>
              </w:rPr>
              <w:t>洽草</w:t>
            </w:r>
          </w:p>
        </w:tc>
        <w:tc>
          <w:tcPr>
            <w:tcW w:w="3604" w:type="dxa"/>
            <w:vAlign w:val="center"/>
          </w:tcPr>
          <w:p w14:paraId="35E9E725">
            <w:pPr>
              <w:pStyle w:val="518"/>
              <w:rPr>
                <w:szCs w:val="21"/>
              </w:rPr>
            </w:pPr>
            <w:r>
              <w:rPr>
                <w:i/>
                <w:szCs w:val="21"/>
              </w:rPr>
              <w:t>Koeleria cristta</w:t>
            </w:r>
            <w:r>
              <w:rPr>
                <w:szCs w:val="21"/>
              </w:rPr>
              <w:t>(L.)Pers.</w:t>
            </w:r>
          </w:p>
        </w:tc>
        <w:tc>
          <w:tcPr>
            <w:tcW w:w="1708" w:type="dxa"/>
            <w:vAlign w:val="center"/>
          </w:tcPr>
          <w:p w14:paraId="3FCF3428">
            <w:pPr>
              <w:pStyle w:val="518"/>
              <w:rPr>
                <w:szCs w:val="21"/>
              </w:rPr>
            </w:pPr>
            <w:r>
              <w:rPr>
                <w:szCs w:val="21"/>
              </w:rPr>
              <w:t>多年生丛生禾草</w:t>
            </w:r>
          </w:p>
        </w:tc>
        <w:tc>
          <w:tcPr>
            <w:tcW w:w="1583" w:type="dxa"/>
            <w:vAlign w:val="center"/>
          </w:tcPr>
          <w:p w14:paraId="4D47EAC3">
            <w:pPr>
              <w:pStyle w:val="518"/>
              <w:rPr>
                <w:szCs w:val="21"/>
              </w:rPr>
            </w:pPr>
            <w:r>
              <w:rPr>
                <w:szCs w:val="21"/>
              </w:rPr>
              <w:t>泛北极种</w:t>
            </w:r>
          </w:p>
        </w:tc>
      </w:tr>
      <w:tr w14:paraId="18A1CC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6AAF4EDD">
            <w:pPr>
              <w:pStyle w:val="518"/>
              <w:rPr>
                <w:szCs w:val="21"/>
              </w:rPr>
            </w:pPr>
            <w:r>
              <w:rPr>
                <w:szCs w:val="21"/>
              </w:rPr>
              <w:t>蒙古早熟禾</w:t>
            </w:r>
          </w:p>
        </w:tc>
        <w:tc>
          <w:tcPr>
            <w:tcW w:w="3604" w:type="dxa"/>
            <w:vAlign w:val="center"/>
          </w:tcPr>
          <w:p w14:paraId="5FD031A6">
            <w:pPr>
              <w:pStyle w:val="518"/>
              <w:rPr>
                <w:szCs w:val="21"/>
              </w:rPr>
            </w:pPr>
            <w:r>
              <w:rPr>
                <w:i/>
                <w:szCs w:val="21"/>
              </w:rPr>
              <w:t>Pao mongolica</w:t>
            </w:r>
            <w:r>
              <w:rPr>
                <w:szCs w:val="21"/>
              </w:rPr>
              <w:t>(Rendle)Keng</w:t>
            </w:r>
          </w:p>
        </w:tc>
        <w:tc>
          <w:tcPr>
            <w:tcW w:w="1708" w:type="dxa"/>
            <w:vAlign w:val="center"/>
          </w:tcPr>
          <w:p w14:paraId="257B3893">
            <w:pPr>
              <w:pStyle w:val="518"/>
              <w:rPr>
                <w:szCs w:val="21"/>
              </w:rPr>
            </w:pPr>
            <w:r>
              <w:rPr>
                <w:szCs w:val="21"/>
              </w:rPr>
              <w:t>多年生草本</w:t>
            </w:r>
          </w:p>
        </w:tc>
        <w:tc>
          <w:tcPr>
            <w:tcW w:w="1583" w:type="dxa"/>
            <w:vAlign w:val="center"/>
          </w:tcPr>
          <w:p w14:paraId="542E7597">
            <w:pPr>
              <w:pStyle w:val="518"/>
              <w:rPr>
                <w:szCs w:val="21"/>
              </w:rPr>
            </w:pPr>
          </w:p>
        </w:tc>
      </w:tr>
      <w:tr w14:paraId="2ED765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2A179C1A">
            <w:pPr>
              <w:pStyle w:val="518"/>
              <w:rPr>
                <w:szCs w:val="21"/>
              </w:rPr>
            </w:pPr>
            <w:r>
              <w:rPr>
                <w:szCs w:val="21"/>
              </w:rPr>
              <w:t>碱茅</w:t>
            </w:r>
          </w:p>
        </w:tc>
        <w:tc>
          <w:tcPr>
            <w:tcW w:w="3604" w:type="dxa"/>
            <w:vAlign w:val="center"/>
          </w:tcPr>
          <w:p w14:paraId="6AD67D29">
            <w:pPr>
              <w:pStyle w:val="518"/>
              <w:rPr>
                <w:szCs w:val="21"/>
              </w:rPr>
            </w:pPr>
            <w:r>
              <w:rPr>
                <w:i/>
                <w:szCs w:val="21"/>
              </w:rPr>
              <w:t>Puccinellia distans</w:t>
            </w:r>
            <w:r>
              <w:rPr>
                <w:szCs w:val="21"/>
              </w:rPr>
              <w:t>(Jacp)Parl.</w:t>
            </w:r>
          </w:p>
        </w:tc>
        <w:tc>
          <w:tcPr>
            <w:tcW w:w="1708" w:type="dxa"/>
            <w:vAlign w:val="center"/>
          </w:tcPr>
          <w:p w14:paraId="0DCC5F6F">
            <w:pPr>
              <w:pStyle w:val="518"/>
              <w:rPr>
                <w:szCs w:val="21"/>
              </w:rPr>
            </w:pPr>
            <w:r>
              <w:rPr>
                <w:szCs w:val="21"/>
              </w:rPr>
              <w:t>多年生丛生禾草</w:t>
            </w:r>
          </w:p>
        </w:tc>
        <w:tc>
          <w:tcPr>
            <w:tcW w:w="1583" w:type="dxa"/>
            <w:vAlign w:val="center"/>
          </w:tcPr>
          <w:p w14:paraId="4AA733F8">
            <w:pPr>
              <w:pStyle w:val="518"/>
              <w:rPr>
                <w:szCs w:val="21"/>
              </w:rPr>
            </w:pPr>
          </w:p>
        </w:tc>
      </w:tr>
      <w:tr w14:paraId="288679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62DAC72C">
            <w:pPr>
              <w:pStyle w:val="518"/>
              <w:rPr>
                <w:szCs w:val="21"/>
              </w:rPr>
            </w:pPr>
            <w:r>
              <w:rPr>
                <w:szCs w:val="21"/>
              </w:rPr>
              <w:t>狗尾草</w:t>
            </w:r>
          </w:p>
        </w:tc>
        <w:tc>
          <w:tcPr>
            <w:tcW w:w="3604" w:type="dxa"/>
            <w:vAlign w:val="center"/>
          </w:tcPr>
          <w:p w14:paraId="57E1F64E">
            <w:pPr>
              <w:pStyle w:val="518"/>
              <w:rPr>
                <w:szCs w:val="21"/>
              </w:rPr>
            </w:pPr>
            <w:r>
              <w:rPr>
                <w:i/>
                <w:szCs w:val="21"/>
              </w:rPr>
              <w:t>Setaria viridi</w:t>
            </w:r>
            <w:r>
              <w:rPr>
                <w:szCs w:val="21"/>
              </w:rPr>
              <w:t>s(L.)Beauv.</w:t>
            </w:r>
          </w:p>
        </w:tc>
        <w:tc>
          <w:tcPr>
            <w:tcW w:w="1708" w:type="dxa"/>
            <w:vAlign w:val="center"/>
          </w:tcPr>
          <w:p w14:paraId="78394C63">
            <w:pPr>
              <w:pStyle w:val="518"/>
              <w:rPr>
                <w:szCs w:val="21"/>
              </w:rPr>
            </w:pPr>
            <w:r>
              <w:rPr>
                <w:szCs w:val="21"/>
              </w:rPr>
              <w:t>一年生禾草</w:t>
            </w:r>
          </w:p>
        </w:tc>
        <w:tc>
          <w:tcPr>
            <w:tcW w:w="1583" w:type="dxa"/>
            <w:vAlign w:val="center"/>
          </w:tcPr>
          <w:p w14:paraId="647F3A1F">
            <w:pPr>
              <w:pStyle w:val="518"/>
              <w:rPr>
                <w:szCs w:val="21"/>
              </w:rPr>
            </w:pPr>
            <w:r>
              <w:rPr>
                <w:szCs w:val="21"/>
              </w:rPr>
              <w:t>世界种</w:t>
            </w:r>
          </w:p>
        </w:tc>
      </w:tr>
      <w:tr w14:paraId="081821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23683F8F">
            <w:pPr>
              <w:pStyle w:val="518"/>
              <w:rPr>
                <w:szCs w:val="21"/>
              </w:rPr>
            </w:pPr>
            <w:r>
              <w:rPr>
                <w:szCs w:val="21"/>
              </w:rPr>
              <w:t>克氏针茅</w:t>
            </w:r>
          </w:p>
        </w:tc>
        <w:tc>
          <w:tcPr>
            <w:tcW w:w="3604" w:type="dxa"/>
            <w:vAlign w:val="center"/>
          </w:tcPr>
          <w:p w14:paraId="210B0DE5">
            <w:pPr>
              <w:pStyle w:val="518"/>
              <w:rPr>
                <w:szCs w:val="21"/>
              </w:rPr>
            </w:pPr>
            <w:r>
              <w:rPr>
                <w:i/>
                <w:szCs w:val="21"/>
              </w:rPr>
              <w:t xml:space="preserve">Stipa krylovii </w:t>
            </w:r>
            <w:r>
              <w:rPr>
                <w:szCs w:val="21"/>
              </w:rPr>
              <w:t>Roshev.</w:t>
            </w:r>
          </w:p>
        </w:tc>
        <w:tc>
          <w:tcPr>
            <w:tcW w:w="1708" w:type="dxa"/>
            <w:vAlign w:val="center"/>
          </w:tcPr>
          <w:p w14:paraId="359A4AE7">
            <w:pPr>
              <w:pStyle w:val="518"/>
              <w:rPr>
                <w:szCs w:val="21"/>
              </w:rPr>
            </w:pPr>
            <w:r>
              <w:rPr>
                <w:szCs w:val="21"/>
              </w:rPr>
              <w:t>多年生丛生禾草</w:t>
            </w:r>
          </w:p>
        </w:tc>
        <w:tc>
          <w:tcPr>
            <w:tcW w:w="1583" w:type="dxa"/>
            <w:vAlign w:val="center"/>
          </w:tcPr>
          <w:p w14:paraId="481374E7">
            <w:pPr>
              <w:pStyle w:val="518"/>
              <w:rPr>
                <w:szCs w:val="21"/>
              </w:rPr>
            </w:pPr>
            <w:r>
              <w:rPr>
                <w:szCs w:val="21"/>
              </w:rPr>
              <w:t>达乌里—蒙古种</w:t>
            </w:r>
          </w:p>
        </w:tc>
      </w:tr>
      <w:tr w14:paraId="61ECE0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32FC0DA2">
            <w:pPr>
              <w:pStyle w:val="518"/>
              <w:rPr>
                <w:szCs w:val="21"/>
              </w:rPr>
            </w:pPr>
            <w:r>
              <w:rPr>
                <w:szCs w:val="21"/>
              </w:rPr>
              <w:t>黄囊苔草</w:t>
            </w:r>
          </w:p>
        </w:tc>
        <w:tc>
          <w:tcPr>
            <w:tcW w:w="3604" w:type="dxa"/>
            <w:vAlign w:val="center"/>
          </w:tcPr>
          <w:p w14:paraId="38F7F439">
            <w:pPr>
              <w:pStyle w:val="518"/>
              <w:rPr>
                <w:szCs w:val="21"/>
              </w:rPr>
            </w:pPr>
            <w:r>
              <w:rPr>
                <w:i/>
                <w:szCs w:val="21"/>
              </w:rPr>
              <w:t>Carex Korshinskyi</w:t>
            </w:r>
            <w:r>
              <w:rPr>
                <w:szCs w:val="21"/>
              </w:rPr>
              <w:t xml:space="preserve"> kom</w:t>
            </w:r>
          </w:p>
        </w:tc>
        <w:tc>
          <w:tcPr>
            <w:tcW w:w="1708" w:type="dxa"/>
            <w:vAlign w:val="center"/>
          </w:tcPr>
          <w:p w14:paraId="30452EB4">
            <w:pPr>
              <w:pStyle w:val="518"/>
              <w:rPr>
                <w:szCs w:val="21"/>
              </w:rPr>
            </w:pPr>
            <w:r>
              <w:rPr>
                <w:szCs w:val="21"/>
              </w:rPr>
              <w:t>多年生根茎苔草</w:t>
            </w:r>
          </w:p>
        </w:tc>
        <w:tc>
          <w:tcPr>
            <w:tcW w:w="1583" w:type="dxa"/>
            <w:vAlign w:val="center"/>
          </w:tcPr>
          <w:p w14:paraId="409D00DD">
            <w:pPr>
              <w:pStyle w:val="518"/>
              <w:rPr>
                <w:szCs w:val="21"/>
              </w:rPr>
            </w:pPr>
            <w:r>
              <w:rPr>
                <w:szCs w:val="21"/>
              </w:rPr>
              <w:t>达乌里—蒙古种</w:t>
            </w:r>
          </w:p>
        </w:tc>
      </w:tr>
      <w:tr w14:paraId="4B617D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21BD9A46">
            <w:pPr>
              <w:pStyle w:val="518"/>
              <w:rPr>
                <w:szCs w:val="21"/>
              </w:rPr>
            </w:pPr>
            <w:r>
              <w:rPr>
                <w:szCs w:val="21"/>
              </w:rPr>
              <w:t>日阴菅</w:t>
            </w:r>
          </w:p>
        </w:tc>
        <w:tc>
          <w:tcPr>
            <w:tcW w:w="3604" w:type="dxa"/>
            <w:vAlign w:val="center"/>
          </w:tcPr>
          <w:p w14:paraId="4A39DC76">
            <w:pPr>
              <w:pStyle w:val="518"/>
              <w:rPr>
                <w:szCs w:val="21"/>
              </w:rPr>
            </w:pPr>
            <w:r>
              <w:rPr>
                <w:i/>
                <w:szCs w:val="21"/>
              </w:rPr>
              <w:t>C.pediformis</w:t>
            </w:r>
            <w:r>
              <w:rPr>
                <w:szCs w:val="21"/>
              </w:rPr>
              <w:t xml:space="preserve"> C.A.Mey</w:t>
            </w:r>
          </w:p>
        </w:tc>
        <w:tc>
          <w:tcPr>
            <w:tcW w:w="1708" w:type="dxa"/>
            <w:vAlign w:val="center"/>
          </w:tcPr>
          <w:p w14:paraId="6EDF2D91">
            <w:pPr>
              <w:pStyle w:val="518"/>
              <w:rPr>
                <w:szCs w:val="21"/>
              </w:rPr>
            </w:pPr>
            <w:r>
              <w:rPr>
                <w:szCs w:val="21"/>
              </w:rPr>
              <w:t>多年生丛生苔草</w:t>
            </w:r>
          </w:p>
        </w:tc>
        <w:tc>
          <w:tcPr>
            <w:tcW w:w="1583" w:type="dxa"/>
            <w:vAlign w:val="center"/>
          </w:tcPr>
          <w:p w14:paraId="7EA3C5DD">
            <w:pPr>
              <w:pStyle w:val="518"/>
              <w:rPr>
                <w:szCs w:val="21"/>
              </w:rPr>
            </w:pPr>
            <w:r>
              <w:rPr>
                <w:szCs w:val="21"/>
              </w:rPr>
              <w:t>古北极种</w:t>
            </w:r>
          </w:p>
        </w:tc>
      </w:tr>
      <w:tr w14:paraId="7450C1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29" w:type="dxa"/>
            <w:gridSpan w:val="4"/>
            <w:vAlign w:val="center"/>
          </w:tcPr>
          <w:p w14:paraId="74514142">
            <w:pPr>
              <w:pStyle w:val="518"/>
              <w:rPr>
                <w:szCs w:val="21"/>
              </w:rPr>
            </w:pPr>
            <w:r>
              <w:rPr>
                <w:szCs w:val="21"/>
              </w:rPr>
              <w:t>二十一、百合科  Liliaceae</w:t>
            </w:r>
          </w:p>
        </w:tc>
      </w:tr>
      <w:tr w14:paraId="5CC5D1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3EB802CA">
            <w:pPr>
              <w:pStyle w:val="518"/>
              <w:rPr>
                <w:szCs w:val="21"/>
              </w:rPr>
            </w:pPr>
            <w:r>
              <w:rPr>
                <w:szCs w:val="21"/>
              </w:rPr>
              <w:t>双齿葱</w:t>
            </w:r>
          </w:p>
        </w:tc>
        <w:tc>
          <w:tcPr>
            <w:tcW w:w="3604" w:type="dxa"/>
            <w:vAlign w:val="center"/>
          </w:tcPr>
          <w:p w14:paraId="7F4560B3">
            <w:pPr>
              <w:pStyle w:val="518"/>
              <w:rPr>
                <w:szCs w:val="21"/>
              </w:rPr>
            </w:pPr>
            <w:r>
              <w:rPr>
                <w:i/>
                <w:szCs w:val="21"/>
              </w:rPr>
              <w:t>A.bidentatum</w:t>
            </w:r>
            <w:r>
              <w:rPr>
                <w:szCs w:val="21"/>
              </w:rPr>
              <w:t xml:space="preserve"> Fish</w:t>
            </w:r>
          </w:p>
        </w:tc>
        <w:tc>
          <w:tcPr>
            <w:tcW w:w="1708" w:type="dxa"/>
            <w:vAlign w:val="center"/>
          </w:tcPr>
          <w:p w14:paraId="61781F6F">
            <w:pPr>
              <w:pStyle w:val="518"/>
              <w:rPr>
                <w:szCs w:val="21"/>
              </w:rPr>
            </w:pPr>
            <w:r>
              <w:rPr>
                <w:szCs w:val="21"/>
              </w:rPr>
              <w:t>多年生草本</w:t>
            </w:r>
          </w:p>
        </w:tc>
        <w:tc>
          <w:tcPr>
            <w:tcW w:w="1583" w:type="dxa"/>
            <w:vAlign w:val="center"/>
          </w:tcPr>
          <w:p w14:paraId="2C0AC376">
            <w:pPr>
              <w:pStyle w:val="518"/>
              <w:rPr>
                <w:szCs w:val="21"/>
              </w:rPr>
            </w:pPr>
            <w:r>
              <w:rPr>
                <w:szCs w:val="21"/>
              </w:rPr>
              <w:t>达乌里—蒙古种</w:t>
            </w:r>
          </w:p>
        </w:tc>
      </w:tr>
      <w:tr w14:paraId="644A07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47CD8FB1">
            <w:pPr>
              <w:pStyle w:val="518"/>
              <w:rPr>
                <w:szCs w:val="21"/>
              </w:rPr>
            </w:pPr>
            <w:r>
              <w:rPr>
                <w:szCs w:val="21"/>
              </w:rPr>
              <w:t>野韭</w:t>
            </w:r>
          </w:p>
        </w:tc>
        <w:tc>
          <w:tcPr>
            <w:tcW w:w="3604" w:type="dxa"/>
            <w:vAlign w:val="center"/>
          </w:tcPr>
          <w:p w14:paraId="1F3FC31F">
            <w:pPr>
              <w:pStyle w:val="518"/>
              <w:rPr>
                <w:szCs w:val="21"/>
              </w:rPr>
            </w:pPr>
            <w:r>
              <w:rPr>
                <w:i/>
                <w:szCs w:val="21"/>
              </w:rPr>
              <w:t>A. ramosum</w:t>
            </w:r>
            <w:r>
              <w:rPr>
                <w:szCs w:val="21"/>
              </w:rPr>
              <w:t xml:space="preserve"> L.</w:t>
            </w:r>
          </w:p>
        </w:tc>
        <w:tc>
          <w:tcPr>
            <w:tcW w:w="1708" w:type="dxa"/>
            <w:vAlign w:val="center"/>
          </w:tcPr>
          <w:p w14:paraId="405EF1F3">
            <w:pPr>
              <w:pStyle w:val="518"/>
              <w:rPr>
                <w:szCs w:val="21"/>
              </w:rPr>
            </w:pPr>
            <w:r>
              <w:rPr>
                <w:szCs w:val="21"/>
              </w:rPr>
              <w:t>多年生草本</w:t>
            </w:r>
          </w:p>
        </w:tc>
        <w:tc>
          <w:tcPr>
            <w:tcW w:w="1583" w:type="dxa"/>
            <w:vAlign w:val="center"/>
          </w:tcPr>
          <w:p w14:paraId="7339468B">
            <w:pPr>
              <w:pStyle w:val="518"/>
              <w:rPr>
                <w:szCs w:val="21"/>
              </w:rPr>
            </w:pPr>
          </w:p>
        </w:tc>
      </w:tr>
      <w:tr w14:paraId="1904A9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5FE10B72">
            <w:pPr>
              <w:pStyle w:val="518"/>
              <w:rPr>
                <w:szCs w:val="21"/>
              </w:rPr>
            </w:pPr>
            <w:r>
              <w:rPr>
                <w:szCs w:val="21"/>
              </w:rPr>
              <w:t>细叶葱</w:t>
            </w:r>
          </w:p>
        </w:tc>
        <w:tc>
          <w:tcPr>
            <w:tcW w:w="3604" w:type="dxa"/>
            <w:vAlign w:val="center"/>
          </w:tcPr>
          <w:p w14:paraId="220DD1ED">
            <w:pPr>
              <w:pStyle w:val="518"/>
              <w:rPr>
                <w:szCs w:val="21"/>
              </w:rPr>
            </w:pPr>
            <w:r>
              <w:rPr>
                <w:i/>
                <w:szCs w:val="21"/>
              </w:rPr>
              <w:t>A. tenuissinum</w:t>
            </w:r>
            <w:r>
              <w:rPr>
                <w:szCs w:val="21"/>
              </w:rPr>
              <w:t xml:space="preserve"> L.</w:t>
            </w:r>
          </w:p>
        </w:tc>
        <w:tc>
          <w:tcPr>
            <w:tcW w:w="1708" w:type="dxa"/>
            <w:vAlign w:val="center"/>
          </w:tcPr>
          <w:p w14:paraId="1054FF04">
            <w:pPr>
              <w:pStyle w:val="518"/>
              <w:rPr>
                <w:szCs w:val="21"/>
              </w:rPr>
            </w:pPr>
            <w:r>
              <w:rPr>
                <w:szCs w:val="21"/>
              </w:rPr>
              <w:t>多年生草本</w:t>
            </w:r>
          </w:p>
        </w:tc>
        <w:tc>
          <w:tcPr>
            <w:tcW w:w="1583" w:type="dxa"/>
            <w:vAlign w:val="center"/>
          </w:tcPr>
          <w:p w14:paraId="23204A3B">
            <w:pPr>
              <w:pStyle w:val="518"/>
              <w:rPr>
                <w:szCs w:val="21"/>
              </w:rPr>
            </w:pPr>
            <w:r>
              <w:rPr>
                <w:szCs w:val="21"/>
              </w:rPr>
              <w:t>哈萨克—蒙古种</w:t>
            </w:r>
          </w:p>
        </w:tc>
      </w:tr>
      <w:tr w14:paraId="1843A4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2AD73B6B">
            <w:pPr>
              <w:pStyle w:val="518"/>
              <w:rPr>
                <w:szCs w:val="21"/>
              </w:rPr>
            </w:pPr>
            <w:r>
              <w:rPr>
                <w:szCs w:val="21"/>
              </w:rPr>
              <w:t>天冬</w:t>
            </w:r>
          </w:p>
        </w:tc>
        <w:tc>
          <w:tcPr>
            <w:tcW w:w="3604" w:type="dxa"/>
            <w:vAlign w:val="center"/>
          </w:tcPr>
          <w:p w14:paraId="6A0629CC">
            <w:pPr>
              <w:pStyle w:val="518"/>
              <w:rPr>
                <w:szCs w:val="21"/>
              </w:rPr>
            </w:pPr>
            <w:r>
              <w:rPr>
                <w:i/>
                <w:szCs w:val="21"/>
              </w:rPr>
              <w:t>Asparagus davuricus</w:t>
            </w:r>
            <w:r>
              <w:rPr>
                <w:szCs w:val="21"/>
              </w:rPr>
              <w:t xml:space="preserve"> Fisch ex Link</w:t>
            </w:r>
          </w:p>
        </w:tc>
        <w:tc>
          <w:tcPr>
            <w:tcW w:w="1708" w:type="dxa"/>
            <w:vAlign w:val="center"/>
          </w:tcPr>
          <w:p w14:paraId="2F340E22">
            <w:pPr>
              <w:pStyle w:val="518"/>
              <w:rPr>
                <w:szCs w:val="21"/>
              </w:rPr>
            </w:pPr>
            <w:r>
              <w:rPr>
                <w:szCs w:val="21"/>
              </w:rPr>
              <w:t>多年生草本</w:t>
            </w:r>
          </w:p>
        </w:tc>
        <w:tc>
          <w:tcPr>
            <w:tcW w:w="1583" w:type="dxa"/>
            <w:vAlign w:val="center"/>
          </w:tcPr>
          <w:p w14:paraId="09E71995">
            <w:pPr>
              <w:pStyle w:val="518"/>
              <w:rPr>
                <w:szCs w:val="21"/>
              </w:rPr>
            </w:pPr>
            <w:r>
              <w:rPr>
                <w:szCs w:val="21"/>
              </w:rPr>
              <w:t>达乌里—蒙古种</w:t>
            </w:r>
          </w:p>
        </w:tc>
      </w:tr>
      <w:tr w14:paraId="71FDCA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34" w:type="dxa"/>
            <w:vAlign w:val="center"/>
          </w:tcPr>
          <w:p w14:paraId="5997A228">
            <w:pPr>
              <w:pStyle w:val="518"/>
              <w:rPr>
                <w:szCs w:val="21"/>
              </w:rPr>
            </w:pPr>
            <w:r>
              <w:rPr>
                <w:szCs w:val="21"/>
              </w:rPr>
              <w:t>细叶鸢尾</w:t>
            </w:r>
          </w:p>
        </w:tc>
        <w:tc>
          <w:tcPr>
            <w:tcW w:w="3604" w:type="dxa"/>
            <w:vAlign w:val="center"/>
          </w:tcPr>
          <w:p w14:paraId="0EEE1A9A">
            <w:pPr>
              <w:pStyle w:val="518"/>
              <w:rPr>
                <w:szCs w:val="21"/>
              </w:rPr>
            </w:pPr>
            <w:r>
              <w:rPr>
                <w:i/>
                <w:szCs w:val="21"/>
              </w:rPr>
              <w:t>I.tenuifolia</w:t>
            </w:r>
            <w:r>
              <w:rPr>
                <w:szCs w:val="21"/>
              </w:rPr>
              <w:t xml:space="preserve"> Pall.</w:t>
            </w:r>
          </w:p>
        </w:tc>
        <w:tc>
          <w:tcPr>
            <w:tcW w:w="1708" w:type="dxa"/>
            <w:vAlign w:val="center"/>
          </w:tcPr>
          <w:p w14:paraId="631D3A6D">
            <w:pPr>
              <w:pStyle w:val="518"/>
              <w:rPr>
                <w:szCs w:val="21"/>
              </w:rPr>
            </w:pPr>
            <w:r>
              <w:rPr>
                <w:szCs w:val="21"/>
              </w:rPr>
              <w:t>多年生草本</w:t>
            </w:r>
          </w:p>
        </w:tc>
        <w:tc>
          <w:tcPr>
            <w:tcW w:w="1583" w:type="dxa"/>
            <w:vAlign w:val="center"/>
          </w:tcPr>
          <w:p w14:paraId="37F4BD07">
            <w:pPr>
              <w:pStyle w:val="518"/>
              <w:rPr>
                <w:szCs w:val="21"/>
              </w:rPr>
            </w:pPr>
            <w:r>
              <w:rPr>
                <w:szCs w:val="21"/>
              </w:rPr>
              <w:t>哈萨克—蒙古种</w:t>
            </w:r>
          </w:p>
        </w:tc>
      </w:tr>
    </w:tbl>
    <w:p w14:paraId="0EC9C0C8">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9.1.5.3植物样方调查</w:t>
      </w:r>
    </w:p>
    <w:p w14:paraId="2818581F">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本次评价</w:t>
      </w:r>
      <w:r>
        <w:rPr>
          <w:rFonts w:asciiTheme="minorEastAsia" w:hAnsiTheme="minorEastAsia" w:eastAsiaTheme="minorEastAsia"/>
          <w:lang w:eastAsia="zh-CN"/>
        </w:rPr>
        <w:t>20</w:t>
      </w:r>
      <w:r>
        <w:rPr>
          <w:rFonts w:hint="eastAsia" w:asciiTheme="minorEastAsia" w:hAnsiTheme="minorEastAsia" w:eastAsiaTheme="minorEastAsia"/>
          <w:lang w:eastAsia="zh-CN"/>
        </w:rPr>
        <w:t>14</w:t>
      </w:r>
      <w:r>
        <w:rPr>
          <w:rFonts w:asciiTheme="minorEastAsia" w:hAnsiTheme="minorEastAsia" w:eastAsiaTheme="minorEastAsia"/>
          <w:lang w:eastAsia="zh-CN"/>
        </w:rPr>
        <w:t>年</w:t>
      </w:r>
      <w:r>
        <w:rPr>
          <w:rFonts w:hint="eastAsia" w:asciiTheme="minorEastAsia" w:hAnsiTheme="minorEastAsia" w:eastAsiaTheme="minorEastAsia"/>
          <w:lang w:eastAsia="zh-CN"/>
        </w:rPr>
        <w:t>9</w:t>
      </w:r>
      <w:r>
        <w:rPr>
          <w:rFonts w:asciiTheme="minorEastAsia" w:hAnsiTheme="minorEastAsia" w:eastAsiaTheme="minorEastAsia"/>
          <w:lang w:eastAsia="zh-CN"/>
        </w:rPr>
        <w:t>月</w:t>
      </w:r>
      <w:r>
        <w:rPr>
          <w:rFonts w:hint="eastAsia" w:asciiTheme="minorEastAsia" w:hAnsiTheme="minorEastAsia" w:eastAsiaTheme="minorEastAsia"/>
          <w:lang w:eastAsia="zh-CN"/>
        </w:rPr>
        <w:t>根据评价范围内主要群落类型设置了3个监测样地，在大针茅+羊草群落样地、苔草+杂类草草甸样地做3～5个1m×1m植物样方，分别记录样方内的植物种群的分盖度、密度、地上鲜生物量等，最后根据所采集的数据进行统计计算植物群落中植物种的组成及重要值；在芨芨草+杂类草盐生草甸样地做5m×5m样方调查芨芨草的高度、冠幅、标准从地上鲜生物量。在5m×5m监测样地做3-5个1m×1m植物样方，分别记录样方内的植物种群的分盖度、密度、地上鲜生物量等，最后根据所采集的数据进行统计计算植物群落中植物种的组成及重要值。</w:t>
      </w:r>
    </w:p>
    <w:p w14:paraId="1DAFB4A1">
      <w:pPr>
        <w:ind w:firstLine="480"/>
        <w:rPr>
          <w:rFonts w:asciiTheme="minorEastAsia" w:hAnsiTheme="minorEastAsia" w:eastAsiaTheme="minorEastAsia"/>
          <w:lang w:eastAsia="zh-CN"/>
        </w:rPr>
      </w:pPr>
      <w:r>
        <w:rPr>
          <w:rFonts w:asciiTheme="minorEastAsia" w:hAnsiTheme="minorEastAsia" w:eastAsiaTheme="minorEastAsia"/>
          <w:lang w:eastAsia="zh-CN"/>
        </w:rPr>
        <w:t>植物样方统计见表</w:t>
      </w:r>
      <w:r>
        <w:rPr>
          <w:rFonts w:hint="eastAsia" w:asciiTheme="minorEastAsia" w:hAnsiTheme="minorEastAsia" w:eastAsiaTheme="minorEastAsia"/>
          <w:lang w:eastAsia="zh-CN"/>
        </w:rPr>
        <w:t>9</w:t>
      </w:r>
      <w:r>
        <w:rPr>
          <w:rFonts w:asciiTheme="minorEastAsia" w:hAnsiTheme="minorEastAsia" w:eastAsiaTheme="minorEastAsia"/>
          <w:lang w:eastAsia="zh-CN"/>
        </w:rPr>
        <w:t>.</w:t>
      </w:r>
      <w:r>
        <w:rPr>
          <w:rFonts w:hint="eastAsia" w:asciiTheme="minorEastAsia" w:hAnsiTheme="minorEastAsia" w:eastAsiaTheme="minorEastAsia"/>
          <w:lang w:eastAsia="zh-CN"/>
        </w:rPr>
        <w:t>1</w:t>
      </w:r>
      <w:r>
        <w:rPr>
          <w:rFonts w:asciiTheme="minorEastAsia" w:hAnsiTheme="minorEastAsia" w:eastAsiaTheme="minorEastAsia"/>
          <w:lang w:eastAsia="zh-CN"/>
        </w:rPr>
        <w:t>-</w:t>
      </w:r>
      <w:r>
        <w:rPr>
          <w:rFonts w:hint="eastAsia" w:asciiTheme="minorEastAsia" w:hAnsiTheme="minorEastAsia" w:eastAsiaTheme="minorEastAsia"/>
          <w:lang w:eastAsia="zh-CN"/>
        </w:rPr>
        <w:t>4～9</w:t>
      </w:r>
      <w:r>
        <w:rPr>
          <w:rFonts w:asciiTheme="minorEastAsia" w:hAnsiTheme="minorEastAsia" w:eastAsiaTheme="minorEastAsia"/>
          <w:lang w:eastAsia="zh-CN"/>
        </w:rPr>
        <w:t>.</w:t>
      </w:r>
      <w:r>
        <w:rPr>
          <w:rFonts w:hint="eastAsia" w:asciiTheme="minorEastAsia" w:hAnsiTheme="minorEastAsia" w:eastAsiaTheme="minorEastAsia"/>
          <w:lang w:eastAsia="zh-CN"/>
        </w:rPr>
        <w:t>1</w:t>
      </w:r>
      <w:r>
        <w:rPr>
          <w:rFonts w:asciiTheme="minorEastAsia" w:hAnsiTheme="minorEastAsia" w:eastAsiaTheme="minorEastAsia"/>
          <w:lang w:eastAsia="zh-CN"/>
        </w:rPr>
        <w:t>-</w:t>
      </w:r>
      <w:r>
        <w:rPr>
          <w:rFonts w:hint="eastAsia" w:asciiTheme="minorEastAsia" w:hAnsiTheme="minorEastAsia" w:eastAsiaTheme="minorEastAsia"/>
          <w:lang w:eastAsia="zh-CN"/>
        </w:rPr>
        <w:t>7</w:t>
      </w:r>
      <w:r>
        <w:rPr>
          <w:rFonts w:asciiTheme="minorEastAsia" w:hAnsiTheme="minorEastAsia" w:eastAsiaTheme="minorEastAsia"/>
          <w:lang w:eastAsia="zh-CN"/>
        </w:rPr>
        <w:t>。</w:t>
      </w:r>
    </w:p>
    <w:p w14:paraId="0569CDD2">
      <w:pPr>
        <w:ind w:firstLine="480"/>
        <w:rPr>
          <w:rFonts w:asciiTheme="minorEastAsia" w:hAnsiTheme="minorEastAsia" w:eastAsiaTheme="minorEastAsia"/>
          <w:lang w:eastAsia="zh-CN"/>
        </w:rPr>
      </w:pPr>
      <w:r>
        <w:rPr>
          <w:rFonts w:hint="eastAsia" w:eastAsia="黑体"/>
          <w:szCs w:val="24"/>
          <w:lang w:eastAsia="zh-CN"/>
        </w:rPr>
        <w:t>表9.1 -4      大针茅+羊草群落植物样方调查统计表（1m×1m）</w:t>
      </w:r>
    </w:p>
    <w:tbl>
      <w:tblPr>
        <w:tblStyle w:val="76"/>
        <w:tblW w:w="8364" w:type="dxa"/>
        <w:tblInd w:w="10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08"/>
        <w:gridCol w:w="1044"/>
        <w:gridCol w:w="1276"/>
        <w:gridCol w:w="1417"/>
        <w:gridCol w:w="1701"/>
        <w:gridCol w:w="1418"/>
      </w:tblGrid>
      <w:tr w14:paraId="4D2779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08" w:type="dxa"/>
            <w:vAlign w:val="center"/>
          </w:tcPr>
          <w:p w14:paraId="0CC25B45">
            <w:pPr>
              <w:snapToGrid w:val="0"/>
              <w:spacing w:line="240" w:lineRule="atLeast"/>
              <w:ind w:firstLine="360"/>
              <w:jc w:val="center"/>
              <w:rPr>
                <w:sz w:val="18"/>
                <w:szCs w:val="18"/>
              </w:rPr>
            </w:pPr>
            <w:r>
              <w:rPr>
                <w:rFonts w:hint="eastAsia"/>
                <w:sz w:val="18"/>
                <w:szCs w:val="18"/>
              </w:rPr>
              <w:t>植物名称</w:t>
            </w:r>
          </w:p>
        </w:tc>
        <w:tc>
          <w:tcPr>
            <w:tcW w:w="1044" w:type="dxa"/>
            <w:vAlign w:val="center"/>
          </w:tcPr>
          <w:p w14:paraId="32826D01">
            <w:pPr>
              <w:snapToGrid w:val="0"/>
              <w:spacing w:line="240" w:lineRule="atLeast"/>
              <w:ind w:firstLine="0" w:firstLineChars="0"/>
              <w:jc w:val="center"/>
              <w:rPr>
                <w:sz w:val="18"/>
                <w:szCs w:val="18"/>
                <w:lang w:eastAsia="zh-CN"/>
              </w:rPr>
            </w:pPr>
            <w:r>
              <w:rPr>
                <w:rFonts w:hint="eastAsia"/>
                <w:sz w:val="18"/>
                <w:szCs w:val="18"/>
              </w:rPr>
              <w:t>高度</w:t>
            </w:r>
          </w:p>
          <w:p w14:paraId="1844B152">
            <w:pPr>
              <w:snapToGrid w:val="0"/>
              <w:spacing w:line="240" w:lineRule="atLeast"/>
              <w:ind w:firstLine="0" w:firstLineChars="0"/>
              <w:jc w:val="center"/>
              <w:rPr>
                <w:sz w:val="18"/>
                <w:szCs w:val="18"/>
              </w:rPr>
            </w:pPr>
            <w:r>
              <w:rPr>
                <w:rFonts w:hint="eastAsia"/>
                <w:sz w:val="18"/>
                <w:szCs w:val="18"/>
              </w:rPr>
              <w:t>（cm）</w:t>
            </w:r>
          </w:p>
        </w:tc>
        <w:tc>
          <w:tcPr>
            <w:tcW w:w="1276" w:type="dxa"/>
            <w:vAlign w:val="center"/>
          </w:tcPr>
          <w:p w14:paraId="1F074954">
            <w:pPr>
              <w:snapToGrid w:val="0"/>
              <w:spacing w:line="240" w:lineRule="atLeast"/>
              <w:ind w:firstLine="360"/>
              <w:jc w:val="center"/>
              <w:rPr>
                <w:sz w:val="18"/>
                <w:szCs w:val="18"/>
                <w:lang w:eastAsia="zh-CN"/>
              </w:rPr>
            </w:pPr>
            <w:r>
              <w:rPr>
                <w:rFonts w:hint="eastAsia"/>
                <w:sz w:val="18"/>
                <w:szCs w:val="18"/>
              </w:rPr>
              <w:t>分盖度</w:t>
            </w:r>
          </w:p>
          <w:p w14:paraId="4757D54D">
            <w:pPr>
              <w:snapToGrid w:val="0"/>
              <w:spacing w:line="240" w:lineRule="atLeast"/>
              <w:ind w:firstLine="360"/>
              <w:jc w:val="center"/>
              <w:rPr>
                <w:sz w:val="18"/>
                <w:szCs w:val="18"/>
              </w:rPr>
            </w:pPr>
            <w:r>
              <w:rPr>
                <w:rFonts w:hint="eastAsia"/>
                <w:sz w:val="18"/>
                <w:szCs w:val="18"/>
              </w:rPr>
              <w:t>（%）</w:t>
            </w:r>
          </w:p>
        </w:tc>
        <w:tc>
          <w:tcPr>
            <w:tcW w:w="1417" w:type="dxa"/>
            <w:vAlign w:val="center"/>
          </w:tcPr>
          <w:p w14:paraId="6CEE80F0">
            <w:pPr>
              <w:snapToGrid w:val="0"/>
              <w:spacing w:line="240" w:lineRule="atLeast"/>
              <w:ind w:firstLine="360"/>
              <w:jc w:val="center"/>
              <w:rPr>
                <w:sz w:val="18"/>
                <w:szCs w:val="18"/>
                <w:lang w:eastAsia="zh-CN"/>
              </w:rPr>
            </w:pPr>
            <w:r>
              <w:rPr>
                <w:rFonts w:hint="eastAsia"/>
                <w:sz w:val="18"/>
                <w:szCs w:val="18"/>
              </w:rPr>
              <w:t>密度</w:t>
            </w:r>
          </w:p>
          <w:p w14:paraId="7EE67915">
            <w:pPr>
              <w:snapToGrid w:val="0"/>
              <w:spacing w:line="240" w:lineRule="atLeast"/>
              <w:ind w:firstLine="360"/>
              <w:jc w:val="center"/>
              <w:rPr>
                <w:sz w:val="18"/>
                <w:szCs w:val="18"/>
              </w:rPr>
            </w:pPr>
            <w:r>
              <w:rPr>
                <w:rFonts w:hint="eastAsia"/>
                <w:sz w:val="18"/>
                <w:szCs w:val="18"/>
              </w:rPr>
              <w:t>（n/㎡）</w:t>
            </w:r>
          </w:p>
        </w:tc>
        <w:tc>
          <w:tcPr>
            <w:tcW w:w="1701" w:type="dxa"/>
            <w:vAlign w:val="center"/>
          </w:tcPr>
          <w:p w14:paraId="5398BC8C">
            <w:pPr>
              <w:snapToGrid w:val="0"/>
              <w:spacing w:line="240" w:lineRule="atLeast"/>
              <w:ind w:firstLine="360"/>
              <w:jc w:val="center"/>
              <w:rPr>
                <w:sz w:val="18"/>
                <w:szCs w:val="18"/>
                <w:lang w:eastAsia="zh-CN"/>
              </w:rPr>
            </w:pPr>
            <w:r>
              <w:rPr>
                <w:rFonts w:hint="eastAsia"/>
                <w:sz w:val="18"/>
                <w:szCs w:val="18"/>
              </w:rPr>
              <w:t>鲜生物量</w:t>
            </w:r>
          </w:p>
          <w:p w14:paraId="2A4B31A5">
            <w:pPr>
              <w:snapToGrid w:val="0"/>
              <w:spacing w:line="240" w:lineRule="atLeast"/>
              <w:ind w:firstLine="360"/>
              <w:jc w:val="center"/>
              <w:rPr>
                <w:sz w:val="18"/>
                <w:szCs w:val="18"/>
              </w:rPr>
            </w:pPr>
            <w:r>
              <w:rPr>
                <w:rFonts w:hint="eastAsia"/>
                <w:sz w:val="18"/>
                <w:szCs w:val="18"/>
              </w:rPr>
              <w:t>（g/㎡）</w:t>
            </w:r>
          </w:p>
        </w:tc>
        <w:tc>
          <w:tcPr>
            <w:tcW w:w="1418" w:type="dxa"/>
            <w:vAlign w:val="center"/>
          </w:tcPr>
          <w:p w14:paraId="7D7DFD64">
            <w:pPr>
              <w:snapToGrid w:val="0"/>
              <w:spacing w:line="240" w:lineRule="atLeast"/>
              <w:ind w:firstLine="360"/>
              <w:jc w:val="center"/>
              <w:rPr>
                <w:sz w:val="18"/>
                <w:szCs w:val="18"/>
                <w:lang w:eastAsia="zh-CN"/>
              </w:rPr>
            </w:pPr>
            <w:r>
              <w:rPr>
                <w:rFonts w:hint="eastAsia"/>
                <w:sz w:val="18"/>
                <w:szCs w:val="18"/>
              </w:rPr>
              <w:t>重要值</w:t>
            </w:r>
          </w:p>
          <w:p w14:paraId="69F8496D">
            <w:pPr>
              <w:snapToGrid w:val="0"/>
              <w:spacing w:line="240" w:lineRule="atLeast"/>
              <w:ind w:firstLine="360"/>
              <w:jc w:val="center"/>
              <w:rPr>
                <w:sz w:val="18"/>
                <w:szCs w:val="18"/>
              </w:rPr>
            </w:pPr>
            <w:r>
              <w:rPr>
                <w:rFonts w:hint="eastAsia"/>
                <w:sz w:val="18"/>
                <w:szCs w:val="18"/>
              </w:rPr>
              <w:t>（%）</w:t>
            </w:r>
          </w:p>
        </w:tc>
      </w:tr>
      <w:tr w14:paraId="4935D5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08" w:type="dxa"/>
            <w:vAlign w:val="center"/>
          </w:tcPr>
          <w:p w14:paraId="03A15DBC">
            <w:pPr>
              <w:snapToGrid w:val="0"/>
              <w:spacing w:line="240" w:lineRule="atLeast"/>
              <w:ind w:firstLine="360"/>
              <w:jc w:val="center"/>
              <w:rPr>
                <w:sz w:val="18"/>
                <w:szCs w:val="18"/>
              </w:rPr>
            </w:pPr>
            <w:r>
              <w:rPr>
                <w:rFonts w:hint="eastAsia"/>
                <w:sz w:val="18"/>
                <w:szCs w:val="18"/>
              </w:rPr>
              <w:t>针茅</w:t>
            </w:r>
          </w:p>
        </w:tc>
        <w:tc>
          <w:tcPr>
            <w:tcW w:w="1044" w:type="dxa"/>
            <w:vAlign w:val="center"/>
          </w:tcPr>
          <w:p w14:paraId="6E471621">
            <w:pPr>
              <w:snapToGrid w:val="0"/>
              <w:spacing w:line="240" w:lineRule="atLeast"/>
              <w:ind w:firstLine="360"/>
              <w:jc w:val="center"/>
              <w:rPr>
                <w:sz w:val="18"/>
                <w:szCs w:val="18"/>
              </w:rPr>
            </w:pPr>
            <w:r>
              <w:rPr>
                <w:rFonts w:hint="eastAsia"/>
                <w:sz w:val="18"/>
                <w:szCs w:val="18"/>
              </w:rPr>
              <w:t>45</w:t>
            </w:r>
          </w:p>
        </w:tc>
        <w:tc>
          <w:tcPr>
            <w:tcW w:w="1276" w:type="dxa"/>
            <w:vAlign w:val="center"/>
          </w:tcPr>
          <w:p w14:paraId="311D866C">
            <w:pPr>
              <w:snapToGrid w:val="0"/>
              <w:spacing w:line="240" w:lineRule="atLeast"/>
              <w:ind w:firstLine="360"/>
              <w:jc w:val="center"/>
              <w:rPr>
                <w:sz w:val="18"/>
                <w:szCs w:val="18"/>
              </w:rPr>
            </w:pPr>
            <w:r>
              <w:rPr>
                <w:rFonts w:hint="eastAsia"/>
                <w:sz w:val="18"/>
                <w:szCs w:val="18"/>
              </w:rPr>
              <w:t>15</w:t>
            </w:r>
          </w:p>
        </w:tc>
        <w:tc>
          <w:tcPr>
            <w:tcW w:w="1417" w:type="dxa"/>
            <w:vAlign w:val="center"/>
          </w:tcPr>
          <w:p w14:paraId="479B2028">
            <w:pPr>
              <w:snapToGrid w:val="0"/>
              <w:spacing w:line="240" w:lineRule="atLeast"/>
              <w:ind w:firstLine="360"/>
              <w:jc w:val="center"/>
              <w:rPr>
                <w:sz w:val="18"/>
                <w:szCs w:val="18"/>
              </w:rPr>
            </w:pPr>
            <w:r>
              <w:rPr>
                <w:rFonts w:hint="eastAsia"/>
                <w:sz w:val="18"/>
                <w:szCs w:val="18"/>
              </w:rPr>
              <w:t>23</w:t>
            </w:r>
          </w:p>
        </w:tc>
        <w:tc>
          <w:tcPr>
            <w:tcW w:w="1701" w:type="dxa"/>
            <w:vAlign w:val="center"/>
          </w:tcPr>
          <w:p w14:paraId="29FCE706">
            <w:pPr>
              <w:snapToGrid w:val="0"/>
              <w:spacing w:line="240" w:lineRule="atLeast"/>
              <w:ind w:firstLine="360"/>
              <w:jc w:val="center"/>
              <w:rPr>
                <w:sz w:val="18"/>
                <w:szCs w:val="18"/>
              </w:rPr>
            </w:pPr>
            <w:r>
              <w:rPr>
                <w:rFonts w:hint="eastAsia"/>
                <w:sz w:val="18"/>
                <w:szCs w:val="18"/>
              </w:rPr>
              <w:t>96</w:t>
            </w:r>
          </w:p>
        </w:tc>
        <w:tc>
          <w:tcPr>
            <w:tcW w:w="1418" w:type="dxa"/>
            <w:vAlign w:val="center"/>
          </w:tcPr>
          <w:p w14:paraId="4E10275A">
            <w:pPr>
              <w:snapToGrid w:val="0"/>
              <w:spacing w:line="240" w:lineRule="atLeast"/>
              <w:ind w:firstLine="360"/>
              <w:jc w:val="center"/>
              <w:rPr>
                <w:sz w:val="18"/>
                <w:szCs w:val="18"/>
              </w:rPr>
            </w:pPr>
            <w:r>
              <w:rPr>
                <w:rFonts w:hint="eastAsia"/>
                <w:sz w:val="18"/>
                <w:szCs w:val="18"/>
              </w:rPr>
              <w:t>51.12</w:t>
            </w:r>
          </w:p>
        </w:tc>
      </w:tr>
      <w:tr w14:paraId="1D8967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08" w:type="dxa"/>
            <w:vAlign w:val="center"/>
          </w:tcPr>
          <w:p w14:paraId="5FBA808E">
            <w:pPr>
              <w:snapToGrid w:val="0"/>
              <w:spacing w:line="240" w:lineRule="atLeast"/>
              <w:ind w:firstLine="360"/>
              <w:jc w:val="center"/>
              <w:rPr>
                <w:sz w:val="18"/>
                <w:szCs w:val="18"/>
              </w:rPr>
            </w:pPr>
            <w:r>
              <w:rPr>
                <w:rFonts w:hint="eastAsia"/>
                <w:sz w:val="18"/>
                <w:szCs w:val="18"/>
              </w:rPr>
              <w:t>羊草</w:t>
            </w:r>
          </w:p>
        </w:tc>
        <w:tc>
          <w:tcPr>
            <w:tcW w:w="1044" w:type="dxa"/>
            <w:vAlign w:val="center"/>
          </w:tcPr>
          <w:p w14:paraId="6EAAA450">
            <w:pPr>
              <w:snapToGrid w:val="0"/>
              <w:spacing w:line="240" w:lineRule="atLeast"/>
              <w:ind w:firstLine="360"/>
              <w:jc w:val="center"/>
              <w:rPr>
                <w:sz w:val="18"/>
                <w:szCs w:val="18"/>
              </w:rPr>
            </w:pPr>
            <w:r>
              <w:rPr>
                <w:rFonts w:hint="eastAsia"/>
                <w:sz w:val="18"/>
                <w:szCs w:val="18"/>
              </w:rPr>
              <w:t>20</w:t>
            </w:r>
          </w:p>
        </w:tc>
        <w:tc>
          <w:tcPr>
            <w:tcW w:w="1276" w:type="dxa"/>
            <w:vAlign w:val="center"/>
          </w:tcPr>
          <w:p w14:paraId="1B199A5C">
            <w:pPr>
              <w:snapToGrid w:val="0"/>
              <w:spacing w:line="240" w:lineRule="atLeast"/>
              <w:ind w:firstLine="360"/>
              <w:jc w:val="center"/>
              <w:rPr>
                <w:sz w:val="18"/>
                <w:szCs w:val="18"/>
              </w:rPr>
            </w:pPr>
            <w:r>
              <w:rPr>
                <w:rFonts w:hint="eastAsia"/>
                <w:sz w:val="18"/>
                <w:szCs w:val="18"/>
              </w:rPr>
              <w:t>5</w:t>
            </w:r>
          </w:p>
        </w:tc>
        <w:tc>
          <w:tcPr>
            <w:tcW w:w="1417" w:type="dxa"/>
            <w:vAlign w:val="center"/>
          </w:tcPr>
          <w:p w14:paraId="2F4D61C0">
            <w:pPr>
              <w:snapToGrid w:val="0"/>
              <w:spacing w:line="240" w:lineRule="atLeast"/>
              <w:ind w:firstLine="360"/>
              <w:jc w:val="center"/>
              <w:rPr>
                <w:sz w:val="18"/>
                <w:szCs w:val="18"/>
              </w:rPr>
            </w:pPr>
            <w:r>
              <w:rPr>
                <w:rFonts w:hint="eastAsia"/>
                <w:sz w:val="18"/>
                <w:szCs w:val="18"/>
              </w:rPr>
              <w:t>86</w:t>
            </w:r>
          </w:p>
        </w:tc>
        <w:tc>
          <w:tcPr>
            <w:tcW w:w="1701" w:type="dxa"/>
            <w:vAlign w:val="center"/>
          </w:tcPr>
          <w:p w14:paraId="35D02E10">
            <w:pPr>
              <w:snapToGrid w:val="0"/>
              <w:spacing w:line="240" w:lineRule="atLeast"/>
              <w:ind w:firstLine="360"/>
              <w:jc w:val="center"/>
              <w:rPr>
                <w:sz w:val="18"/>
                <w:szCs w:val="18"/>
              </w:rPr>
            </w:pPr>
            <w:r>
              <w:rPr>
                <w:rFonts w:hint="eastAsia"/>
                <w:sz w:val="18"/>
                <w:szCs w:val="18"/>
              </w:rPr>
              <w:t>65</w:t>
            </w:r>
          </w:p>
        </w:tc>
        <w:tc>
          <w:tcPr>
            <w:tcW w:w="1418" w:type="dxa"/>
            <w:vAlign w:val="center"/>
          </w:tcPr>
          <w:p w14:paraId="6AB8D5D2">
            <w:pPr>
              <w:snapToGrid w:val="0"/>
              <w:spacing w:line="240" w:lineRule="atLeast"/>
              <w:ind w:firstLine="360"/>
              <w:jc w:val="center"/>
              <w:rPr>
                <w:sz w:val="18"/>
                <w:szCs w:val="18"/>
              </w:rPr>
            </w:pPr>
            <w:r>
              <w:rPr>
                <w:rFonts w:hint="eastAsia"/>
                <w:sz w:val="18"/>
                <w:szCs w:val="18"/>
              </w:rPr>
              <w:t>15.32</w:t>
            </w:r>
          </w:p>
        </w:tc>
      </w:tr>
      <w:tr w14:paraId="60DDF3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08" w:type="dxa"/>
            <w:vAlign w:val="center"/>
          </w:tcPr>
          <w:p w14:paraId="0B232436">
            <w:pPr>
              <w:snapToGrid w:val="0"/>
              <w:spacing w:line="240" w:lineRule="atLeast"/>
              <w:ind w:firstLine="360"/>
              <w:jc w:val="center"/>
              <w:rPr>
                <w:sz w:val="18"/>
                <w:szCs w:val="18"/>
              </w:rPr>
            </w:pPr>
            <w:r>
              <w:rPr>
                <w:rFonts w:hint="eastAsia"/>
                <w:sz w:val="18"/>
                <w:szCs w:val="18"/>
              </w:rPr>
              <w:t>小叶锦鸡儿</w:t>
            </w:r>
          </w:p>
        </w:tc>
        <w:tc>
          <w:tcPr>
            <w:tcW w:w="1044" w:type="dxa"/>
            <w:vAlign w:val="center"/>
          </w:tcPr>
          <w:p w14:paraId="219B3B9C">
            <w:pPr>
              <w:snapToGrid w:val="0"/>
              <w:spacing w:line="240" w:lineRule="atLeast"/>
              <w:ind w:firstLine="360"/>
              <w:jc w:val="center"/>
              <w:rPr>
                <w:sz w:val="18"/>
                <w:szCs w:val="18"/>
              </w:rPr>
            </w:pPr>
            <w:r>
              <w:rPr>
                <w:rFonts w:hint="eastAsia"/>
                <w:sz w:val="18"/>
                <w:szCs w:val="18"/>
              </w:rPr>
              <w:t>13</w:t>
            </w:r>
          </w:p>
        </w:tc>
        <w:tc>
          <w:tcPr>
            <w:tcW w:w="1276" w:type="dxa"/>
            <w:vAlign w:val="center"/>
          </w:tcPr>
          <w:p w14:paraId="13419FA0">
            <w:pPr>
              <w:snapToGrid w:val="0"/>
              <w:spacing w:line="240" w:lineRule="atLeast"/>
              <w:ind w:firstLine="360"/>
              <w:jc w:val="center"/>
              <w:rPr>
                <w:sz w:val="18"/>
                <w:szCs w:val="18"/>
              </w:rPr>
            </w:pPr>
            <w:r>
              <w:rPr>
                <w:rFonts w:hint="eastAsia"/>
                <w:sz w:val="18"/>
                <w:szCs w:val="18"/>
              </w:rPr>
              <w:t>2</w:t>
            </w:r>
          </w:p>
        </w:tc>
        <w:tc>
          <w:tcPr>
            <w:tcW w:w="1417" w:type="dxa"/>
            <w:vAlign w:val="center"/>
          </w:tcPr>
          <w:p w14:paraId="52904A42">
            <w:pPr>
              <w:snapToGrid w:val="0"/>
              <w:spacing w:line="240" w:lineRule="atLeast"/>
              <w:ind w:firstLine="360"/>
              <w:jc w:val="center"/>
              <w:rPr>
                <w:sz w:val="18"/>
                <w:szCs w:val="18"/>
              </w:rPr>
            </w:pPr>
            <w:r>
              <w:rPr>
                <w:rFonts w:hint="eastAsia"/>
                <w:sz w:val="18"/>
                <w:szCs w:val="18"/>
              </w:rPr>
              <w:t>6</w:t>
            </w:r>
          </w:p>
        </w:tc>
        <w:tc>
          <w:tcPr>
            <w:tcW w:w="1701" w:type="dxa"/>
            <w:vAlign w:val="center"/>
          </w:tcPr>
          <w:p w14:paraId="05419DDC">
            <w:pPr>
              <w:snapToGrid w:val="0"/>
              <w:spacing w:line="240" w:lineRule="atLeast"/>
              <w:ind w:firstLine="360"/>
              <w:jc w:val="center"/>
              <w:rPr>
                <w:sz w:val="18"/>
                <w:szCs w:val="18"/>
              </w:rPr>
            </w:pPr>
            <w:r>
              <w:rPr>
                <w:rFonts w:hint="eastAsia"/>
                <w:sz w:val="18"/>
                <w:szCs w:val="18"/>
              </w:rPr>
              <w:t>33</w:t>
            </w:r>
          </w:p>
        </w:tc>
        <w:tc>
          <w:tcPr>
            <w:tcW w:w="1418" w:type="dxa"/>
            <w:vAlign w:val="center"/>
          </w:tcPr>
          <w:p w14:paraId="7E57060F">
            <w:pPr>
              <w:snapToGrid w:val="0"/>
              <w:spacing w:line="240" w:lineRule="atLeast"/>
              <w:ind w:firstLine="360"/>
              <w:jc w:val="center"/>
              <w:rPr>
                <w:sz w:val="18"/>
                <w:szCs w:val="18"/>
              </w:rPr>
            </w:pPr>
            <w:r>
              <w:rPr>
                <w:rFonts w:hint="eastAsia"/>
                <w:sz w:val="18"/>
                <w:szCs w:val="18"/>
              </w:rPr>
              <w:t>6.00</w:t>
            </w:r>
          </w:p>
        </w:tc>
      </w:tr>
      <w:tr w14:paraId="10CDAF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08" w:type="dxa"/>
            <w:vAlign w:val="center"/>
          </w:tcPr>
          <w:p w14:paraId="3B48E637">
            <w:pPr>
              <w:snapToGrid w:val="0"/>
              <w:spacing w:line="240" w:lineRule="atLeast"/>
              <w:ind w:firstLine="360"/>
              <w:jc w:val="center"/>
              <w:rPr>
                <w:sz w:val="18"/>
                <w:szCs w:val="18"/>
              </w:rPr>
            </w:pPr>
            <w:r>
              <w:rPr>
                <w:rFonts w:hint="eastAsia"/>
                <w:sz w:val="18"/>
                <w:szCs w:val="18"/>
              </w:rPr>
              <w:t>冰草</w:t>
            </w:r>
          </w:p>
        </w:tc>
        <w:tc>
          <w:tcPr>
            <w:tcW w:w="1044" w:type="dxa"/>
            <w:vAlign w:val="center"/>
          </w:tcPr>
          <w:p w14:paraId="1D06D793">
            <w:pPr>
              <w:snapToGrid w:val="0"/>
              <w:spacing w:line="240" w:lineRule="atLeast"/>
              <w:ind w:firstLine="360"/>
              <w:jc w:val="center"/>
              <w:rPr>
                <w:sz w:val="18"/>
                <w:szCs w:val="18"/>
              </w:rPr>
            </w:pPr>
            <w:r>
              <w:rPr>
                <w:rFonts w:hint="eastAsia"/>
                <w:sz w:val="18"/>
                <w:szCs w:val="18"/>
              </w:rPr>
              <w:t>12</w:t>
            </w:r>
          </w:p>
        </w:tc>
        <w:tc>
          <w:tcPr>
            <w:tcW w:w="1276" w:type="dxa"/>
            <w:vAlign w:val="center"/>
          </w:tcPr>
          <w:p w14:paraId="47DF133D">
            <w:pPr>
              <w:snapToGrid w:val="0"/>
              <w:spacing w:line="240" w:lineRule="atLeast"/>
              <w:ind w:firstLine="360"/>
              <w:jc w:val="center"/>
              <w:rPr>
                <w:sz w:val="18"/>
                <w:szCs w:val="18"/>
              </w:rPr>
            </w:pPr>
            <w:r>
              <w:rPr>
                <w:rFonts w:hint="eastAsia"/>
                <w:sz w:val="18"/>
                <w:szCs w:val="18"/>
              </w:rPr>
              <w:t>1</w:t>
            </w:r>
          </w:p>
        </w:tc>
        <w:tc>
          <w:tcPr>
            <w:tcW w:w="1417" w:type="dxa"/>
            <w:vAlign w:val="center"/>
          </w:tcPr>
          <w:p w14:paraId="13870A36">
            <w:pPr>
              <w:snapToGrid w:val="0"/>
              <w:spacing w:line="240" w:lineRule="atLeast"/>
              <w:ind w:firstLine="360"/>
              <w:jc w:val="center"/>
              <w:rPr>
                <w:sz w:val="18"/>
                <w:szCs w:val="18"/>
              </w:rPr>
            </w:pPr>
            <w:r>
              <w:rPr>
                <w:rFonts w:hint="eastAsia"/>
                <w:sz w:val="18"/>
                <w:szCs w:val="18"/>
              </w:rPr>
              <w:t>18</w:t>
            </w:r>
          </w:p>
        </w:tc>
        <w:tc>
          <w:tcPr>
            <w:tcW w:w="1701" w:type="dxa"/>
            <w:vAlign w:val="center"/>
          </w:tcPr>
          <w:p w14:paraId="1EA51F3F">
            <w:pPr>
              <w:snapToGrid w:val="0"/>
              <w:spacing w:line="240" w:lineRule="atLeast"/>
              <w:ind w:firstLine="360"/>
              <w:jc w:val="center"/>
              <w:rPr>
                <w:sz w:val="18"/>
                <w:szCs w:val="18"/>
              </w:rPr>
            </w:pPr>
            <w:r>
              <w:rPr>
                <w:rFonts w:hint="eastAsia"/>
                <w:sz w:val="18"/>
                <w:szCs w:val="18"/>
              </w:rPr>
              <w:t>8</w:t>
            </w:r>
          </w:p>
        </w:tc>
        <w:tc>
          <w:tcPr>
            <w:tcW w:w="1418" w:type="dxa"/>
            <w:vAlign w:val="center"/>
          </w:tcPr>
          <w:p w14:paraId="3934598B">
            <w:pPr>
              <w:snapToGrid w:val="0"/>
              <w:spacing w:line="240" w:lineRule="atLeast"/>
              <w:ind w:firstLine="360"/>
              <w:jc w:val="center"/>
              <w:rPr>
                <w:sz w:val="18"/>
                <w:szCs w:val="18"/>
              </w:rPr>
            </w:pPr>
            <w:r>
              <w:rPr>
                <w:rFonts w:hint="eastAsia"/>
                <w:sz w:val="18"/>
                <w:szCs w:val="18"/>
              </w:rPr>
              <w:t>1.87</w:t>
            </w:r>
          </w:p>
        </w:tc>
      </w:tr>
      <w:tr w14:paraId="268B8F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08" w:type="dxa"/>
            <w:vAlign w:val="center"/>
          </w:tcPr>
          <w:p w14:paraId="2E0459B9">
            <w:pPr>
              <w:snapToGrid w:val="0"/>
              <w:spacing w:line="240" w:lineRule="atLeast"/>
              <w:ind w:firstLine="360"/>
              <w:jc w:val="center"/>
              <w:rPr>
                <w:sz w:val="18"/>
                <w:szCs w:val="18"/>
              </w:rPr>
            </w:pPr>
            <w:r>
              <w:rPr>
                <w:rFonts w:hint="eastAsia"/>
                <w:sz w:val="18"/>
                <w:szCs w:val="18"/>
              </w:rPr>
              <w:t>冷蒿</w:t>
            </w:r>
          </w:p>
        </w:tc>
        <w:tc>
          <w:tcPr>
            <w:tcW w:w="1044" w:type="dxa"/>
            <w:vAlign w:val="center"/>
          </w:tcPr>
          <w:p w14:paraId="51AF205F">
            <w:pPr>
              <w:snapToGrid w:val="0"/>
              <w:spacing w:line="240" w:lineRule="atLeast"/>
              <w:ind w:firstLine="360"/>
              <w:jc w:val="center"/>
              <w:rPr>
                <w:sz w:val="18"/>
                <w:szCs w:val="18"/>
              </w:rPr>
            </w:pPr>
            <w:r>
              <w:rPr>
                <w:rFonts w:hint="eastAsia"/>
                <w:sz w:val="18"/>
                <w:szCs w:val="18"/>
              </w:rPr>
              <w:t>5</w:t>
            </w:r>
          </w:p>
        </w:tc>
        <w:tc>
          <w:tcPr>
            <w:tcW w:w="1276" w:type="dxa"/>
            <w:vAlign w:val="center"/>
          </w:tcPr>
          <w:p w14:paraId="1F723E4B">
            <w:pPr>
              <w:snapToGrid w:val="0"/>
              <w:spacing w:line="240" w:lineRule="atLeast"/>
              <w:ind w:firstLine="360"/>
              <w:jc w:val="center"/>
              <w:rPr>
                <w:sz w:val="18"/>
                <w:szCs w:val="18"/>
              </w:rPr>
            </w:pPr>
            <w:r>
              <w:rPr>
                <w:rFonts w:hint="eastAsia"/>
                <w:sz w:val="18"/>
                <w:szCs w:val="18"/>
              </w:rPr>
              <w:t>2</w:t>
            </w:r>
          </w:p>
        </w:tc>
        <w:tc>
          <w:tcPr>
            <w:tcW w:w="1417" w:type="dxa"/>
            <w:vAlign w:val="center"/>
          </w:tcPr>
          <w:p w14:paraId="3E3D27AB">
            <w:pPr>
              <w:snapToGrid w:val="0"/>
              <w:spacing w:line="240" w:lineRule="atLeast"/>
              <w:ind w:firstLine="360"/>
              <w:jc w:val="center"/>
              <w:rPr>
                <w:sz w:val="18"/>
                <w:szCs w:val="18"/>
              </w:rPr>
            </w:pPr>
            <w:r>
              <w:rPr>
                <w:rFonts w:hint="eastAsia"/>
                <w:sz w:val="18"/>
                <w:szCs w:val="18"/>
              </w:rPr>
              <w:t>16</w:t>
            </w:r>
          </w:p>
        </w:tc>
        <w:tc>
          <w:tcPr>
            <w:tcW w:w="1701" w:type="dxa"/>
            <w:vAlign w:val="center"/>
          </w:tcPr>
          <w:p w14:paraId="717FB2A6">
            <w:pPr>
              <w:snapToGrid w:val="0"/>
              <w:spacing w:line="240" w:lineRule="atLeast"/>
              <w:ind w:firstLine="360"/>
              <w:jc w:val="center"/>
              <w:rPr>
                <w:sz w:val="18"/>
                <w:szCs w:val="18"/>
              </w:rPr>
            </w:pPr>
            <w:r>
              <w:rPr>
                <w:rFonts w:hint="eastAsia"/>
                <w:sz w:val="18"/>
                <w:szCs w:val="18"/>
              </w:rPr>
              <w:t>19</w:t>
            </w:r>
          </w:p>
        </w:tc>
        <w:tc>
          <w:tcPr>
            <w:tcW w:w="1418" w:type="dxa"/>
            <w:vAlign w:val="center"/>
          </w:tcPr>
          <w:p w14:paraId="5ADA2CDF">
            <w:pPr>
              <w:snapToGrid w:val="0"/>
              <w:spacing w:line="240" w:lineRule="atLeast"/>
              <w:ind w:firstLine="360"/>
              <w:jc w:val="center"/>
              <w:rPr>
                <w:sz w:val="18"/>
                <w:szCs w:val="18"/>
              </w:rPr>
            </w:pPr>
            <w:r>
              <w:rPr>
                <w:rFonts w:hint="eastAsia"/>
                <w:sz w:val="18"/>
                <w:szCs w:val="18"/>
              </w:rPr>
              <w:t>3.44</w:t>
            </w:r>
          </w:p>
        </w:tc>
      </w:tr>
      <w:tr w14:paraId="639EE5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08" w:type="dxa"/>
            <w:vAlign w:val="center"/>
          </w:tcPr>
          <w:p w14:paraId="7689A443">
            <w:pPr>
              <w:snapToGrid w:val="0"/>
              <w:spacing w:line="240" w:lineRule="atLeast"/>
              <w:ind w:firstLine="360"/>
              <w:jc w:val="center"/>
              <w:rPr>
                <w:sz w:val="18"/>
                <w:szCs w:val="18"/>
              </w:rPr>
            </w:pPr>
            <w:r>
              <w:rPr>
                <w:rFonts w:hint="eastAsia"/>
                <w:sz w:val="18"/>
                <w:szCs w:val="18"/>
              </w:rPr>
              <w:t>柴胡</w:t>
            </w:r>
          </w:p>
        </w:tc>
        <w:tc>
          <w:tcPr>
            <w:tcW w:w="1044" w:type="dxa"/>
            <w:vAlign w:val="center"/>
          </w:tcPr>
          <w:p w14:paraId="4887D24C">
            <w:pPr>
              <w:snapToGrid w:val="0"/>
              <w:spacing w:line="240" w:lineRule="atLeast"/>
              <w:ind w:firstLine="360"/>
              <w:jc w:val="center"/>
              <w:rPr>
                <w:sz w:val="18"/>
                <w:szCs w:val="18"/>
              </w:rPr>
            </w:pPr>
            <w:r>
              <w:rPr>
                <w:rFonts w:hint="eastAsia"/>
                <w:sz w:val="18"/>
                <w:szCs w:val="18"/>
              </w:rPr>
              <w:t>15</w:t>
            </w:r>
          </w:p>
        </w:tc>
        <w:tc>
          <w:tcPr>
            <w:tcW w:w="1276" w:type="dxa"/>
            <w:vAlign w:val="center"/>
          </w:tcPr>
          <w:p w14:paraId="5FE94B01">
            <w:pPr>
              <w:snapToGrid w:val="0"/>
              <w:spacing w:line="240" w:lineRule="atLeast"/>
              <w:ind w:firstLine="360"/>
              <w:jc w:val="center"/>
              <w:rPr>
                <w:sz w:val="18"/>
                <w:szCs w:val="18"/>
              </w:rPr>
            </w:pPr>
            <w:r>
              <w:rPr>
                <w:rFonts w:hint="eastAsia"/>
                <w:sz w:val="18"/>
                <w:szCs w:val="18"/>
              </w:rPr>
              <w:t>1</w:t>
            </w:r>
          </w:p>
        </w:tc>
        <w:tc>
          <w:tcPr>
            <w:tcW w:w="1417" w:type="dxa"/>
            <w:vAlign w:val="center"/>
          </w:tcPr>
          <w:p w14:paraId="517DE29F">
            <w:pPr>
              <w:snapToGrid w:val="0"/>
              <w:spacing w:line="240" w:lineRule="atLeast"/>
              <w:ind w:firstLine="360"/>
              <w:jc w:val="center"/>
              <w:rPr>
                <w:sz w:val="18"/>
                <w:szCs w:val="18"/>
              </w:rPr>
            </w:pPr>
            <w:r>
              <w:rPr>
                <w:rFonts w:hint="eastAsia"/>
                <w:sz w:val="18"/>
                <w:szCs w:val="18"/>
              </w:rPr>
              <w:t>10</w:t>
            </w:r>
          </w:p>
        </w:tc>
        <w:tc>
          <w:tcPr>
            <w:tcW w:w="1701" w:type="dxa"/>
            <w:vAlign w:val="center"/>
          </w:tcPr>
          <w:p w14:paraId="7D5011D7">
            <w:pPr>
              <w:snapToGrid w:val="0"/>
              <w:spacing w:line="240" w:lineRule="atLeast"/>
              <w:ind w:firstLine="360"/>
              <w:jc w:val="center"/>
              <w:rPr>
                <w:sz w:val="18"/>
                <w:szCs w:val="18"/>
              </w:rPr>
            </w:pPr>
            <w:r>
              <w:rPr>
                <w:rFonts w:hint="eastAsia"/>
                <w:sz w:val="18"/>
                <w:szCs w:val="18"/>
              </w:rPr>
              <w:t>8</w:t>
            </w:r>
          </w:p>
        </w:tc>
        <w:tc>
          <w:tcPr>
            <w:tcW w:w="1418" w:type="dxa"/>
            <w:vAlign w:val="center"/>
          </w:tcPr>
          <w:p w14:paraId="5CB106B4">
            <w:pPr>
              <w:snapToGrid w:val="0"/>
              <w:spacing w:line="240" w:lineRule="atLeast"/>
              <w:ind w:firstLine="360"/>
              <w:jc w:val="center"/>
              <w:rPr>
                <w:sz w:val="18"/>
                <w:szCs w:val="18"/>
              </w:rPr>
            </w:pPr>
            <w:r>
              <w:rPr>
                <w:rFonts w:hint="eastAsia"/>
                <w:sz w:val="18"/>
                <w:szCs w:val="18"/>
              </w:rPr>
              <w:t>2.03</w:t>
            </w:r>
          </w:p>
        </w:tc>
      </w:tr>
      <w:tr w14:paraId="471DAC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08" w:type="dxa"/>
            <w:vAlign w:val="center"/>
          </w:tcPr>
          <w:p w14:paraId="7C59F832">
            <w:pPr>
              <w:snapToGrid w:val="0"/>
              <w:spacing w:line="240" w:lineRule="atLeast"/>
              <w:ind w:firstLine="360"/>
              <w:jc w:val="center"/>
              <w:rPr>
                <w:sz w:val="18"/>
                <w:szCs w:val="18"/>
              </w:rPr>
            </w:pPr>
            <w:r>
              <w:rPr>
                <w:rFonts w:hint="eastAsia"/>
                <w:sz w:val="18"/>
                <w:szCs w:val="18"/>
              </w:rPr>
              <w:t>糙隐子草</w:t>
            </w:r>
          </w:p>
        </w:tc>
        <w:tc>
          <w:tcPr>
            <w:tcW w:w="1044" w:type="dxa"/>
            <w:vAlign w:val="center"/>
          </w:tcPr>
          <w:p w14:paraId="2EC08A1E">
            <w:pPr>
              <w:snapToGrid w:val="0"/>
              <w:spacing w:line="240" w:lineRule="atLeast"/>
              <w:ind w:firstLine="360"/>
              <w:jc w:val="center"/>
              <w:rPr>
                <w:sz w:val="18"/>
                <w:szCs w:val="18"/>
              </w:rPr>
            </w:pPr>
            <w:r>
              <w:rPr>
                <w:rFonts w:hint="eastAsia"/>
                <w:sz w:val="18"/>
                <w:szCs w:val="18"/>
              </w:rPr>
              <w:t>3</w:t>
            </w:r>
          </w:p>
        </w:tc>
        <w:tc>
          <w:tcPr>
            <w:tcW w:w="1276" w:type="dxa"/>
            <w:vAlign w:val="center"/>
          </w:tcPr>
          <w:p w14:paraId="31402169">
            <w:pPr>
              <w:snapToGrid w:val="0"/>
              <w:spacing w:line="240" w:lineRule="atLeast"/>
              <w:ind w:firstLine="360"/>
              <w:jc w:val="center"/>
              <w:rPr>
                <w:sz w:val="18"/>
                <w:szCs w:val="18"/>
              </w:rPr>
            </w:pPr>
            <w:r>
              <w:rPr>
                <w:rFonts w:hint="eastAsia"/>
                <w:sz w:val="18"/>
                <w:szCs w:val="18"/>
              </w:rPr>
              <w:t>1</w:t>
            </w:r>
          </w:p>
        </w:tc>
        <w:tc>
          <w:tcPr>
            <w:tcW w:w="1417" w:type="dxa"/>
            <w:vAlign w:val="center"/>
          </w:tcPr>
          <w:p w14:paraId="3A6B5C81">
            <w:pPr>
              <w:snapToGrid w:val="0"/>
              <w:spacing w:line="240" w:lineRule="atLeast"/>
              <w:ind w:firstLine="360"/>
              <w:jc w:val="center"/>
              <w:rPr>
                <w:sz w:val="18"/>
                <w:szCs w:val="18"/>
              </w:rPr>
            </w:pPr>
            <w:r>
              <w:rPr>
                <w:rFonts w:hint="eastAsia"/>
                <w:sz w:val="18"/>
                <w:szCs w:val="18"/>
              </w:rPr>
              <w:t>13</w:t>
            </w:r>
          </w:p>
        </w:tc>
        <w:tc>
          <w:tcPr>
            <w:tcW w:w="1701" w:type="dxa"/>
            <w:vAlign w:val="center"/>
          </w:tcPr>
          <w:p w14:paraId="0B80BEC5">
            <w:pPr>
              <w:snapToGrid w:val="0"/>
              <w:spacing w:line="240" w:lineRule="atLeast"/>
              <w:ind w:firstLine="360"/>
              <w:jc w:val="center"/>
              <w:rPr>
                <w:sz w:val="18"/>
                <w:szCs w:val="18"/>
              </w:rPr>
            </w:pPr>
            <w:r>
              <w:rPr>
                <w:rFonts w:hint="eastAsia"/>
                <w:sz w:val="18"/>
                <w:szCs w:val="18"/>
              </w:rPr>
              <w:t>4</w:t>
            </w:r>
          </w:p>
        </w:tc>
        <w:tc>
          <w:tcPr>
            <w:tcW w:w="1418" w:type="dxa"/>
            <w:vAlign w:val="center"/>
          </w:tcPr>
          <w:p w14:paraId="1CDE979B">
            <w:pPr>
              <w:snapToGrid w:val="0"/>
              <w:spacing w:line="240" w:lineRule="atLeast"/>
              <w:ind w:firstLine="360"/>
              <w:jc w:val="center"/>
              <w:rPr>
                <w:sz w:val="18"/>
                <w:szCs w:val="18"/>
              </w:rPr>
            </w:pPr>
            <w:r>
              <w:rPr>
                <w:rFonts w:hint="eastAsia"/>
                <w:sz w:val="18"/>
                <w:szCs w:val="18"/>
              </w:rPr>
              <w:t>0.77</w:t>
            </w:r>
          </w:p>
        </w:tc>
      </w:tr>
      <w:tr w14:paraId="0DAA13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08" w:type="dxa"/>
            <w:vAlign w:val="center"/>
          </w:tcPr>
          <w:p w14:paraId="43E7498F">
            <w:pPr>
              <w:snapToGrid w:val="0"/>
              <w:spacing w:line="240" w:lineRule="atLeast"/>
              <w:ind w:firstLine="360"/>
              <w:jc w:val="center"/>
              <w:rPr>
                <w:sz w:val="18"/>
                <w:szCs w:val="18"/>
              </w:rPr>
            </w:pPr>
            <w:r>
              <w:rPr>
                <w:rFonts w:hint="eastAsia"/>
                <w:sz w:val="18"/>
                <w:szCs w:val="18"/>
              </w:rPr>
              <w:t>菊叶委陵菜</w:t>
            </w:r>
          </w:p>
        </w:tc>
        <w:tc>
          <w:tcPr>
            <w:tcW w:w="1044" w:type="dxa"/>
            <w:vAlign w:val="center"/>
          </w:tcPr>
          <w:p w14:paraId="767A6B87">
            <w:pPr>
              <w:snapToGrid w:val="0"/>
              <w:spacing w:line="240" w:lineRule="atLeast"/>
              <w:ind w:firstLine="360"/>
              <w:jc w:val="center"/>
              <w:rPr>
                <w:sz w:val="18"/>
                <w:szCs w:val="18"/>
              </w:rPr>
            </w:pPr>
            <w:r>
              <w:rPr>
                <w:rFonts w:hint="eastAsia"/>
                <w:sz w:val="18"/>
                <w:szCs w:val="18"/>
              </w:rPr>
              <w:t>18</w:t>
            </w:r>
          </w:p>
        </w:tc>
        <w:tc>
          <w:tcPr>
            <w:tcW w:w="1276" w:type="dxa"/>
            <w:vAlign w:val="center"/>
          </w:tcPr>
          <w:p w14:paraId="2A4C3796">
            <w:pPr>
              <w:snapToGrid w:val="0"/>
              <w:spacing w:line="240" w:lineRule="atLeast"/>
              <w:ind w:firstLine="360"/>
              <w:jc w:val="center"/>
              <w:rPr>
                <w:sz w:val="18"/>
                <w:szCs w:val="18"/>
              </w:rPr>
            </w:pPr>
            <w:r>
              <w:rPr>
                <w:rFonts w:hint="eastAsia"/>
                <w:sz w:val="18"/>
                <w:szCs w:val="18"/>
              </w:rPr>
              <w:t>2</w:t>
            </w:r>
          </w:p>
        </w:tc>
        <w:tc>
          <w:tcPr>
            <w:tcW w:w="1417" w:type="dxa"/>
            <w:vAlign w:val="center"/>
          </w:tcPr>
          <w:p w14:paraId="1BB8E040">
            <w:pPr>
              <w:snapToGrid w:val="0"/>
              <w:spacing w:line="240" w:lineRule="atLeast"/>
              <w:ind w:firstLine="360"/>
              <w:jc w:val="center"/>
              <w:rPr>
                <w:sz w:val="18"/>
                <w:szCs w:val="18"/>
              </w:rPr>
            </w:pPr>
            <w:r>
              <w:rPr>
                <w:rFonts w:hint="eastAsia"/>
                <w:sz w:val="18"/>
                <w:szCs w:val="18"/>
              </w:rPr>
              <w:t>8</w:t>
            </w:r>
          </w:p>
        </w:tc>
        <w:tc>
          <w:tcPr>
            <w:tcW w:w="1701" w:type="dxa"/>
            <w:vAlign w:val="center"/>
          </w:tcPr>
          <w:p w14:paraId="1F497224">
            <w:pPr>
              <w:snapToGrid w:val="0"/>
              <w:spacing w:line="240" w:lineRule="atLeast"/>
              <w:ind w:firstLine="360"/>
              <w:jc w:val="center"/>
              <w:rPr>
                <w:sz w:val="18"/>
                <w:szCs w:val="18"/>
              </w:rPr>
            </w:pPr>
            <w:r>
              <w:rPr>
                <w:rFonts w:hint="eastAsia"/>
                <w:sz w:val="18"/>
                <w:szCs w:val="18"/>
              </w:rPr>
              <w:t>43</w:t>
            </w:r>
          </w:p>
        </w:tc>
        <w:tc>
          <w:tcPr>
            <w:tcW w:w="1418" w:type="dxa"/>
            <w:vAlign w:val="center"/>
          </w:tcPr>
          <w:p w14:paraId="4A4536D8">
            <w:pPr>
              <w:snapToGrid w:val="0"/>
              <w:spacing w:line="240" w:lineRule="atLeast"/>
              <w:ind w:firstLine="360"/>
              <w:jc w:val="center"/>
              <w:rPr>
                <w:sz w:val="18"/>
                <w:szCs w:val="18"/>
              </w:rPr>
            </w:pPr>
            <w:r>
              <w:rPr>
                <w:rFonts w:hint="eastAsia"/>
                <w:sz w:val="18"/>
                <w:szCs w:val="18"/>
              </w:rPr>
              <w:t>8.16</w:t>
            </w:r>
          </w:p>
        </w:tc>
      </w:tr>
      <w:tr w14:paraId="4AC654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08" w:type="dxa"/>
            <w:vAlign w:val="center"/>
          </w:tcPr>
          <w:p w14:paraId="08B7CC9B">
            <w:pPr>
              <w:snapToGrid w:val="0"/>
              <w:spacing w:line="240" w:lineRule="atLeast"/>
              <w:ind w:firstLine="360"/>
              <w:jc w:val="center"/>
              <w:rPr>
                <w:sz w:val="18"/>
                <w:szCs w:val="18"/>
              </w:rPr>
            </w:pPr>
            <w:r>
              <w:rPr>
                <w:rFonts w:hint="eastAsia"/>
                <w:sz w:val="18"/>
                <w:szCs w:val="18"/>
              </w:rPr>
              <w:t>二裂委陵菜</w:t>
            </w:r>
          </w:p>
        </w:tc>
        <w:tc>
          <w:tcPr>
            <w:tcW w:w="1044" w:type="dxa"/>
            <w:vAlign w:val="center"/>
          </w:tcPr>
          <w:p w14:paraId="31FBADA4">
            <w:pPr>
              <w:snapToGrid w:val="0"/>
              <w:spacing w:line="240" w:lineRule="atLeast"/>
              <w:ind w:firstLine="360"/>
              <w:jc w:val="center"/>
              <w:rPr>
                <w:sz w:val="18"/>
                <w:szCs w:val="18"/>
              </w:rPr>
            </w:pPr>
            <w:r>
              <w:rPr>
                <w:rFonts w:hint="eastAsia"/>
                <w:sz w:val="18"/>
                <w:szCs w:val="18"/>
              </w:rPr>
              <w:t>6</w:t>
            </w:r>
          </w:p>
        </w:tc>
        <w:tc>
          <w:tcPr>
            <w:tcW w:w="1276" w:type="dxa"/>
            <w:vAlign w:val="center"/>
          </w:tcPr>
          <w:p w14:paraId="62708FED">
            <w:pPr>
              <w:snapToGrid w:val="0"/>
              <w:spacing w:line="240" w:lineRule="atLeast"/>
              <w:ind w:firstLine="360"/>
              <w:jc w:val="center"/>
              <w:rPr>
                <w:sz w:val="18"/>
                <w:szCs w:val="18"/>
              </w:rPr>
            </w:pPr>
            <w:r>
              <w:rPr>
                <w:rFonts w:hint="eastAsia"/>
                <w:sz w:val="18"/>
                <w:szCs w:val="18"/>
              </w:rPr>
              <w:t>1</w:t>
            </w:r>
          </w:p>
        </w:tc>
        <w:tc>
          <w:tcPr>
            <w:tcW w:w="1417" w:type="dxa"/>
            <w:vAlign w:val="center"/>
          </w:tcPr>
          <w:p w14:paraId="22E102A7">
            <w:pPr>
              <w:snapToGrid w:val="0"/>
              <w:spacing w:line="240" w:lineRule="atLeast"/>
              <w:ind w:firstLine="360"/>
              <w:jc w:val="center"/>
              <w:rPr>
                <w:sz w:val="18"/>
                <w:szCs w:val="18"/>
              </w:rPr>
            </w:pPr>
            <w:r>
              <w:rPr>
                <w:rFonts w:hint="eastAsia"/>
                <w:sz w:val="18"/>
                <w:szCs w:val="18"/>
              </w:rPr>
              <w:t>4</w:t>
            </w:r>
          </w:p>
        </w:tc>
        <w:tc>
          <w:tcPr>
            <w:tcW w:w="1701" w:type="dxa"/>
            <w:vAlign w:val="center"/>
          </w:tcPr>
          <w:p w14:paraId="4BAE575D">
            <w:pPr>
              <w:snapToGrid w:val="0"/>
              <w:spacing w:line="240" w:lineRule="atLeast"/>
              <w:ind w:firstLine="360"/>
              <w:jc w:val="center"/>
              <w:rPr>
                <w:sz w:val="18"/>
                <w:szCs w:val="18"/>
              </w:rPr>
            </w:pPr>
            <w:r>
              <w:rPr>
                <w:rFonts w:hint="eastAsia"/>
                <w:sz w:val="18"/>
                <w:szCs w:val="18"/>
              </w:rPr>
              <w:t>5</w:t>
            </w:r>
          </w:p>
        </w:tc>
        <w:tc>
          <w:tcPr>
            <w:tcW w:w="1418" w:type="dxa"/>
            <w:vAlign w:val="center"/>
          </w:tcPr>
          <w:p w14:paraId="73F83444">
            <w:pPr>
              <w:snapToGrid w:val="0"/>
              <w:spacing w:line="240" w:lineRule="atLeast"/>
              <w:ind w:firstLine="360"/>
              <w:jc w:val="center"/>
              <w:rPr>
                <w:sz w:val="18"/>
                <w:szCs w:val="18"/>
              </w:rPr>
            </w:pPr>
            <w:r>
              <w:rPr>
                <w:rFonts w:hint="eastAsia"/>
                <w:sz w:val="18"/>
                <w:szCs w:val="18"/>
              </w:rPr>
              <w:t>1.09</w:t>
            </w:r>
          </w:p>
        </w:tc>
      </w:tr>
      <w:tr w14:paraId="278BB7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08" w:type="dxa"/>
            <w:vAlign w:val="center"/>
          </w:tcPr>
          <w:p w14:paraId="3F30A8C9">
            <w:pPr>
              <w:snapToGrid w:val="0"/>
              <w:spacing w:line="240" w:lineRule="atLeast"/>
              <w:ind w:firstLine="360"/>
              <w:jc w:val="center"/>
              <w:rPr>
                <w:sz w:val="18"/>
                <w:szCs w:val="18"/>
              </w:rPr>
            </w:pPr>
            <w:r>
              <w:rPr>
                <w:sz w:val="18"/>
                <w:szCs w:val="18"/>
              </w:rPr>
              <w:t>草芸香</w:t>
            </w:r>
          </w:p>
        </w:tc>
        <w:tc>
          <w:tcPr>
            <w:tcW w:w="1044" w:type="dxa"/>
            <w:vAlign w:val="center"/>
          </w:tcPr>
          <w:p w14:paraId="08614DEE">
            <w:pPr>
              <w:snapToGrid w:val="0"/>
              <w:spacing w:line="240" w:lineRule="atLeast"/>
              <w:ind w:firstLine="360"/>
              <w:jc w:val="center"/>
              <w:rPr>
                <w:sz w:val="18"/>
                <w:szCs w:val="18"/>
              </w:rPr>
            </w:pPr>
            <w:r>
              <w:rPr>
                <w:rFonts w:hint="eastAsia"/>
                <w:sz w:val="18"/>
                <w:szCs w:val="18"/>
              </w:rPr>
              <w:t>15</w:t>
            </w:r>
          </w:p>
        </w:tc>
        <w:tc>
          <w:tcPr>
            <w:tcW w:w="1276" w:type="dxa"/>
            <w:vAlign w:val="center"/>
          </w:tcPr>
          <w:p w14:paraId="7043D0CA">
            <w:pPr>
              <w:snapToGrid w:val="0"/>
              <w:spacing w:line="240" w:lineRule="atLeast"/>
              <w:ind w:firstLine="360"/>
              <w:jc w:val="center"/>
              <w:rPr>
                <w:sz w:val="18"/>
                <w:szCs w:val="18"/>
              </w:rPr>
            </w:pPr>
            <w:r>
              <w:rPr>
                <w:rFonts w:hint="eastAsia"/>
                <w:sz w:val="18"/>
                <w:szCs w:val="18"/>
              </w:rPr>
              <w:t>1</w:t>
            </w:r>
          </w:p>
        </w:tc>
        <w:tc>
          <w:tcPr>
            <w:tcW w:w="1417" w:type="dxa"/>
            <w:vAlign w:val="center"/>
          </w:tcPr>
          <w:p w14:paraId="7DBEBDBF">
            <w:pPr>
              <w:snapToGrid w:val="0"/>
              <w:spacing w:line="240" w:lineRule="atLeast"/>
              <w:ind w:firstLine="360"/>
              <w:jc w:val="center"/>
              <w:rPr>
                <w:sz w:val="18"/>
                <w:szCs w:val="18"/>
              </w:rPr>
            </w:pPr>
            <w:r>
              <w:rPr>
                <w:rFonts w:hint="eastAsia"/>
                <w:sz w:val="18"/>
                <w:szCs w:val="18"/>
              </w:rPr>
              <w:t>4</w:t>
            </w:r>
          </w:p>
        </w:tc>
        <w:tc>
          <w:tcPr>
            <w:tcW w:w="1701" w:type="dxa"/>
            <w:vAlign w:val="center"/>
          </w:tcPr>
          <w:p w14:paraId="1D55510E">
            <w:pPr>
              <w:snapToGrid w:val="0"/>
              <w:spacing w:line="240" w:lineRule="atLeast"/>
              <w:ind w:firstLine="360"/>
              <w:jc w:val="center"/>
              <w:rPr>
                <w:sz w:val="18"/>
                <w:szCs w:val="18"/>
              </w:rPr>
            </w:pPr>
            <w:r>
              <w:rPr>
                <w:rFonts w:hint="eastAsia"/>
                <w:sz w:val="18"/>
                <w:szCs w:val="18"/>
              </w:rPr>
              <w:t>5</w:t>
            </w:r>
          </w:p>
        </w:tc>
        <w:tc>
          <w:tcPr>
            <w:tcW w:w="1418" w:type="dxa"/>
            <w:vAlign w:val="center"/>
          </w:tcPr>
          <w:p w14:paraId="253813B2">
            <w:pPr>
              <w:snapToGrid w:val="0"/>
              <w:spacing w:line="240" w:lineRule="atLeast"/>
              <w:ind w:firstLine="360"/>
              <w:jc w:val="center"/>
              <w:rPr>
                <w:sz w:val="18"/>
                <w:szCs w:val="18"/>
              </w:rPr>
            </w:pPr>
            <w:r>
              <w:rPr>
                <w:rFonts w:hint="eastAsia"/>
                <w:sz w:val="18"/>
                <w:szCs w:val="18"/>
              </w:rPr>
              <w:t>1.57</w:t>
            </w:r>
          </w:p>
        </w:tc>
      </w:tr>
      <w:tr w14:paraId="42467C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08" w:type="dxa"/>
            <w:vAlign w:val="center"/>
          </w:tcPr>
          <w:p w14:paraId="55A892C1">
            <w:pPr>
              <w:snapToGrid w:val="0"/>
              <w:spacing w:line="240" w:lineRule="atLeast"/>
              <w:ind w:firstLine="360"/>
              <w:jc w:val="center"/>
              <w:rPr>
                <w:sz w:val="18"/>
                <w:szCs w:val="18"/>
              </w:rPr>
            </w:pPr>
            <w:r>
              <w:rPr>
                <w:rFonts w:hint="eastAsia"/>
                <w:sz w:val="18"/>
                <w:szCs w:val="18"/>
              </w:rPr>
              <w:t>黄囊苔草</w:t>
            </w:r>
          </w:p>
        </w:tc>
        <w:tc>
          <w:tcPr>
            <w:tcW w:w="1044" w:type="dxa"/>
            <w:vAlign w:val="center"/>
          </w:tcPr>
          <w:p w14:paraId="10A05151">
            <w:pPr>
              <w:snapToGrid w:val="0"/>
              <w:spacing w:line="240" w:lineRule="atLeast"/>
              <w:ind w:firstLine="360"/>
              <w:jc w:val="center"/>
              <w:rPr>
                <w:sz w:val="18"/>
                <w:szCs w:val="18"/>
              </w:rPr>
            </w:pPr>
            <w:r>
              <w:rPr>
                <w:rFonts w:hint="eastAsia"/>
                <w:sz w:val="18"/>
                <w:szCs w:val="18"/>
              </w:rPr>
              <w:t>5</w:t>
            </w:r>
          </w:p>
        </w:tc>
        <w:tc>
          <w:tcPr>
            <w:tcW w:w="1276" w:type="dxa"/>
            <w:vAlign w:val="center"/>
          </w:tcPr>
          <w:p w14:paraId="62F550A4">
            <w:pPr>
              <w:snapToGrid w:val="0"/>
              <w:spacing w:line="240" w:lineRule="atLeast"/>
              <w:ind w:firstLine="360"/>
              <w:jc w:val="center"/>
              <w:rPr>
                <w:sz w:val="18"/>
                <w:szCs w:val="18"/>
              </w:rPr>
            </w:pPr>
            <w:r>
              <w:rPr>
                <w:rFonts w:hint="eastAsia"/>
                <w:sz w:val="18"/>
                <w:szCs w:val="18"/>
              </w:rPr>
              <w:t>2</w:t>
            </w:r>
          </w:p>
        </w:tc>
        <w:tc>
          <w:tcPr>
            <w:tcW w:w="1417" w:type="dxa"/>
            <w:vAlign w:val="center"/>
          </w:tcPr>
          <w:p w14:paraId="0D756C36">
            <w:pPr>
              <w:snapToGrid w:val="0"/>
              <w:spacing w:line="240" w:lineRule="atLeast"/>
              <w:ind w:firstLine="360"/>
              <w:jc w:val="center"/>
              <w:rPr>
                <w:sz w:val="18"/>
                <w:szCs w:val="18"/>
              </w:rPr>
            </w:pPr>
            <w:r>
              <w:rPr>
                <w:rFonts w:hint="eastAsia"/>
                <w:sz w:val="18"/>
                <w:szCs w:val="18"/>
              </w:rPr>
              <w:t>76</w:t>
            </w:r>
          </w:p>
        </w:tc>
        <w:tc>
          <w:tcPr>
            <w:tcW w:w="1701" w:type="dxa"/>
            <w:vAlign w:val="center"/>
          </w:tcPr>
          <w:p w14:paraId="6DF7573F">
            <w:pPr>
              <w:snapToGrid w:val="0"/>
              <w:spacing w:line="240" w:lineRule="atLeast"/>
              <w:ind w:firstLine="360"/>
              <w:jc w:val="center"/>
              <w:rPr>
                <w:sz w:val="18"/>
                <w:szCs w:val="18"/>
              </w:rPr>
            </w:pPr>
            <w:r>
              <w:rPr>
                <w:rFonts w:hint="eastAsia"/>
                <w:sz w:val="18"/>
                <w:szCs w:val="18"/>
              </w:rPr>
              <w:t>12</w:t>
            </w:r>
          </w:p>
        </w:tc>
        <w:tc>
          <w:tcPr>
            <w:tcW w:w="1418" w:type="dxa"/>
            <w:vAlign w:val="center"/>
          </w:tcPr>
          <w:p w14:paraId="1E369DD4">
            <w:pPr>
              <w:snapToGrid w:val="0"/>
              <w:spacing w:line="240" w:lineRule="atLeast"/>
              <w:ind w:firstLine="360"/>
              <w:jc w:val="center"/>
              <w:rPr>
                <w:sz w:val="18"/>
                <w:szCs w:val="18"/>
              </w:rPr>
            </w:pPr>
            <w:r>
              <w:rPr>
                <w:rFonts w:hint="eastAsia"/>
                <w:sz w:val="18"/>
                <w:szCs w:val="18"/>
              </w:rPr>
              <w:t>2.37</w:t>
            </w:r>
          </w:p>
        </w:tc>
      </w:tr>
      <w:tr w14:paraId="761576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08" w:type="dxa"/>
            <w:vAlign w:val="center"/>
          </w:tcPr>
          <w:p w14:paraId="587398AF">
            <w:pPr>
              <w:snapToGrid w:val="0"/>
              <w:spacing w:line="240" w:lineRule="atLeast"/>
              <w:ind w:firstLine="360"/>
              <w:jc w:val="center"/>
              <w:rPr>
                <w:sz w:val="18"/>
                <w:szCs w:val="18"/>
              </w:rPr>
            </w:pPr>
            <w:r>
              <w:rPr>
                <w:rFonts w:hint="eastAsia"/>
                <w:sz w:val="18"/>
                <w:szCs w:val="18"/>
              </w:rPr>
              <w:t>百里香</w:t>
            </w:r>
          </w:p>
        </w:tc>
        <w:tc>
          <w:tcPr>
            <w:tcW w:w="1044" w:type="dxa"/>
            <w:vAlign w:val="center"/>
          </w:tcPr>
          <w:p w14:paraId="5D6E0CE6">
            <w:pPr>
              <w:snapToGrid w:val="0"/>
              <w:spacing w:line="240" w:lineRule="atLeast"/>
              <w:ind w:firstLine="360"/>
              <w:jc w:val="center"/>
              <w:rPr>
                <w:sz w:val="18"/>
                <w:szCs w:val="18"/>
              </w:rPr>
            </w:pPr>
            <w:r>
              <w:rPr>
                <w:rFonts w:hint="eastAsia"/>
                <w:sz w:val="18"/>
                <w:szCs w:val="18"/>
              </w:rPr>
              <w:t>5</w:t>
            </w:r>
          </w:p>
        </w:tc>
        <w:tc>
          <w:tcPr>
            <w:tcW w:w="1276" w:type="dxa"/>
            <w:vAlign w:val="center"/>
          </w:tcPr>
          <w:p w14:paraId="316502C3">
            <w:pPr>
              <w:snapToGrid w:val="0"/>
              <w:spacing w:line="240" w:lineRule="atLeast"/>
              <w:ind w:firstLine="360"/>
              <w:jc w:val="center"/>
              <w:rPr>
                <w:sz w:val="18"/>
                <w:szCs w:val="18"/>
              </w:rPr>
            </w:pPr>
            <w:r>
              <w:rPr>
                <w:rFonts w:hint="eastAsia"/>
                <w:sz w:val="18"/>
                <w:szCs w:val="18"/>
              </w:rPr>
              <w:t>1</w:t>
            </w:r>
          </w:p>
        </w:tc>
        <w:tc>
          <w:tcPr>
            <w:tcW w:w="1417" w:type="dxa"/>
            <w:vAlign w:val="center"/>
          </w:tcPr>
          <w:p w14:paraId="7ECA4B1B">
            <w:pPr>
              <w:snapToGrid w:val="0"/>
              <w:spacing w:line="240" w:lineRule="atLeast"/>
              <w:ind w:firstLine="360"/>
              <w:jc w:val="center"/>
              <w:rPr>
                <w:sz w:val="18"/>
                <w:szCs w:val="18"/>
              </w:rPr>
            </w:pPr>
            <w:r>
              <w:rPr>
                <w:rFonts w:hint="eastAsia"/>
                <w:sz w:val="18"/>
                <w:szCs w:val="18"/>
              </w:rPr>
              <w:t>25</w:t>
            </w:r>
          </w:p>
        </w:tc>
        <w:tc>
          <w:tcPr>
            <w:tcW w:w="1701" w:type="dxa"/>
            <w:vAlign w:val="center"/>
          </w:tcPr>
          <w:p w14:paraId="4E262082">
            <w:pPr>
              <w:snapToGrid w:val="0"/>
              <w:spacing w:line="240" w:lineRule="atLeast"/>
              <w:ind w:firstLine="360"/>
              <w:jc w:val="center"/>
              <w:rPr>
                <w:sz w:val="18"/>
                <w:szCs w:val="18"/>
              </w:rPr>
            </w:pPr>
            <w:r>
              <w:rPr>
                <w:rFonts w:hint="eastAsia"/>
                <w:sz w:val="18"/>
                <w:szCs w:val="18"/>
              </w:rPr>
              <w:t>16</w:t>
            </w:r>
          </w:p>
        </w:tc>
        <w:tc>
          <w:tcPr>
            <w:tcW w:w="1418" w:type="dxa"/>
            <w:vAlign w:val="center"/>
          </w:tcPr>
          <w:p w14:paraId="2E84DA95">
            <w:pPr>
              <w:snapToGrid w:val="0"/>
              <w:spacing w:line="240" w:lineRule="atLeast"/>
              <w:ind w:firstLine="360"/>
              <w:jc w:val="center"/>
              <w:rPr>
                <w:sz w:val="18"/>
                <w:szCs w:val="18"/>
              </w:rPr>
            </w:pPr>
            <w:r>
              <w:rPr>
                <w:rFonts w:hint="eastAsia"/>
                <w:sz w:val="18"/>
                <w:szCs w:val="18"/>
              </w:rPr>
              <w:t>2.71</w:t>
            </w:r>
          </w:p>
        </w:tc>
      </w:tr>
      <w:tr w14:paraId="620EA0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08" w:type="dxa"/>
            <w:vAlign w:val="center"/>
          </w:tcPr>
          <w:p w14:paraId="3A867E2E">
            <w:pPr>
              <w:snapToGrid w:val="0"/>
              <w:spacing w:line="240" w:lineRule="atLeast"/>
              <w:ind w:firstLine="360"/>
              <w:jc w:val="center"/>
              <w:rPr>
                <w:sz w:val="18"/>
                <w:szCs w:val="18"/>
              </w:rPr>
            </w:pPr>
            <w:r>
              <w:rPr>
                <w:rFonts w:hint="eastAsia"/>
                <w:sz w:val="18"/>
                <w:szCs w:val="18"/>
              </w:rPr>
              <w:t>星毛委陵菜</w:t>
            </w:r>
          </w:p>
        </w:tc>
        <w:tc>
          <w:tcPr>
            <w:tcW w:w="1044" w:type="dxa"/>
            <w:vAlign w:val="center"/>
          </w:tcPr>
          <w:p w14:paraId="3F5FF4DC">
            <w:pPr>
              <w:snapToGrid w:val="0"/>
              <w:spacing w:line="240" w:lineRule="atLeast"/>
              <w:ind w:firstLine="360"/>
              <w:jc w:val="center"/>
              <w:rPr>
                <w:sz w:val="18"/>
                <w:szCs w:val="18"/>
              </w:rPr>
            </w:pPr>
            <w:r>
              <w:rPr>
                <w:rFonts w:hint="eastAsia"/>
                <w:sz w:val="18"/>
                <w:szCs w:val="18"/>
              </w:rPr>
              <w:t>3</w:t>
            </w:r>
          </w:p>
        </w:tc>
        <w:tc>
          <w:tcPr>
            <w:tcW w:w="1276" w:type="dxa"/>
            <w:vAlign w:val="center"/>
          </w:tcPr>
          <w:p w14:paraId="43BE2863">
            <w:pPr>
              <w:snapToGrid w:val="0"/>
              <w:spacing w:line="240" w:lineRule="atLeast"/>
              <w:ind w:firstLine="360"/>
              <w:jc w:val="center"/>
              <w:rPr>
                <w:sz w:val="18"/>
                <w:szCs w:val="18"/>
              </w:rPr>
            </w:pPr>
            <w:r>
              <w:rPr>
                <w:rFonts w:hint="eastAsia"/>
                <w:sz w:val="18"/>
                <w:szCs w:val="18"/>
              </w:rPr>
              <w:t>2</w:t>
            </w:r>
          </w:p>
        </w:tc>
        <w:tc>
          <w:tcPr>
            <w:tcW w:w="1417" w:type="dxa"/>
            <w:vAlign w:val="center"/>
          </w:tcPr>
          <w:p w14:paraId="22A0633E">
            <w:pPr>
              <w:snapToGrid w:val="0"/>
              <w:spacing w:line="240" w:lineRule="atLeast"/>
              <w:ind w:firstLine="360"/>
              <w:jc w:val="center"/>
              <w:rPr>
                <w:sz w:val="18"/>
                <w:szCs w:val="18"/>
              </w:rPr>
            </w:pPr>
            <w:r>
              <w:rPr>
                <w:rFonts w:hint="eastAsia"/>
                <w:sz w:val="18"/>
                <w:szCs w:val="18"/>
              </w:rPr>
              <w:t>20</w:t>
            </w:r>
          </w:p>
        </w:tc>
        <w:tc>
          <w:tcPr>
            <w:tcW w:w="1701" w:type="dxa"/>
            <w:vAlign w:val="center"/>
          </w:tcPr>
          <w:p w14:paraId="2F35DA13">
            <w:pPr>
              <w:snapToGrid w:val="0"/>
              <w:spacing w:line="240" w:lineRule="atLeast"/>
              <w:ind w:firstLine="360"/>
              <w:jc w:val="center"/>
              <w:rPr>
                <w:sz w:val="18"/>
                <w:szCs w:val="18"/>
              </w:rPr>
            </w:pPr>
            <w:r>
              <w:rPr>
                <w:rFonts w:hint="eastAsia"/>
                <w:sz w:val="18"/>
                <w:szCs w:val="18"/>
              </w:rPr>
              <w:t>13</w:t>
            </w:r>
          </w:p>
        </w:tc>
        <w:tc>
          <w:tcPr>
            <w:tcW w:w="1418" w:type="dxa"/>
            <w:vAlign w:val="center"/>
          </w:tcPr>
          <w:p w14:paraId="3570E89A">
            <w:pPr>
              <w:snapToGrid w:val="0"/>
              <w:spacing w:line="240" w:lineRule="atLeast"/>
              <w:ind w:firstLine="360"/>
              <w:jc w:val="center"/>
              <w:rPr>
                <w:sz w:val="18"/>
                <w:szCs w:val="18"/>
              </w:rPr>
            </w:pPr>
            <w:r>
              <w:rPr>
                <w:rFonts w:hint="eastAsia"/>
                <w:sz w:val="18"/>
                <w:szCs w:val="18"/>
              </w:rPr>
              <w:t>2.31</w:t>
            </w:r>
          </w:p>
        </w:tc>
      </w:tr>
      <w:tr w14:paraId="002513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508" w:type="dxa"/>
            <w:vAlign w:val="center"/>
          </w:tcPr>
          <w:p w14:paraId="72FDE076">
            <w:pPr>
              <w:snapToGrid w:val="0"/>
              <w:spacing w:line="240" w:lineRule="atLeast"/>
              <w:ind w:firstLine="360"/>
              <w:jc w:val="center"/>
              <w:rPr>
                <w:sz w:val="18"/>
                <w:szCs w:val="18"/>
              </w:rPr>
            </w:pPr>
            <w:r>
              <w:rPr>
                <w:rFonts w:hint="eastAsia"/>
                <w:sz w:val="18"/>
                <w:szCs w:val="18"/>
              </w:rPr>
              <w:t>阿狗花</w:t>
            </w:r>
          </w:p>
        </w:tc>
        <w:tc>
          <w:tcPr>
            <w:tcW w:w="1044" w:type="dxa"/>
            <w:vAlign w:val="center"/>
          </w:tcPr>
          <w:p w14:paraId="5F5C3227">
            <w:pPr>
              <w:snapToGrid w:val="0"/>
              <w:spacing w:line="240" w:lineRule="atLeast"/>
              <w:ind w:firstLine="360"/>
              <w:jc w:val="center"/>
              <w:rPr>
                <w:sz w:val="18"/>
                <w:szCs w:val="18"/>
              </w:rPr>
            </w:pPr>
            <w:r>
              <w:rPr>
                <w:rFonts w:hint="eastAsia"/>
                <w:sz w:val="18"/>
                <w:szCs w:val="18"/>
              </w:rPr>
              <w:t>6</w:t>
            </w:r>
          </w:p>
        </w:tc>
        <w:tc>
          <w:tcPr>
            <w:tcW w:w="1276" w:type="dxa"/>
            <w:vAlign w:val="center"/>
          </w:tcPr>
          <w:p w14:paraId="0E9EEED8">
            <w:pPr>
              <w:snapToGrid w:val="0"/>
              <w:spacing w:line="240" w:lineRule="atLeast"/>
              <w:ind w:firstLine="360"/>
              <w:jc w:val="center"/>
              <w:rPr>
                <w:sz w:val="18"/>
                <w:szCs w:val="18"/>
              </w:rPr>
            </w:pPr>
            <w:r>
              <w:rPr>
                <w:rFonts w:hint="eastAsia"/>
                <w:sz w:val="18"/>
                <w:szCs w:val="18"/>
              </w:rPr>
              <w:t>1</w:t>
            </w:r>
          </w:p>
        </w:tc>
        <w:tc>
          <w:tcPr>
            <w:tcW w:w="1417" w:type="dxa"/>
            <w:vAlign w:val="center"/>
          </w:tcPr>
          <w:p w14:paraId="385F17A3">
            <w:pPr>
              <w:snapToGrid w:val="0"/>
              <w:spacing w:line="240" w:lineRule="atLeast"/>
              <w:ind w:firstLine="360"/>
              <w:jc w:val="center"/>
              <w:rPr>
                <w:sz w:val="18"/>
                <w:szCs w:val="18"/>
              </w:rPr>
            </w:pPr>
            <w:r>
              <w:rPr>
                <w:rFonts w:hint="eastAsia"/>
                <w:sz w:val="18"/>
                <w:szCs w:val="18"/>
              </w:rPr>
              <w:t>12</w:t>
            </w:r>
          </w:p>
        </w:tc>
        <w:tc>
          <w:tcPr>
            <w:tcW w:w="1701" w:type="dxa"/>
            <w:vAlign w:val="center"/>
          </w:tcPr>
          <w:p w14:paraId="17157FC1">
            <w:pPr>
              <w:snapToGrid w:val="0"/>
              <w:spacing w:line="240" w:lineRule="atLeast"/>
              <w:ind w:firstLine="360"/>
              <w:jc w:val="center"/>
              <w:rPr>
                <w:sz w:val="18"/>
                <w:szCs w:val="18"/>
              </w:rPr>
            </w:pPr>
            <w:r>
              <w:rPr>
                <w:rFonts w:hint="eastAsia"/>
                <w:sz w:val="18"/>
                <w:szCs w:val="18"/>
              </w:rPr>
              <w:t>6</w:t>
            </w:r>
          </w:p>
        </w:tc>
        <w:tc>
          <w:tcPr>
            <w:tcW w:w="1418" w:type="dxa"/>
            <w:vAlign w:val="center"/>
          </w:tcPr>
          <w:p w14:paraId="11A06C18">
            <w:pPr>
              <w:snapToGrid w:val="0"/>
              <w:spacing w:line="240" w:lineRule="atLeast"/>
              <w:ind w:firstLine="360"/>
              <w:jc w:val="center"/>
              <w:rPr>
                <w:sz w:val="18"/>
                <w:szCs w:val="18"/>
              </w:rPr>
            </w:pPr>
            <w:r>
              <w:rPr>
                <w:rFonts w:hint="eastAsia"/>
                <w:sz w:val="18"/>
                <w:szCs w:val="18"/>
              </w:rPr>
              <w:t>1.24</w:t>
            </w:r>
          </w:p>
        </w:tc>
      </w:tr>
    </w:tbl>
    <w:p w14:paraId="3E9945CD">
      <w:pPr>
        <w:spacing w:beforeLines="50" w:line="240" w:lineRule="atLeast"/>
        <w:ind w:firstLine="480"/>
        <w:rPr>
          <w:rFonts w:eastAsia="黑体"/>
          <w:szCs w:val="24"/>
          <w:lang w:eastAsia="zh-CN"/>
        </w:rPr>
      </w:pPr>
      <w:r>
        <w:rPr>
          <w:rFonts w:hint="eastAsia" w:eastAsia="黑体"/>
          <w:szCs w:val="24"/>
          <w:lang w:eastAsia="zh-CN"/>
        </w:rPr>
        <w:t xml:space="preserve">表9.1-5    </w:t>
      </w:r>
      <w:r>
        <w:rPr>
          <w:rFonts w:eastAsia="黑体"/>
          <w:szCs w:val="24"/>
          <w:lang w:eastAsia="zh-CN"/>
        </w:rPr>
        <w:t>细叶苔草</w:t>
      </w:r>
      <w:r>
        <w:rPr>
          <w:rFonts w:hint="eastAsia" w:eastAsia="黑体"/>
          <w:szCs w:val="24"/>
          <w:lang w:eastAsia="zh-CN"/>
        </w:rPr>
        <w:t>+杂类草草甸</w:t>
      </w:r>
      <w:r>
        <w:rPr>
          <w:rFonts w:eastAsia="黑体"/>
          <w:szCs w:val="24"/>
          <w:lang w:eastAsia="zh-CN"/>
        </w:rPr>
        <w:t>样方调查统计表</w:t>
      </w:r>
      <w:r>
        <w:rPr>
          <w:rFonts w:hint="eastAsia" w:eastAsia="黑体"/>
          <w:szCs w:val="24"/>
          <w:lang w:eastAsia="zh-CN"/>
        </w:rPr>
        <w:t>（1m×1m）</w:t>
      </w:r>
    </w:p>
    <w:tbl>
      <w:tblPr>
        <w:tblStyle w:val="76"/>
        <w:tblW w:w="493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23"/>
        <w:gridCol w:w="1636"/>
        <w:gridCol w:w="1614"/>
        <w:gridCol w:w="1755"/>
        <w:gridCol w:w="1994"/>
      </w:tblGrid>
      <w:tr w14:paraId="758561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61" w:type="pct"/>
            <w:noWrap/>
            <w:vAlign w:val="center"/>
          </w:tcPr>
          <w:p w14:paraId="1AAEB551">
            <w:pPr>
              <w:snapToGrid w:val="0"/>
              <w:spacing w:line="240" w:lineRule="atLeast"/>
              <w:ind w:firstLine="360"/>
              <w:jc w:val="center"/>
              <w:rPr>
                <w:sz w:val="18"/>
                <w:szCs w:val="18"/>
              </w:rPr>
            </w:pPr>
            <w:r>
              <w:rPr>
                <w:rFonts w:hint="eastAsia"/>
                <w:sz w:val="18"/>
                <w:szCs w:val="18"/>
              </w:rPr>
              <w:t>植物名称</w:t>
            </w:r>
          </w:p>
        </w:tc>
        <w:tc>
          <w:tcPr>
            <w:tcW w:w="980" w:type="pct"/>
            <w:noWrap/>
            <w:vAlign w:val="center"/>
          </w:tcPr>
          <w:p w14:paraId="30772E35">
            <w:pPr>
              <w:snapToGrid w:val="0"/>
              <w:spacing w:line="240" w:lineRule="atLeast"/>
              <w:ind w:firstLine="360"/>
              <w:jc w:val="center"/>
              <w:rPr>
                <w:sz w:val="18"/>
                <w:szCs w:val="18"/>
              </w:rPr>
            </w:pPr>
            <w:r>
              <w:rPr>
                <w:rFonts w:hint="eastAsia"/>
                <w:sz w:val="18"/>
                <w:szCs w:val="18"/>
              </w:rPr>
              <w:t>高度（cm）</w:t>
            </w:r>
          </w:p>
        </w:tc>
        <w:tc>
          <w:tcPr>
            <w:tcW w:w="980" w:type="pct"/>
            <w:vAlign w:val="center"/>
          </w:tcPr>
          <w:p w14:paraId="37AF86A9">
            <w:pPr>
              <w:snapToGrid w:val="0"/>
              <w:spacing w:line="240" w:lineRule="atLeast"/>
              <w:ind w:firstLine="360"/>
              <w:jc w:val="center"/>
              <w:rPr>
                <w:sz w:val="18"/>
                <w:szCs w:val="18"/>
              </w:rPr>
            </w:pPr>
            <w:r>
              <w:rPr>
                <w:rFonts w:hint="eastAsia"/>
                <w:sz w:val="18"/>
                <w:szCs w:val="18"/>
              </w:rPr>
              <w:t>分盖度（%）</w:t>
            </w:r>
          </w:p>
        </w:tc>
        <w:tc>
          <w:tcPr>
            <w:tcW w:w="980" w:type="pct"/>
            <w:noWrap/>
            <w:vAlign w:val="center"/>
          </w:tcPr>
          <w:p w14:paraId="409CEB7A">
            <w:pPr>
              <w:snapToGrid w:val="0"/>
              <w:spacing w:line="240" w:lineRule="atLeast"/>
              <w:ind w:firstLine="360"/>
              <w:jc w:val="center"/>
              <w:rPr>
                <w:sz w:val="18"/>
                <w:szCs w:val="18"/>
              </w:rPr>
            </w:pPr>
            <w:r>
              <w:rPr>
                <w:rFonts w:hint="eastAsia"/>
                <w:sz w:val="18"/>
                <w:szCs w:val="18"/>
              </w:rPr>
              <w:t>密度（n/m</w:t>
            </w:r>
            <w:r>
              <w:rPr>
                <w:rFonts w:hint="eastAsia"/>
                <w:sz w:val="18"/>
                <w:szCs w:val="18"/>
                <w:vertAlign w:val="superscript"/>
              </w:rPr>
              <w:t>2</w:t>
            </w:r>
            <w:r>
              <w:rPr>
                <w:rFonts w:hint="eastAsia"/>
                <w:sz w:val="18"/>
                <w:szCs w:val="18"/>
              </w:rPr>
              <w:t>）</w:t>
            </w:r>
          </w:p>
        </w:tc>
        <w:tc>
          <w:tcPr>
            <w:tcW w:w="1200" w:type="pct"/>
            <w:noWrap/>
            <w:vAlign w:val="center"/>
          </w:tcPr>
          <w:p w14:paraId="21EEEFCC">
            <w:pPr>
              <w:snapToGrid w:val="0"/>
              <w:spacing w:line="240" w:lineRule="atLeast"/>
              <w:ind w:firstLine="360"/>
              <w:jc w:val="center"/>
              <w:rPr>
                <w:sz w:val="18"/>
                <w:szCs w:val="18"/>
              </w:rPr>
            </w:pPr>
            <w:r>
              <w:rPr>
                <w:rFonts w:hint="eastAsia"/>
                <w:sz w:val="18"/>
                <w:szCs w:val="18"/>
              </w:rPr>
              <w:t>重要值（%）</w:t>
            </w:r>
          </w:p>
        </w:tc>
      </w:tr>
      <w:tr w14:paraId="676330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61" w:type="pct"/>
            <w:vAlign w:val="center"/>
          </w:tcPr>
          <w:p w14:paraId="6646BA62">
            <w:pPr>
              <w:snapToGrid w:val="0"/>
              <w:spacing w:line="240" w:lineRule="atLeast"/>
              <w:ind w:firstLine="360"/>
              <w:jc w:val="center"/>
              <w:rPr>
                <w:sz w:val="18"/>
                <w:szCs w:val="18"/>
              </w:rPr>
            </w:pPr>
            <w:r>
              <w:rPr>
                <w:rFonts w:hint="eastAsia"/>
                <w:sz w:val="18"/>
                <w:szCs w:val="18"/>
                <w:lang w:eastAsia="zh-CN"/>
              </w:rPr>
              <w:t>细叶</w:t>
            </w:r>
            <w:r>
              <w:rPr>
                <w:rFonts w:hint="eastAsia"/>
                <w:sz w:val="18"/>
                <w:szCs w:val="18"/>
              </w:rPr>
              <w:t>苔草</w:t>
            </w:r>
          </w:p>
        </w:tc>
        <w:tc>
          <w:tcPr>
            <w:tcW w:w="980" w:type="pct"/>
            <w:vAlign w:val="center"/>
          </w:tcPr>
          <w:p w14:paraId="41DB2257">
            <w:pPr>
              <w:snapToGrid w:val="0"/>
              <w:spacing w:line="240" w:lineRule="atLeast"/>
              <w:ind w:firstLine="360"/>
              <w:jc w:val="center"/>
              <w:rPr>
                <w:sz w:val="18"/>
                <w:szCs w:val="18"/>
              </w:rPr>
            </w:pPr>
            <w:r>
              <w:rPr>
                <w:rFonts w:hint="eastAsia"/>
                <w:sz w:val="18"/>
                <w:szCs w:val="18"/>
              </w:rPr>
              <w:t>41</w:t>
            </w:r>
          </w:p>
        </w:tc>
        <w:tc>
          <w:tcPr>
            <w:tcW w:w="980" w:type="pct"/>
            <w:vAlign w:val="center"/>
          </w:tcPr>
          <w:p w14:paraId="7B8E68FA">
            <w:pPr>
              <w:snapToGrid w:val="0"/>
              <w:spacing w:line="240" w:lineRule="atLeast"/>
              <w:ind w:firstLine="360"/>
              <w:jc w:val="center"/>
              <w:rPr>
                <w:sz w:val="18"/>
                <w:szCs w:val="18"/>
              </w:rPr>
            </w:pPr>
            <w:r>
              <w:rPr>
                <w:rFonts w:hint="eastAsia"/>
                <w:sz w:val="18"/>
                <w:szCs w:val="18"/>
              </w:rPr>
              <w:t>45</w:t>
            </w:r>
          </w:p>
        </w:tc>
        <w:tc>
          <w:tcPr>
            <w:tcW w:w="980" w:type="pct"/>
            <w:vAlign w:val="center"/>
          </w:tcPr>
          <w:p w14:paraId="4D964967">
            <w:pPr>
              <w:snapToGrid w:val="0"/>
              <w:spacing w:line="240" w:lineRule="atLeast"/>
              <w:ind w:firstLine="360"/>
              <w:jc w:val="center"/>
              <w:rPr>
                <w:sz w:val="18"/>
                <w:szCs w:val="18"/>
              </w:rPr>
            </w:pPr>
            <w:r>
              <w:rPr>
                <w:rFonts w:hint="eastAsia"/>
                <w:sz w:val="18"/>
                <w:szCs w:val="18"/>
              </w:rPr>
              <w:t>987</w:t>
            </w:r>
          </w:p>
        </w:tc>
        <w:tc>
          <w:tcPr>
            <w:tcW w:w="1200" w:type="pct"/>
            <w:vAlign w:val="center"/>
          </w:tcPr>
          <w:p w14:paraId="421C9111">
            <w:pPr>
              <w:snapToGrid w:val="0"/>
              <w:spacing w:line="240" w:lineRule="atLeast"/>
              <w:ind w:firstLine="360"/>
              <w:jc w:val="center"/>
              <w:rPr>
                <w:sz w:val="18"/>
                <w:szCs w:val="18"/>
              </w:rPr>
            </w:pPr>
            <w:r>
              <w:rPr>
                <w:rFonts w:hint="eastAsia"/>
                <w:sz w:val="18"/>
                <w:szCs w:val="18"/>
              </w:rPr>
              <w:t>42.88</w:t>
            </w:r>
          </w:p>
        </w:tc>
      </w:tr>
      <w:tr w14:paraId="15C8F1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61" w:type="pct"/>
            <w:vAlign w:val="center"/>
          </w:tcPr>
          <w:p w14:paraId="78FD9AF2">
            <w:pPr>
              <w:snapToGrid w:val="0"/>
              <w:spacing w:line="240" w:lineRule="atLeast"/>
              <w:ind w:firstLine="360"/>
              <w:jc w:val="center"/>
              <w:rPr>
                <w:sz w:val="18"/>
                <w:szCs w:val="18"/>
              </w:rPr>
            </w:pPr>
            <w:r>
              <w:rPr>
                <w:rFonts w:hint="eastAsia"/>
                <w:sz w:val="18"/>
                <w:szCs w:val="18"/>
              </w:rPr>
              <w:t>小糠草</w:t>
            </w:r>
          </w:p>
        </w:tc>
        <w:tc>
          <w:tcPr>
            <w:tcW w:w="980" w:type="pct"/>
            <w:vAlign w:val="center"/>
          </w:tcPr>
          <w:p w14:paraId="18225FAA">
            <w:pPr>
              <w:snapToGrid w:val="0"/>
              <w:spacing w:line="240" w:lineRule="atLeast"/>
              <w:ind w:firstLine="360"/>
              <w:jc w:val="center"/>
              <w:rPr>
                <w:sz w:val="18"/>
                <w:szCs w:val="18"/>
              </w:rPr>
            </w:pPr>
            <w:r>
              <w:rPr>
                <w:rFonts w:hint="eastAsia"/>
                <w:sz w:val="18"/>
                <w:szCs w:val="18"/>
              </w:rPr>
              <w:t>20</w:t>
            </w:r>
          </w:p>
        </w:tc>
        <w:tc>
          <w:tcPr>
            <w:tcW w:w="980" w:type="pct"/>
            <w:vAlign w:val="center"/>
          </w:tcPr>
          <w:p w14:paraId="0175439F">
            <w:pPr>
              <w:snapToGrid w:val="0"/>
              <w:spacing w:line="240" w:lineRule="atLeast"/>
              <w:ind w:firstLine="360"/>
              <w:jc w:val="center"/>
              <w:rPr>
                <w:sz w:val="18"/>
                <w:szCs w:val="18"/>
              </w:rPr>
            </w:pPr>
            <w:r>
              <w:rPr>
                <w:rFonts w:hint="eastAsia"/>
                <w:sz w:val="18"/>
                <w:szCs w:val="18"/>
              </w:rPr>
              <w:t>35</w:t>
            </w:r>
          </w:p>
        </w:tc>
        <w:tc>
          <w:tcPr>
            <w:tcW w:w="980" w:type="pct"/>
            <w:vAlign w:val="center"/>
          </w:tcPr>
          <w:p w14:paraId="286D2238">
            <w:pPr>
              <w:snapToGrid w:val="0"/>
              <w:spacing w:line="240" w:lineRule="atLeast"/>
              <w:ind w:firstLine="360"/>
              <w:jc w:val="center"/>
              <w:rPr>
                <w:sz w:val="18"/>
                <w:szCs w:val="18"/>
              </w:rPr>
            </w:pPr>
            <w:r>
              <w:rPr>
                <w:rFonts w:hint="eastAsia"/>
                <w:sz w:val="18"/>
                <w:szCs w:val="18"/>
              </w:rPr>
              <w:t>48</w:t>
            </w:r>
          </w:p>
        </w:tc>
        <w:tc>
          <w:tcPr>
            <w:tcW w:w="1200" w:type="pct"/>
            <w:vAlign w:val="center"/>
          </w:tcPr>
          <w:p w14:paraId="036DC1C3">
            <w:pPr>
              <w:snapToGrid w:val="0"/>
              <w:spacing w:line="240" w:lineRule="atLeast"/>
              <w:ind w:firstLine="360"/>
              <w:jc w:val="center"/>
              <w:rPr>
                <w:sz w:val="18"/>
                <w:szCs w:val="18"/>
              </w:rPr>
            </w:pPr>
            <w:r>
              <w:rPr>
                <w:rFonts w:hint="eastAsia"/>
                <w:sz w:val="18"/>
                <w:szCs w:val="18"/>
              </w:rPr>
              <w:t>13.59</w:t>
            </w:r>
          </w:p>
        </w:tc>
      </w:tr>
      <w:tr w14:paraId="12CD03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61" w:type="pct"/>
            <w:vAlign w:val="center"/>
          </w:tcPr>
          <w:p w14:paraId="2C79BE8F">
            <w:pPr>
              <w:snapToGrid w:val="0"/>
              <w:spacing w:line="240" w:lineRule="atLeast"/>
              <w:ind w:firstLine="360"/>
              <w:jc w:val="center"/>
              <w:rPr>
                <w:sz w:val="18"/>
                <w:szCs w:val="18"/>
              </w:rPr>
            </w:pPr>
            <w:r>
              <w:rPr>
                <w:rFonts w:hint="eastAsia"/>
                <w:sz w:val="18"/>
                <w:szCs w:val="18"/>
              </w:rPr>
              <w:t>鹿草</w:t>
            </w:r>
          </w:p>
        </w:tc>
        <w:tc>
          <w:tcPr>
            <w:tcW w:w="980" w:type="pct"/>
            <w:vAlign w:val="center"/>
          </w:tcPr>
          <w:p w14:paraId="1B969352">
            <w:pPr>
              <w:snapToGrid w:val="0"/>
              <w:spacing w:line="240" w:lineRule="atLeast"/>
              <w:ind w:firstLine="360"/>
              <w:jc w:val="center"/>
              <w:rPr>
                <w:sz w:val="18"/>
                <w:szCs w:val="18"/>
              </w:rPr>
            </w:pPr>
            <w:r>
              <w:rPr>
                <w:rFonts w:hint="eastAsia"/>
                <w:sz w:val="18"/>
                <w:szCs w:val="18"/>
              </w:rPr>
              <w:t>39</w:t>
            </w:r>
          </w:p>
        </w:tc>
        <w:tc>
          <w:tcPr>
            <w:tcW w:w="980" w:type="pct"/>
            <w:vAlign w:val="center"/>
          </w:tcPr>
          <w:p w14:paraId="5E991713">
            <w:pPr>
              <w:snapToGrid w:val="0"/>
              <w:spacing w:line="240" w:lineRule="atLeast"/>
              <w:ind w:firstLine="360"/>
              <w:jc w:val="center"/>
              <w:rPr>
                <w:sz w:val="18"/>
                <w:szCs w:val="18"/>
              </w:rPr>
            </w:pPr>
            <w:r>
              <w:rPr>
                <w:rFonts w:hint="eastAsia"/>
                <w:sz w:val="18"/>
                <w:szCs w:val="18"/>
              </w:rPr>
              <w:t>15</w:t>
            </w:r>
          </w:p>
        </w:tc>
        <w:tc>
          <w:tcPr>
            <w:tcW w:w="980" w:type="pct"/>
            <w:vAlign w:val="center"/>
          </w:tcPr>
          <w:p w14:paraId="351E94E0">
            <w:pPr>
              <w:snapToGrid w:val="0"/>
              <w:spacing w:line="240" w:lineRule="atLeast"/>
              <w:ind w:firstLine="360"/>
              <w:jc w:val="center"/>
              <w:rPr>
                <w:sz w:val="18"/>
                <w:szCs w:val="18"/>
              </w:rPr>
            </w:pPr>
            <w:r>
              <w:rPr>
                <w:rFonts w:hint="eastAsia"/>
                <w:sz w:val="18"/>
                <w:szCs w:val="18"/>
              </w:rPr>
              <w:t>79</w:t>
            </w:r>
          </w:p>
        </w:tc>
        <w:tc>
          <w:tcPr>
            <w:tcW w:w="1200" w:type="pct"/>
            <w:vAlign w:val="center"/>
          </w:tcPr>
          <w:p w14:paraId="0D56FC85">
            <w:pPr>
              <w:snapToGrid w:val="0"/>
              <w:spacing w:line="240" w:lineRule="atLeast"/>
              <w:ind w:firstLine="360"/>
              <w:jc w:val="center"/>
              <w:rPr>
                <w:sz w:val="18"/>
                <w:szCs w:val="18"/>
              </w:rPr>
            </w:pPr>
            <w:r>
              <w:rPr>
                <w:rFonts w:hint="eastAsia"/>
                <w:sz w:val="18"/>
                <w:szCs w:val="18"/>
              </w:rPr>
              <w:t>11.87</w:t>
            </w:r>
          </w:p>
        </w:tc>
      </w:tr>
      <w:tr w14:paraId="75CC3E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61" w:type="pct"/>
            <w:vAlign w:val="center"/>
          </w:tcPr>
          <w:p w14:paraId="7B7E3D07">
            <w:pPr>
              <w:snapToGrid w:val="0"/>
              <w:spacing w:line="240" w:lineRule="atLeast"/>
              <w:ind w:firstLine="360"/>
              <w:jc w:val="center"/>
              <w:rPr>
                <w:sz w:val="18"/>
                <w:szCs w:val="18"/>
              </w:rPr>
            </w:pPr>
            <w:r>
              <w:rPr>
                <w:rFonts w:hint="eastAsia"/>
                <w:sz w:val="18"/>
                <w:szCs w:val="18"/>
              </w:rPr>
              <w:t>星星草</w:t>
            </w:r>
          </w:p>
        </w:tc>
        <w:tc>
          <w:tcPr>
            <w:tcW w:w="980" w:type="pct"/>
            <w:vAlign w:val="center"/>
          </w:tcPr>
          <w:p w14:paraId="0E2B486E">
            <w:pPr>
              <w:snapToGrid w:val="0"/>
              <w:spacing w:line="240" w:lineRule="atLeast"/>
              <w:ind w:firstLine="360"/>
              <w:jc w:val="center"/>
              <w:rPr>
                <w:sz w:val="18"/>
                <w:szCs w:val="18"/>
              </w:rPr>
            </w:pPr>
            <w:r>
              <w:rPr>
                <w:rFonts w:hint="eastAsia"/>
                <w:sz w:val="18"/>
                <w:szCs w:val="18"/>
              </w:rPr>
              <w:t>43</w:t>
            </w:r>
          </w:p>
        </w:tc>
        <w:tc>
          <w:tcPr>
            <w:tcW w:w="980" w:type="pct"/>
            <w:vAlign w:val="center"/>
          </w:tcPr>
          <w:p w14:paraId="7224FEA2">
            <w:pPr>
              <w:snapToGrid w:val="0"/>
              <w:spacing w:line="240" w:lineRule="atLeast"/>
              <w:ind w:firstLine="360"/>
              <w:jc w:val="center"/>
              <w:rPr>
                <w:sz w:val="18"/>
                <w:szCs w:val="18"/>
              </w:rPr>
            </w:pPr>
            <w:r>
              <w:rPr>
                <w:rFonts w:hint="eastAsia"/>
                <w:sz w:val="18"/>
                <w:szCs w:val="18"/>
              </w:rPr>
              <w:t>20</w:t>
            </w:r>
          </w:p>
        </w:tc>
        <w:tc>
          <w:tcPr>
            <w:tcW w:w="980" w:type="pct"/>
            <w:vAlign w:val="center"/>
          </w:tcPr>
          <w:p w14:paraId="3A9D0330">
            <w:pPr>
              <w:snapToGrid w:val="0"/>
              <w:spacing w:line="240" w:lineRule="atLeast"/>
              <w:ind w:firstLine="360"/>
              <w:jc w:val="center"/>
              <w:rPr>
                <w:sz w:val="18"/>
                <w:szCs w:val="18"/>
              </w:rPr>
            </w:pPr>
            <w:r>
              <w:rPr>
                <w:rFonts w:hint="eastAsia"/>
                <w:sz w:val="18"/>
                <w:szCs w:val="18"/>
              </w:rPr>
              <w:t>205</w:t>
            </w:r>
          </w:p>
        </w:tc>
        <w:tc>
          <w:tcPr>
            <w:tcW w:w="1200" w:type="pct"/>
            <w:vAlign w:val="center"/>
          </w:tcPr>
          <w:p w14:paraId="56235FD8">
            <w:pPr>
              <w:snapToGrid w:val="0"/>
              <w:spacing w:line="240" w:lineRule="atLeast"/>
              <w:ind w:firstLine="360"/>
              <w:jc w:val="center"/>
              <w:rPr>
                <w:sz w:val="18"/>
                <w:szCs w:val="18"/>
              </w:rPr>
            </w:pPr>
            <w:r>
              <w:rPr>
                <w:rFonts w:hint="eastAsia"/>
                <w:sz w:val="18"/>
                <w:szCs w:val="18"/>
              </w:rPr>
              <w:t>16.96</w:t>
            </w:r>
          </w:p>
        </w:tc>
      </w:tr>
      <w:tr w14:paraId="3530BE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61" w:type="pct"/>
            <w:vAlign w:val="center"/>
          </w:tcPr>
          <w:p w14:paraId="6180BBFB">
            <w:pPr>
              <w:snapToGrid w:val="0"/>
              <w:spacing w:line="240" w:lineRule="atLeast"/>
              <w:ind w:firstLine="360"/>
              <w:jc w:val="center"/>
              <w:rPr>
                <w:sz w:val="18"/>
                <w:szCs w:val="18"/>
              </w:rPr>
            </w:pPr>
            <w:r>
              <w:rPr>
                <w:rFonts w:hint="eastAsia"/>
                <w:sz w:val="18"/>
                <w:szCs w:val="18"/>
              </w:rPr>
              <w:t>芦苇</w:t>
            </w:r>
          </w:p>
        </w:tc>
        <w:tc>
          <w:tcPr>
            <w:tcW w:w="980" w:type="pct"/>
            <w:vAlign w:val="center"/>
          </w:tcPr>
          <w:p w14:paraId="3B021862">
            <w:pPr>
              <w:snapToGrid w:val="0"/>
              <w:spacing w:line="240" w:lineRule="atLeast"/>
              <w:ind w:firstLine="360"/>
              <w:jc w:val="center"/>
              <w:rPr>
                <w:sz w:val="18"/>
                <w:szCs w:val="18"/>
              </w:rPr>
            </w:pPr>
            <w:r>
              <w:rPr>
                <w:rFonts w:hint="eastAsia"/>
                <w:sz w:val="18"/>
                <w:szCs w:val="18"/>
              </w:rPr>
              <w:t>41</w:t>
            </w:r>
          </w:p>
        </w:tc>
        <w:tc>
          <w:tcPr>
            <w:tcW w:w="980" w:type="pct"/>
            <w:vAlign w:val="center"/>
          </w:tcPr>
          <w:p w14:paraId="240AB02C">
            <w:pPr>
              <w:snapToGrid w:val="0"/>
              <w:spacing w:line="240" w:lineRule="atLeast"/>
              <w:ind w:firstLine="360"/>
              <w:jc w:val="center"/>
              <w:rPr>
                <w:sz w:val="18"/>
                <w:szCs w:val="18"/>
              </w:rPr>
            </w:pPr>
            <w:r>
              <w:rPr>
                <w:rFonts w:hint="eastAsia"/>
                <w:sz w:val="18"/>
                <w:szCs w:val="18"/>
              </w:rPr>
              <w:t>0.1</w:t>
            </w:r>
          </w:p>
        </w:tc>
        <w:tc>
          <w:tcPr>
            <w:tcW w:w="980" w:type="pct"/>
            <w:vAlign w:val="center"/>
          </w:tcPr>
          <w:p w14:paraId="347F3F97">
            <w:pPr>
              <w:snapToGrid w:val="0"/>
              <w:spacing w:line="240" w:lineRule="atLeast"/>
              <w:ind w:firstLine="360"/>
              <w:jc w:val="center"/>
              <w:rPr>
                <w:sz w:val="18"/>
                <w:szCs w:val="18"/>
              </w:rPr>
            </w:pPr>
            <w:r>
              <w:rPr>
                <w:rFonts w:hint="eastAsia"/>
                <w:sz w:val="18"/>
                <w:szCs w:val="18"/>
              </w:rPr>
              <w:t>2</w:t>
            </w:r>
          </w:p>
        </w:tc>
        <w:tc>
          <w:tcPr>
            <w:tcW w:w="1200" w:type="pct"/>
            <w:vAlign w:val="center"/>
          </w:tcPr>
          <w:p w14:paraId="4F458AE8">
            <w:pPr>
              <w:snapToGrid w:val="0"/>
              <w:spacing w:line="240" w:lineRule="atLeast"/>
              <w:ind w:firstLine="360"/>
              <w:jc w:val="center"/>
              <w:rPr>
                <w:sz w:val="18"/>
                <w:szCs w:val="18"/>
              </w:rPr>
            </w:pPr>
            <w:r>
              <w:rPr>
                <w:rFonts w:hint="eastAsia"/>
                <w:sz w:val="18"/>
                <w:szCs w:val="18"/>
              </w:rPr>
              <w:t>6.23</w:t>
            </w:r>
          </w:p>
        </w:tc>
      </w:tr>
      <w:tr w14:paraId="5CA7F3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61" w:type="pct"/>
            <w:vAlign w:val="center"/>
          </w:tcPr>
          <w:p w14:paraId="18B90636">
            <w:pPr>
              <w:snapToGrid w:val="0"/>
              <w:spacing w:line="240" w:lineRule="atLeast"/>
              <w:ind w:firstLine="360"/>
              <w:jc w:val="center"/>
              <w:rPr>
                <w:sz w:val="18"/>
                <w:szCs w:val="18"/>
              </w:rPr>
            </w:pPr>
            <w:r>
              <w:rPr>
                <w:rFonts w:hint="eastAsia"/>
                <w:sz w:val="18"/>
                <w:szCs w:val="18"/>
              </w:rPr>
              <w:t>车前</w:t>
            </w:r>
          </w:p>
        </w:tc>
        <w:tc>
          <w:tcPr>
            <w:tcW w:w="980" w:type="pct"/>
            <w:vAlign w:val="center"/>
          </w:tcPr>
          <w:p w14:paraId="6CA51C7C">
            <w:pPr>
              <w:snapToGrid w:val="0"/>
              <w:spacing w:line="240" w:lineRule="atLeast"/>
              <w:ind w:firstLine="360"/>
              <w:jc w:val="center"/>
              <w:rPr>
                <w:sz w:val="18"/>
                <w:szCs w:val="18"/>
              </w:rPr>
            </w:pPr>
            <w:r>
              <w:rPr>
                <w:rFonts w:hint="eastAsia"/>
                <w:sz w:val="18"/>
                <w:szCs w:val="18"/>
              </w:rPr>
              <w:t>10</w:t>
            </w:r>
          </w:p>
        </w:tc>
        <w:tc>
          <w:tcPr>
            <w:tcW w:w="980" w:type="pct"/>
            <w:vAlign w:val="center"/>
          </w:tcPr>
          <w:p w14:paraId="7944D763">
            <w:pPr>
              <w:snapToGrid w:val="0"/>
              <w:spacing w:line="240" w:lineRule="atLeast"/>
              <w:ind w:firstLine="360"/>
              <w:jc w:val="center"/>
              <w:rPr>
                <w:sz w:val="18"/>
                <w:szCs w:val="18"/>
              </w:rPr>
            </w:pPr>
            <w:r>
              <w:rPr>
                <w:rFonts w:hint="eastAsia"/>
                <w:sz w:val="18"/>
                <w:szCs w:val="18"/>
              </w:rPr>
              <w:t>0.5</w:t>
            </w:r>
          </w:p>
        </w:tc>
        <w:tc>
          <w:tcPr>
            <w:tcW w:w="980" w:type="pct"/>
            <w:vAlign w:val="center"/>
          </w:tcPr>
          <w:p w14:paraId="128EBEC5">
            <w:pPr>
              <w:snapToGrid w:val="0"/>
              <w:spacing w:line="240" w:lineRule="atLeast"/>
              <w:ind w:firstLine="360"/>
              <w:jc w:val="center"/>
              <w:rPr>
                <w:sz w:val="18"/>
                <w:szCs w:val="18"/>
              </w:rPr>
            </w:pPr>
            <w:r>
              <w:rPr>
                <w:rFonts w:hint="eastAsia"/>
                <w:sz w:val="18"/>
                <w:szCs w:val="18"/>
              </w:rPr>
              <w:t>2</w:t>
            </w:r>
          </w:p>
        </w:tc>
        <w:tc>
          <w:tcPr>
            <w:tcW w:w="1200" w:type="pct"/>
            <w:vAlign w:val="center"/>
          </w:tcPr>
          <w:p w14:paraId="0B7EC4E3">
            <w:pPr>
              <w:snapToGrid w:val="0"/>
              <w:spacing w:line="240" w:lineRule="atLeast"/>
              <w:ind w:firstLine="360"/>
              <w:jc w:val="center"/>
              <w:rPr>
                <w:sz w:val="18"/>
                <w:szCs w:val="18"/>
              </w:rPr>
            </w:pPr>
            <w:r>
              <w:rPr>
                <w:rFonts w:hint="eastAsia"/>
                <w:sz w:val="18"/>
                <w:szCs w:val="18"/>
              </w:rPr>
              <w:t>1.69</w:t>
            </w:r>
          </w:p>
        </w:tc>
      </w:tr>
      <w:tr w14:paraId="67450A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61" w:type="pct"/>
            <w:vAlign w:val="center"/>
          </w:tcPr>
          <w:p w14:paraId="5FD8381C">
            <w:pPr>
              <w:snapToGrid w:val="0"/>
              <w:spacing w:line="240" w:lineRule="atLeast"/>
              <w:ind w:firstLine="360"/>
              <w:jc w:val="center"/>
              <w:rPr>
                <w:sz w:val="18"/>
                <w:szCs w:val="18"/>
              </w:rPr>
            </w:pPr>
            <w:r>
              <w:rPr>
                <w:rFonts w:hint="eastAsia"/>
                <w:sz w:val="18"/>
                <w:szCs w:val="18"/>
              </w:rPr>
              <w:t>毛茛</w:t>
            </w:r>
          </w:p>
        </w:tc>
        <w:tc>
          <w:tcPr>
            <w:tcW w:w="980" w:type="pct"/>
            <w:vAlign w:val="center"/>
          </w:tcPr>
          <w:p w14:paraId="34C6EF0A">
            <w:pPr>
              <w:snapToGrid w:val="0"/>
              <w:spacing w:line="240" w:lineRule="atLeast"/>
              <w:ind w:firstLine="360"/>
              <w:jc w:val="center"/>
              <w:rPr>
                <w:sz w:val="18"/>
                <w:szCs w:val="18"/>
              </w:rPr>
            </w:pPr>
            <w:r>
              <w:rPr>
                <w:rFonts w:hint="eastAsia"/>
                <w:sz w:val="18"/>
                <w:szCs w:val="18"/>
              </w:rPr>
              <w:t>5</w:t>
            </w:r>
          </w:p>
        </w:tc>
        <w:tc>
          <w:tcPr>
            <w:tcW w:w="980" w:type="pct"/>
            <w:vAlign w:val="center"/>
          </w:tcPr>
          <w:p w14:paraId="7B13621D">
            <w:pPr>
              <w:snapToGrid w:val="0"/>
              <w:spacing w:line="240" w:lineRule="atLeast"/>
              <w:ind w:firstLine="360"/>
              <w:jc w:val="center"/>
              <w:rPr>
                <w:sz w:val="18"/>
                <w:szCs w:val="18"/>
              </w:rPr>
            </w:pPr>
            <w:r>
              <w:rPr>
                <w:rFonts w:hint="eastAsia"/>
                <w:sz w:val="18"/>
                <w:szCs w:val="18"/>
              </w:rPr>
              <w:t>4</w:t>
            </w:r>
          </w:p>
        </w:tc>
        <w:tc>
          <w:tcPr>
            <w:tcW w:w="980" w:type="pct"/>
            <w:vAlign w:val="center"/>
          </w:tcPr>
          <w:p w14:paraId="2196977C">
            <w:pPr>
              <w:snapToGrid w:val="0"/>
              <w:spacing w:line="240" w:lineRule="atLeast"/>
              <w:ind w:firstLine="360"/>
              <w:jc w:val="center"/>
              <w:rPr>
                <w:sz w:val="18"/>
                <w:szCs w:val="18"/>
              </w:rPr>
            </w:pPr>
            <w:r>
              <w:rPr>
                <w:rFonts w:hint="eastAsia"/>
                <w:sz w:val="18"/>
                <w:szCs w:val="18"/>
              </w:rPr>
              <w:t>5</w:t>
            </w:r>
          </w:p>
        </w:tc>
        <w:tc>
          <w:tcPr>
            <w:tcW w:w="1200" w:type="pct"/>
            <w:vAlign w:val="center"/>
          </w:tcPr>
          <w:p w14:paraId="6C937A1F">
            <w:pPr>
              <w:snapToGrid w:val="0"/>
              <w:spacing w:line="240" w:lineRule="atLeast"/>
              <w:ind w:firstLine="360"/>
              <w:jc w:val="center"/>
              <w:rPr>
                <w:sz w:val="18"/>
                <w:szCs w:val="18"/>
              </w:rPr>
            </w:pPr>
            <w:r>
              <w:rPr>
                <w:rFonts w:hint="eastAsia"/>
                <w:sz w:val="18"/>
                <w:szCs w:val="18"/>
              </w:rPr>
              <w:t>1.95</w:t>
            </w:r>
          </w:p>
        </w:tc>
      </w:tr>
      <w:tr w14:paraId="170145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61" w:type="pct"/>
            <w:vAlign w:val="center"/>
          </w:tcPr>
          <w:p w14:paraId="163B87C0">
            <w:pPr>
              <w:snapToGrid w:val="0"/>
              <w:spacing w:line="240" w:lineRule="atLeast"/>
              <w:ind w:firstLine="360"/>
              <w:jc w:val="center"/>
              <w:rPr>
                <w:sz w:val="18"/>
                <w:szCs w:val="18"/>
              </w:rPr>
            </w:pPr>
            <w:r>
              <w:rPr>
                <w:rFonts w:hint="eastAsia"/>
                <w:sz w:val="18"/>
                <w:szCs w:val="18"/>
              </w:rPr>
              <w:t>蒲公英</w:t>
            </w:r>
          </w:p>
        </w:tc>
        <w:tc>
          <w:tcPr>
            <w:tcW w:w="980" w:type="pct"/>
            <w:vAlign w:val="center"/>
          </w:tcPr>
          <w:p w14:paraId="55F2EF46">
            <w:pPr>
              <w:snapToGrid w:val="0"/>
              <w:spacing w:line="240" w:lineRule="atLeast"/>
              <w:ind w:firstLine="360"/>
              <w:jc w:val="center"/>
              <w:rPr>
                <w:sz w:val="18"/>
                <w:szCs w:val="18"/>
              </w:rPr>
            </w:pPr>
            <w:r>
              <w:rPr>
                <w:rFonts w:hint="eastAsia"/>
                <w:sz w:val="18"/>
                <w:szCs w:val="18"/>
              </w:rPr>
              <w:t>22</w:t>
            </w:r>
          </w:p>
        </w:tc>
        <w:tc>
          <w:tcPr>
            <w:tcW w:w="980" w:type="pct"/>
            <w:vAlign w:val="center"/>
          </w:tcPr>
          <w:p w14:paraId="64774111">
            <w:pPr>
              <w:snapToGrid w:val="0"/>
              <w:spacing w:line="240" w:lineRule="atLeast"/>
              <w:ind w:firstLine="360"/>
              <w:jc w:val="center"/>
              <w:rPr>
                <w:sz w:val="18"/>
                <w:szCs w:val="18"/>
              </w:rPr>
            </w:pPr>
            <w:r>
              <w:rPr>
                <w:rFonts w:hint="eastAsia"/>
                <w:sz w:val="18"/>
                <w:szCs w:val="18"/>
              </w:rPr>
              <w:t>5</w:t>
            </w:r>
          </w:p>
        </w:tc>
        <w:tc>
          <w:tcPr>
            <w:tcW w:w="980" w:type="pct"/>
            <w:vAlign w:val="center"/>
          </w:tcPr>
          <w:p w14:paraId="16F9F5D4">
            <w:pPr>
              <w:snapToGrid w:val="0"/>
              <w:spacing w:line="240" w:lineRule="atLeast"/>
              <w:ind w:firstLine="360"/>
              <w:jc w:val="center"/>
              <w:rPr>
                <w:sz w:val="18"/>
                <w:szCs w:val="18"/>
              </w:rPr>
            </w:pPr>
            <w:r>
              <w:rPr>
                <w:rFonts w:hint="eastAsia"/>
                <w:sz w:val="18"/>
                <w:szCs w:val="18"/>
              </w:rPr>
              <w:t>7</w:t>
            </w:r>
          </w:p>
        </w:tc>
        <w:tc>
          <w:tcPr>
            <w:tcW w:w="1200" w:type="pct"/>
            <w:vAlign w:val="center"/>
          </w:tcPr>
          <w:p w14:paraId="205746B0">
            <w:pPr>
              <w:snapToGrid w:val="0"/>
              <w:spacing w:line="240" w:lineRule="atLeast"/>
              <w:ind w:firstLine="360"/>
              <w:jc w:val="center"/>
              <w:rPr>
                <w:sz w:val="18"/>
                <w:szCs w:val="18"/>
              </w:rPr>
            </w:pPr>
            <w:r>
              <w:rPr>
                <w:rFonts w:hint="eastAsia"/>
                <w:sz w:val="18"/>
                <w:szCs w:val="18"/>
              </w:rPr>
              <w:t>4.83</w:t>
            </w:r>
          </w:p>
        </w:tc>
      </w:tr>
    </w:tbl>
    <w:p w14:paraId="4D2EA427">
      <w:pPr>
        <w:snapToGrid w:val="0"/>
        <w:spacing w:beforeLines="100" w:line="240" w:lineRule="atLeast"/>
        <w:ind w:firstLine="480"/>
        <w:rPr>
          <w:rFonts w:eastAsia="黑体"/>
          <w:szCs w:val="24"/>
          <w:lang w:eastAsia="zh-CN"/>
        </w:rPr>
      </w:pPr>
      <w:r>
        <w:rPr>
          <w:rFonts w:eastAsia="黑体"/>
          <w:szCs w:val="24"/>
          <w:lang w:eastAsia="zh-CN"/>
        </w:rPr>
        <w:t>表</w:t>
      </w:r>
      <w:r>
        <w:rPr>
          <w:rFonts w:hint="eastAsia" w:eastAsia="黑体"/>
          <w:szCs w:val="24"/>
          <w:lang w:eastAsia="zh-CN"/>
        </w:rPr>
        <w:t>9</w:t>
      </w:r>
      <w:r>
        <w:rPr>
          <w:rFonts w:eastAsia="黑体"/>
          <w:szCs w:val="24"/>
          <w:lang w:eastAsia="zh-CN"/>
        </w:rPr>
        <w:t>.</w:t>
      </w:r>
      <w:r>
        <w:rPr>
          <w:rFonts w:hint="eastAsia" w:eastAsia="黑体"/>
          <w:szCs w:val="24"/>
          <w:lang w:eastAsia="zh-CN"/>
        </w:rPr>
        <w:t>1</w:t>
      </w:r>
      <w:r>
        <w:rPr>
          <w:rFonts w:eastAsia="黑体"/>
          <w:szCs w:val="24"/>
          <w:lang w:eastAsia="zh-CN"/>
        </w:rPr>
        <w:t>-</w:t>
      </w:r>
      <w:r>
        <w:rPr>
          <w:rFonts w:hint="eastAsia" w:eastAsia="黑体"/>
          <w:szCs w:val="24"/>
          <w:lang w:eastAsia="zh-CN"/>
        </w:rPr>
        <w:t>6     芨芨草盐化草甸植被</w:t>
      </w:r>
      <w:r>
        <w:rPr>
          <w:rFonts w:eastAsia="黑体"/>
          <w:szCs w:val="24"/>
          <w:lang w:eastAsia="zh-CN"/>
        </w:rPr>
        <w:t>样方调查统计表</w:t>
      </w:r>
      <w:r>
        <w:rPr>
          <w:rFonts w:hint="eastAsia" w:eastAsia="黑体"/>
          <w:szCs w:val="24"/>
          <w:lang w:eastAsia="zh-CN"/>
        </w:rPr>
        <w:t>（5m×5m）</w:t>
      </w:r>
    </w:p>
    <w:tbl>
      <w:tblPr>
        <w:tblStyle w:val="76"/>
        <w:tblW w:w="850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3"/>
        <w:gridCol w:w="979"/>
        <w:gridCol w:w="1236"/>
        <w:gridCol w:w="1358"/>
        <w:gridCol w:w="1271"/>
        <w:gridCol w:w="1272"/>
        <w:gridCol w:w="1056"/>
      </w:tblGrid>
      <w:tr w14:paraId="65601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18" w:type="dxa"/>
            <w:tcBorders>
              <w:top w:val="single" w:color="auto" w:sz="12" w:space="0"/>
              <w:left w:val="single" w:color="auto" w:sz="12" w:space="0"/>
            </w:tcBorders>
            <w:vAlign w:val="center"/>
          </w:tcPr>
          <w:p w14:paraId="3CADD897">
            <w:pPr>
              <w:spacing w:line="320" w:lineRule="exact"/>
              <w:ind w:firstLineChars="111"/>
              <w:jc w:val="center"/>
              <w:rPr>
                <w:rFonts w:ascii="宋体" w:hAnsi="宋体"/>
                <w:sz w:val="18"/>
                <w:szCs w:val="18"/>
              </w:rPr>
            </w:pPr>
            <w:r>
              <w:rPr>
                <w:rFonts w:hint="eastAsia" w:ascii="宋体" w:hAnsi="宋体"/>
                <w:sz w:val="18"/>
                <w:szCs w:val="18"/>
              </w:rPr>
              <w:t>植物种</w:t>
            </w:r>
          </w:p>
        </w:tc>
        <w:tc>
          <w:tcPr>
            <w:tcW w:w="992" w:type="dxa"/>
            <w:tcBorders>
              <w:top w:val="single" w:color="auto" w:sz="12" w:space="0"/>
            </w:tcBorders>
            <w:vAlign w:val="center"/>
          </w:tcPr>
          <w:p w14:paraId="2172103E">
            <w:pPr>
              <w:spacing w:line="320" w:lineRule="exact"/>
              <w:ind w:firstLine="0" w:firstLineChars="0"/>
              <w:jc w:val="center"/>
              <w:rPr>
                <w:rFonts w:ascii="宋体" w:hAnsi="宋体"/>
                <w:sz w:val="18"/>
                <w:szCs w:val="18"/>
                <w:lang w:eastAsia="zh-CN"/>
              </w:rPr>
            </w:pPr>
            <w:r>
              <w:rPr>
                <w:rFonts w:hint="eastAsia" w:ascii="宋体" w:hAnsi="宋体"/>
                <w:sz w:val="18"/>
                <w:szCs w:val="18"/>
              </w:rPr>
              <w:t>高度</w:t>
            </w:r>
          </w:p>
          <w:p w14:paraId="5CC97113">
            <w:pPr>
              <w:spacing w:line="320" w:lineRule="exact"/>
              <w:ind w:firstLine="0" w:firstLineChars="0"/>
              <w:jc w:val="center"/>
              <w:rPr>
                <w:rFonts w:ascii="宋体" w:hAnsi="宋体"/>
                <w:sz w:val="18"/>
                <w:szCs w:val="18"/>
              </w:rPr>
            </w:pPr>
            <w:r>
              <w:rPr>
                <w:rFonts w:hint="eastAsia" w:ascii="宋体" w:hAnsi="宋体"/>
                <w:sz w:val="18"/>
                <w:szCs w:val="18"/>
              </w:rPr>
              <w:t>（cm）</w:t>
            </w:r>
          </w:p>
        </w:tc>
        <w:tc>
          <w:tcPr>
            <w:tcW w:w="1134" w:type="dxa"/>
            <w:tcBorders>
              <w:top w:val="single" w:color="auto" w:sz="12" w:space="0"/>
            </w:tcBorders>
            <w:vAlign w:val="center"/>
          </w:tcPr>
          <w:p w14:paraId="66242CFA">
            <w:pPr>
              <w:spacing w:line="320" w:lineRule="exact"/>
              <w:ind w:firstLine="0" w:firstLineChars="0"/>
              <w:jc w:val="center"/>
              <w:rPr>
                <w:rFonts w:ascii="宋体" w:hAnsi="宋体"/>
                <w:sz w:val="18"/>
                <w:szCs w:val="18"/>
                <w:lang w:eastAsia="zh-CN"/>
              </w:rPr>
            </w:pPr>
            <w:r>
              <w:rPr>
                <w:rFonts w:hint="eastAsia" w:ascii="宋体" w:hAnsi="宋体"/>
                <w:sz w:val="18"/>
                <w:szCs w:val="18"/>
              </w:rPr>
              <w:t>冠幅</w:t>
            </w:r>
          </w:p>
          <w:p w14:paraId="152D1D4D">
            <w:pPr>
              <w:spacing w:line="320" w:lineRule="exact"/>
              <w:ind w:firstLine="0" w:firstLineChars="0"/>
              <w:jc w:val="center"/>
              <w:rPr>
                <w:rFonts w:ascii="宋体" w:hAnsi="宋体"/>
                <w:sz w:val="18"/>
                <w:szCs w:val="18"/>
              </w:rPr>
            </w:pPr>
            <w:r>
              <w:rPr>
                <w:rFonts w:hint="eastAsia" w:ascii="宋体" w:hAnsi="宋体"/>
                <w:sz w:val="18"/>
                <w:szCs w:val="18"/>
              </w:rPr>
              <w:t>(cm)</w:t>
            </w:r>
          </w:p>
        </w:tc>
        <w:tc>
          <w:tcPr>
            <w:tcW w:w="1418" w:type="dxa"/>
            <w:tcBorders>
              <w:top w:val="single" w:color="auto" w:sz="12" w:space="0"/>
            </w:tcBorders>
            <w:vAlign w:val="center"/>
          </w:tcPr>
          <w:p w14:paraId="6B0A99DD">
            <w:pPr>
              <w:spacing w:line="320" w:lineRule="exact"/>
              <w:ind w:firstLine="360"/>
              <w:jc w:val="center"/>
              <w:rPr>
                <w:rFonts w:ascii="宋体" w:hAnsi="宋体"/>
                <w:sz w:val="18"/>
                <w:szCs w:val="18"/>
              </w:rPr>
            </w:pPr>
            <w:r>
              <w:rPr>
                <w:rFonts w:hint="eastAsia" w:ascii="宋体" w:hAnsi="宋体"/>
                <w:sz w:val="18"/>
                <w:szCs w:val="18"/>
              </w:rPr>
              <w:t>植物种</w:t>
            </w:r>
          </w:p>
        </w:tc>
        <w:tc>
          <w:tcPr>
            <w:tcW w:w="1275" w:type="dxa"/>
            <w:tcBorders>
              <w:top w:val="single" w:color="auto" w:sz="12" w:space="0"/>
            </w:tcBorders>
            <w:vAlign w:val="center"/>
          </w:tcPr>
          <w:p w14:paraId="34A002C0">
            <w:pPr>
              <w:spacing w:line="320" w:lineRule="exact"/>
              <w:ind w:firstLine="360"/>
              <w:jc w:val="center"/>
              <w:rPr>
                <w:rFonts w:ascii="宋体" w:hAnsi="宋体"/>
                <w:sz w:val="18"/>
                <w:szCs w:val="18"/>
                <w:lang w:eastAsia="zh-CN"/>
              </w:rPr>
            </w:pPr>
            <w:r>
              <w:rPr>
                <w:rFonts w:hint="eastAsia" w:ascii="宋体" w:hAnsi="宋体"/>
                <w:sz w:val="18"/>
                <w:szCs w:val="18"/>
              </w:rPr>
              <w:t>高度</w:t>
            </w:r>
          </w:p>
          <w:p w14:paraId="39E578D5">
            <w:pPr>
              <w:spacing w:line="320" w:lineRule="exact"/>
              <w:ind w:firstLine="360"/>
              <w:jc w:val="center"/>
              <w:rPr>
                <w:rFonts w:ascii="宋体" w:hAnsi="宋体"/>
                <w:sz w:val="18"/>
                <w:szCs w:val="18"/>
              </w:rPr>
            </w:pPr>
            <w:r>
              <w:rPr>
                <w:rFonts w:hint="eastAsia" w:ascii="宋体" w:hAnsi="宋体"/>
                <w:sz w:val="18"/>
                <w:szCs w:val="18"/>
              </w:rPr>
              <w:t>（cm）</w:t>
            </w:r>
          </w:p>
        </w:tc>
        <w:tc>
          <w:tcPr>
            <w:tcW w:w="1276" w:type="dxa"/>
            <w:tcBorders>
              <w:top w:val="single" w:color="auto" w:sz="12" w:space="0"/>
            </w:tcBorders>
            <w:vAlign w:val="center"/>
          </w:tcPr>
          <w:p w14:paraId="00ACD3AC">
            <w:pPr>
              <w:spacing w:line="320" w:lineRule="exact"/>
              <w:ind w:firstLine="360"/>
              <w:jc w:val="center"/>
              <w:rPr>
                <w:rFonts w:ascii="宋体" w:hAnsi="宋体"/>
                <w:sz w:val="18"/>
                <w:szCs w:val="18"/>
                <w:lang w:eastAsia="zh-CN"/>
              </w:rPr>
            </w:pPr>
            <w:r>
              <w:rPr>
                <w:rFonts w:hint="eastAsia" w:ascii="宋体" w:hAnsi="宋体"/>
                <w:sz w:val="18"/>
                <w:szCs w:val="18"/>
              </w:rPr>
              <w:t>冠幅</w:t>
            </w:r>
          </w:p>
          <w:p w14:paraId="2E203787">
            <w:pPr>
              <w:spacing w:line="320" w:lineRule="exact"/>
              <w:ind w:firstLine="360"/>
              <w:jc w:val="center"/>
              <w:rPr>
                <w:rFonts w:ascii="宋体" w:hAnsi="宋体"/>
                <w:sz w:val="18"/>
                <w:szCs w:val="18"/>
              </w:rPr>
            </w:pPr>
            <w:r>
              <w:rPr>
                <w:rFonts w:hint="eastAsia" w:ascii="宋体" w:hAnsi="宋体"/>
                <w:sz w:val="18"/>
                <w:szCs w:val="18"/>
              </w:rPr>
              <w:t>(cm)</w:t>
            </w:r>
          </w:p>
        </w:tc>
        <w:tc>
          <w:tcPr>
            <w:tcW w:w="992" w:type="dxa"/>
            <w:tcBorders>
              <w:top w:val="single" w:color="auto" w:sz="12" w:space="0"/>
              <w:right w:val="single" w:color="auto" w:sz="12" w:space="0"/>
            </w:tcBorders>
            <w:vAlign w:val="center"/>
          </w:tcPr>
          <w:p w14:paraId="7C0F0331">
            <w:pPr>
              <w:spacing w:line="320" w:lineRule="exact"/>
              <w:ind w:firstLine="0" w:firstLineChars="0"/>
              <w:jc w:val="center"/>
              <w:rPr>
                <w:rFonts w:ascii="宋体" w:hAnsi="宋体"/>
                <w:sz w:val="18"/>
                <w:szCs w:val="18"/>
                <w:lang w:eastAsia="zh-CN"/>
              </w:rPr>
            </w:pPr>
            <w:r>
              <w:rPr>
                <w:rFonts w:hint="eastAsia" w:ascii="宋体" w:hAnsi="宋体"/>
                <w:sz w:val="18"/>
                <w:szCs w:val="18"/>
              </w:rPr>
              <w:t>鲜生物量</w:t>
            </w:r>
          </w:p>
          <w:p w14:paraId="7530CDDC">
            <w:pPr>
              <w:spacing w:line="320" w:lineRule="exact"/>
              <w:ind w:firstLine="0" w:firstLineChars="0"/>
              <w:jc w:val="center"/>
              <w:rPr>
                <w:rFonts w:ascii="宋体" w:hAnsi="宋体"/>
                <w:sz w:val="18"/>
                <w:szCs w:val="18"/>
              </w:rPr>
            </w:pPr>
            <w:r>
              <w:rPr>
                <w:rFonts w:hint="eastAsia" w:ascii="宋体" w:hAnsi="宋体"/>
                <w:sz w:val="18"/>
                <w:szCs w:val="18"/>
              </w:rPr>
              <w:t>（g）</w:t>
            </w:r>
          </w:p>
        </w:tc>
      </w:tr>
      <w:tr w14:paraId="7031A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418" w:type="dxa"/>
            <w:tcBorders>
              <w:left w:val="single" w:color="auto" w:sz="12" w:space="0"/>
            </w:tcBorders>
            <w:vAlign w:val="center"/>
          </w:tcPr>
          <w:p w14:paraId="3A4F88BA">
            <w:pPr>
              <w:spacing w:line="320" w:lineRule="exact"/>
              <w:ind w:firstLineChars="111"/>
              <w:jc w:val="center"/>
              <w:rPr>
                <w:rFonts w:ascii="宋体" w:hAnsi="宋体"/>
                <w:sz w:val="18"/>
                <w:szCs w:val="18"/>
              </w:rPr>
            </w:pPr>
            <w:r>
              <w:rPr>
                <w:rFonts w:hint="eastAsia" w:ascii="宋体" w:hAnsi="宋体"/>
                <w:sz w:val="18"/>
                <w:szCs w:val="18"/>
              </w:rPr>
              <w:t>芨芨草</w:t>
            </w:r>
          </w:p>
        </w:tc>
        <w:tc>
          <w:tcPr>
            <w:tcW w:w="992" w:type="dxa"/>
            <w:vAlign w:val="center"/>
          </w:tcPr>
          <w:p w14:paraId="257F3C7C">
            <w:pPr>
              <w:spacing w:line="320" w:lineRule="exact"/>
              <w:ind w:firstLine="360"/>
              <w:jc w:val="center"/>
              <w:rPr>
                <w:rFonts w:ascii="宋体" w:hAnsi="宋体"/>
                <w:sz w:val="18"/>
                <w:szCs w:val="18"/>
              </w:rPr>
            </w:pPr>
            <w:r>
              <w:rPr>
                <w:rFonts w:hint="eastAsia" w:ascii="宋体" w:hAnsi="宋体"/>
                <w:sz w:val="18"/>
                <w:szCs w:val="18"/>
              </w:rPr>
              <w:t>50</w:t>
            </w:r>
          </w:p>
        </w:tc>
        <w:tc>
          <w:tcPr>
            <w:tcW w:w="1134" w:type="dxa"/>
            <w:vAlign w:val="center"/>
          </w:tcPr>
          <w:p w14:paraId="1CFF253E">
            <w:pPr>
              <w:spacing w:line="320" w:lineRule="exact"/>
              <w:ind w:firstLine="360"/>
              <w:jc w:val="center"/>
              <w:rPr>
                <w:rFonts w:ascii="宋体" w:hAnsi="宋体"/>
                <w:sz w:val="18"/>
                <w:szCs w:val="18"/>
              </w:rPr>
            </w:pPr>
            <w:r>
              <w:rPr>
                <w:rFonts w:hint="eastAsia" w:ascii="宋体" w:hAnsi="宋体"/>
                <w:sz w:val="18"/>
                <w:szCs w:val="18"/>
              </w:rPr>
              <w:t>25×15</w:t>
            </w:r>
          </w:p>
        </w:tc>
        <w:tc>
          <w:tcPr>
            <w:tcW w:w="1418" w:type="dxa"/>
            <w:vAlign w:val="center"/>
          </w:tcPr>
          <w:p w14:paraId="2ECD6605">
            <w:pPr>
              <w:spacing w:line="320" w:lineRule="exact"/>
              <w:ind w:firstLine="360"/>
              <w:jc w:val="center"/>
              <w:rPr>
                <w:rFonts w:ascii="宋体" w:hAnsi="宋体"/>
                <w:sz w:val="18"/>
                <w:szCs w:val="18"/>
              </w:rPr>
            </w:pPr>
            <w:r>
              <w:rPr>
                <w:rFonts w:hint="eastAsia" w:ascii="宋体" w:hAnsi="宋体"/>
                <w:sz w:val="18"/>
                <w:szCs w:val="18"/>
              </w:rPr>
              <w:t>芨芨草</w:t>
            </w:r>
          </w:p>
        </w:tc>
        <w:tc>
          <w:tcPr>
            <w:tcW w:w="1275" w:type="dxa"/>
            <w:vAlign w:val="center"/>
          </w:tcPr>
          <w:p w14:paraId="5E31C477">
            <w:pPr>
              <w:spacing w:line="320" w:lineRule="exact"/>
              <w:ind w:firstLine="360"/>
              <w:jc w:val="center"/>
              <w:rPr>
                <w:rFonts w:ascii="宋体" w:hAnsi="宋体"/>
                <w:sz w:val="18"/>
                <w:szCs w:val="18"/>
              </w:rPr>
            </w:pPr>
            <w:r>
              <w:rPr>
                <w:rFonts w:hint="eastAsia" w:ascii="宋体" w:hAnsi="宋体"/>
                <w:sz w:val="18"/>
                <w:szCs w:val="18"/>
              </w:rPr>
              <w:t>55</w:t>
            </w:r>
          </w:p>
        </w:tc>
        <w:tc>
          <w:tcPr>
            <w:tcW w:w="1276" w:type="dxa"/>
            <w:vAlign w:val="center"/>
          </w:tcPr>
          <w:p w14:paraId="785F1422">
            <w:pPr>
              <w:spacing w:line="320" w:lineRule="exact"/>
              <w:ind w:firstLine="360"/>
              <w:jc w:val="center"/>
              <w:rPr>
                <w:rFonts w:ascii="宋体" w:hAnsi="宋体"/>
                <w:sz w:val="18"/>
                <w:szCs w:val="18"/>
              </w:rPr>
            </w:pPr>
            <w:r>
              <w:rPr>
                <w:rFonts w:hint="eastAsia" w:ascii="宋体" w:hAnsi="宋体"/>
                <w:sz w:val="18"/>
                <w:szCs w:val="18"/>
              </w:rPr>
              <w:t>40×40</w:t>
            </w:r>
          </w:p>
        </w:tc>
        <w:tc>
          <w:tcPr>
            <w:tcW w:w="992" w:type="dxa"/>
            <w:tcBorders>
              <w:right w:val="single" w:color="auto" w:sz="12" w:space="0"/>
            </w:tcBorders>
            <w:vAlign w:val="center"/>
          </w:tcPr>
          <w:p w14:paraId="334CD039">
            <w:pPr>
              <w:spacing w:line="320" w:lineRule="exact"/>
              <w:ind w:firstLine="360"/>
              <w:jc w:val="center"/>
              <w:rPr>
                <w:rFonts w:ascii="宋体" w:hAnsi="宋体"/>
                <w:sz w:val="18"/>
                <w:szCs w:val="18"/>
              </w:rPr>
            </w:pPr>
          </w:p>
        </w:tc>
      </w:tr>
      <w:tr w14:paraId="4B5F2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18" w:type="dxa"/>
            <w:tcBorders>
              <w:left w:val="single" w:color="auto" w:sz="12" w:space="0"/>
            </w:tcBorders>
            <w:vAlign w:val="center"/>
          </w:tcPr>
          <w:p w14:paraId="5775BB4A">
            <w:pPr>
              <w:spacing w:line="320" w:lineRule="exact"/>
              <w:ind w:firstLineChars="111"/>
              <w:jc w:val="center"/>
              <w:rPr>
                <w:rFonts w:ascii="宋体" w:hAnsi="宋体"/>
                <w:sz w:val="18"/>
                <w:szCs w:val="18"/>
              </w:rPr>
            </w:pPr>
            <w:r>
              <w:rPr>
                <w:rFonts w:hint="eastAsia" w:ascii="宋体" w:hAnsi="宋体"/>
                <w:sz w:val="18"/>
                <w:szCs w:val="18"/>
              </w:rPr>
              <w:t>芨芨草</w:t>
            </w:r>
          </w:p>
        </w:tc>
        <w:tc>
          <w:tcPr>
            <w:tcW w:w="992" w:type="dxa"/>
            <w:vAlign w:val="center"/>
          </w:tcPr>
          <w:p w14:paraId="22A3A9E3">
            <w:pPr>
              <w:spacing w:line="320" w:lineRule="exact"/>
              <w:ind w:firstLine="360"/>
              <w:jc w:val="center"/>
              <w:rPr>
                <w:rFonts w:ascii="宋体" w:hAnsi="宋体"/>
                <w:sz w:val="18"/>
                <w:szCs w:val="18"/>
              </w:rPr>
            </w:pPr>
            <w:r>
              <w:rPr>
                <w:rFonts w:hint="eastAsia" w:ascii="宋体" w:hAnsi="宋体"/>
                <w:sz w:val="18"/>
                <w:szCs w:val="18"/>
              </w:rPr>
              <w:t>30</w:t>
            </w:r>
          </w:p>
        </w:tc>
        <w:tc>
          <w:tcPr>
            <w:tcW w:w="1134" w:type="dxa"/>
            <w:vAlign w:val="center"/>
          </w:tcPr>
          <w:p w14:paraId="31CCF79F">
            <w:pPr>
              <w:spacing w:line="320" w:lineRule="exact"/>
              <w:ind w:firstLine="360"/>
              <w:jc w:val="center"/>
              <w:rPr>
                <w:rFonts w:ascii="宋体" w:hAnsi="宋体"/>
                <w:sz w:val="18"/>
                <w:szCs w:val="18"/>
              </w:rPr>
            </w:pPr>
            <w:r>
              <w:rPr>
                <w:rFonts w:hint="eastAsia" w:ascii="宋体" w:hAnsi="宋体"/>
                <w:sz w:val="18"/>
                <w:szCs w:val="18"/>
              </w:rPr>
              <w:t>20×15</w:t>
            </w:r>
          </w:p>
        </w:tc>
        <w:tc>
          <w:tcPr>
            <w:tcW w:w="1418" w:type="dxa"/>
            <w:vAlign w:val="center"/>
          </w:tcPr>
          <w:p w14:paraId="76E8586F">
            <w:pPr>
              <w:spacing w:line="320" w:lineRule="exact"/>
              <w:ind w:firstLine="360"/>
              <w:jc w:val="center"/>
              <w:rPr>
                <w:rFonts w:ascii="宋体" w:hAnsi="宋体"/>
                <w:sz w:val="18"/>
                <w:szCs w:val="18"/>
              </w:rPr>
            </w:pPr>
            <w:r>
              <w:rPr>
                <w:rFonts w:hint="eastAsia" w:ascii="宋体" w:hAnsi="宋体"/>
                <w:sz w:val="18"/>
                <w:szCs w:val="18"/>
              </w:rPr>
              <w:t>芨芨草</w:t>
            </w:r>
          </w:p>
        </w:tc>
        <w:tc>
          <w:tcPr>
            <w:tcW w:w="1275" w:type="dxa"/>
            <w:vAlign w:val="center"/>
          </w:tcPr>
          <w:p w14:paraId="7B16695A">
            <w:pPr>
              <w:spacing w:line="320" w:lineRule="exact"/>
              <w:ind w:firstLine="360"/>
              <w:jc w:val="center"/>
              <w:rPr>
                <w:rFonts w:ascii="宋体" w:hAnsi="宋体"/>
                <w:sz w:val="18"/>
                <w:szCs w:val="18"/>
              </w:rPr>
            </w:pPr>
            <w:r>
              <w:rPr>
                <w:rFonts w:hint="eastAsia" w:ascii="宋体" w:hAnsi="宋体"/>
                <w:sz w:val="18"/>
                <w:szCs w:val="18"/>
              </w:rPr>
              <w:t>100</w:t>
            </w:r>
          </w:p>
        </w:tc>
        <w:tc>
          <w:tcPr>
            <w:tcW w:w="1276" w:type="dxa"/>
            <w:vAlign w:val="center"/>
          </w:tcPr>
          <w:p w14:paraId="29C9BA77">
            <w:pPr>
              <w:spacing w:line="320" w:lineRule="exact"/>
              <w:ind w:firstLine="360"/>
              <w:jc w:val="center"/>
              <w:rPr>
                <w:rFonts w:ascii="宋体" w:hAnsi="宋体"/>
                <w:sz w:val="18"/>
                <w:szCs w:val="18"/>
              </w:rPr>
            </w:pPr>
            <w:r>
              <w:rPr>
                <w:rFonts w:hint="eastAsia" w:ascii="宋体" w:hAnsi="宋体"/>
                <w:sz w:val="18"/>
                <w:szCs w:val="18"/>
              </w:rPr>
              <w:t>35×50</w:t>
            </w:r>
          </w:p>
        </w:tc>
        <w:tc>
          <w:tcPr>
            <w:tcW w:w="992" w:type="dxa"/>
            <w:tcBorders>
              <w:right w:val="single" w:color="auto" w:sz="12" w:space="0"/>
            </w:tcBorders>
            <w:vAlign w:val="center"/>
          </w:tcPr>
          <w:p w14:paraId="7316752E">
            <w:pPr>
              <w:spacing w:line="320" w:lineRule="exact"/>
              <w:ind w:firstLine="360"/>
              <w:jc w:val="center"/>
              <w:rPr>
                <w:rFonts w:ascii="宋体" w:hAnsi="宋体"/>
                <w:sz w:val="18"/>
                <w:szCs w:val="18"/>
              </w:rPr>
            </w:pPr>
          </w:p>
        </w:tc>
      </w:tr>
      <w:tr w14:paraId="0BBE1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18" w:type="dxa"/>
            <w:tcBorders>
              <w:left w:val="single" w:color="auto" w:sz="12" w:space="0"/>
            </w:tcBorders>
            <w:vAlign w:val="center"/>
          </w:tcPr>
          <w:p w14:paraId="37895D71">
            <w:pPr>
              <w:spacing w:line="320" w:lineRule="exact"/>
              <w:ind w:firstLineChars="111"/>
              <w:jc w:val="center"/>
              <w:rPr>
                <w:rFonts w:ascii="宋体" w:hAnsi="宋体"/>
                <w:sz w:val="18"/>
                <w:szCs w:val="18"/>
              </w:rPr>
            </w:pPr>
            <w:r>
              <w:rPr>
                <w:rFonts w:hint="eastAsia" w:ascii="宋体" w:hAnsi="宋体"/>
                <w:sz w:val="18"/>
                <w:szCs w:val="18"/>
              </w:rPr>
              <w:t>芨芨草</w:t>
            </w:r>
          </w:p>
        </w:tc>
        <w:tc>
          <w:tcPr>
            <w:tcW w:w="992" w:type="dxa"/>
            <w:vAlign w:val="center"/>
          </w:tcPr>
          <w:p w14:paraId="02E51D5B">
            <w:pPr>
              <w:spacing w:line="320" w:lineRule="exact"/>
              <w:ind w:firstLine="360"/>
              <w:jc w:val="center"/>
              <w:rPr>
                <w:rFonts w:ascii="宋体" w:hAnsi="宋体"/>
                <w:sz w:val="18"/>
                <w:szCs w:val="18"/>
              </w:rPr>
            </w:pPr>
            <w:r>
              <w:rPr>
                <w:rFonts w:hint="eastAsia" w:ascii="宋体" w:hAnsi="宋体"/>
                <w:sz w:val="18"/>
                <w:szCs w:val="18"/>
              </w:rPr>
              <w:t>35</w:t>
            </w:r>
          </w:p>
        </w:tc>
        <w:tc>
          <w:tcPr>
            <w:tcW w:w="1134" w:type="dxa"/>
            <w:vAlign w:val="center"/>
          </w:tcPr>
          <w:p w14:paraId="11935573">
            <w:pPr>
              <w:spacing w:line="320" w:lineRule="exact"/>
              <w:ind w:firstLine="360"/>
              <w:jc w:val="center"/>
              <w:rPr>
                <w:rFonts w:ascii="宋体" w:hAnsi="宋体"/>
                <w:sz w:val="18"/>
                <w:szCs w:val="18"/>
              </w:rPr>
            </w:pPr>
            <w:r>
              <w:rPr>
                <w:rFonts w:hint="eastAsia" w:ascii="宋体" w:hAnsi="宋体"/>
                <w:sz w:val="18"/>
                <w:szCs w:val="18"/>
              </w:rPr>
              <w:t>8×5</w:t>
            </w:r>
          </w:p>
        </w:tc>
        <w:tc>
          <w:tcPr>
            <w:tcW w:w="1418" w:type="dxa"/>
            <w:vAlign w:val="center"/>
          </w:tcPr>
          <w:p w14:paraId="0C770833">
            <w:pPr>
              <w:spacing w:line="320" w:lineRule="exact"/>
              <w:ind w:firstLine="360"/>
              <w:jc w:val="center"/>
              <w:rPr>
                <w:rFonts w:ascii="宋体" w:hAnsi="宋体"/>
                <w:sz w:val="18"/>
                <w:szCs w:val="18"/>
              </w:rPr>
            </w:pPr>
            <w:r>
              <w:rPr>
                <w:rFonts w:hint="eastAsia" w:ascii="宋体" w:hAnsi="宋体"/>
                <w:sz w:val="18"/>
                <w:szCs w:val="18"/>
              </w:rPr>
              <w:t>芨芨草</w:t>
            </w:r>
          </w:p>
        </w:tc>
        <w:tc>
          <w:tcPr>
            <w:tcW w:w="1275" w:type="dxa"/>
            <w:vAlign w:val="center"/>
          </w:tcPr>
          <w:p w14:paraId="600AB875">
            <w:pPr>
              <w:spacing w:line="320" w:lineRule="exact"/>
              <w:ind w:firstLine="360"/>
              <w:jc w:val="center"/>
              <w:rPr>
                <w:rFonts w:ascii="宋体" w:hAnsi="宋体"/>
                <w:sz w:val="18"/>
                <w:szCs w:val="18"/>
              </w:rPr>
            </w:pPr>
            <w:r>
              <w:rPr>
                <w:rFonts w:hint="eastAsia" w:ascii="宋体" w:hAnsi="宋体"/>
                <w:sz w:val="18"/>
                <w:szCs w:val="18"/>
              </w:rPr>
              <w:t>30</w:t>
            </w:r>
          </w:p>
        </w:tc>
        <w:tc>
          <w:tcPr>
            <w:tcW w:w="1276" w:type="dxa"/>
            <w:vAlign w:val="center"/>
          </w:tcPr>
          <w:p w14:paraId="36F82C16">
            <w:pPr>
              <w:spacing w:line="320" w:lineRule="exact"/>
              <w:ind w:firstLine="360"/>
              <w:jc w:val="center"/>
              <w:rPr>
                <w:rFonts w:ascii="宋体" w:hAnsi="宋体"/>
                <w:sz w:val="18"/>
                <w:szCs w:val="18"/>
              </w:rPr>
            </w:pPr>
            <w:r>
              <w:rPr>
                <w:rFonts w:hint="eastAsia" w:ascii="宋体" w:hAnsi="宋体"/>
                <w:sz w:val="18"/>
                <w:szCs w:val="18"/>
              </w:rPr>
              <w:t>20×15</w:t>
            </w:r>
          </w:p>
        </w:tc>
        <w:tc>
          <w:tcPr>
            <w:tcW w:w="992" w:type="dxa"/>
            <w:tcBorders>
              <w:right w:val="single" w:color="auto" w:sz="12" w:space="0"/>
            </w:tcBorders>
            <w:vAlign w:val="center"/>
          </w:tcPr>
          <w:p w14:paraId="12CF2E94">
            <w:pPr>
              <w:spacing w:line="320" w:lineRule="exact"/>
              <w:ind w:firstLine="360"/>
              <w:jc w:val="center"/>
              <w:rPr>
                <w:rFonts w:ascii="宋体" w:hAnsi="宋体"/>
                <w:sz w:val="18"/>
                <w:szCs w:val="18"/>
              </w:rPr>
            </w:pPr>
          </w:p>
        </w:tc>
      </w:tr>
      <w:tr w14:paraId="3801F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18" w:type="dxa"/>
            <w:tcBorders>
              <w:left w:val="single" w:color="auto" w:sz="12" w:space="0"/>
            </w:tcBorders>
            <w:vAlign w:val="center"/>
          </w:tcPr>
          <w:p w14:paraId="1116CB63">
            <w:pPr>
              <w:spacing w:line="320" w:lineRule="exact"/>
              <w:ind w:firstLineChars="111"/>
              <w:jc w:val="center"/>
              <w:rPr>
                <w:rFonts w:ascii="宋体" w:hAnsi="宋体"/>
                <w:sz w:val="18"/>
                <w:szCs w:val="18"/>
              </w:rPr>
            </w:pPr>
            <w:r>
              <w:rPr>
                <w:rFonts w:hint="eastAsia" w:ascii="宋体" w:hAnsi="宋体"/>
                <w:sz w:val="18"/>
                <w:szCs w:val="18"/>
              </w:rPr>
              <w:t>芨芨草</w:t>
            </w:r>
          </w:p>
        </w:tc>
        <w:tc>
          <w:tcPr>
            <w:tcW w:w="992" w:type="dxa"/>
            <w:vAlign w:val="center"/>
          </w:tcPr>
          <w:p w14:paraId="74B7E4B8">
            <w:pPr>
              <w:spacing w:line="320" w:lineRule="exact"/>
              <w:ind w:firstLine="360"/>
              <w:jc w:val="center"/>
              <w:rPr>
                <w:rFonts w:ascii="宋体" w:hAnsi="宋体"/>
                <w:sz w:val="18"/>
                <w:szCs w:val="18"/>
              </w:rPr>
            </w:pPr>
            <w:r>
              <w:rPr>
                <w:rFonts w:hint="eastAsia" w:ascii="宋体" w:hAnsi="宋体"/>
                <w:sz w:val="18"/>
                <w:szCs w:val="18"/>
              </w:rPr>
              <w:t>25</w:t>
            </w:r>
          </w:p>
        </w:tc>
        <w:tc>
          <w:tcPr>
            <w:tcW w:w="1134" w:type="dxa"/>
            <w:vAlign w:val="center"/>
          </w:tcPr>
          <w:p w14:paraId="2DB31D49">
            <w:pPr>
              <w:spacing w:line="320" w:lineRule="exact"/>
              <w:ind w:firstLine="360"/>
              <w:jc w:val="center"/>
              <w:rPr>
                <w:rFonts w:ascii="宋体" w:hAnsi="宋体"/>
                <w:sz w:val="18"/>
                <w:szCs w:val="18"/>
              </w:rPr>
            </w:pPr>
            <w:r>
              <w:rPr>
                <w:rFonts w:hint="eastAsia" w:ascii="宋体" w:hAnsi="宋体"/>
                <w:sz w:val="18"/>
                <w:szCs w:val="18"/>
              </w:rPr>
              <w:t>15×8</w:t>
            </w:r>
          </w:p>
        </w:tc>
        <w:tc>
          <w:tcPr>
            <w:tcW w:w="1418" w:type="dxa"/>
            <w:vAlign w:val="center"/>
          </w:tcPr>
          <w:p w14:paraId="7C4B569E">
            <w:pPr>
              <w:spacing w:line="320" w:lineRule="exact"/>
              <w:ind w:firstLine="360"/>
              <w:jc w:val="center"/>
              <w:rPr>
                <w:rFonts w:ascii="宋体" w:hAnsi="宋体"/>
                <w:sz w:val="18"/>
                <w:szCs w:val="18"/>
              </w:rPr>
            </w:pPr>
          </w:p>
        </w:tc>
        <w:tc>
          <w:tcPr>
            <w:tcW w:w="1275" w:type="dxa"/>
            <w:vAlign w:val="center"/>
          </w:tcPr>
          <w:p w14:paraId="2A894D44">
            <w:pPr>
              <w:spacing w:line="320" w:lineRule="exact"/>
              <w:ind w:firstLine="360"/>
              <w:jc w:val="center"/>
              <w:rPr>
                <w:rFonts w:ascii="宋体" w:hAnsi="宋体"/>
                <w:sz w:val="18"/>
                <w:szCs w:val="18"/>
              </w:rPr>
            </w:pPr>
          </w:p>
        </w:tc>
        <w:tc>
          <w:tcPr>
            <w:tcW w:w="1276" w:type="dxa"/>
            <w:vAlign w:val="center"/>
          </w:tcPr>
          <w:p w14:paraId="011BF9A2">
            <w:pPr>
              <w:spacing w:line="320" w:lineRule="exact"/>
              <w:ind w:firstLine="360"/>
              <w:jc w:val="center"/>
              <w:rPr>
                <w:rFonts w:ascii="宋体" w:hAnsi="宋体"/>
                <w:sz w:val="18"/>
                <w:szCs w:val="18"/>
              </w:rPr>
            </w:pPr>
          </w:p>
        </w:tc>
        <w:tc>
          <w:tcPr>
            <w:tcW w:w="992" w:type="dxa"/>
            <w:tcBorders>
              <w:right w:val="single" w:color="auto" w:sz="12" w:space="0"/>
            </w:tcBorders>
            <w:vAlign w:val="center"/>
          </w:tcPr>
          <w:p w14:paraId="3DE25821">
            <w:pPr>
              <w:spacing w:line="320" w:lineRule="exact"/>
              <w:ind w:firstLine="360"/>
              <w:jc w:val="center"/>
              <w:rPr>
                <w:rFonts w:ascii="宋体" w:hAnsi="宋体"/>
                <w:sz w:val="18"/>
                <w:szCs w:val="18"/>
              </w:rPr>
            </w:pPr>
          </w:p>
        </w:tc>
      </w:tr>
      <w:tr w14:paraId="1F306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418" w:type="dxa"/>
            <w:tcBorders>
              <w:left w:val="single" w:color="auto" w:sz="12" w:space="0"/>
            </w:tcBorders>
            <w:vAlign w:val="center"/>
          </w:tcPr>
          <w:p w14:paraId="683CC0E2">
            <w:pPr>
              <w:spacing w:line="320" w:lineRule="exact"/>
              <w:ind w:firstLineChars="111"/>
              <w:jc w:val="center"/>
              <w:rPr>
                <w:rFonts w:ascii="宋体" w:hAnsi="宋体"/>
                <w:sz w:val="18"/>
                <w:szCs w:val="18"/>
              </w:rPr>
            </w:pPr>
            <w:r>
              <w:rPr>
                <w:rFonts w:hint="eastAsia" w:ascii="宋体" w:hAnsi="宋体"/>
                <w:sz w:val="18"/>
                <w:szCs w:val="18"/>
              </w:rPr>
              <w:t>芨芨草</w:t>
            </w:r>
          </w:p>
        </w:tc>
        <w:tc>
          <w:tcPr>
            <w:tcW w:w="992" w:type="dxa"/>
            <w:vAlign w:val="center"/>
          </w:tcPr>
          <w:p w14:paraId="4408B37A">
            <w:pPr>
              <w:spacing w:line="320" w:lineRule="exact"/>
              <w:ind w:firstLine="360"/>
              <w:jc w:val="center"/>
              <w:rPr>
                <w:rFonts w:ascii="宋体" w:hAnsi="宋体"/>
                <w:sz w:val="18"/>
                <w:szCs w:val="18"/>
              </w:rPr>
            </w:pPr>
            <w:r>
              <w:rPr>
                <w:rFonts w:hint="eastAsia" w:ascii="宋体" w:hAnsi="宋体"/>
                <w:sz w:val="18"/>
                <w:szCs w:val="18"/>
              </w:rPr>
              <w:t>25</w:t>
            </w:r>
          </w:p>
        </w:tc>
        <w:tc>
          <w:tcPr>
            <w:tcW w:w="1134" w:type="dxa"/>
            <w:vAlign w:val="center"/>
          </w:tcPr>
          <w:p w14:paraId="1172C6D2">
            <w:pPr>
              <w:spacing w:line="320" w:lineRule="exact"/>
              <w:ind w:firstLine="360"/>
              <w:jc w:val="center"/>
              <w:rPr>
                <w:rFonts w:ascii="宋体" w:hAnsi="宋体"/>
                <w:sz w:val="18"/>
                <w:szCs w:val="18"/>
              </w:rPr>
            </w:pPr>
            <w:r>
              <w:rPr>
                <w:rFonts w:hint="eastAsia" w:ascii="宋体" w:hAnsi="宋体"/>
                <w:sz w:val="18"/>
                <w:szCs w:val="18"/>
              </w:rPr>
              <w:t>15×10</w:t>
            </w:r>
          </w:p>
        </w:tc>
        <w:tc>
          <w:tcPr>
            <w:tcW w:w="1418" w:type="dxa"/>
            <w:vAlign w:val="center"/>
          </w:tcPr>
          <w:p w14:paraId="4E82B0D1">
            <w:pPr>
              <w:spacing w:line="320" w:lineRule="exact"/>
              <w:ind w:firstLine="360"/>
              <w:jc w:val="center"/>
              <w:rPr>
                <w:rFonts w:ascii="宋体" w:hAnsi="宋体"/>
                <w:sz w:val="18"/>
                <w:szCs w:val="18"/>
              </w:rPr>
            </w:pPr>
          </w:p>
        </w:tc>
        <w:tc>
          <w:tcPr>
            <w:tcW w:w="1275" w:type="dxa"/>
            <w:vAlign w:val="center"/>
          </w:tcPr>
          <w:p w14:paraId="1A20B4A9">
            <w:pPr>
              <w:spacing w:line="320" w:lineRule="exact"/>
              <w:ind w:firstLine="360"/>
              <w:jc w:val="center"/>
              <w:rPr>
                <w:rFonts w:ascii="宋体" w:hAnsi="宋体"/>
                <w:sz w:val="18"/>
                <w:szCs w:val="18"/>
              </w:rPr>
            </w:pPr>
          </w:p>
        </w:tc>
        <w:tc>
          <w:tcPr>
            <w:tcW w:w="1276" w:type="dxa"/>
            <w:vAlign w:val="center"/>
          </w:tcPr>
          <w:p w14:paraId="2F452A08">
            <w:pPr>
              <w:spacing w:line="320" w:lineRule="exact"/>
              <w:ind w:firstLine="360"/>
              <w:jc w:val="center"/>
              <w:rPr>
                <w:rFonts w:ascii="宋体" w:hAnsi="宋体"/>
                <w:sz w:val="18"/>
                <w:szCs w:val="18"/>
              </w:rPr>
            </w:pPr>
          </w:p>
        </w:tc>
        <w:tc>
          <w:tcPr>
            <w:tcW w:w="992" w:type="dxa"/>
            <w:tcBorders>
              <w:right w:val="single" w:color="auto" w:sz="12" w:space="0"/>
            </w:tcBorders>
            <w:vAlign w:val="center"/>
          </w:tcPr>
          <w:p w14:paraId="63D7BCA7">
            <w:pPr>
              <w:spacing w:line="320" w:lineRule="exact"/>
              <w:ind w:firstLine="360"/>
              <w:jc w:val="center"/>
              <w:rPr>
                <w:rFonts w:ascii="宋体" w:hAnsi="宋体"/>
                <w:sz w:val="18"/>
                <w:szCs w:val="18"/>
              </w:rPr>
            </w:pPr>
          </w:p>
        </w:tc>
      </w:tr>
      <w:tr w14:paraId="18F7B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418" w:type="dxa"/>
            <w:tcBorders>
              <w:left w:val="single" w:color="auto" w:sz="12" w:space="0"/>
            </w:tcBorders>
            <w:vAlign w:val="center"/>
          </w:tcPr>
          <w:p w14:paraId="41CD6176">
            <w:pPr>
              <w:spacing w:line="320" w:lineRule="exact"/>
              <w:ind w:firstLine="0" w:firstLineChars="0"/>
              <w:jc w:val="center"/>
              <w:rPr>
                <w:rFonts w:ascii="宋体" w:hAnsi="宋体"/>
                <w:sz w:val="18"/>
                <w:szCs w:val="18"/>
              </w:rPr>
            </w:pPr>
            <w:r>
              <w:rPr>
                <w:rFonts w:hint="eastAsia" w:ascii="宋体" w:hAnsi="宋体"/>
                <w:sz w:val="18"/>
                <w:szCs w:val="18"/>
              </w:rPr>
              <w:t>标准丛（g）</w:t>
            </w:r>
          </w:p>
        </w:tc>
        <w:tc>
          <w:tcPr>
            <w:tcW w:w="3544" w:type="dxa"/>
            <w:gridSpan w:val="3"/>
            <w:vAlign w:val="center"/>
          </w:tcPr>
          <w:p w14:paraId="15AA7198">
            <w:pPr>
              <w:spacing w:line="320" w:lineRule="exact"/>
              <w:ind w:firstLine="360"/>
              <w:jc w:val="center"/>
              <w:rPr>
                <w:rFonts w:ascii="宋体" w:hAnsi="宋体"/>
                <w:sz w:val="18"/>
                <w:szCs w:val="18"/>
              </w:rPr>
            </w:pPr>
            <w:r>
              <w:rPr>
                <w:rFonts w:hint="eastAsia" w:ascii="宋体" w:hAnsi="宋体"/>
                <w:sz w:val="18"/>
                <w:szCs w:val="18"/>
              </w:rPr>
              <w:t>芨芨草</w:t>
            </w:r>
          </w:p>
        </w:tc>
        <w:tc>
          <w:tcPr>
            <w:tcW w:w="1275" w:type="dxa"/>
            <w:vAlign w:val="center"/>
          </w:tcPr>
          <w:p w14:paraId="698EA9E9">
            <w:pPr>
              <w:spacing w:line="320" w:lineRule="exact"/>
              <w:ind w:firstLine="360"/>
              <w:jc w:val="center"/>
              <w:rPr>
                <w:rFonts w:ascii="宋体" w:hAnsi="宋体"/>
                <w:sz w:val="18"/>
                <w:szCs w:val="18"/>
              </w:rPr>
            </w:pPr>
            <w:r>
              <w:rPr>
                <w:rFonts w:hint="eastAsia" w:ascii="宋体" w:hAnsi="宋体"/>
                <w:sz w:val="18"/>
                <w:szCs w:val="18"/>
              </w:rPr>
              <w:t>30</w:t>
            </w:r>
          </w:p>
        </w:tc>
        <w:tc>
          <w:tcPr>
            <w:tcW w:w="1276" w:type="dxa"/>
            <w:vAlign w:val="center"/>
          </w:tcPr>
          <w:p w14:paraId="590CF9FC">
            <w:pPr>
              <w:spacing w:line="320" w:lineRule="exact"/>
              <w:ind w:firstLine="360"/>
              <w:jc w:val="center"/>
              <w:rPr>
                <w:rFonts w:ascii="宋体" w:hAnsi="宋体"/>
                <w:sz w:val="18"/>
                <w:szCs w:val="18"/>
              </w:rPr>
            </w:pPr>
            <w:r>
              <w:rPr>
                <w:rFonts w:hint="eastAsia" w:ascii="宋体" w:hAnsi="宋体"/>
                <w:sz w:val="18"/>
                <w:szCs w:val="18"/>
              </w:rPr>
              <w:t>20×15</w:t>
            </w:r>
          </w:p>
        </w:tc>
        <w:tc>
          <w:tcPr>
            <w:tcW w:w="992" w:type="dxa"/>
            <w:tcBorders>
              <w:right w:val="single" w:color="auto" w:sz="12" w:space="0"/>
            </w:tcBorders>
            <w:vAlign w:val="center"/>
          </w:tcPr>
          <w:p w14:paraId="499CBCBB">
            <w:pPr>
              <w:spacing w:line="320" w:lineRule="exact"/>
              <w:ind w:firstLine="360"/>
              <w:jc w:val="center"/>
              <w:rPr>
                <w:rFonts w:ascii="宋体" w:hAnsi="宋体"/>
                <w:sz w:val="18"/>
                <w:szCs w:val="18"/>
              </w:rPr>
            </w:pPr>
            <w:r>
              <w:rPr>
                <w:rFonts w:hint="eastAsia" w:ascii="宋体" w:hAnsi="宋体"/>
                <w:sz w:val="18"/>
                <w:szCs w:val="18"/>
              </w:rPr>
              <w:t>1500</w:t>
            </w:r>
          </w:p>
        </w:tc>
      </w:tr>
      <w:tr w14:paraId="5FC6E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418" w:type="dxa"/>
            <w:tcBorders>
              <w:left w:val="single" w:color="auto" w:sz="12" w:space="0"/>
              <w:bottom w:val="single" w:color="auto" w:sz="12" w:space="0"/>
            </w:tcBorders>
            <w:vAlign w:val="center"/>
          </w:tcPr>
          <w:p w14:paraId="334D5AC5">
            <w:pPr>
              <w:spacing w:line="320" w:lineRule="exact"/>
              <w:ind w:firstLine="0" w:firstLineChars="0"/>
              <w:jc w:val="center"/>
              <w:rPr>
                <w:rFonts w:ascii="宋体" w:hAnsi="宋体"/>
                <w:sz w:val="18"/>
                <w:szCs w:val="18"/>
              </w:rPr>
            </w:pPr>
            <w:r>
              <w:rPr>
                <w:rFonts w:hint="eastAsia" w:ascii="宋体" w:hAnsi="宋体"/>
                <w:sz w:val="18"/>
                <w:szCs w:val="18"/>
              </w:rPr>
              <w:t>相对盖度（%）</w:t>
            </w:r>
          </w:p>
        </w:tc>
        <w:tc>
          <w:tcPr>
            <w:tcW w:w="3544" w:type="dxa"/>
            <w:gridSpan w:val="3"/>
            <w:tcBorders>
              <w:bottom w:val="single" w:color="auto" w:sz="12" w:space="0"/>
            </w:tcBorders>
            <w:vAlign w:val="center"/>
          </w:tcPr>
          <w:p w14:paraId="5E12AF1F">
            <w:pPr>
              <w:spacing w:line="320" w:lineRule="exact"/>
              <w:ind w:firstLine="360"/>
              <w:jc w:val="center"/>
              <w:rPr>
                <w:rFonts w:ascii="宋体" w:hAnsi="宋体"/>
                <w:sz w:val="18"/>
                <w:szCs w:val="18"/>
              </w:rPr>
            </w:pPr>
            <w:r>
              <w:rPr>
                <w:rFonts w:hint="eastAsia" w:ascii="宋体" w:hAnsi="宋体"/>
                <w:sz w:val="18"/>
                <w:szCs w:val="18"/>
              </w:rPr>
              <w:t>芨芨草</w:t>
            </w:r>
          </w:p>
        </w:tc>
        <w:tc>
          <w:tcPr>
            <w:tcW w:w="3543" w:type="dxa"/>
            <w:gridSpan w:val="3"/>
            <w:tcBorders>
              <w:bottom w:val="single" w:color="auto" w:sz="12" w:space="0"/>
              <w:right w:val="single" w:color="auto" w:sz="12" w:space="0"/>
            </w:tcBorders>
            <w:vAlign w:val="center"/>
          </w:tcPr>
          <w:p w14:paraId="5213E061">
            <w:pPr>
              <w:ind w:firstLine="838" w:firstLineChars="466"/>
              <w:jc w:val="center"/>
              <w:rPr>
                <w:rFonts w:ascii="宋体" w:hAnsi="宋体" w:cs="宋体"/>
                <w:sz w:val="18"/>
                <w:szCs w:val="18"/>
              </w:rPr>
            </w:pPr>
            <w:r>
              <w:rPr>
                <w:rFonts w:hint="eastAsia" w:ascii="宋体" w:hAnsi="宋体" w:cs="宋体"/>
                <w:sz w:val="18"/>
                <w:szCs w:val="18"/>
              </w:rPr>
              <w:t>80</w:t>
            </w:r>
          </w:p>
        </w:tc>
      </w:tr>
    </w:tbl>
    <w:p w14:paraId="0768119D">
      <w:pPr>
        <w:snapToGrid w:val="0"/>
        <w:spacing w:beforeLines="100" w:line="240" w:lineRule="atLeast"/>
        <w:ind w:firstLine="480"/>
        <w:rPr>
          <w:rFonts w:eastAsia="黑体"/>
          <w:szCs w:val="24"/>
          <w:lang w:eastAsia="zh-CN"/>
        </w:rPr>
      </w:pPr>
      <w:r>
        <w:rPr>
          <w:rFonts w:eastAsia="黑体"/>
          <w:szCs w:val="24"/>
          <w:lang w:eastAsia="zh-CN"/>
        </w:rPr>
        <w:t>表</w:t>
      </w:r>
      <w:r>
        <w:rPr>
          <w:rFonts w:hint="eastAsia" w:eastAsia="黑体"/>
          <w:szCs w:val="24"/>
          <w:lang w:eastAsia="zh-CN"/>
        </w:rPr>
        <w:t>9</w:t>
      </w:r>
      <w:r>
        <w:rPr>
          <w:rFonts w:eastAsia="黑体"/>
          <w:szCs w:val="24"/>
          <w:lang w:eastAsia="zh-CN"/>
        </w:rPr>
        <w:t>.</w:t>
      </w:r>
      <w:r>
        <w:rPr>
          <w:rFonts w:hint="eastAsia" w:eastAsia="黑体"/>
          <w:szCs w:val="24"/>
          <w:lang w:eastAsia="zh-CN"/>
        </w:rPr>
        <w:t>1</w:t>
      </w:r>
      <w:r>
        <w:rPr>
          <w:rFonts w:eastAsia="黑体"/>
          <w:szCs w:val="24"/>
          <w:lang w:eastAsia="zh-CN"/>
        </w:rPr>
        <w:t>-</w:t>
      </w:r>
      <w:r>
        <w:rPr>
          <w:rFonts w:hint="eastAsia" w:eastAsia="黑体"/>
          <w:szCs w:val="24"/>
          <w:lang w:eastAsia="zh-CN"/>
        </w:rPr>
        <w:t>7       芨芨草盐化草甸植被</w:t>
      </w:r>
      <w:r>
        <w:rPr>
          <w:rFonts w:eastAsia="黑体"/>
          <w:szCs w:val="24"/>
          <w:lang w:eastAsia="zh-CN"/>
        </w:rPr>
        <w:t>样方调查统计表</w:t>
      </w:r>
      <w:r>
        <w:rPr>
          <w:rFonts w:hint="eastAsia" w:eastAsia="黑体"/>
          <w:szCs w:val="24"/>
          <w:lang w:eastAsia="zh-CN"/>
        </w:rPr>
        <w:t>（1m×1m）</w:t>
      </w:r>
    </w:p>
    <w:tbl>
      <w:tblPr>
        <w:tblStyle w:val="76"/>
        <w:tblW w:w="495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08"/>
        <w:gridCol w:w="1407"/>
        <w:gridCol w:w="1407"/>
        <w:gridCol w:w="1407"/>
        <w:gridCol w:w="1407"/>
        <w:gridCol w:w="1408"/>
      </w:tblGrid>
      <w:tr w14:paraId="3DACA9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34" w:type="pct"/>
            <w:vAlign w:val="center"/>
          </w:tcPr>
          <w:p w14:paraId="41A4FC52">
            <w:pPr>
              <w:snapToGrid w:val="0"/>
              <w:spacing w:line="220" w:lineRule="exact"/>
              <w:ind w:firstLine="360"/>
              <w:jc w:val="center"/>
              <w:rPr>
                <w:sz w:val="18"/>
                <w:szCs w:val="18"/>
              </w:rPr>
            </w:pPr>
            <w:r>
              <w:rPr>
                <w:rFonts w:hint="eastAsia"/>
                <w:sz w:val="18"/>
                <w:szCs w:val="18"/>
              </w:rPr>
              <w:t>植物名称</w:t>
            </w:r>
          </w:p>
        </w:tc>
        <w:tc>
          <w:tcPr>
            <w:tcW w:w="833" w:type="pct"/>
            <w:vAlign w:val="center"/>
          </w:tcPr>
          <w:p w14:paraId="2E8E6B61">
            <w:pPr>
              <w:snapToGrid w:val="0"/>
              <w:spacing w:line="220" w:lineRule="exact"/>
              <w:ind w:firstLine="360"/>
              <w:jc w:val="center"/>
              <w:rPr>
                <w:sz w:val="18"/>
                <w:szCs w:val="18"/>
              </w:rPr>
            </w:pPr>
            <w:r>
              <w:rPr>
                <w:rFonts w:hint="eastAsia"/>
                <w:sz w:val="18"/>
                <w:szCs w:val="18"/>
              </w:rPr>
              <w:t>高度（cm）</w:t>
            </w:r>
          </w:p>
        </w:tc>
        <w:tc>
          <w:tcPr>
            <w:tcW w:w="833" w:type="pct"/>
            <w:vAlign w:val="center"/>
          </w:tcPr>
          <w:p w14:paraId="61EE8ED8">
            <w:pPr>
              <w:snapToGrid w:val="0"/>
              <w:spacing w:line="220" w:lineRule="exact"/>
              <w:ind w:firstLine="360"/>
              <w:jc w:val="center"/>
              <w:rPr>
                <w:sz w:val="18"/>
                <w:szCs w:val="18"/>
              </w:rPr>
            </w:pPr>
            <w:r>
              <w:rPr>
                <w:rFonts w:hint="eastAsia"/>
                <w:sz w:val="18"/>
                <w:szCs w:val="18"/>
              </w:rPr>
              <w:t>分盖度（%）</w:t>
            </w:r>
          </w:p>
        </w:tc>
        <w:tc>
          <w:tcPr>
            <w:tcW w:w="833" w:type="pct"/>
            <w:vAlign w:val="center"/>
          </w:tcPr>
          <w:p w14:paraId="7C05ED65">
            <w:pPr>
              <w:snapToGrid w:val="0"/>
              <w:spacing w:line="220" w:lineRule="exact"/>
              <w:ind w:firstLine="360"/>
              <w:jc w:val="center"/>
              <w:rPr>
                <w:sz w:val="18"/>
                <w:szCs w:val="18"/>
              </w:rPr>
            </w:pPr>
            <w:r>
              <w:rPr>
                <w:rFonts w:hint="eastAsia"/>
                <w:sz w:val="18"/>
                <w:szCs w:val="18"/>
              </w:rPr>
              <w:t>密度（n/㎡）</w:t>
            </w:r>
          </w:p>
        </w:tc>
        <w:tc>
          <w:tcPr>
            <w:tcW w:w="833" w:type="pct"/>
            <w:vAlign w:val="center"/>
          </w:tcPr>
          <w:p w14:paraId="072E5C2D">
            <w:pPr>
              <w:snapToGrid w:val="0"/>
              <w:spacing w:line="220" w:lineRule="exact"/>
              <w:ind w:firstLine="360"/>
              <w:jc w:val="center"/>
              <w:rPr>
                <w:sz w:val="18"/>
                <w:szCs w:val="18"/>
              </w:rPr>
            </w:pPr>
            <w:r>
              <w:rPr>
                <w:rFonts w:hint="eastAsia"/>
                <w:sz w:val="18"/>
                <w:szCs w:val="18"/>
              </w:rPr>
              <w:t>鲜生物量(g/㎡)</w:t>
            </w:r>
          </w:p>
        </w:tc>
        <w:tc>
          <w:tcPr>
            <w:tcW w:w="834" w:type="pct"/>
            <w:vAlign w:val="center"/>
          </w:tcPr>
          <w:p w14:paraId="38AC3EFC">
            <w:pPr>
              <w:snapToGrid w:val="0"/>
              <w:spacing w:line="220" w:lineRule="exact"/>
              <w:ind w:firstLine="360"/>
              <w:jc w:val="center"/>
              <w:rPr>
                <w:sz w:val="18"/>
                <w:szCs w:val="18"/>
              </w:rPr>
            </w:pPr>
            <w:r>
              <w:rPr>
                <w:rFonts w:hint="eastAsia"/>
                <w:sz w:val="18"/>
                <w:szCs w:val="18"/>
              </w:rPr>
              <w:t>重要值（%）</w:t>
            </w:r>
          </w:p>
        </w:tc>
      </w:tr>
      <w:tr w14:paraId="77C21E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34" w:type="pct"/>
            <w:vAlign w:val="center"/>
          </w:tcPr>
          <w:p w14:paraId="336B29A8">
            <w:pPr>
              <w:snapToGrid w:val="0"/>
              <w:spacing w:line="220" w:lineRule="exact"/>
              <w:ind w:firstLine="360"/>
              <w:jc w:val="center"/>
              <w:rPr>
                <w:sz w:val="18"/>
                <w:szCs w:val="18"/>
              </w:rPr>
            </w:pPr>
            <w:r>
              <w:rPr>
                <w:rFonts w:hint="eastAsia"/>
                <w:sz w:val="18"/>
                <w:szCs w:val="18"/>
              </w:rPr>
              <w:t>羊草</w:t>
            </w:r>
          </w:p>
        </w:tc>
        <w:tc>
          <w:tcPr>
            <w:tcW w:w="833" w:type="pct"/>
            <w:vAlign w:val="bottom"/>
          </w:tcPr>
          <w:p w14:paraId="354C39BF">
            <w:pPr>
              <w:snapToGrid w:val="0"/>
              <w:spacing w:line="220" w:lineRule="exact"/>
              <w:ind w:firstLine="360"/>
              <w:jc w:val="center"/>
              <w:rPr>
                <w:sz w:val="18"/>
                <w:szCs w:val="18"/>
              </w:rPr>
            </w:pPr>
            <w:r>
              <w:rPr>
                <w:rFonts w:hint="eastAsia"/>
                <w:sz w:val="18"/>
                <w:szCs w:val="18"/>
              </w:rPr>
              <w:t>18</w:t>
            </w:r>
          </w:p>
        </w:tc>
        <w:tc>
          <w:tcPr>
            <w:tcW w:w="833" w:type="pct"/>
            <w:vAlign w:val="bottom"/>
          </w:tcPr>
          <w:p w14:paraId="5EC24E81">
            <w:pPr>
              <w:snapToGrid w:val="0"/>
              <w:spacing w:line="220" w:lineRule="exact"/>
              <w:ind w:firstLine="360"/>
              <w:jc w:val="center"/>
              <w:rPr>
                <w:sz w:val="18"/>
                <w:szCs w:val="18"/>
              </w:rPr>
            </w:pPr>
            <w:r>
              <w:rPr>
                <w:rFonts w:hint="eastAsia"/>
                <w:sz w:val="18"/>
                <w:szCs w:val="18"/>
              </w:rPr>
              <w:t>12</w:t>
            </w:r>
          </w:p>
        </w:tc>
        <w:tc>
          <w:tcPr>
            <w:tcW w:w="833" w:type="pct"/>
            <w:vAlign w:val="bottom"/>
          </w:tcPr>
          <w:p w14:paraId="555CA98D">
            <w:pPr>
              <w:snapToGrid w:val="0"/>
              <w:spacing w:line="220" w:lineRule="exact"/>
              <w:ind w:firstLine="360"/>
              <w:jc w:val="center"/>
              <w:rPr>
                <w:sz w:val="18"/>
                <w:szCs w:val="18"/>
              </w:rPr>
            </w:pPr>
            <w:r>
              <w:rPr>
                <w:rFonts w:hint="eastAsia"/>
                <w:sz w:val="18"/>
                <w:szCs w:val="18"/>
              </w:rPr>
              <w:t>145</w:t>
            </w:r>
          </w:p>
        </w:tc>
        <w:tc>
          <w:tcPr>
            <w:tcW w:w="833" w:type="pct"/>
            <w:vAlign w:val="bottom"/>
          </w:tcPr>
          <w:p w14:paraId="17E8DD06">
            <w:pPr>
              <w:snapToGrid w:val="0"/>
              <w:spacing w:line="220" w:lineRule="exact"/>
              <w:ind w:firstLine="360"/>
              <w:jc w:val="center"/>
              <w:rPr>
                <w:sz w:val="18"/>
                <w:szCs w:val="18"/>
              </w:rPr>
            </w:pPr>
            <w:r>
              <w:rPr>
                <w:rFonts w:hint="eastAsia"/>
                <w:sz w:val="18"/>
                <w:szCs w:val="18"/>
              </w:rPr>
              <w:t>58</w:t>
            </w:r>
          </w:p>
        </w:tc>
        <w:tc>
          <w:tcPr>
            <w:tcW w:w="834" w:type="pct"/>
            <w:vAlign w:val="center"/>
          </w:tcPr>
          <w:p w14:paraId="3462AE69">
            <w:pPr>
              <w:snapToGrid w:val="0"/>
              <w:spacing w:line="220" w:lineRule="exact"/>
              <w:ind w:firstLine="360"/>
              <w:jc w:val="center"/>
              <w:rPr>
                <w:sz w:val="18"/>
                <w:szCs w:val="18"/>
              </w:rPr>
            </w:pPr>
            <w:r>
              <w:rPr>
                <w:rFonts w:hint="eastAsia"/>
                <w:sz w:val="18"/>
                <w:szCs w:val="18"/>
              </w:rPr>
              <w:t xml:space="preserve">34.92 </w:t>
            </w:r>
          </w:p>
        </w:tc>
      </w:tr>
      <w:tr w14:paraId="7E1412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34" w:type="pct"/>
            <w:vAlign w:val="center"/>
          </w:tcPr>
          <w:p w14:paraId="25AF68D2">
            <w:pPr>
              <w:snapToGrid w:val="0"/>
              <w:spacing w:line="220" w:lineRule="exact"/>
              <w:ind w:firstLine="360"/>
              <w:jc w:val="center"/>
              <w:rPr>
                <w:sz w:val="18"/>
                <w:szCs w:val="18"/>
              </w:rPr>
            </w:pPr>
            <w:r>
              <w:rPr>
                <w:rFonts w:hint="eastAsia"/>
                <w:sz w:val="18"/>
                <w:szCs w:val="18"/>
              </w:rPr>
              <w:t>寸草苔</w:t>
            </w:r>
          </w:p>
        </w:tc>
        <w:tc>
          <w:tcPr>
            <w:tcW w:w="833" w:type="pct"/>
            <w:vAlign w:val="bottom"/>
          </w:tcPr>
          <w:p w14:paraId="6E65AA87">
            <w:pPr>
              <w:snapToGrid w:val="0"/>
              <w:spacing w:line="220" w:lineRule="exact"/>
              <w:ind w:firstLine="360"/>
              <w:jc w:val="center"/>
              <w:rPr>
                <w:sz w:val="18"/>
                <w:szCs w:val="18"/>
              </w:rPr>
            </w:pPr>
            <w:r>
              <w:rPr>
                <w:rFonts w:hint="eastAsia"/>
                <w:sz w:val="18"/>
                <w:szCs w:val="18"/>
              </w:rPr>
              <w:t>8</w:t>
            </w:r>
          </w:p>
        </w:tc>
        <w:tc>
          <w:tcPr>
            <w:tcW w:w="833" w:type="pct"/>
            <w:vAlign w:val="bottom"/>
          </w:tcPr>
          <w:p w14:paraId="37D351BD">
            <w:pPr>
              <w:snapToGrid w:val="0"/>
              <w:spacing w:line="220" w:lineRule="exact"/>
              <w:ind w:firstLine="360"/>
              <w:jc w:val="center"/>
              <w:rPr>
                <w:sz w:val="18"/>
                <w:szCs w:val="18"/>
              </w:rPr>
            </w:pPr>
            <w:r>
              <w:rPr>
                <w:rFonts w:hint="eastAsia"/>
                <w:sz w:val="18"/>
                <w:szCs w:val="18"/>
              </w:rPr>
              <w:t>5</w:t>
            </w:r>
          </w:p>
        </w:tc>
        <w:tc>
          <w:tcPr>
            <w:tcW w:w="833" w:type="pct"/>
            <w:vAlign w:val="bottom"/>
          </w:tcPr>
          <w:p w14:paraId="5A5B9815">
            <w:pPr>
              <w:snapToGrid w:val="0"/>
              <w:spacing w:line="220" w:lineRule="exact"/>
              <w:ind w:firstLine="360"/>
              <w:jc w:val="center"/>
              <w:rPr>
                <w:sz w:val="18"/>
                <w:szCs w:val="18"/>
              </w:rPr>
            </w:pPr>
            <w:r>
              <w:rPr>
                <w:rFonts w:hint="eastAsia"/>
                <w:sz w:val="18"/>
                <w:szCs w:val="18"/>
              </w:rPr>
              <w:t>68</w:t>
            </w:r>
          </w:p>
        </w:tc>
        <w:tc>
          <w:tcPr>
            <w:tcW w:w="833" w:type="pct"/>
            <w:vAlign w:val="bottom"/>
          </w:tcPr>
          <w:p w14:paraId="65BC384E">
            <w:pPr>
              <w:snapToGrid w:val="0"/>
              <w:spacing w:line="220" w:lineRule="exact"/>
              <w:ind w:firstLine="360"/>
              <w:jc w:val="center"/>
              <w:rPr>
                <w:sz w:val="18"/>
                <w:szCs w:val="18"/>
              </w:rPr>
            </w:pPr>
            <w:r>
              <w:rPr>
                <w:rFonts w:hint="eastAsia"/>
                <w:sz w:val="18"/>
                <w:szCs w:val="18"/>
              </w:rPr>
              <w:t>18</w:t>
            </w:r>
          </w:p>
        </w:tc>
        <w:tc>
          <w:tcPr>
            <w:tcW w:w="834" w:type="pct"/>
            <w:vAlign w:val="center"/>
          </w:tcPr>
          <w:p w14:paraId="4A31444B">
            <w:pPr>
              <w:snapToGrid w:val="0"/>
              <w:spacing w:line="220" w:lineRule="exact"/>
              <w:ind w:firstLine="360"/>
              <w:jc w:val="center"/>
              <w:rPr>
                <w:sz w:val="18"/>
                <w:szCs w:val="18"/>
              </w:rPr>
            </w:pPr>
            <w:r>
              <w:rPr>
                <w:rFonts w:hint="eastAsia"/>
                <w:sz w:val="18"/>
                <w:szCs w:val="18"/>
              </w:rPr>
              <w:t xml:space="preserve">15.51 </w:t>
            </w:r>
          </w:p>
        </w:tc>
      </w:tr>
      <w:tr w14:paraId="53BBFA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34" w:type="pct"/>
            <w:vAlign w:val="center"/>
          </w:tcPr>
          <w:p w14:paraId="10EBF6AC">
            <w:pPr>
              <w:snapToGrid w:val="0"/>
              <w:spacing w:line="220" w:lineRule="exact"/>
              <w:ind w:firstLine="360"/>
              <w:jc w:val="center"/>
              <w:rPr>
                <w:sz w:val="18"/>
                <w:szCs w:val="18"/>
              </w:rPr>
            </w:pPr>
            <w:r>
              <w:rPr>
                <w:rFonts w:hint="eastAsia"/>
                <w:sz w:val="18"/>
                <w:szCs w:val="18"/>
              </w:rPr>
              <w:t>冷蒿</w:t>
            </w:r>
          </w:p>
        </w:tc>
        <w:tc>
          <w:tcPr>
            <w:tcW w:w="833" w:type="pct"/>
            <w:vAlign w:val="bottom"/>
          </w:tcPr>
          <w:p w14:paraId="68C8AF4C">
            <w:pPr>
              <w:snapToGrid w:val="0"/>
              <w:spacing w:line="220" w:lineRule="exact"/>
              <w:ind w:firstLine="360"/>
              <w:jc w:val="center"/>
              <w:rPr>
                <w:sz w:val="18"/>
                <w:szCs w:val="18"/>
              </w:rPr>
            </w:pPr>
            <w:r>
              <w:rPr>
                <w:rFonts w:hint="eastAsia"/>
                <w:sz w:val="18"/>
                <w:szCs w:val="18"/>
              </w:rPr>
              <w:t>16</w:t>
            </w:r>
          </w:p>
        </w:tc>
        <w:tc>
          <w:tcPr>
            <w:tcW w:w="833" w:type="pct"/>
            <w:vAlign w:val="bottom"/>
          </w:tcPr>
          <w:p w14:paraId="183B3628">
            <w:pPr>
              <w:snapToGrid w:val="0"/>
              <w:spacing w:line="220" w:lineRule="exact"/>
              <w:ind w:firstLine="360"/>
              <w:jc w:val="center"/>
              <w:rPr>
                <w:sz w:val="18"/>
                <w:szCs w:val="18"/>
              </w:rPr>
            </w:pPr>
            <w:r>
              <w:rPr>
                <w:rFonts w:hint="eastAsia"/>
                <w:sz w:val="18"/>
                <w:szCs w:val="18"/>
              </w:rPr>
              <w:t>2</w:t>
            </w:r>
          </w:p>
        </w:tc>
        <w:tc>
          <w:tcPr>
            <w:tcW w:w="833" w:type="pct"/>
            <w:vAlign w:val="bottom"/>
          </w:tcPr>
          <w:p w14:paraId="0C889818">
            <w:pPr>
              <w:snapToGrid w:val="0"/>
              <w:spacing w:line="220" w:lineRule="exact"/>
              <w:ind w:firstLine="360"/>
              <w:jc w:val="center"/>
              <w:rPr>
                <w:sz w:val="18"/>
                <w:szCs w:val="18"/>
              </w:rPr>
            </w:pPr>
            <w:r>
              <w:rPr>
                <w:rFonts w:hint="eastAsia"/>
                <w:sz w:val="18"/>
                <w:szCs w:val="18"/>
              </w:rPr>
              <w:t>8</w:t>
            </w:r>
          </w:p>
        </w:tc>
        <w:tc>
          <w:tcPr>
            <w:tcW w:w="833" w:type="pct"/>
            <w:vAlign w:val="bottom"/>
          </w:tcPr>
          <w:p w14:paraId="18332E78">
            <w:pPr>
              <w:snapToGrid w:val="0"/>
              <w:spacing w:line="220" w:lineRule="exact"/>
              <w:ind w:firstLine="360"/>
              <w:jc w:val="center"/>
              <w:rPr>
                <w:sz w:val="18"/>
                <w:szCs w:val="18"/>
              </w:rPr>
            </w:pPr>
            <w:r>
              <w:rPr>
                <w:rFonts w:hint="eastAsia"/>
                <w:sz w:val="18"/>
                <w:szCs w:val="18"/>
              </w:rPr>
              <w:t>15</w:t>
            </w:r>
          </w:p>
        </w:tc>
        <w:tc>
          <w:tcPr>
            <w:tcW w:w="834" w:type="pct"/>
            <w:vAlign w:val="center"/>
          </w:tcPr>
          <w:p w14:paraId="7B9C84D9">
            <w:pPr>
              <w:snapToGrid w:val="0"/>
              <w:spacing w:line="220" w:lineRule="exact"/>
              <w:ind w:firstLine="360"/>
              <w:jc w:val="center"/>
              <w:rPr>
                <w:sz w:val="18"/>
                <w:szCs w:val="18"/>
              </w:rPr>
            </w:pPr>
            <w:r>
              <w:rPr>
                <w:rFonts w:hint="eastAsia"/>
                <w:sz w:val="18"/>
                <w:szCs w:val="18"/>
              </w:rPr>
              <w:t xml:space="preserve">8.97 </w:t>
            </w:r>
          </w:p>
        </w:tc>
      </w:tr>
      <w:tr w14:paraId="4FC4CE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34" w:type="pct"/>
            <w:vAlign w:val="center"/>
          </w:tcPr>
          <w:p w14:paraId="40E01686">
            <w:pPr>
              <w:snapToGrid w:val="0"/>
              <w:spacing w:line="220" w:lineRule="exact"/>
              <w:ind w:firstLine="360"/>
              <w:jc w:val="center"/>
              <w:rPr>
                <w:sz w:val="18"/>
                <w:szCs w:val="18"/>
              </w:rPr>
            </w:pPr>
            <w:r>
              <w:rPr>
                <w:rFonts w:hint="eastAsia"/>
                <w:sz w:val="18"/>
                <w:szCs w:val="18"/>
              </w:rPr>
              <w:t>木地肤</w:t>
            </w:r>
          </w:p>
        </w:tc>
        <w:tc>
          <w:tcPr>
            <w:tcW w:w="833" w:type="pct"/>
            <w:vAlign w:val="bottom"/>
          </w:tcPr>
          <w:p w14:paraId="7433E2C5">
            <w:pPr>
              <w:snapToGrid w:val="0"/>
              <w:spacing w:line="220" w:lineRule="exact"/>
              <w:ind w:firstLine="360"/>
              <w:jc w:val="center"/>
              <w:rPr>
                <w:sz w:val="18"/>
                <w:szCs w:val="18"/>
              </w:rPr>
            </w:pPr>
            <w:r>
              <w:rPr>
                <w:rFonts w:hint="eastAsia"/>
                <w:sz w:val="18"/>
                <w:szCs w:val="18"/>
              </w:rPr>
              <w:t>15</w:t>
            </w:r>
          </w:p>
        </w:tc>
        <w:tc>
          <w:tcPr>
            <w:tcW w:w="833" w:type="pct"/>
            <w:vAlign w:val="bottom"/>
          </w:tcPr>
          <w:p w14:paraId="1C47F9B9">
            <w:pPr>
              <w:snapToGrid w:val="0"/>
              <w:spacing w:line="220" w:lineRule="exact"/>
              <w:ind w:firstLine="360"/>
              <w:jc w:val="center"/>
              <w:rPr>
                <w:sz w:val="18"/>
                <w:szCs w:val="18"/>
              </w:rPr>
            </w:pPr>
            <w:r>
              <w:rPr>
                <w:rFonts w:hint="eastAsia"/>
                <w:sz w:val="18"/>
                <w:szCs w:val="18"/>
              </w:rPr>
              <w:t>1</w:t>
            </w:r>
          </w:p>
        </w:tc>
        <w:tc>
          <w:tcPr>
            <w:tcW w:w="833" w:type="pct"/>
            <w:vAlign w:val="bottom"/>
          </w:tcPr>
          <w:p w14:paraId="48E0D718">
            <w:pPr>
              <w:snapToGrid w:val="0"/>
              <w:spacing w:line="220" w:lineRule="exact"/>
              <w:ind w:firstLine="360"/>
              <w:jc w:val="center"/>
              <w:rPr>
                <w:sz w:val="18"/>
                <w:szCs w:val="18"/>
              </w:rPr>
            </w:pPr>
            <w:r>
              <w:rPr>
                <w:rFonts w:hint="eastAsia"/>
                <w:sz w:val="18"/>
                <w:szCs w:val="18"/>
              </w:rPr>
              <w:t>4</w:t>
            </w:r>
          </w:p>
        </w:tc>
        <w:tc>
          <w:tcPr>
            <w:tcW w:w="833" w:type="pct"/>
            <w:vAlign w:val="bottom"/>
          </w:tcPr>
          <w:p w14:paraId="54C21C27">
            <w:pPr>
              <w:snapToGrid w:val="0"/>
              <w:spacing w:line="220" w:lineRule="exact"/>
              <w:ind w:firstLine="360"/>
              <w:jc w:val="center"/>
              <w:rPr>
                <w:sz w:val="18"/>
                <w:szCs w:val="18"/>
              </w:rPr>
            </w:pPr>
            <w:r>
              <w:rPr>
                <w:rFonts w:hint="eastAsia"/>
                <w:sz w:val="18"/>
                <w:szCs w:val="18"/>
              </w:rPr>
              <w:t>8</w:t>
            </w:r>
          </w:p>
        </w:tc>
        <w:tc>
          <w:tcPr>
            <w:tcW w:w="834" w:type="pct"/>
            <w:vAlign w:val="center"/>
          </w:tcPr>
          <w:p w14:paraId="5A172278">
            <w:pPr>
              <w:snapToGrid w:val="0"/>
              <w:spacing w:line="220" w:lineRule="exact"/>
              <w:ind w:firstLine="360"/>
              <w:jc w:val="center"/>
              <w:rPr>
                <w:sz w:val="18"/>
                <w:szCs w:val="18"/>
              </w:rPr>
            </w:pPr>
            <w:r>
              <w:rPr>
                <w:rFonts w:hint="eastAsia"/>
                <w:sz w:val="18"/>
                <w:szCs w:val="18"/>
              </w:rPr>
              <w:t xml:space="preserve">7.08 </w:t>
            </w:r>
          </w:p>
        </w:tc>
      </w:tr>
      <w:tr w14:paraId="7D566A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34" w:type="pct"/>
            <w:vAlign w:val="center"/>
          </w:tcPr>
          <w:p w14:paraId="142DE86B">
            <w:pPr>
              <w:snapToGrid w:val="0"/>
              <w:spacing w:line="220" w:lineRule="exact"/>
              <w:ind w:firstLine="360"/>
              <w:jc w:val="center"/>
              <w:rPr>
                <w:sz w:val="18"/>
                <w:szCs w:val="18"/>
              </w:rPr>
            </w:pPr>
            <w:r>
              <w:rPr>
                <w:rFonts w:hint="eastAsia"/>
                <w:sz w:val="18"/>
                <w:szCs w:val="18"/>
              </w:rPr>
              <w:t>糙隐子草</w:t>
            </w:r>
          </w:p>
        </w:tc>
        <w:tc>
          <w:tcPr>
            <w:tcW w:w="833" w:type="pct"/>
            <w:vAlign w:val="bottom"/>
          </w:tcPr>
          <w:p w14:paraId="1F6962C5">
            <w:pPr>
              <w:snapToGrid w:val="0"/>
              <w:spacing w:line="220" w:lineRule="exact"/>
              <w:ind w:firstLine="360"/>
              <w:jc w:val="center"/>
              <w:rPr>
                <w:sz w:val="18"/>
                <w:szCs w:val="18"/>
              </w:rPr>
            </w:pPr>
            <w:r>
              <w:rPr>
                <w:rFonts w:hint="eastAsia"/>
                <w:sz w:val="18"/>
                <w:szCs w:val="18"/>
              </w:rPr>
              <w:t>10</w:t>
            </w:r>
          </w:p>
        </w:tc>
        <w:tc>
          <w:tcPr>
            <w:tcW w:w="833" w:type="pct"/>
            <w:vAlign w:val="bottom"/>
          </w:tcPr>
          <w:p w14:paraId="073FA020">
            <w:pPr>
              <w:snapToGrid w:val="0"/>
              <w:spacing w:line="220" w:lineRule="exact"/>
              <w:ind w:firstLine="360"/>
              <w:jc w:val="center"/>
              <w:rPr>
                <w:sz w:val="18"/>
                <w:szCs w:val="18"/>
              </w:rPr>
            </w:pPr>
            <w:r>
              <w:rPr>
                <w:rFonts w:hint="eastAsia"/>
                <w:sz w:val="18"/>
                <w:szCs w:val="18"/>
              </w:rPr>
              <w:t>5</w:t>
            </w:r>
          </w:p>
        </w:tc>
        <w:tc>
          <w:tcPr>
            <w:tcW w:w="833" w:type="pct"/>
            <w:vAlign w:val="bottom"/>
          </w:tcPr>
          <w:p w14:paraId="6C3F3914">
            <w:pPr>
              <w:snapToGrid w:val="0"/>
              <w:spacing w:line="220" w:lineRule="exact"/>
              <w:ind w:firstLine="360"/>
              <w:jc w:val="center"/>
              <w:rPr>
                <w:sz w:val="18"/>
                <w:szCs w:val="18"/>
              </w:rPr>
            </w:pPr>
            <w:r>
              <w:rPr>
                <w:rFonts w:hint="eastAsia"/>
                <w:sz w:val="18"/>
                <w:szCs w:val="18"/>
              </w:rPr>
              <w:t>42</w:t>
            </w:r>
          </w:p>
        </w:tc>
        <w:tc>
          <w:tcPr>
            <w:tcW w:w="833" w:type="pct"/>
            <w:vAlign w:val="bottom"/>
          </w:tcPr>
          <w:p w14:paraId="227C9968">
            <w:pPr>
              <w:snapToGrid w:val="0"/>
              <w:spacing w:line="220" w:lineRule="exact"/>
              <w:ind w:firstLine="360"/>
              <w:jc w:val="center"/>
              <w:rPr>
                <w:sz w:val="18"/>
                <w:szCs w:val="18"/>
              </w:rPr>
            </w:pPr>
            <w:r>
              <w:rPr>
                <w:rFonts w:hint="eastAsia"/>
                <w:sz w:val="18"/>
                <w:szCs w:val="18"/>
              </w:rPr>
              <w:t>13</w:t>
            </w:r>
          </w:p>
        </w:tc>
        <w:tc>
          <w:tcPr>
            <w:tcW w:w="834" w:type="pct"/>
            <w:vAlign w:val="center"/>
          </w:tcPr>
          <w:p w14:paraId="763201E6">
            <w:pPr>
              <w:snapToGrid w:val="0"/>
              <w:spacing w:line="220" w:lineRule="exact"/>
              <w:ind w:firstLine="360"/>
              <w:jc w:val="center"/>
              <w:rPr>
                <w:sz w:val="18"/>
                <w:szCs w:val="18"/>
              </w:rPr>
            </w:pPr>
            <w:r>
              <w:rPr>
                <w:rFonts w:hint="eastAsia"/>
                <w:sz w:val="18"/>
                <w:szCs w:val="18"/>
              </w:rPr>
              <w:t xml:space="preserve">13.58 </w:t>
            </w:r>
          </w:p>
        </w:tc>
      </w:tr>
      <w:tr w14:paraId="4E2D35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34" w:type="pct"/>
            <w:vAlign w:val="center"/>
          </w:tcPr>
          <w:p w14:paraId="3A46D35F">
            <w:pPr>
              <w:snapToGrid w:val="0"/>
              <w:spacing w:line="220" w:lineRule="exact"/>
              <w:ind w:firstLine="360"/>
              <w:jc w:val="center"/>
              <w:rPr>
                <w:sz w:val="18"/>
                <w:szCs w:val="18"/>
              </w:rPr>
            </w:pPr>
            <w:r>
              <w:rPr>
                <w:rFonts w:hint="eastAsia"/>
                <w:sz w:val="18"/>
                <w:szCs w:val="18"/>
              </w:rPr>
              <w:t>猪毛菜</w:t>
            </w:r>
          </w:p>
        </w:tc>
        <w:tc>
          <w:tcPr>
            <w:tcW w:w="833" w:type="pct"/>
            <w:vAlign w:val="bottom"/>
          </w:tcPr>
          <w:p w14:paraId="57776D06">
            <w:pPr>
              <w:snapToGrid w:val="0"/>
              <w:spacing w:line="220" w:lineRule="exact"/>
              <w:ind w:firstLine="360"/>
              <w:jc w:val="center"/>
              <w:rPr>
                <w:sz w:val="18"/>
                <w:szCs w:val="18"/>
              </w:rPr>
            </w:pPr>
            <w:r>
              <w:rPr>
                <w:rFonts w:hint="eastAsia"/>
                <w:sz w:val="18"/>
                <w:szCs w:val="18"/>
              </w:rPr>
              <w:t>10</w:t>
            </w:r>
          </w:p>
        </w:tc>
        <w:tc>
          <w:tcPr>
            <w:tcW w:w="833" w:type="pct"/>
            <w:vAlign w:val="bottom"/>
          </w:tcPr>
          <w:p w14:paraId="32D82A8A">
            <w:pPr>
              <w:snapToGrid w:val="0"/>
              <w:spacing w:line="220" w:lineRule="exact"/>
              <w:ind w:firstLine="360"/>
              <w:jc w:val="center"/>
              <w:rPr>
                <w:sz w:val="18"/>
                <w:szCs w:val="18"/>
              </w:rPr>
            </w:pPr>
            <w:r>
              <w:rPr>
                <w:rFonts w:hint="eastAsia"/>
                <w:sz w:val="18"/>
                <w:szCs w:val="18"/>
              </w:rPr>
              <w:t>1</w:t>
            </w:r>
          </w:p>
        </w:tc>
        <w:tc>
          <w:tcPr>
            <w:tcW w:w="833" w:type="pct"/>
            <w:vAlign w:val="bottom"/>
          </w:tcPr>
          <w:p w14:paraId="59432255">
            <w:pPr>
              <w:snapToGrid w:val="0"/>
              <w:spacing w:line="220" w:lineRule="exact"/>
              <w:ind w:firstLine="360"/>
              <w:jc w:val="center"/>
              <w:rPr>
                <w:sz w:val="18"/>
                <w:szCs w:val="18"/>
              </w:rPr>
            </w:pPr>
            <w:r>
              <w:rPr>
                <w:rFonts w:hint="eastAsia"/>
                <w:sz w:val="18"/>
                <w:szCs w:val="18"/>
              </w:rPr>
              <w:t>24</w:t>
            </w:r>
          </w:p>
        </w:tc>
        <w:tc>
          <w:tcPr>
            <w:tcW w:w="833" w:type="pct"/>
            <w:vAlign w:val="bottom"/>
          </w:tcPr>
          <w:p w14:paraId="567C138C">
            <w:pPr>
              <w:snapToGrid w:val="0"/>
              <w:spacing w:line="220" w:lineRule="exact"/>
              <w:ind w:firstLine="360"/>
              <w:jc w:val="center"/>
              <w:rPr>
                <w:sz w:val="18"/>
                <w:szCs w:val="18"/>
              </w:rPr>
            </w:pPr>
            <w:r>
              <w:rPr>
                <w:rFonts w:hint="eastAsia"/>
                <w:sz w:val="18"/>
                <w:szCs w:val="18"/>
              </w:rPr>
              <w:t>16</w:t>
            </w:r>
          </w:p>
        </w:tc>
        <w:tc>
          <w:tcPr>
            <w:tcW w:w="834" w:type="pct"/>
            <w:vAlign w:val="center"/>
          </w:tcPr>
          <w:p w14:paraId="73BDA74A">
            <w:pPr>
              <w:snapToGrid w:val="0"/>
              <w:spacing w:line="220" w:lineRule="exact"/>
              <w:ind w:firstLine="360"/>
              <w:jc w:val="center"/>
              <w:rPr>
                <w:sz w:val="18"/>
                <w:szCs w:val="18"/>
              </w:rPr>
            </w:pPr>
            <w:r>
              <w:rPr>
                <w:rFonts w:hint="eastAsia"/>
                <w:sz w:val="18"/>
                <w:szCs w:val="18"/>
              </w:rPr>
              <w:t xml:space="preserve">7.28 </w:t>
            </w:r>
          </w:p>
        </w:tc>
      </w:tr>
      <w:tr w14:paraId="3854DB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34" w:type="pct"/>
            <w:vAlign w:val="center"/>
          </w:tcPr>
          <w:p w14:paraId="13689905">
            <w:pPr>
              <w:snapToGrid w:val="0"/>
              <w:spacing w:line="220" w:lineRule="exact"/>
              <w:ind w:firstLine="360"/>
              <w:jc w:val="center"/>
              <w:rPr>
                <w:sz w:val="18"/>
                <w:szCs w:val="18"/>
              </w:rPr>
            </w:pPr>
            <w:r>
              <w:rPr>
                <w:rFonts w:hint="eastAsia"/>
                <w:sz w:val="18"/>
                <w:szCs w:val="18"/>
              </w:rPr>
              <w:t>委陵菜</w:t>
            </w:r>
          </w:p>
        </w:tc>
        <w:tc>
          <w:tcPr>
            <w:tcW w:w="833" w:type="pct"/>
            <w:vAlign w:val="bottom"/>
          </w:tcPr>
          <w:p w14:paraId="692BFBED">
            <w:pPr>
              <w:snapToGrid w:val="0"/>
              <w:spacing w:line="220" w:lineRule="exact"/>
              <w:ind w:firstLine="360"/>
              <w:jc w:val="center"/>
              <w:rPr>
                <w:sz w:val="18"/>
                <w:szCs w:val="18"/>
              </w:rPr>
            </w:pPr>
            <w:r>
              <w:rPr>
                <w:rFonts w:hint="eastAsia"/>
                <w:sz w:val="18"/>
                <w:szCs w:val="18"/>
              </w:rPr>
              <w:t>2</w:t>
            </w:r>
          </w:p>
        </w:tc>
        <w:tc>
          <w:tcPr>
            <w:tcW w:w="833" w:type="pct"/>
            <w:vAlign w:val="bottom"/>
          </w:tcPr>
          <w:p w14:paraId="22414246">
            <w:pPr>
              <w:snapToGrid w:val="0"/>
              <w:spacing w:line="220" w:lineRule="exact"/>
              <w:ind w:firstLine="360"/>
              <w:jc w:val="center"/>
              <w:rPr>
                <w:sz w:val="18"/>
                <w:szCs w:val="18"/>
              </w:rPr>
            </w:pPr>
            <w:r>
              <w:rPr>
                <w:rFonts w:hint="eastAsia"/>
                <w:sz w:val="18"/>
                <w:szCs w:val="18"/>
              </w:rPr>
              <w:t>2</w:t>
            </w:r>
          </w:p>
        </w:tc>
        <w:tc>
          <w:tcPr>
            <w:tcW w:w="833" w:type="pct"/>
            <w:vAlign w:val="bottom"/>
          </w:tcPr>
          <w:p w14:paraId="036974F6">
            <w:pPr>
              <w:snapToGrid w:val="0"/>
              <w:spacing w:line="220" w:lineRule="exact"/>
              <w:ind w:firstLine="360"/>
              <w:jc w:val="center"/>
              <w:rPr>
                <w:sz w:val="18"/>
                <w:szCs w:val="18"/>
              </w:rPr>
            </w:pPr>
            <w:r>
              <w:rPr>
                <w:rFonts w:hint="eastAsia"/>
                <w:sz w:val="18"/>
                <w:szCs w:val="18"/>
              </w:rPr>
              <w:t>13</w:t>
            </w:r>
          </w:p>
        </w:tc>
        <w:tc>
          <w:tcPr>
            <w:tcW w:w="833" w:type="pct"/>
            <w:vAlign w:val="bottom"/>
          </w:tcPr>
          <w:p w14:paraId="434FFDD3">
            <w:pPr>
              <w:snapToGrid w:val="0"/>
              <w:spacing w:line="220" w:lineRule="exact"/>
              <w:ind w:firstLine="360"/>
              <w:jc w:val="center"/>
              <w:rPr>
                <w:sz w:val="18"/>
                <w:szCs w:val="18"/>
              </w:rPr>
            </w:pPr>
            <w:r>
              <w:rPr>
                <w:rFonts w:hint="eastAsia"/>
                <w:sz w:val="18"/>
                <w:szCs w:val="18"/>
              </w:rPr>
              <w:t>22</w:t>
            </w:r>
          </w:p>
        </w:tc>
        <w:tc>
          <w:tcPr>
            <w:tcW w:w="834" w:type="pct"/>
            <w:vAlign w:val="center"/>
          </w:tcPr>
          <w:p w14:paraId="4E262D19">
            <w:pPr>
              <w:snapToGrid w:val="0"/>
              <w:spacing w:line="220" w:lineRule="exact"/>
              <w:ind w:firstLine="360"/>
              <w:jc w:val="center"/>
              <w:rPr>
                <w:sz w:val="18"/>
                <w:szCs w:val="18"/>
              </w:rPr>
            </w:pPr>
            <w:r>
              <w:rPr>
                <w:rFonts w:hint="eastAsia"/>
                <w:sz w:val="18"/>
                <w:szCs w:val="18"/>
              </w:rPr>
              <w:t xml:space="preserve">4.30 </w:t>
            </w:r>
          </w:p>
        </w:tc>
      </w:tr>
      <w:tr w14:paraId="505BBA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34" w:type="pct"/>
            <w:vAlign w:val="center"/>
          </w:tcPr>
          <w:p w14:paraId="2402A6CB">
            <w:pPr>
              <w:snapToGrid w:val="0"/>
              <w:spacing w:line="220" w:lineRule="exact"/>
              <w:ind w:firstLine="360"/>
              <w:jc w:val="center"/>
              <w:rPr>
                <w:sz w:val="18"/>
                <w:szCs w:val="18"/>
              </w:rPr>
            </w:pPr>
            <w:r>
              <w:rPr>
                <w:rFonts w:hint="eastAsia"/>
                <w:sz w:val="18"/>
                <w:szCs w:val="18"/>
              </w:rPr>
              <w:t>灰绿藜</w:t>
            </w:r>
          </w:p>
        </w:tc>
        <w:tc>
          <w:tcPr>
            <w:tcW w:w="833" w:type="pct"/>
            <w:vAlign w:val="bottom"/>
          </w:tcPr>
          <w:p w14:paraId="7146A88D">
            <w:pPr>
              <w:snapToGrid w:val="0"/>
              <w:spacing w:line="220" w:lineRule="exact"/>
              <w:ind w:firstLine="360"/>
              <w:jc w:val="center"/>
              <w:rPr>
                <w:sz w:val="18"/>
                <w:szCs w:val="18"/>
              </w:rPr>
            </w:pPr>
            <w:r>
              <w:rPr>
                <w:rFonts w:hint="eastAsia"/>
                <w:sz w:val="18"/>
                <w:szCs w:val="18"/>
              </w:rPr>
              <w:t>5</w:t>
            </w:r>
          </w:p>
        </w:tc>
        <w:tc>
          <w:tcPr>
            <w:tcW w:w="833" w:type="pct"/>
            <w:vAlign w:val="bottom"/>
          </w:tcPr>
          <w:p w14:paraId="56F4A41A">
            <w:pPr>
              <w:snapToGrid w:val="0"/>
              <w:spacing w:line="220" w:lineRule="exact"/>
              <w:ind w:firstLine="360"/>
              <w:jc w:val="center"/>
              <w:rPr>
                <w:sz w:val="18"/>
                <w:szCs w:val="18"/>
              </w:rPr>
            </w:pPr>
            <w:r>
              <w:rPr>
                <w:rFonts w:hint="eastAsia"/>
                <w:sz w:val="18"/>
                <w:szCs w:val="18"/>
              </w:rPr>
              <w:t>1</w:t>
            </w:r>
          </w:p>
        </w:tc>
        <w:tc>
          <w:tcPr>
            <w:tcW w:w="833" w:type="pct"/>
            <w:vAlign w:val="bottom"/>
          </w:tcPr>
          <w:p w14:paraId="0AF06BAA">
            <w:pPr>
              <w:snapToGrid w:val="0"/>
              <w:spacing w:line="220" w:lineRule="exact"/>
              <w:ind w:firstLine="360"/>
              <w:jc w:val="center"/>
              <w:rPr>
                <w:sz w:val="18"/>
                <w:szCs w:val="18"/>
              </w:rPr>
            </w:pPr>
            <w:r>
              <w:rPr>
                <w:rFonts w:hint="eastAsia"/>
                <w:sz w:val="18"/>
                <w:szCs w:val="18"/>
              </w:rPr>
              <w:t>15</w:t>
            </w:r>
          </w:p>
        </w:tc>
        <w:tc>
          <w:tcPr>
            <w:tcW w:w="833" w:type="pct"/>
            <w:vAlign w:val="bottom"/>
          </w:tcPr>
          <w:p w14:paraId="3C4AB9E7">
            <w:pPr>
              <w:snapToGrid w:val="0"/>
              <w:spacing w:line="220" w:lineRule="exact"/>
              <w:ind w:firstLine="360"/>
              <w:jc w:val="center"/>
              <w:rPr>
                <w:sz w:val="18"/>
                <w:szCs w:val="18"/>
              </w:rPr>
            </w:pPr>
            <w:r>
              <w:rPr>
                <w:rFonts w:hint="eastAsia"/>
                <w:sz w:val="18"/>
                <w:szCs w:val="18"/>
              </w:rPr>
              <w:t>9</w:t>
            </w:r>
          </w:p>
        </w:tc>
        <w:tc>
          <w:tcPr>
            <w:tcW w:w="834" w:type="pct"/>
            <w:vAlign w:val="center"/>
          </w:tcPr>
          <w:p w14:paraId="7E979FBA">
            <w:pPr>
              <w:snapToGrid w:val="0"/>
              <w:spacing w:line="220" w:lineRule="exact"/>
              <w:ind w:firstLine="360"/>
              <w:jc w:val="center"/>
              <w:rPr>
                <w:sz w:val="18"/>
                <w:szCs w:val="18"/>
              </w:rPr>
            </w:pPr>
            <w:r>
              <w:rPr>
                <w:rFonts w:hint="eastAsia"/>
                <w:sz w:val="18"/>
                <w:szCs w:val="18"/>
              </w:rPr>
              <w:t xml:space="preserve">4.51 </w:t>
            </w:r>
          </w:p>
        </w:tc>
      </w:tr>
      <w:tr w14:paraId="42BC17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34" w:type="pct"/>
            <w:vAlign w:val="center"/>
          </w:tcPr>
          <w:p w14:paraId="7D7BB65C">
            <w:pPr>
              <w:snapToGrid w:val="0"/>
              <w:spacing w:line="220" w:lineRule="exact"/>
              <w:ind w:firstLine="360"/>
              <w:jc w:val="center"/>
              <w:rPr>
                <w:sz w:val="18"/>
                <w:szCs w:val="18"/>
              </w:rPr>
            </w:pPr>
            <w:r>
              <w:rPr>
                <w:rFonts w:hint="eastAsia"/>
                <w:sz w:val="18"/>
                <w:szCs w:val="18"/>
              </w:rPr>
              <w:t>车前</w:t>
            </w:r>
          </w:p>
        </w:tc>
        <w:tc>
          <w:tcPr>
            <w:tcW w:w="833" w:type="pct"/>
            <w:vAlign w:val="bottom"/>
          </w:tcPr>
          <w:p w14:paraId="4A4F4DB7">
            <w:pPr>
              <w:snapToGrid w:val="0"/>
              <w:spacing w:line="220" w:lineRule="exact"/>
              <w:ind w:firstLine="360"/>
              <w:jc w:val="center"/>
              <w:rPr>
                <w:sz w:val="18"/>
                <w:szCs w:val="18"/>
              </w:rPr>
            </w:pPr>
            <w:r>
              <w:rPr>
                <w:rFonts w:hint="eastAsia"/>
                <w:sz w:val="18"/>
                <w:szCs w:val="18"/>
              </w:rPr>
              <w:t>6</w:t>
            </w:r>
          </w:p>
        </w:tc>
        <w:tc>
          <w:tcPr>
            <w:tcW w:w="833" w:type="pct"/>
            <w:vAlign w:val="bottom"/>
          </w:tcPr>
          <w:p w14:paraId="639F178D">
            <w:pPr>
              <w:snapToGrid w:val="0"/>
              <w:spacing w:line="220" w:lineRule="exact"/>
              <w:ind w:firstLine="360"/>
              <w:jc w:val="center"/>
              <w:rPr>
                <w:sz w:val="18"/>
                <w:szCs w:val="18"/>
              </w:rPr>
            </w:pPr>
            <w:r>
              <w:rPr>
                <w:rFonts w:hint="eastAsia"/>
                <w:sz w:val="18"/>
                <w:szCs w:val="18"/>
              </w:rPr>
              <w:t>1</w:t>
            </w:r>
          </w:p>
        </w:tc>
        <w:tc>
          <w:tcPr>
            <w:tcW w:w="833" w:type="pct"/>
            <w:vAlign w:val="bottom"/>
          </w:tcPr>
          <w:p w14:paraId="565E51B0">
            <w:pPr>
              <w:snapToGrid w:val="0"/>
              <w:spacing w:line="220" w:lineRule="exact"/>
              <w:ind w:firstLine="360"/>
              <w:jc w:val="center"/>
              <w:rPr>
                <w:sz w:val="18"/>
                <w:szCs w:val="18"/>
              </w:rPr>
            </w:pPr>
            <w:r>
              <w:rPr>
                <w:rFonts w:hint="eastAsia"/>
                <w:sz w:val="18"/>
                <w:szCs w:val="18"/>
              </w:rPr>
              <w:t>5</w:t>
            </w:r>
          </w:p>
        </w:tc>
        <w:tc>
          <w:tcPr>
            <w:tcW w:w="833" w:type="pct"/>
            <w:vAlign w:val="bottom"/>
          </w:tcPr>
          <w:p w14:paraId="31E1351F">
            <w:pPr>
              <w:snapToGrid w:val="0"/>
              <w:spacing w:line="220" w:lineRule="exact"/>
              <w:ind w:firstLine="360"/>
              <w:jc w:val="center"/>
              <w:rPr>
                <w:sz w:val="18"/>
                <w:szCs w:val="18"/>
              </w:rPr>
            </w:pPr>
            <w:r>
              <w:rPr>
                <w:rFonts w:hint="eastAsia"/>
                <w:sz w:val="18"/>
                <w:szCs w:val="18"/>
              </w:rPr>
              <w:t>12</w:t>
            </w:r>
          </w:p>
        </w:tc>
        <w:tc>
          <w:tcPr>
            <w:tcW w:w="834" w:type="pct"/>
            <w:vAlign w:val="center"/>
          </w:tcPr>
          <w:p w14:paraId="3E961835">
            <w:pPr>
              <w:snapToGrid w:val="0"/>
              <w:spacing w:line="220" w:lineRule="exact"/>
              <w:ind w:firstLine="360"/>
              <w:jc w:val="center"/>
              <w:rPr>
                <w:sz w:val="18"/>
                <w:szCs w:val="18"/>
              </w:rPr>
            </w:pPr>
            <w:r>
              <w:rPr>
                <w:rFonts w:hint="eastAsia"/>
                <w:sz w:val="18"/>
                <w:szCs w:val="18"/>
              </w:rPr>
              <w:t xml:space="preserve">3.85 </w:t>
            </w:r>
          </w:p>
        </w:tc>
      </w:tr>
    </w:tbl>
    <w:p w14:paraId="6EA3995F">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 xml:space="preserve">9.1.5.4植被现状评价结论 </w:t>
      </w:r>
    </w:p>
    <w:p w14:paraId="313068DE">
      <w:pPr>
        <w:ind w:firstLine="480"/>
        <w:rPr>
          <w:rFonts w:asciiTheme="minorEastAsia" w:hAnsiTheme="minorEastAsia" w:eastAsiaTheme="minorEastAsia"/>
          <w:lang w:eastAsia="zh-CN"/>
        </w:rPr>
      </w:pPr>
      <w:r>
        <w:rPr>
          <w:rFonts w:asciiTheme="minorEastAsia" w:hAnsiTheme="minorEastAsia" w:eastAsiaTheme="minorEastAsia"/>
          <w:lang w:eastAsia="zh-CN"/>
        </w:rPr>
        <w:t>项目区域</w:t>
      </w:r>
      <w:r>
        <w:rPr>
          <w:rFonts w:hint="eastAsia" w:asciiTheme="minorEastAsia" w:hAnsiTheme="minorEastAsia" w:eastAsiaTheme="minorEastAsia"/>
          <w:lang w:eastAsia="zh-CN"/>
        </w:rPr>
        <w:t>植被主要为以大针茅和羊草为建群种的丛生禾～根茎禾草草原即</w:t>
      </w:r>
      <w:r>
        <w:rPr>
          <w:rFonts w:asciiTheme="minorEastAsia" w:hAnsiTheme="minorEastAsia" w:eastAsiaTheme="minorEastAsia"/>
          <w:lang w:eastAsia="zh-CN"/>
        </w:rPr>
        <w:t>典型草原</w:t>
      </w:r>
      <w:r>
        <w:rPr>
          <w:rFonts w:hint="eastAsia" w:asciiTheme="minorEastAsia" w:hAnsiTheme="minorEastAsia" w:eastAsiaTheme="minorEastAsia"/>
          <w:lang w:eastAsia="zh-CN"/>
        </w:rPr>
        <w:t>。根据资料记载、卫星遥感、结合实地调查分析，本项目评价区内未发现</w:t>
      </w:r>
      <w:r>
        <w:rPr>
          <w:rFonts w:asciiTheme="minorEastAsia" w:hAnsiTheme="minorEastAsia" w:eastAsiaTheme="minorEastAsia"/>
          <w:lang w:eastAsia="zh-CN"/>
        </w:rPr>
        <w:t>珍稀濒危植物</w:t>
      </w:r>
      <w:r>
        <w:rPr>
          <w:rFonts w:hint="eastAsia" w:asciiTheme="minorEastAsia" w:hAnsiTheme="minorEastAsia" w:eastAsiaTheme="minorEastAsia"/>
          <w:lang w:eastAsia="zh-CN"/>
        </w:rPr>
        <w:t>的分布。</w:t>
      </w:r>
    </w:p>
    <w:p w14:paraId="474CA9B9">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评价区内自然植被主要以典型</w:t>
      </w:r>
      <w:r>
        <w:rPr>
          <w:rFonts w:asciiTheme="minorEastAsia" w:hAnsiTheme="minorEastAsia" w:eastAsiaTheme="minorEastAsia"/>
          <w:lang w:eastAsia="zh-CN"/>
        </w:rPr>
        <w:t>草原植被</w:t>
      </w:r>
      <w:r>
        <w:rPr>
          <w:rFonts w:hint="eastAsia" w:asciiTheme="minorEastAsia" w:hAnsiTheme="minorEastAsia" w:eastAsiaTheme="minorEastAsia"/>
          <w:lang w:eastAsia="zh-CN"/>
        </w:rPr>
        <w:t>为主，</w:t>
      </w:r>
      <w:r>
        <w:rPr>
          <w:rFonts w:asciiTheme="minorEastAsia" w:hAnsiTheme="minorEastAsia" w:eastAsiaTheme="minorEastAsia"/>
          <w:lang w:eastAsia="zh-CN"/>
        </w:rPr>
        <w:t>根据遥感解译结果，项目区主要植被类型为</w:t>
      </w:r>
      <w:r>
        <w:rPr>
          <w:rFonts w:hint="eastAsia" w:asciiTheme="minorEastAsia" w:hAnsiTheme="minorEastAsia" w:eastAsiaTheme="minorEastAsia"/>
          <w:lang w:eastAsia="zh-CN"/>
        </w:rPr>
        <w:t>大针茅</w:t>
      </w:r>
      <w:r>
        <w:rPr>
          <w:rFonts w:asciiTheme="minorEastAsia" w:hAnsiTheme="minorEastAsia" w:eastAsiaTheme="minorEastAsia"/>
          <w:lang w:eastAsia="zh-CN"/>
        </w:rPr>
        <w:t>+</w:t>
      </w:r>
      <w:r>
        <w:rPr>
          <w:rFonts w:hint="eastAsia" w:asciiTheme="minorEastAsia" w:hAnsiTheme="minorEastAsia" w:eastAsiaTheme="minorEastAsia"/>
          <w:lang w:eastAsia="zh-CN"/>
        </w:rPr>
        <w:t>羊草+苔草</w:t>
      </w:r>
      <w:r>
        <w:rPr>
          <w:rFonts w:asciiTheme="minorEastAsia" w:hAnsiTheme="minorEastAsia" w:eastAsiaTheme="minorEastAsia"/>
          <w:lang w:eastAsia="zh-CN"/>
        </w:rPr>
        <w:t>群落</w:t>
      </w:r>
      <w:r>
        <w:rPr>
          <w:rFonts w:hint="eastAsia" w:asciiTheme="minorEastAsia" w:hAnsiTheme="minorEastAsia" w:eastAsiaTheme="minorEastAsia"/>
          <w:lang w:eastAsia="zh-CN"/>
        </w:rPr>
        <w:t>和大针茅</w:t>
      </w:r>
      <w:r>
        <w:rPr>
          <w:rFonts w:asciiTheme="minorEastAsia" w:hAnsiTheme="minorEastAsia" w:eastAsiaTheme="minorEastAsia"/>
          <w:lang w:eastAsia="zh-CN"/>
        </w:rPr>
        <w:t>+</w:t>
      </w:r>
      <w:r>
        <w:rPr>
          <w:rFonts w:hint="eastAsia" w:asciiTheme="minorEastAsia" w:hAnsiTheme="minorEastAsia" w:eastAsiaTheme="minorEastAsia"/>
          <w:lang w:eastAsia="zh-CN"/>
        </w:rPr>
        <w:t>羊草+糙隐子草</w:t>
      </w:r>
      <w:r>
        <w:rPr>
          <w:rFonts w:asciiTheme="minorEastAsia" w:hAnsiTheme="minorEastAsia" w:eastAsiaTheme="minorEastAsia"/>
          <w:lang w:eastAsia="zh-CN"/>
        </w:rPr>
        <w:t>群落</w:t>
      </w:r>
      <w:r>
        <w:rPr>
          <w:rFonts w:hint="eastAsia" w:asciiTheme="minorEastAsia" w:hAnsiTheme="minorEastAsia" w:eastAsiaTheme="minorEastAsia"/>
          <w:lang w:eastAsia="zh-CN"/>
        </w:rPr>
        <w:t>，</w:t>
      </w:r>
      <w:r>
        <w:rPr>
          <w:rFonts w:asciiTheme="minorEastAsia" w:hAnsiTheme="minorEastAsia" w:eastAsiaTheme="minorEastAsia"/>
          <w:lang w:eastAsia="zh-CN"/>
        </w:rPr>
        <w:t>面积</w:t>
      </w:r>
      <w:r>
        <w:rPr>
          <w:rFonts w:hint="eastAsia" w:asciiTheme="minorEastAsia" w:hAnsiTheme="minorEastAsia" w:eastAsiaTheme="minorEastAsia"/>
          <w:lang w:eastAsia="zh-CN"/>
        </w:rPr>
        <w:t>分别为7855.10</w:t>
      </w:r>
      <w:r>
        <w:rPr>
          <w:rFonts w:asciiTheme="minorEastAsia" w:hAnsiTheme="minorEastAsia" w:eastAsiaTheme="minorEastAsia"/>
          <w:lang w:eastAsia="zh-CN"/>
        </w:rPr>
        <w:t>hm</w:t>
      </w:r>
      <w:r>
        <w:rPr>
          <w:rFonts w:asciiTheme="minorEastAsia" w:hAnsiTheme="minorEastAsia" w:eastAsiaTheme="minorEastAsia"/>
          <w:vertAlign w:val="superscript"/>
          <w:lang w:eastAsia="zh-CN"/>
        </w:rPr>
        <w:t>2</w:t>
      </w:r>
      <w:r>
        <w:rPr>
          <w:rFonts w:hint="eastAsia" w:asciiTheme="minorEastAsia" w:hAnsiTheme="minorEastAsia" w:eastAsiaTheme="minorEastAsia"/>
          <w:lang w:eastAsia="zh-CN"/>
        </w:rPr>
        <w:t>、3671.07</w:t>
      </w:r>
      <w:r>
        <w:rPr>
          <w:rFonts w:asciiTheme="minorEastAsia" w:hAnsiTheme="minorEastAsia" w:eastAsiaTheme="minorEastAsia"/>
          <w:lang w:eastAsia="zh-CN"/>
        </w:rPr>
        <w:t xml:space="preserve"> hm</w:t>
      </w:r>
      <w:r>
        <w:rPr>
          <w:rFonts w:asciiTheme="minorEastAsia" w:hAnsiTheme="minorEastAsia" w:eastAsiaTheme="minorEastAsia"/>
          <w:vertAlign w:val="superscript"/>
          <w:lang w:eastAsia="zh-CN"/>
        </w:rPr>
        <w:t>2</w:t>
      </w:r>
      <w:r>
        <w:rPr>
          <w:rFonts w:asciiTheme="minorEastAsia" w:hAnsiTheme="minorEastAsia" w:eastAsiaTheme="minorEastAsia"/>
          <w:lang w:eastAsia="zh-CN"/>
        </w:rPr>
        <w:t>，</w:t>
      </w:r>
      <w:r>
        <w:rPr>
          <w:rFonts w:hint="eastAsia" w:asciiTheme="minorEastAsia" w:hAnsiTheme="minorEastAsia" w:eastAsiaTheme="minorEastAsia"/>
          <w:lang w:eastAsia="zh-CN"/>
        </w:rPr>
        <w:t>分别占</w:t>
      </w:r>
      <w:r>
        <w:rPr>
          <w:rFonts w:asciiTheme="minorEastAsia" w:hAnsiTheme="minorEastAsia" w:eastAsiaTheme="minorEastAsia"/>
          <w:lang w:eastAsia="zh-CN"/>
        </w:rPr>
        <w:t>占评价区面积的</w:t>
      </w:r>
      <w:r>
        <w:rPr>
          <w:rFonts w:hint="eastAsia" w:asciiTheme="minorEastAsia" w:hAnsiTheme="minorEastAsia" w:eastAsiaTheme="minorEastAsia"/>
          <w:lang w:eastAsia="zh-CN"/>
        </w:rPr>
        <w:t>51.62</w:t>
      </w:r>
      <w:r>
        <w:rPr>
          <w:rFonts w:asciiTheme="minorEastAsia" w:hAnsiTheme="minorEastAsia" w:eastAsiaTheme="minorEastAsia"/>
          <w:lang w:eastAsia="zh-CN"/>
        </w:rPr>
        <w:t>%</w:t>
      </w:r>
      <w:r>
        <w:rPr>
          <w:rFonts w:hint="eastAsia" w:asciiTheme="minorEastAsia" w:hAnsiTheme="minorEastAsia" w:eastAsiaTheme="minorEastAsia"/>
          <w:lang w:eastAsia="zh-CN"/>
        </w:rPr>
        <w:t>和24.12%；</w:t>
      </w:r>
      <w:r>
        <w:rPr>
          <w:rFonts w:asciiTheme="minorEastAsia" w:hAnsiTheme="minorEastAsia" w:eastAsiaTheme="minorEastAsia"/>
          <w:lang w:eastAsia="zh-CN"/>
        </w:rPr>
        <w:t>其次是</w:t>
      </w:r>
      <w:r>
        <w:rPr>
          <w:rFonts w:hint="eastAsia" w:asciiTheme="minorEastAsia" w:hAnsiTheme="minorEastAsia" w:eastAsiaTheme="minorEastAsia"/>
          <w:lang w:eastAsia="zh-CN"/>
        </w:rPr>
        <w:t>苔草+杂类草、芨芨草+杂类草草甸植被</w:t>
      </w:r>
      <w:r>
        <w:rPr>
          <w:rFonts w:asciiTheme="minorEastAsia" w:hAnsiTheme="minorEastAsia" w:eastAsiaTheme="minorEastAsia"/>
          <w:lang w:eastAsia="zh-CN"/>
        </w:rPr>
        <w:t>，面积</w:t>
      </w:r>
      <w:r>
        <w:rPr>
          <w:rFonts w:hint="eastAsia" w:asciiTheme="minorEastAsia" w:hAnsiTheme="minorEastAsia" w:eastAsiaTheme="minorEastAsia"/>
          <w:lang w:eastAsia="zh-CN"/>
        </w:rPr>
        <w:t>分别为1753.71</w:t>
      </w:r>
      <w:r>
        <w:rPr>
          <w:rFonts w:asciiTheme="minorEastAsia" w:hAnsiTheme="minorEastAsia" w:eastAsiaTheme="minorEastAsia"/>
          <w:lang w:eastAsia="zh-CN"/>
        </w:rPr>
        <w:t>hm</w:t>
      </w:r>
      <w:r>
        <w:rPr>
          <w:rFonts w:asciiTheme="minorEastAsia" w:hAnsiTheme="minorEastAsia" w:eastAsiaTheme="minorEastAsia"/>
          <w:vertAlign w:val="superscript"/>
          <w:lang w:eastAsia="zh-CN"/>
        </w:rPr>
        <w:t>2</w:t>
      </w:r>
      <w:r>
        <w:rPr>
          <w:rFonts w:hint="eastAsia" w:asciiTheme="minorEastAsia" w:hAnsiTheme="minorEastAsia" w:eastAsiaTheme="minorEastAsia"/>
          <w:lang w:eastAsia="zh-CN"/>
        </w:rPr>
        <w:t>、1602.92</w:t>
      </w:r>
      <w:r>
        <w:rPr>
          <w:rFonts w:asciiTheme="minorEastAsia" w:hAnsiTheme="minorEastAsia" w:eastAsiaTheme="minorEastAsia"/>
          <w:lang w:eastAsia="zh-CN"/>
        </w:rPr>
        <w:t>hm</w:t>
      </w:r>
      <w:r>
        <w:rPr>
          <w:rFonts w:asciiTheme="minorEastAsia" w:hAnsiTheme="minorEastAsia" w:eastAsiaTheme="minorEastAsia"/>
          <w:vertAlign w:val="superscript"/>
          <w:lang w:eastAsia="zh-CN"/>
        </w:rPr>
        <w:t>2</w:t>
      </w:r>
      <w:r>
        <w:rPr>
          <w:rFonts w:asciiTheme="minorEastAsia" w:hAnsiTheme="minorEastAsia" w:eastAsiaTheme="minorEastAsia"/>
          <w:lang w:eastAsia="zh-CN"/>
        </w:rPr>
        <w:t>，</w:t>
      </w:r>
      <w:r>
        <w:rPr>
          <w:rFonts w:hint="eastAsia" w:asciiTheme="minorEastAsia" w:hAnsiTheme="minorEastAsia" w:eastAsiaTheme="minorEastAsia"/>
          <w:lang w:eastAsia="zh-CN"/>
        </w:rPr>
        <w:t>分别占</w:t>
      </w:r>
      <w:r>
        <w:rPr>
          <w:rFonts w:asciiTheme="minorEastAsia" w:hAnsiTheme="minorEastAsia" w:eastAsiaTheme="minorEastAsia"/>
          <w:lang w:eastAsia="zh-CN"/>
        </w:rPr>
        <w:t>占评价区总面积的</w:t>
      </w:r>
      <w:r>
        <w:rPr>
          <w:rFonts w:hint="eastAsia" w:asciiTheme="minorEastAsia" w:hAnsiTheme="minorEastAsia" w:eastAsiaTheme="minorEastAsia"/>
          <w:lang w:eastAsia="zh-CN"/>
        </w:rPr>
        <w:t>11.52</w:t>
      </w:r>
      <w:r>
        <w:rPr>
          <w:rFonts w:asciiTheme="minorEastAsia" w:hAnsiTheme="minorEastAsia" w:eastAsiaTheme="minorEastAsia"/>
          <w:lang w:eastAsia="zh-CN"/>
        </w:rPr>
        <w:t xml:space="preserve"> %</w:t>
      </w:r>
      <w:r>
        <w:rPr>
          <w:rFonts w:hint="eastAsia" w:asciiTheme="minorEastAsia" w:hAnsiTheme="minorEastAsia" w:eastAsiaTheme="minorEastAsia"/>
          <w:lang w:eastAsia="zh-CN"/>
        </w:rPr>
        <w:t>和10.53%；另外还分布有</w:t>
      </w:r>
      <w:r>
        <w:rPr>
          <w:rFonts w:asciiTheme="minorEastAsia" w:hAnsiTheme="minorEastAsia" w:eastAsiaTheme="minorEastAsia"/>
          <w:lang w:eastAsia="zh-CN"/>
        </w:rPr>
        <w:t>细叶苔草</w:t>
      </w:r>
      <w:r>
        <w:rPr>
          <w:rFonts w:hint="eastAsia" w:asciiTheme="minorEastAsia" w:hAnsiTheme="minorEastAsia" w:eastAsiaTheme="minorEastAsia"/>
          <w:lang w:eastAsia="zh-CN"/>
        </w:rPr>
        <w:t>为建群种的地湿地植被和芨芨草盐化草甸植被以及零星分布的一年一熟的饲草料地。</w:t>
      </w:r>
    </w:p>
    <w:p w14:paraId="0BCF2C93">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项目区域主要植物以大针茅、羊草、苔草、芨芨草为主，伴生植物主要有冰草、星毛委陵菜、百里香、阿狗花等。</w:t>
      </w:r>
    </w:p>
    <w:p w14:paraId="48F7F40C">
      <w:pPr>
        <w:pStyle w:val="4"/>
        <w:rPr>
          <w:lang w:eastAsia="zh-CN"/>
        </w:rPr>
      </w:pPr>
      <w:bookmarkStart w:id="474" w:name="_Toc408414011"/>
      <w:r>
        <w:rPr>
          <w:rFonts w:hint="eastAsia"/>
          <w:lang w:eastAsia="zh-CN"/>
        </w:rPr>
        <w:t>9</w:t>
      </w:r>
      <w:r>
        <w:rPr>
          <w:lang w:eastAsia="zh-CN"/>
        </w:rPr>
        <w:t>.</w:t>
      </w:r>
      <w:r>
        <w:rPr>
          <w:rFonts w:hint="eastAsia"/>
          <w:lang w:eastAsia="zh-CN"/>
        </w:rPr>
        <w:t>1</w:t>
      </w:r>
      <w:r>
        <w:rPr>
          <w:lang w:eastAsia="zh-CN"/>
        </w:rPr>
        <w:t>.</w:t>
      </w:r>
      <w:r>
        <w:rPr>
          <w:rFonts w:hint="eastAsia"/>
          <w:lang w:eastAsia="zh-CN"/>
        </w:rPr>
        <w:t>6</w:t>
      </w:r>
      <w:r>
        <w:rPr>
          <w:lang w:eastAsia="zh-CN"/>
        </w:rPr>
        <w:t>野生动物现状</w:t>
      </w:r>
      <w:bookmarkEnd w:id="474"/>
    </w:p>
    <w:p w14:paraId="215B4C12">
      <w:pPr>
        <w:ind w:firstLine="480"/>
        <w:rPr>
          <w:rFonts w:asciiTheme="minorEastAsia" w:hAnsiTheme="minorEastAsia" w:eastAsiaTheme="minorEastAsia"/>
          <w:lang w:eastAsia="zh-CN"/>
        </w:rPr>
      </w:pPr>
      <w:r>
        <w:rPr>
          <w:rFonts w:asciiTheme="minorEastAsia" w:hAnsiTheme="minorEastAsia" w:eastAsiaTheme="minorEastAsia"/>
          <w:lang w:eastAsia="zh-CN"/>
        </w:rPr>
        <w:t>本次评价范围确定为</w:t>
      </w:r>
      <w:r>
        <w:rPr>
          <w:rFonts w:hint="eastAsia" w:asciiTheme="minorEastAsia" w:hAnsiTheme="minorEastAsia" w:eastAsiaTheme="minorEastAsia"/>
          <w:lang w:eastAsia="zh-CN"/>
        </w:rPr>
        <w:t>乌里雅斯太油田境界范围外扩1km</w:t>
      </w:r>
      <w:r>
        <w:rPr>
          <w:rFonts w:asciiTheme="minorEastAsia" w:hAnsiTheme="minorEastAsia" w:eastAsiaTheme="minorEastAsia"/>
          <w:lang w:eastAsia="zh-CN"/>
        </w:rPr>
        <w:t>。</w:t>
      </w:r>
      <w:r>
        <w:rPr>
          <w:rFonts w:hint="eastAsia" w:asciiTheme="minorEastAsia" w:hAnsiTheme="minorEastAsia" w:eastAsiaTheme="minorEastAsia"/>
          <w:lang w:eastAsia="zh-CN"/>
        </w:rPr>
        <w:t>评价区域在中国动物地理区划中属古北界的蒙新区东部草原亚区。本区野生动物的基本成分是北方型、中亚型及东北型草原动物，代表动物有蒙古百灵、灰鹤、草原旱獭、草原鼢鼠、达乌尔黄鼠、布氏田鼠、草原沙蜥、黄羊等。</w:t>
      </w:r>
    </w:p>
    <w:p w14:paraId="3326C9B2">
      <w:pPr>
        <w:ind w:firstLine="480"/>
        <w:rPr>
          <w:rFonts w:asciiTheme="minorEastAsia" w:hAnsiTheme="minorEastAsia" w:eastAsiaTheme="minorEastAsia"/>
          <w:lang w:eastAsia="zh-CN"/>
        </w:rPr>
      </w:pPr>
      <w:r>
        <w:rPr>
          <w:rFonts w:asciiTheme="minorEastAsia" w:hAnsiTheme="minorEastAsia" w:eastAsiaTheme="minorEastAsia"/>
          <w:lang w:eastAsia="zh-CN"/>
        </w:rPr>
        <w:t>根据现场踏察及</w:t>
      </w:r>
      <w:r>
        <w:rPr>
          <w:rFonts w:hint="eastAsia" w:asciiTheme="minorEastAsia" w:hAnsiTheme="minorEastAsia" w:eastAsiaTheme="minorEastAsia"/>
          <w:lang w:eastAsia="zh-CN"/>
        </w:rPr>
        <w:t>向当地居民访问</w:t>
      </w:r>
      <w:r>
        <w:rPr>
          <w:rFonts w:asciiTheme="minorEastAsia" w:hAnsiTheme="minorEastAsia" w:eastAsiaTheme="minorEastAsia"/>
          <w:lang w:eastAsia="zh-CN"/>
        </w:rPr>
        <w:t>，</w:t>
      </w:r>
      <w:r>
        <w:rPr>
          <w:rFonts w:hint="eastAsia" w:asciiTheme="minorEastAsia" w:hAnsiTheme="minorEastAsia" w:eastAsiaTheme="minorEastAsia"/>
          <w:lang w:eastAsia="zh-CN"/>
        </w:rPr>
        <w:t>乌里雅斯太油田评价区域内现</w:t>
      </w:r>
      <w:r>
        <w:rPr>
          <w:rFonts w:asciiTheme="minorEastAsia" w:hAnsiTheme="minorEastAsia" w:eastAsiaTheme="minorEastAsia"/>
          <w:lang w:eastAsia="zh-CN"/>
        </w:rPr>
        <w:t>分布</w:t>
      </w:r>
      <w:r>
        <w:rPr>
          <w:rFonts w:hint="eastAsia" w:asciiTheme="minorEastAsia" w:hAnsiTheme="minorEastAsia" w:eastAsiaTheme="minorEastAsia"/>
          <w:lang w:eastAsia="zh-CN"/>
        </w:rPr>
        <w:t>的</w:t>
      </w:r>
      <w:r>
        <w:rPr>
          <w:rFonts w:asciiTheme="minorEastAsia" w:hAnsiTheme="minorEastAsia" w:eastAsiaTheme="minorEastAsia"/>
          <w:lang w:eastAsia="zh-CN"/>
        </w:rPr>
        <w:t>野生动物主要是啮齿类等小型动物及雀形目鸟类</w:t>
      </w:r>
      <w:r>
        <w:rPr>
          <w:rFonts w:hint="eastAsia" w:asciiTheme="minorEastAsia" w:hAnsiTheme="minorEastAsia" w:eastAsiaTheme="minorEastAsia"/>
          <w:lang w:eastAsia="zh-CN"/>
        </w:rPr>
        <w:t>，鸟类主要有沙半鸡</w:t>
      </w:r>
      <w:r>
        <w:rPr>
          <w:rFonts w:asciiTheme="minorEastAsia" w:hAnsiTheme="minorEastAsia" w:eastAsiaTheme="minorEastAsia"/>
          <w:lang w:eastAsia="zh-CN"/>
        </w:rPr>
        <w:t>、乌鸦</w:t>
      </w:r>
      <w:r>
        <w:rPr>
          <w:rFonts w:hint="eastAsia" w:asciiTheme="minorEastAsia" w:hAnsiTheme="minorEastAsia" w:eastAsiaTheme="minorEastAsia"/>
          <w:lang w:eastAsia="zh-CN"/>
        </w:rPr>
        <w:t>等</w:t>
      </w:r>
      <w:r>
        <w:rPr>
          <w:rFonts w:asciiTheme="minorEastAsia" w:hAnsiTheme="minorEastAsia" w:eastAsiaTheme="minorEastAsia"/>
          <w:lang w:eastAsia="zh-CN"/>
        </w:rPr>
        <w:t>。</w:t>
      </w:r>
      <w:r>
        <w:rPr>
          <w:rFonts w:hint="eastAsia" w:asciiTheme="minorEastAsia" w:hAnsiTheme="minorEastAsia" w:eastAsiaTheme="minorEastAsia"/>
          <w:lang w:eastAsia="zh-CN"/>
        </w:rPr>
        <w:t>未发现国家保护的</w:t>
      </w:r>
      <w:r>
        <w:rPr>
          <w:rFonts w:asciiTheme="minorEastAsia" w:hAnsiTheme="minorEastAsia" w:eastAsiaTheme="minorEastAsia"/>
          <w:lang w:eastAsia="zh-CN"/>
        </w:rPr>
        <w:t>珍稀濒危野生动物及其栖息地。</w:t>
      </w:r>
    </w:p>
    <w:p w14:paraId="34B5E688">
      <w:pPr>
        <w:ind w:firstLine="480"/>
        <w:rPr>
          <w:rFonts w:asciiTheme="minorEastAsia" w:hAnsiTheme="minorEastAsia" w:eastAsiaTheme="minorEastAsia"/>
          <w:lang w:eastAsia="zh-CN"/>
        </w:rPr>
      </w:pPr>
      <w:r>
        <w:rPr>
          <w:rFonts w:asciiTheme="minorEastAsia" w:hAnsiTheme="minorEastAsia" w:eastAsiaTheme="minorEastAsia"/>
          <w:lang w:eastAsia="zh-CN"/>
        </w:rPr>
        <w:t>此外，项目区域内还有昆虫以及家畜等动物。</w:t>
      </w:r>
    </w:p>
    <w:p w14:paraId="03B44A19">
      <w:pPr>
        <w:pStyle w:val="4"/>
        <w:rPr>
          <w:lang w:eastAsia="zh-CN"/>
        </w:rPr>
      </w:pPr>
      <w:bookmarkStart w:id="475" w:name="_Toc408414012"/>
      <w:r>
        <w:rPr>
          <w:rFonts w:hint="eastAsia"/>
          <w:lang w:eastAsia="zh-CN"/>
        </w:rPr>
        <w:t>9</w:t>
      </w:r>
      <w:r>
        <w:rPr>
          <w:lang w:eastAsia="zh-CN"/>
        </w:rPr>
        <w:t>.</w:t>
      </w:r>
      <w:r>
        <w:rPr>
          <w:rFonts w:hint="eastAsia"/>
          <w:lang w:eastAsia="zh-CN"/>
        </w:rPr>
        <w:t>1</w:t>
      </w:r>
      <w:r>
        <w:rPr>
          <w:lang w:eastAsia="zh-CN"/>
        </w:rPr>
        <w:t>.</w:t>
      </w:r>
      <w:r>
        <w:rPr>
          <w:rFonts w:hint="eastAsia"/>
          <w:lang w:eastAsia="zh-CN"/>
        </w:rPr>
        <w:t>7</w:t>
      </w:r>
      <w:r>
        <w:rPr>
          <w:lang w:eastAsia="zh-CN"/>
        </w:rPr>
        <w:t>土壤</w:t>
      </w:r>
      <w:r>
        <w:rPr>
          <w:rFonts w:hint="eastAsia"/>
          <w:lang w:eastAsia="zh-CN"/>
        </w:rPr>
        <w:t>现状</w:t>
      </w:r>
      <w:bookmarkEnd w:id="475"/>
    </w:p>
    <w:p w14:paraId="22081B53">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9.1.7.1 土壤类型</w:t>
      </w:r>
    </w:p>
    <w:p w14:paraId="662EE851">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项目区域的地带性土壤为栗钙土</w:t>
      </w:r>
      <w:r>
        <w:rPr>
          <w:rFonts w:asciiTheme="minorEastAsia" w:hAnsiTheme="minorEastAsia" w:eastAsiaTheme="minorEastAsia"/>
          <w:lang w:eastAsia="zh-CN"/>
        </w:rPr>
        <w:t>。</w:t>
      </w:r>
      <w:r>
        <w:rPr>
          <w:rFonts w:hint="eastAsia" w:asciiTheme="minorEastAsia" w:hAnsiTheme="minorEastAsia" w:eastAsiaTheme="minorEastAsia"/>
          <w:lang w:eastAsia="zh-CN"/>
        </w:rPr>
        <w:t>另外还分布有隐域性的草甸土壤。</w:t>
      </w:r>
    </w:p>
    <w:p w14:paraId="685632F0">
      <w:pPr>
        <w:ind w:firstLine="480"/>
        <w:rPr>
          <w:rFonts w:asciiTheme="minorEastAsia" w:hAnsiTheme="minorEastAsia" w:eastAsiaTheme="minorEastAsia"/>
          <w:lang w:eastAsia="zh-CN"/>
        </w:rPr>
      </w:pPr>
      <w:r>
        <w:rPr>
          <w:rFonts w:asciiTheme="minorEastAsia" w:hAnsiTheme="minorEastAsia" w:eastAsiaTheme="minorEastAsia"/>
          <w:lang w:eastAsia="zh-CN"/>
        </w:rPr>
        <w:t>栗钙土：栗钙土是区内分布面积较广的土壤类型，广泛分布在区内平坦开阔的高平原地带及剥蚀残丘等，地带性明显。栗钙土的主要特征是成土过程主要是腐殖质积累和钙积化过程，其土壤剖面明显，有腐质层、钙积层、母质层组成，一般腐殖层厚20-50cm。土壤质地为砂壤土、轻壤土。有机质含量平均为2.47%，全氮0.15%，全磷0.07%，全钾2.86%，土壤PH为7-8.5，土壤肥力尚好。</w:t>
      </w:r>
    </w:p>
    <w:p w14:paraId="101EEBE8">
      <w:pPr>
        <w:ind w:firstLine="480"/>
        <w:rPr>
          <w:rFonts w:asciiTheme="minorEastAsia" w:hAnsiTheme="minorEastAsia" w:eastAsiaTheme="minorEastAsia"/>
          <w:lang w:eastAsia="zh-CN"/>
        </w:rPr>
      </w:pPr>
      <w:r>
        <w:rPr>
          <w:rFonts w:asciiTheme="minorEastAsia" w:hAnsiTheme="minorEastAsia" w:eastAsiaTheme="minorEastAsia"/>
          <w:lang w:eastAsia="zh-CN"/>
        </w:rPr>
        <w:t>草甸土：草甸土是发育在草甸植被下的水成土壤，为隐域性土壤。成土木质为冲洪积物、淤积物。其天然植被以草甸植被类型为主，植被盖度较高。草甸土的主要特征是成土过程为腐殖化和潜育化过程，其土壤剖面分化明显，土壤的腐殖质积累较高，腐殖层厚为20-50cm之间，土壤有机质含量平均在2.77%，全氮0.22%，全磷0.13%， PH为6.5-7.5，土壤肥力较高。草甸土在本区域只有少量分布，分布在地下水位较高的盐化低地上。</w:t>
      </w:r>
    </w:p>
    <w:p w14:paraId="50FCE2E3">
      <w:pPr>
        <w:ind w:firstLine="480"/>
        <w:outlineLvl w:val="0"/>
        <w:rPr>
          <w:rFonts w:asciiTheme="minorEastAsia" w:hAnsiTheme="minorEastAsia" w:eastAsiaTheme="minorEastAsia"/>
          <w:lang w:eastAsia="zh-CN"/>
        </w:rPr>
      </w:pPr>
      <w:r>
        <w:rPr>
          <w:rFonts w:hint="eastAsia" w:asciiTheme="minorEastAsia" w:hAnsiTheme="minorEastAsia" w:eastAsiaTheme="minorEastAsia"/>
          <w:lang w:eastAsia="zh-CN"/>
        </w:rPr>
        <w:t>9.1.6.2 土壤侵蚀现状</w:t>
      </w:r>
    </w:p>
    <w:p w14:paraId="31CE187B">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根据水利部行业标准《土壤侵蚀分类分级标准》（SL190-2007），通过现场调查，结合2002年公布的土壤侵蚀遥感普查结果，对当地土壤侵蚀程度进行分析，确定评价范围内土壤侵蚀模数为2700～5500t/km</w:t>
      </w:r>
      <w:r>
        <w:rPr>
          <w:rFonts w:hint="eastAsia" w:asciiTheme="minorEastAsia" w:hAnsiTheme="minorEastAsia" w:eastAsiaTheme="minorEastAsia"/>
          <w:vertAlign w:val="superscript"/>
          <w:lang w:eastAsia="zh-CN"/>
        </w:rPr>
        <w:t>2</w:t>
      </w:r>
      <w:r>
        <w:rPr>
          <w:rFonts w:hint="eastAsia" w:asciiTheme="minorEastAsia" w:hAnsiTheme="minorEastAsia" w:eastAsiaTheme="minorEastAsia"/>
          <w:lang w:eastAsia="zh-CN"/>
        </w:rPr>
        <w:t>.a。</w:t>
      </w:r>
    </w:p>
    <w:p w14:paraId="79F8BAE7">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土壤侵蚀主要包括风力侵蚀和水力侵蚀，其中以风力侵蚀为主。乌里雅斯太油田</w:t>
      </w:r>
      <w:r>
        <w:rPr>
          <w:rFonts w:asciiTheme="minorEastAsia" w:hAnsiTheme="minorEastAsia" w:eastAsiaTheme="minorEastAsia"/>
          <w:lang w:eastAsia="zh-CN"/>
        </w:rPr>
        <w:t>评价范围内土壤侵蚀特征见表</w:t>
      </w:r>
      <w:r>
        <w:rPr>
          <w:rFonts w:hint="eastAsia" w:asciiTheme="minorEastAsia" w:hAnsiTheme="minorEastAsia" w:eastAsiaTheme="minorEastAsia"/>
          <w:lang w:eastAsia="zh-CN"/>
        </w:rPr>
        <w:t>9</w:t>
      </w:r>
      <w:r>
        <w:rPr>
          <w:rFonts w:asciiTheme="minorEastAsia" w:hAnsiTheme="minorEastAsia" w:eastAsiaTheme="minorEastAsia"/>
          <w:lang w:eastAsia="zh-CN"/>
        </w:rPr>
        <w:t>.</w:t>
      </w:r>
      <w:r>
        <w:rPr>
          <w:rFonts w:hint="eastAsia" w:asciiTheme="minorEastAsia" w:hAnsiTheme="minorEastAsia" w:eastAsiaTheme="minorEastAsia"/>
          <w:lang w:eastAsia="zh-CN"/>
        </w:rPr>
        <w:t>1</w:t>
      </w:r>
      <w:r>
        <w:rPr>
          <w:rFonts w:asciiTheme="minorEastAsia" w:hAnsiTheme="minorEastAsia" w:eastAsiaTheme="minorEastAsia"/>
          <w:lang w:eastAsia="zh-CN"/>
        </w:rPr>
        <w:t>-</w:t>
      </w:r>
      <w:r>
        <w:rPr>
          <w:rFonts w:hint="eastAsia" w:asciiTheme="minorEastAsia" w:hAnsiTheme="minorEastAsia" w:eastAsiaTheme="minorEastAsia"/>
          <w:lang w:eastAsia="zh-CN"/>
        </w:rPr>
        <w:t>8</w:t>
      </w:r>
      <w:r>
        <w:rPr>
          <w:rFonts w:asciiTheme="minorEastAsia" w:hAnsiTheme="minorEastAsia" w:eastAsiaTheme="minorEastAsia"/>
          <w:lang w:eastAsia="zh-CN"/>
        </w:rPr>
        <w:t>，土壤侵蚀现状见图</w:t>
      </w:r>
      <w:r>
        <w:rPr>
          <w:rFonts w:hint="eastAsia" w:asciiTheme="minorEastAsia" w:hAnsiTheme="minorEastAsia" w:eastAsiaTheme="minorEastAsia"/>
          <w:lang w:eastAsia="zh-CN"/>
        </w:rPr>
        <w:t>9</w:t>
      </w:r>
      <w:r>
        <w:rPr>
          <w:rFonts w:asciiTheme="minorEastAsia" w:hAnsiTheme="minorEastAsia" w:eastAsiaTheme="minorEastAsia"/>
          <w:lang w:eastAsia="zh-CN"/>
        </w:rPr>
        <w:t>.</w:t>
      </w:r>
      <w:r>
        <w:rPr>
          <w:rFonts w:hint="eastAsia" w:asciiTheme="minorEastAsia" w:hAnsiTheme="minorEastAsia" w:eastAsiaTheme="minorEastAsia"/>
          <w:lang w:eastAsia="zh-CN"/>
        </w:rPr>
        <w:t>1-3</w:t>
      </w:r>
      <w:r>
        <w:rPr>
          <w:rFonts w:asciiTheme="minorEastAsia" w:hAnsiTheme="minorEastAsia" w:eastAsiaTheme="minorEastAsia"/>
          <w:lang w:eastAsia="zh-CN"/>
        </w:rPr>
        <w:t>。</w:t>
      </w:r>
    </w:p>
    <w:p w14:paraId="6984389B">
      <w:pPr>
        <w:pStyle w:val="18"/>
        <w:spacing w:line="240" w:lineRule="auto"/>
        <w:ind w:firstLine="480"/>
        <w:rPr>
          <w:rFonts w:eastAsia="黑体"/>
          <w:sz w:val="24"/>
        </w:rPr>
      </w:pPr>
      <w:r>
        <w:rPr>
          <w:rFonts w:eastAsia="黑体"/>
          <w:sz w:val="24"/>
        </w:rPr>
        <w:t>表</w:t>
      </w:r>
      <w:r>
        <w:rPr>
          <w:rFonts w:hint="eastAsia" w:eastAsia="黑体"/>
          <w:sz w:val="24"/>
        </w:rPr>
        <w:t>9</w:t>
      </w:r>
      <w:r>
        <w:rPr>
          <w:rFonts w:eastAsia="黑体"/>
          <w:sz w:val="24"/>
        </w:rPr>
        <w:t>.</w:t>
      </w:r>
      <w:r>
        <w:rPr>
          <w:rFonts w:hint="eastAsia" w:eastAsia="黑体"/>
          <w:sz w:val="24"/>
        </w:rPr>
        <w:t>1</w:t>
      </w:r>
      <w:r>
        <w:rPr>
          <w:rFonts w:eastAsia="黑体"/>
          <w:sz w:val="24"/>
        </w:rPr>
        <w:t>-</w:t>
      </w:r>
      <w:r>
        <w:rPr>
          <w:rFonts w:hint="eastAsia" w:eastAsia="黑体"/>
          <w:sz w:val="24"/>
        </w:rPr>
        <w:t>8</w:t>
      </w:r>
      <w:r>
        <w:rPr>
          <w:rFonts w:eastAsia="黑体"/>
          <w:sz w:val="24"/>
        </w:rPr>
        <w:t xml:space="preserve">     </w:t>
      </w:r>
      <w:r>
        <w:rPr>
          <w:rFonts w:hint="eastAsia" w:eastAsia="黑体"/>
          <w:sz w:val="24"/>
        </w:rPr>
        <w:t xml:space="preserve">       </w:t>
      </w:r>
      <w:r>
        <w:rPr>
          <w:rFonts w:eastAsia="黑体"/>
          <w:sz w:val="24"/>
        </w:rPr>
        <w:t>评价范围内土壤侵蚀特征表</w:t>
      </w:r>
    </w:p>
    <w:tbl>
      <w:tblPr>
        <w:tblStyle w:val="76"/>
        <w:tblW w:w="810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47"/>
        <w:gridCol w:w="2693"/>
        <w:gridCol w:w="2963"/>
      </w:tblGrid>
      <w:tr w14:paraId="24D00C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447" w:type="dxa"/>
            <w:noWrap/>
            <w:vAlign w:val="center"/>
          </w:tcPr>
          <w:p w14:paraId="447A1CE7">
            <w:pPr>
              <w:widowControl/>
              <w:snapToGrid w:val="0"/>
              <w:spacing w:line="240" w:lineRule="atLeast"/>
              <w:ind w:firstLine="360"/>
              <w:jc w:val="center"/>
              <w:rPr>
                <w:sz w:val="18"/>
                <w:szCs w:val="18"/>
              </w:rPr>
            </w:pPr>
            <w:r>
              <w:rPr>
                <w:rFonts w:hint="eastAsia"/>
                <w:sz w:val="18"/>
                <w:szCs w:val="18"/>
              </w:rPr>
              <w:t>类型</w:t>
            </w:r>
          </w:p>
        </w:tc>
        <w:tc>
          <w:tcPr>
            <w:tcW w:w="2693" w:type="dxa"/>
            <w:noWrap/>
            <w:vAlign w:val="center"/>
          </w:tcPr>
          <w:p w14:paraId="192CADEA">
            <w:pPr>
              <w:widowControl/>
              <w:snapToGrid w:val="0"/>
              <w:spacing w:line="240" w:lineRule="atLeast"/>
              <w:ind w:firstLine="360"/>
              <w:jc w:val="center"/>
              <w:rPr>
                <w:sz w:val="18"/>
                <w:szCs w:val="18"/>
                <w:lang w:eastAsia="zh-CN"/>
              </w:rPr>
            </w:pPr>
            <w:r>
              <w:rPr>
                <w:rFonts w:hint="eastAsia"/>
                <w:sz w:val="18"/>
                <w:szCs w:val="18"/>
              </w:rPr>
              <w:t>面积</w:t>
            </w:r>
          </w:p>
          <w:p w14:paraId="60FEE1CD">
            <w:pPr>
              <w:widowControl/>
              <w:snapToGrid w:val="0"/>
              <w:spacing w:line="240" w:lineRule="atLeast"/>
              <w:ind w:firstLine="360"/>
              <w:jc w:val="center"/>
              <w:rPr>
                <w:sz w:val="18"/>
                <w:szCs w:val="18"/>
              </w:rPr>
            </w:pPr>
            <w:r>
              <w:rPr>
                <w:rFonts w:hint="eastAsia"/>
                <w:sz w:val="18"/>
                <w:szCs w:val="18"/>
              </w:rPr>
              <w:t>（hm</w:t>
            </w:r>
            <w:r>
              <w:rPr>
                <w:rFonts w:hint="eastAsia"/>
                <w:sz w:val="18"/>
                <w:szCs w:val="18"/>
                <w:vertAlign w:val="superscript"/>
              </w:rPr>
              <w:t>2</w:t>
            </w:r>
            <w:r>
              <w:rPr>
                <w:rFonts w:hint="eastAsia"/>
                <w:sz w:val="18"/>
                <w:szCs w:val="18"/>
              </w:rPr>
              <w:t>）</w:t>
            </w:r>
          </w:p>
        </w:tc>
        <w:tc>
          <w:tcPr>
            <w:tcW w:w="2963" w:type="dxa"/>
            <w:noWrap/>
            <w:vAlign w:val="center"/>
          </w:tcPr>
          <w:p w14:paraId="4931B589">
            <w:pPr>
              <w:widowControl/>
              <w:snapToGrid w:val="0"/>
              <w:spacing w:line="240" w:lineRule="atLeast"/>
              <w:ind w:firstLine="360"/>
              <w:jc w:val="center"/>
              <w:rPr>
                <w:sz w:val="18"/>
                <w:szCs w:val="18"/>
                <w:lang w:eastAsia="zh-CN"/>
              </w:rPr>
            </w:pPr>
            <w:r>
              <w:rPr>
                <w:rFonts w:hint="eastAsia"/>
                <w:sz w:val="18"/>
                <w:szCs w:val="18"/>
              </w:rPr>
              <w:t>占评价区比例</w:t>
            </w:r>
          </w:p>
          <w:p w14:paraId="1335EE49">
            <w:pPr>
              <w:widowControl/>
              <w:snapToGrid w:val="0"/>
              <w:spacing w:line="240" w:lineRule="atLeast"/>
              <w:ind w:firstLine="360"/>
              <w:jc w:val="center"/>
              <w:rPr>
                <w:sz w:val="18"/>
                <w:szCs w:val="18"/>
              </w:rPr>
            </w:pPr>
            <w:r>
              <w:rPr>
                <w:rFonts w:hint="eastAsia"/>
                <w:sz w:val="18"/>
                <w:szCs w:val="18"/>
              </w:rPr>
              <w:t>（%）</w:t>
            </w:r>
          </w:p>
        </w:tc>
      </w:tr>
      <w:tr w14:paraId="44AF79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447" w:type="dxa"/>
            <w:noWrap/>
            <w:vAlign w:val="center"/>
          </w:tcPr>
          <w:p w14:paraId="6100C031">
            <w:pPr>
              <w:widowControl/>
              <w:snapToGrid w:val="0"/>
              <w:spacing w:line="240" w:lineRule="atLeast"/>
              <w:ind w:firstLine="360"/>
              <w:jc w:val="center"/>
              <w:rPr>
                <w:sz w:val="18"/>
                <w:szCs w:val="18"/>
              </w:rPr>
            </w:pPr>
            <w:r>
              <w:rPr>
                <w:rFonts w:hint="eastAsia"/>
                <w:sz w:val="18"/>
                <w:szCs w:val="18"/>
                <w:lang w:eastAsia="zh-CN"/>
              </w:rPr>
              <w:t>轻</w:t>
            </w:r>
            <w:r>
              <w:rPr>
                <w:rFonts w:hint="eastAsia"/>
                <w:sz w:val="18"/>
                <w:szCs w:val="18"/>
              </w:rPr>
              <w:t>度风蚀</w:t>
            </w:r>
          </w:p>
        </w:tc>
        <w:tc>
          <w:tcPr>
            <w:tcW w:w="2693" w:type="dxa"/>
            <w:noWrap/>
            <w:vAlign w:val="center"/>
          </w:tcPr>
          <w:p w14:paraId="7EB862A9">
            <w:pPr>
              <w:widowControl/>
              <w:snapToGrid w:val="0"/>
              <w:spacing w:line="240" w:lineRule="atLeast"/>
              <w:ind w:firstLine="360"/>
              <w:jc w:val="center"/>
              <w:rPr>
                <w:sz w:val="18"/>
                <w:szCs w:val="18"/>
                <w:lang w:eastAsia="zh-CN"/>
              </w:rPr>
            </w:pPr>
            <w:r>
              <w:rPr>
                <w:rFonts w:hint="eastAsia"/>
                <w:sz w:val="18"/>
                <w:szCs w:val="18"/>
                <w:lang w:eastAsia="zh-CN"/>
              </w:rPr>
              <w:t>5274.00</w:t>
            </w:r>
          </w:p>
        </w:tc>
        <w:tc>
          <w:tcPr>
            <w:tcW w:w="2963" w:type="dxa"/>
            <w:noWrap/>
            <w:vAlign w:val="center"/>
          </w:tcPr>
          <w:p w14:paraId="5F493077">
            <w:pPr>
              <w:widowControl/>
              <w:snapToGrid w:val="0"/>
              <w:spacing w:line="240" w:lineRule="atLeast"/>
              <w:ind w:firstLine="360"/>
              <w:jc w:val="center"/>
              <w:rPr>
                <w:sz w:val="18"/>
                <w:szCs w:val="18"/>
                <w:lang w:eastAsia="zh-CN"/>
              </w:rPr>
            </w:pPr>
            <w:r>
              <w:rPr>
                <w:rFonts w:hint="eastAsia"/>
                <w:sz w:val="18"/>
                <w:szCs w:val="18"/>
                <w:lang w:eastAsia="zh-CN"/>
              </w:rPr>
              <w:t>34.66</w:t>
            </w:r>
          </w:p>
        </w:tc>
      </w:tr>
      <w:tr w14:paraId="0924C0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447" w:type="dxa"/>
            <w:noWrap/>
            <w:vAlign w:val="center"/>
          </w:tcPr>
          <w:p w14:paraId="4A198EE9">
            <w:pPr>
              <w:widowControl/>
              <w:snapToGrid w:val="0"/>
              <w:spacing w:line="240" w:lineRule="atLeast"/>
              <w:ind w:firstLine="360"/>
              <w:jc w:val="center"/>
              <w:rPr>
                <w:sz w:val="18"/>
                <w:szCs w:val="18"/>
              </w:rPr>
            </w:pPr>
            <w:r>
              <w:rPr>
                <w:rFonts w:hint="eastAsia"/>
                <w:sz w:val="18"/>
                <w:szCs w:val="18"/>
                <w:lang w:eastAsia="zh-CN"/>
              </w:rPr>
              <w:t>微</w:t>
            </w:r>
            <w:r>
              <w:rPr>
                <w:rFonts w:hint="eastAsia"/>
                <w:sz w:val="18"/>
                <w:szCs w:val="18"/>
              </w:rPr>
              <w:t>度风蚀</w:t>
            </w:r>
          </w:p>
        </w:tc>
        <w:tc>
          <w:tcPr>
            <w:tcW w:w="2693" w:type="dxa"/>
            <w:noWrap/>
            <w:vAlign w:val="center"/>
          </w:tcPr>
          <w:p w14:paraId="78545A25">
            <w:pPr>
              <w:widowControl/>
              <w:snapToGrid w:val="0"/>
              <w:spacing w:line="240" w:lineRule="atLeast"/>
              <w:ind w:firstLine="360"/>
              <w:jc w:val="center"/>
              <w:rPr>
                <w:sz w:val="18"/>
                <w:szCs w:val="18"/>
              </w:rPr>
            </w:pPr>
            <w:r>
              <w:rPr>
                <w:rFonts w:hint="eastAsia"/>
                <w:sz w:val="18"/>
                <w:szCs w:val="18"/>
                <w:lang w:eastAsia="zh-CN"/>
              </w:rPr>
              <w:t>7855.10</w:t>
            </w:r>
          </w:p>
        </w:tc>
        <w:tc>
          <w:tcPr>
            <w:tcW w:w="2963" w:type="dxa"/>
            <w:noWrap/>
            <w:vAlign w:val="center"/>
          </w:tcPr>
          <w:p w14:paraId="7BBEC384">
            <w:pPr>
              <w:widowControl/>
              <w:snapToGrid w:val="0"/>
              <w:spacing w:line="240" w:lineRule="atLeast"/>
              <w:ind w:firstLine="360"/>
              <w:jc w:val="center"/>
              <w:rPr>
                <w:sz w:val="18"/>
                <w:szCs w:val="18"/>
                <w:lang w:eastAsia="zh-CN"/>
              </w:rPr>
            </w:pPr>
            <w:r>
              <w:rPr>
                <w:rFonts w:hint="eastAsia"/>
                <w:sz w:val="18"/>
                <w:szCs w:val="18"/>
                <w:lang w:eastAsia="zh-CN"/>
              </w:rPr>
              <w:t>51.62</w:t>
            </w:r>
          </w:p>
        </w:tc>
      </w:tr>
      <w:tr w14:paraId="395CA0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447" w:type="dxa"/>
            <w:noWrap/>
            <w:vAlign w:val="center"/>
          </w:tcPr>
          <w:p w14:paraId="6189294D">
            <w:pPr>
              <w:widowControl/>
              <w:snapToGrid w:val="0"/>
              <w:spacing w:line="240" w:lineRule="atLeast"/>
              <w:ind w:firstLine="360"/>
              <w:jc w:val="center"/>
              <w:rPr>
                <w:sz w:val="18"/>
                <w:szCs w:val="18"/>
              </w:rPr>
            </w:pPr>
            <w:r>
              <w:rPr>
                <w:rFonts w:hint="eastAsia"/>
                <w:sz w:val="18"/>
                <w:szCs w:val="18"/>
                <w:lang w:eastAsia="zh-CN"/>
              </w:rPr>
              <w:t>轻</w:t>
            </w:r>
            <w:r>
              <w:rPr>
                <w:rFonts w:hint="eastAsia"/>
                <w:sz w:val="18"/>
                <w:szCs w:val="18"/>
              </w:rPr>
              <w:t>度水蚀</w:t>
            </w:r>
          </w:p>
        </w:tc>
        <w:tc>
          <w:tcPr>
            <w:tcW w:w="2693" w:type="dxa"/>
            <w:noWrap/>
            <w:vAlign w:val="center"/>
          </w:tcPr>
          <w:p w14:paraId="585375D2">
            <w:pPr>
              <w:widowControl/>
              <w:snapToGrid w:val="0"/>
              <w:spacing w:line="240" w:lineRule="atLeast"/>
              <w:ind w:firstLine="360"/>
              <w:jc w:val="center"/>
              <w:rPr>
                <w:sz w:val="18"/>
                <w:szCs w:val="18"/>
                <w:lang w:eastAsia="zh-CN"/>
              </w:rPr>
            </w:pPr>
            <w:r>
              <w:rPr>
                <w:rFonts w:hint="eastAsia"/>
                <w:sz w:val="18"/>
                <w:szCs w:val="18"/>
                <w:lang w:eastAsia="zh-CN"/>
              </w:rPr>
              <w:t>23.30</w:t>
            </w:r>
          </w:p>
        </w:tc>
        <w:tc>
          <w:tcPr>
            <w:tcW w:w="2963" w:type="dxa"/>
            <w:noWrap/>
            <w:vAlign w:val="center"/>
          </w:tcPr>
          <w:p w14:paraId="48CFF5AB">
            <w:pPr>
              <w:widowControl/>
              <w:snapToGrid w:val="0"/>
              <w:spacing w:line="240" w:lineRule="atLeast"/>
              <w:ind w:firstLine="360"/>
              <w:jc w:val="center"/>
              <w:rPr>
                <w:sz w:val="18"/>
                <w:szCs w:val="18"/>
                <w:lang w:eastAsia="zh-CN"/>
              </w:rPr>
            </w:pPr>
            <w:r>
              <w:rPr>
                <w:rFonts w:hint="eastAsia"/>
                <w:sz w:val="18"/>
                <w:szCs w:val="18"/>
                <w:lang w:eastAsia="zh-CN"/>
              </w:rPr>
              <w:t>0.15</w:t>
            </w:r>
          </w:p>
        </w:tc>
      </w:tr>
      <w:tr w14:paraId="061E30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447" w:type="dxa"/>
            <w:noWrap/>
            <w:vAlign w:val="center"/>
          </w:tcPr>
          <w:p w14:paraId="1DDB9525">
            <w:pPr>
              <w:widowControl/>
              <w:snapToGrid w:val="0"/>
              <w:spacing w:line="240" w:lineRule="atLeast"/>
              <w:ind w:firstLine="360"/>
              <w:jc w:val="center"/>
              <w:rPr>
                <w:sz w:val="18"/>
                <w:szCs w:val="18"/>
                <w:lang w:eastAsia="zh-CN"/>
              </w:rPr>
            </w:pPr>
            <w:r>
              <w:rPr>
                <w:rFonts w:hint="eastAsia"/>
                <w:sz w:val="18"/>
                <w:szCs w:val="18"/>
                <w:lang w:eastAsia="zh-CN"/>
              </w:rPr>
              <w:t>微度水蚀</w:t>
            </w:r>
          </w:p>
        </w:tc>
        <w:tc>
          <w:tcPr>
            <w:tcW w:w="2693" w:type="dxa"/>
            <w:noWrap/>
            <w:vAlign w:val="center"/>
          </w:tcPr>
          <w:p w14:paraId="50FF71D5">
            <w:pPr>
              <w:widowControl/>
              <w:snapToGrid w:val="0"/>
              <w:spacing w:line="240" w:lineRule="atLeast"/>
              <w:ind w:firstLine="360"/>
              <w:jc w:val="center"/>
              <w:rPr>
                <w:sz w:val="18"/>
                <w:szCs w:val="18"/>
                <w:lang w:eastAsia="zh-CN"/>
              </w:rPr>
            </w:pPr>
            <w:r>
              <w:rPr>
                <w:rFonts w:hint="eastAsia"/>
                <w:sz w:val="18"/>
                <w:szCs w:val="18"/>
                <w:lang w:eastAsia="zh-CN"/>
              </w:rPr>
              <w:t>1858.03</w:t>
            </w:r>
          </w:p>
        </w:tc>
        <w:tc>
          <w:tcPr>
            <w:tcW w:w="2963" w:type="dxa"/>
            <w:noWrap/>
            <w:vAlign w:val="center"/>
          </w:tcPr>
          <w:p w14:paraId="59ABDA05">
            <w:pPr>
              <w:widowControl/>
              <w:snapToGrid w:val="0"/>
              <w:spacing w:line="240" w:lineRule="atLeast"/>
              <w:ind w:firstLine="360"/>
              <w:jc w:val="center"/>
              <w:rPr>
                <w:sz w:val="18"/>
                <w:szCs w:val="18"/>
                <w:lang w:eastAsia="zh-CN"/>
              </w:rPr>
            </w:pPr>
            <w:r>
              <w:rPr>
                <w:rFonts w:hint="eastAsia"/>
                <w:sz w:val="18"/>
                <w:szCs w:val="18"/>
                <w:lang w:eastAsia="zh-CN"/>
              </w:rPr>
              <w:t>12.21</w:t>
            </w:r>
          </w:p>
        </w:tc>
      </w:tr>
      <w:tr w14:paraId="204048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447" w:type="dxa"/>
            <w:noWrap/>
            <w:vAlign w:val="center"/>
          </w:tcPr>
          <w:p w14:paraId="395D7032">
            <w:pPr>
              <w:widowControl/>
              <w:snapToGrid w:val="0"/>
              <w:spacing w:line="240" w:lineRule="atLeast"/>
              <w:ind w:firstLine="360"/>
              <w:jc w:val="center"/>
              <w:rPr>
                <w:sz w:val="18"/>
                <w:szCs w:val="18"/>
              </w:rPr>
            </w:pPr>
            <w:r>
              <w:rPr>
                <w:rFonts w:hint="eastAsia"/>
                <w:sz w:val="18"/>
                <w:szCs w:val="18"/>
              </w:rPr>
              <w:t>人工侵蚀</w:t>
            </w:r>
          </w:p>
        </w:tc>
        <w:tc>
          <w:tcPr>
            <w:tcW w:w="2693" w:type="dxa"/>
            <w:noWrap/>
            <w:vAlign w:val="center"/>
          </w:tcPr>
          <w:p w14:paraId="5FE7E99F">
            <w:pPr>
              <w:widowControl/>
              <w:snapToGrid w:val="0"/>
              <w:spacing w:line="240" w:lineRule="atLeast"/>
              <w:ind w:firstLine="360"/>
              <w:jc w:val="center"/>
              <w:rPr>
                <w:sz w:val="18"/>
                <w:szCs w:val="18"/>
                <w:lang w:eastAsia="zh-CN"/>
              </w:rPr>
            </w:pPr>
            <w:r>
              <w:rPr>
                <w:rFonts w:hint="eastAsia"/>
                <w:sz w:val="18"/>
                <w:szCs w:val="18"/>
                <w:lang w:eastAsia="zh-CN"/>
              </w:rPr>
              <w:t>207.80</w:t>
            </w:r>
          </w:p>
        </w:tc>
        <w:tc>
          <w:tcPr>
            <w:tcW w:w="2963" w:type="dxa"/>
            <w:noWrap/>
            <w:vAlign w:val="center"/>
          </w:tcPr>
          <w:p w14:paraId="36DC2B31">
            <w:pPr>
              <w:widowControl/>
              <w:snapToGrid w:val="0"/>
              <w:spacing w:line="240" w:lineRule="atLeast"/>
              <w:ind w:firstLine="360"/>
              <w:jc w:val="center"/>
              <w:rPr>
                <w:sz w:val="18"/>
                <w:szCs w:val="18"/>
                <w:lang w:eastAsia="zh-CN"/>
              </w:rPr>
            </w:pPr>
            <w:r>
              <w:rPr>
                <w:rFonts w:hint="eastAsia"/>
                <w:sz w:val="18"/>
                <w:szCs w:val="18"/>
                <w:lang w:eastAsia="zh-CN"/>
              </w:rPr>
              <w:t>1.37</w:t>
            </w:r>
          </w:p>
        </w:tc>
      </w:tr>
    </w:tbl>
    <w:p w14:paraId="09C7ED05">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由土壤侵蚀特征表可知：评价范围内土壤侵蚀以风力侵蚀为主，风力侵蚀主要是微度风力侵蚀和轻度风力侵蚀，面积分别为7855.10</w:t>
      </w:r>
      <w:r>
        <w:rPr>
          <w:rFonts w:asciiTheme="minorEastAsia" w:hAnsiTheme="minorEastAsia" w:eastAsiaTheme="minorEastAsia"/>
          <w:lang w:eastAsia="zh-CN"/>
        </w:rPr>
        <w:t xml:space="preserve"> hm</w:t>
      </w:r>
      <w:r>
        <w:rPr>
          <w:rFonts w:asciiTheme="minorEastAsia" w:hAnsiTheme="minorEastAsia" w:eastAsiaTheme="minorEastAsia"/>
          <w:vertAlign w:val="superscript"/>
          <w:lang w:eastAsia="zh-CN"/>
        </w:rPr>
        <w:t>2</w:t>
      </w:r>
      <w:r>
        <w:rPr>
          <w:rFonts w:hint="eastAsia" w:asciiTheme="minorEastAsia" w:hAnsiTheme="minorEastAsia" w:eastAsiaTheme="minorEastAsia"/>
          <w:lang w:eastAsia="zh-CN"/>
        </w:rPr>
        <w:t>、5274.00</w:t>
      </w:r>
      <w:r>
        <w:rPr>
          <w:rFonts w:asciiTheme="minorEastAsia" w:hAnsiTheme="minorEastAsia" w:eastAsiaTheme="minorEastAsia"/>
          <w:lang w:eastAsia="zh-CN"/>
        </w:rPr>
        <w:t xml:space="preserve"> hm</w:t>
      </w:r>
      <w:r>
        <w:rPr>
          <w:rFonts w:asciiTheme="minorEastAsia" w:hAnsiTheme="minorEastAsia" w:eastAsiaTheme="minorEastAsia"/>
          <w:vertAlign w:val="superscript"/>
          <w:lang w:eastAsia="zh-CN"/>
        </w:rPr>
        <w:t>2</w:t>
      </w:r>
      <w:r>
        <w:rPr>
          <w:rFonts w:asciiTheme="minorEastAsia" w:hAnsiTheme="minorEastAsia" w:eastAsiaTheme="minorEastAsia"/>
          <w:lang w:eastAsia="zh-CN"/>
        </w:rPr>
        <w:t>，</w:t>
      </w:r>
      <w:r>
        <w:rPr>
          <w:rFonts w:hint="eastAsia" w:asciiTheme="minorEastAsia" w:hAnsiTheme="minorEastAsia" w:eastAsiaTheme="minorEastAsia"/>
          <w:lang w:eastAsia="zh-CN"/>
        </w:rPr>
        <w:t>分别占</w:t>
      </w:r>
      <w:r>
        <w:rPr>
          <w:rFonts w:asciiTheme="minorEastAsia" w:hAnsiTheme="minorEastAsia" w:eastAsiaTheme="minorEastAsia"/>
          <w:lang w:eastAsia="zh-CN"/>
        </w:rPr>
        <w:t>占评价区面积的</w:t>
      </w:r>
      <w:r>
        <w:rPr>
          <w:rFonts w:hint="eastAsia" w:asciiTheme="minorEastAsia" w:hAnsiTheme="minorEastAsia" w:eastAsiaTheme="minorEastAsia"/>
          <w:lang w:eastAsia="zh-CN"/>
        </w:rPr>
        <w:t>51.62</w:t>
      </w:r>
      <w:r>
        <w:rPr>
          <w:rFonts w:asciiTheme="minorEastAsia" w:hAnsiTheme="minorEastAsia" w:eastAsiaTheme="minorEastAsia"/>
          <w:lang w:eastAsia="zh-CN"/>
        </w:rPr>
        <w:t>%</w:t>
      </w:r>
      <w:r>
        <w:rPr>
          <w:rFonts w:hint="eastAsia" w:asciiTheme="minorEastAsia" w:hAnsiTheme="minorEastAsia" w:eastAsiaTheme="minorEastAsia"/>
          <w:lang w:eastAsia="zh-CN"/>
        </w:rPr>
        <w:t>和34.66%；</w:t>
      </w:r>
      <w:r>
        <w:rPr>
          <w:rFonts w:asciiTheme="minorEastAsia" w:hAnsiTheme="minorEastAsia" w:eastAsiaTheme="minorEastAsia"/>
          <w:lang w:eastAsia="zh-CN"/>
        </w:rPr>
        <w:t>其次是</w:t>
      </w:r>
      <w:r>
        <w:rPr>
          <w:rFonts w:hint="eastAsia" w:asciiTheme="minorEastAsia" w:hAnsiTheme="minorEastAsia" w:eastAsiaTheme="minorEastAsia"/>
          <w:lang w:eastAsia="zh-CN"/>
        </w:rPr>
        <w:t>水力侵蚀，水力侵蚀主要是微度水力侵蚀和轻度水力侵蚀，面积分别为1858.03</w:t>
      </w:r>
      <w:r>
        <w:rPr>
          <w:rFonts w:asciiTheme="minorEastAsia" w:hAnsiTheme="minorEastAsia" w:eastAsiaTheme="minorEastAsia"/>
          <w:lang w:eastAsia="zh-CN"/>
        </w:rPr>
        <w:t xml:space="preserve"> hm</w:t>
      </w:r>
      <w:r>
        <w:rPr>
          <w:rFonts w:asciiTheme="minorEastAsia" w:hAnsiTheme="minorEastAsia" w:eastAsiaTheme="minorEastAsia"/>
          <w:vertAlign w:val="superscript"/>
          <w:lang w:eastAsia="zh-CN"/>
        </w:rPr>
        <w:t>2</w:t>
      </w:r>
      <w:r>
        <w:rPr>
          <w:rFonts w:hint="eastAsia" w:asciiTheme="minorEastAsia" w:hAnsiTheme="minorEastAsia" w:eastAsiaTheme="minorEastAsia"/>
          <w:lang w:eastAsia="zh-CN"/>
        </w:rPr>
        <w:t>、23.30</w:t>
      </w:r>
      <w:r>
        <w:rPr>
          <w:rFonts w:asciiTheme="minorEastAsia" w:hAnsiTheme="minorEastAsia" w:eastAsiaTheme="minorEastAsia"/>
          <w:lang w:eastAsia="zh-CN"/>
        </w:rPr>
        <w:t xml:space="preserve"> hm</w:t>
      </w:r>
      <w:r>
        <w:rPr>
          <w:rFonts w:asciiTheme="minorEastAsia" w:hAnsiTheme="minorEastAsia" w:eastAsiaTheme="minorEastAsia"/>
          <w:vertAlign w:val="superscript"/>
          <w:lang w:eastAsia="zh-CN"/>
        </w:rPr>
        <w:t>2</w:t>
      </w:r>
      <w:r>
        <w:rPr>
          <w:rFonts w:asciiTheme="minorEastAsia" w:hAnsiTheme="minorEastAsia" w:eastAsiaTheme="minorEastAsia"/>
          <w:lang w:eastAsia="zh-CN"/>
        </w:rPr>
        <w:t>，</w:t>
      </w:r>
      <w:r>
        <w:rPr>
          <w:rFonts w:hint="eastAsia" w:asciiTheme="minorEastAsia" w:hAnsiTheme="minorEastAsia" w:eastAsiaTheme="minorEastAsia"/>
          <w:lang w:eastAsia="zh-CN"/>
        </w:rPr>
        <w:t>分别占</w:t>
      </w:r>
      <w:r>
        <w:rPr>
          <w:rFonts w:asciiTheme="minorEastAsia" w:hAnsiTheme="minorEastAsia" w:eastAsiaTheme="minorEastAsia"/>
          <w:lang w:eastAsia="zh-CN"/>
        </w:rPr>
        <w:t>占评价区面积的</w:t>
      </w:r>
      <w:r>
        <w:rPr>
          <w:rFonts w:hint="eastAsia" w:asciiTheme="minorEastAsia" w:hAnsiTheme="minorEastAsia" w:eastAsiaTheme="minorEastAsia"/>
          <w:lang w:eastAsia="zh-CN"/>
        </w:rPr>
        <w:t>12.21</w:t>
      </w:r>
      <w:r>
        <w:rPr>
          <w:rFonts w:asciiTheme="minorEastAsia" w:hAnsiTheme="minorEastAsia" w:eastAsiaTheme="minorEastAsia"/>
          <w:lang w:eastAsia="zh-CN"/>
        </w:rPr>
        <w:t>%</w:t>
      </w:r>
      <w:r>
        <w:rPr>
          <w:rFonts w:hint="eastAsia" w:asciiTheme="minorEastAsia" w:hAnsiTheme="minorEastAsia" w:eastAsiaTheme="minorEastAsia"/>
          <w:lang w:eastAsia="zh-CN"/>
        </w:rPr>
        <w:t>和0.15%。另外还有少量的人工侵蚀，面积占评价区面积的1.37%。</w:t>
      </w:r>
    </w:p>
    <w:p w14:paraId="684D90C8">
      <w:pPr>
        <w:ind w:firstLine="480"/>
        <w:rPr>
          <w:rFonts w:asciiTheme="minorEastAsia" w:hAnsiTheme="minorEastAsia" w:eastAsiaTheme="minorEastAsia"/>
          <w:lang w:eastAsia="zh-CN"/>
        </w:rPr>
      </w:pPr>
      <w:bookmarkStart w:id="476" w:name="_Toc309208219"/>
      <w:bookmarkStart w:id="477" w:name="_Toc306547327"/>
      <w:r>
        <w:rPr>
          <w:rFonts w:hint="eastAsia" w:asciiTheme="minorEastAsia" w:hAnsiTheme="minorEastAsia" w:eastAsiaTheme="minorEastAsia"/>
          <w:lang w:eastAsia="zh-CN"/>
        </w:rPr>
        <w:t>9.1.6.3</w:t>
      </w:r>
      <w:r>
        <w:rPr>
          <w:rFonts w:asciiTheme="minorEastAsia" w:hAnsiTheme="minorEastAsia" w:eastAsiaTheme="minorEastAsia"/>
          <w:lang w:eastAsia="zh-CN"/>
        </w:rPr>
        <w:t>土壤环境质量现状</w:t>
      </w:r>
    </w:p>
    <w:p w14:paraId="10EC2CCB">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1、土壤现状监测</w:t>
      </w:r>
    </w:p>
    <w:p w14:paraId="369FE70C">
      <w:pPr>
        <w:ind w:firstLine="480"/>
        <w:rPr>
          <w:rFonts w:asciiTheme="minorEastAsia" w:hAnsiTheme="minorEastAsia" w:eastAsiaTheme="minorEastAsia"/>
          <w:lang w:eastAsia="zh-CN"/>
        </w:rPr>
      </w:pPr>
      <w:r>
        <w:rPr>
          <w:rFonts w:asciiTheme="minorEastAsia" w:hAnsiTheme="minorEastAsia" w:eastAsiaTheme="minorEastAsia"/>
          <w:lang w:eastAsia="zh-CN"/>
        </w:rPr>
        <w:t>本项目土壤现状于201</w:t>
      </w:r>
      <w:r>
        <w:rPr>
          <w:rFonts w:hint="eastAsia" w:asciiTheme="minorEastAsia" w:hAnsiTheme="minorEastAsia" w:eastAsiaTheme="minorEastAsia"/>
          <w:lang w:eastAsia="zh-CN"/>
        </w:rPr>
        <w:t>4</w:t>
      </w:r>
      <w:r>
        <w:rPr>
          <w:rFonts w:asciiTheme="minorEastAsia" w:hAnsiTheme="minorEastAsia" w:eastAsiaTheme="minorEastAsia"/>
          <w:lang w:eastAsia="zh-CN"/>
        </w:rPr>
        <w:t>年</w:t>
      </w:r>
      <w:r>
        <w:rPr>
          <w:rFonts w:hint="eastAsia" w:asciiTheme="minorEastAsia" w:hAnsiTheme="minorEastAsia" w:eastAsiaTheme="minorEastAsia"/>
          <w:lang w:eastAsia="zh-CN"/>
        </w:rPr>
        <w:t>11</w:t>
      </w:r>
      <w:r>
        <w:rPr>
          <w:rFonts w:asciiTheme="minorEastAsia" w:hAnsiTheme="minorEastAsia" w:eastAsiaTheme="minorEastAsia"/>
          <w:lang w:eastAsia="zh-CN"/>
        </w:rPr>
        <w:t>月</w:t>
      </w:r>
      <w:r>
        <w:rPr>
          <w:rFonts w:hint="eastAsia" w:asciiTheme="minorEastAsia" w:hAnsiTheme="minorEastAsia" w:eastAsiaTheme="minorEastAsia"/>
          <w:lang w:eastAsia="zh-CN"/>
        </w:rPr>
        <w:t>20</w:t>
      </w:r>
      <w:r>
        <w:rPr>
          <w:rFonts w:asciiTheme="minorEastAsia" w:hAnsiTheme="minorEastAsia" w:eastAsiaTheme="minorEastAsia"/>
          <w:lang w:eastAsia="zh-CN"/>
        </w:rPr>
        <w:t>日</w:t>
      </w:r>
      <w:r>
        <w:rPr>
          <w:rFonts w:hint="eastAsia" w:asciiTheme="minorEastAsia" w:hAnsiTheme="minorEastAsia" w:eastAsiaTheme="minorEastAsia"/>
          <w:lang w:eastAsia="zh-CN"/>
        </w:rPr>
        <w:t>由鄂尔多斯市</w:t>
      </w:r>
      <w:r>
        <w:rPr>
          <w:rFonts w:asciiTheme="minorEastAsia" w:hAnsiTheme="minorEastAsia" w:eastAsiaTheme="minorEastAsia"/>
          <w:lang w:eastAsia="zh-CN"/>
        </w:rPr>
        <w:t>环境保护中心监测站</w:t>
      </w:r>
      <w:r>
        <w:rPr>
          <w:rFonts w:hint="eastAsia" w:asciiTheme="minorEastAsia" w:hAnsiTheme="minorEastAsia" w:eastAsiaTheme="minorEastAsia"/>
          <w:lang w:eastAsia="zh-CN"/>
        </w:rPr>
        <w:t>监测</w:t>
      </w:r>
      <w:r>
        <w:rPr>
          <w:rFonts w:asciiTheme="minorEastAsia" w:hAnsiTheme="minorEastAsia" w:eastAsiaTheme="minorEastAsia"/>
          <w:lang w:eastAsia="zh-CN"/>
        </w:rPr>
        <w:t>。</w:t>
      </w:r>
    </w:p>
    <w:p w14:paraId="3A9FCB9A">
      <w:pPr>
        <w:ind w:firstLine="480"/>
        <w:outlineLvl w:val="0"/>
        <w:rPr>
          <w:rFonts w:asciiTheme="minorEastAsia" w:hAnsiTheme="minorEastAsia" w:eastAsiaTheme="minorEastAsia"/>
          <w:lang w:eastAsia="zh-CN"/>
        </w:rPr>
      </w:pPr>
      <w:r>
        <w:rPr>
          <w:rFonts w:hint="eastAsia" w:asciiTheme="minorEastAsia" w:hAnsiTheme="minorEastAsia" w:eastAsiaTheme="minorEastAsia"/>
          <w:lang w:eastAsia="zh-CN"/>
        </w:rPr>
        <w:t>（1）</w:t>
      </w:r>
      <w:r>
        <w:rPr>
          <w:rFonts w:asciiTheme="minorEastAsia" w:hAnsiTheme="minorEastAsia" w:eastAsiaTheme="minorEastAsia"/>
          <w:lang w:eastAsia="zh-CN"/>
        </w:rPr>
        <w:t>监测布点</w:t>
      </w:r>
    </w:p>
    <w:p w14:paraId="5B7961FA">
      <w:pPr>
        <w:ind w:firstLine="480"/>
        <w:rPr>
          <w:rFonts w:asciiTheme="minorEastAsia" w:hAnsiTheme="minorEastAsia" w:eastAsiaTheme="minorEastAsia"/>
          <w:lang w:eastAsia="zh-CN"/>
        </w:rPr>
      </w:pPr>
      <w:r>
        <w:rPr>
          <w:rFonts w:asciiTheme="minorEastAsia" w:hAnsiTheme="minorEastAsia" w:eastAsiaTheme="minorEastAsia"/>
          <w:lang w:eastAsia="zh-CN"/>
        </w:rPr>
        <w:t>根据评价区域油田开发情况和土壤类型特点，为了解土壤</w:t>
      </w:r>
      <w:r>
        <w:rPr>
          <w:rFonts w:hint="eastAsia" w:asciiTheme="minorEastAsia" w:hAnsiTheme="minorEastAsia" w:eastAsiaTheme="minorEastAsia"/>
          <w:lang w:eastAsia="zh-CN"/>
        </w:rPr>
        <w:t>环境质量</w:t>
      </w:r>
      <w:r>
        <w:rPr>
          <w:rFonts w:asciiTheme="minorEastAsia" w:hAnsiTheme="minorEastAsia" w:eastAsiaTheme="minorEastAsia"/>
          <w:lang w:eastAsia="zh-CN"/>
        </w:rPr>
        <w:t>现状，布设</w:t>
      </w:r>
      <w:r>
        <w:rPr>
          <w:rFonts w:hint="eastAsia" w:asciiTheme="minorEastAsia" w:hAnsiTheme="minorEastAsia" w:eastAsiaTheme="minorEastAsia"/>
          <w:lang w:eastAsia="zh-CN"/>
        </w:rPr>
        <w:t>5</w:t>
      </w:r>
      <w:r>
        <w:rPr>
          <w:rFonts w:asciiTheme="minorEastAsia" w:hAnsiTheme="minorEastAsia" w:eastAsiaTheme="minorEastAsia"/>
          <w:lang w:eastAsia="zh-CN"/>
        </w:rPr>
        <w:t>个监测</w:t>
      </w:r>
      <w:r>
        <w:rPr>
          <w:rFonts w:hint="eastAsia" w:asciiTheme="minorEastAsia" w:hAnsiTheme="minorEastAsia" w:eastAsiaTheme="minorEastAsia"/>
          <w:lang w:eastAsia="zh-CN"/>
        </w:rPr>
        <w:t>区</w:t>
      </w:r>
      <w:r>
        <w:rPr>
          <w:rFonts w:asciiTheme="minorEastAsia" w:hAnsiTheme="minorEastAsia" w:eastAsiaTheme="minorEastAsia"/>
          <w:lang w:eastAsia="zh-CN"/>
        </w:rPr>
        <w:t>，</w:t>
      </w:r>
      <w:r>
        <w:rPr>
          <w:rFonts w:hint="eastAsia" w:asciiTheme="minorEastAsia" w:hAnsiTheme="minorEastAsia" w:eastAsiaTheme="minorEastAsia"/>
          <w:lang w:eastAsia="zh-CN"/>
        </w:rPr>
        <w:t>各监测区采用梅花布点法</w:t>
      </w:r>
      <w:r>
        <w:rPr>
          <w:rFonts w:asciiTheme="minorEastAsia" w:hAnsiTheme="minorEastAsia" w:eastAsiaTheme="minorEastAsia"/>
          <w:lang w:eastAsia="zh-CN"/>
        </w:rPr>
        <w:t>采样。</w:t>
      </w:r>
      <w:r>
        <w:rPr>
          <w:rFonts w:hint="eastAsia" w:asciiTheme="minorEastAsia" w:hAnsiTheme="minorEastAsia" w:eastAsiaTheme="minorEastAsia"/>
          <w:lang w:eastAsia="zh-CN"/>
        </w:rPr>
        <w:t>土壤现状采样点位见表9.1-9，见图5.1-1 环境现状监测点位图。</w:t>
      </w:r>
    </w:p>
    <w:p w14:paraId="67EC7D53">
      <w:pPr>
        <w:ind w:firstLine="480"/>
        <w:rPr>
          <w:rFonts w:asciiTheme="minorEastAsia" w:hAnsiTheme="minorEastAsia" w:eastAsiaTheme="minorEastAsia"/>
          <w:lang w:eastAsia="zh-CN"/>
        </w:rPr>
      </w:pPr>
    </w:p>
    <w:p w14:paraId="2A4F435A">
      <w:pPr>
        <w:ind w:firstLine="480"/>
        <w:rPr>
          <w:rFonts w:asciiTheme="minorEastAsia" w:hAnsiTheme="minorEastAsia" w:eastAsiaTheme="minorEastAsia"/>
          <w:lang w:eastAsia="zh-CN"/>
        </w:rPr>
      </w:pPr>
    </w:p>
    <w:p w14:paraId="7826CFD9">
      <w:pPr>
        <w:ind w:firstLine="480"/>
        <w:rPr>
          <w:rFonts w:asciiTheme="minorEastAsia" w:hAnsiTheme="minorEastAsia" w:eastAsiaTheme="minorEastAsia"/>
          <w:lang w:eastAsia="zh-CN"/>
        </w:rPr>
      </w:pPr>
    </w:p>
    <w:p w14:paraId="0BFBFE25">
      <w:pPr>
        <w:ind w:firstLine="480"/>
        <w:rPr>
          <w:rFonts w:asciiTheme="minorEastAsia" w:hAnsiTheme="minorEastAsia" w:eastAsiaTheme="minorEastAsia"/>
          <w:lang w:eastAsia="zh-CN"/>
        </w:rPr>
      </w:pPr>
    </w:p>
    <w:p w14:paraId="5A603CE2">
      <w:pPr>
        <w:spacing w:line="240" w:lineRule="auto"/>
        <w:ind w:firstLine="718" w:firstLineChars="298"/>
        <w:rPr>
          <w:rFonts w:asciiTheme="minorEastAsia" w:hAnsiTheme="minorEastAsia" w:eastAsiaTheme="minorEastAsia"/>
          <w:b/>
          <w:bCs/>
          <w:szCs w:val="24"/>
          <w:lang w:eastAsia="zh-CN"/>
        </w:rPr>
      </w:pPr>
      <w:r>
        <w:rPr>
          <w:rFonts w:hint="eastAsia" w:asciiTheme="minorEastAsia" w:hAnsiTheme="minorEastAsia" w:eastAsiaTheme="minorEastAsia"/>
          <w:b/>
          <w:bCs/>
          <w:szCs w:val="24"/>
          <w:lang w:eastAsia="zh-CN"/>
        </w:rPr>
        <w:t>表9.1-9      土壤现状监测点位</w:t>
      </w:r>
    </w:p>
    <w:tbl>
      <w:tblPr>
        <w:tblStyle w:val="76"/>
        <w:tblW w:w="8313"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60"/>
        <w:gridCol w:w="3118"/>
        <w:gridCol w:w="1701"/>
        <w:gridCol w:w="1934"/>
      </w:tblGrid>
      <w:tr w14:paraId="7C376DE0">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60" w:type="dxa"/>
            <w:tcBorders>
              <w:top w:val="single" w:color="auto" w:sz="12" w:space="0"/>
              <w:left w:val="single" w:color="auto" w:sz="12" w:space="0"/>
            </w:tcBorders>
            <w:vAlign w:val="center"/>
          </w:tcPr>
          <w:p w14:paraId="35461EBC">
            <w:pPr>
              <w:autoSpaceDE w:val="0"/>
              <w:autoSpaceDN w:val="0"/>
              <w:adjustRightInd w:val="0"/>
              <w:spacing w:line="320" w:lineRule="exact"/>
              <w:ind w:left="-120" w:leftChars="-50" w:right="-120" w:rightChars="-50" w:firstLine="0" w:firstLineChars="0"/>
              <w:jc w:val="center"/>
              <w:rPr>
                <w:rFonts w:ascii="宋体" w:hAnsi="宋体"/>
                <w:sz w:val="21"/>
                <w:szCs w:val="21"/>
                <w:lang w:eastAsia="zh-CN"/>
              </w:rPr>
            </w:pPr>
            <w:r>
              <w:rPr>
                <w:rFonts w:ascii="宋体" w:hAnsi="宋体"/>
                <w:sz w:val="21"/>
                <w:szCs w:val="21"/>
              </w:rPr>
              <w:t>采样点位</w:t>
            </w:r>
          </w:p>
          <w:p w14:paraId="23420317">
            <w:pPr>
              <w:autoSpaceDE w:val="0"/>
              <w:autoSpaceDN w:val="0"/>
              <w:adjustRightInd w:val="0"/>
              <w:spacing w:line="320" w:lineRule="exact"/>
              <w:ind w:left="-120" w:leftChars="-50" w:right="-120" w:rightChars="-50" w:firstLine="0" w:firstLineChars="0"/>
              <w:jc w:val="center"/>
              <w:rPr>
                <w:rFonts w:ascii="宋体" w:hAnsi="宋体"/>
                <w:sz w:val="21"/>
                <w:szCs w:val="21"/>
                <w:lang w:eastAsia="zh-CN"/>
              </w:rPr>
            </w:pPr>
            <w:r>
              <w:rPr>
                <w:rFonts w:ascii="宋体" w:hAnsi="宋体"/>
                <w:sz w:val="21"/>
                <w:szCs w:val="21"/>
              </w:rPr>
              <w:t>编号</w:t>
            </w:r>
          </w:p>
        </w:tc>
        <w:tc>
          <w:tcPr>
            <w:tcW w:w="3118" w:type="dxa"/>
            <w:tcBorders>
              <w:top w:val="single" w:color="auto" w:sz="12" w:space="0"/>
            </w:tcBorders>
            <w:vAlign w:val="center"/>
          </w:tcPr>
          <w:p w14:paraId="16D6F84C">
            <w:pPr>
              <w:autoSpaceDE w:val="0"/>
              <w:autoSpaceDN w:val="0"/>
              <w:adjustRightInd w:val="0"/>
              <w:spacing w:line="320" w:lineRule="exact"/>
              <w:ind w:left="-120" w:leftChars="-50" w:right="-120" w:rightChars="-50" w:firstLine="420"/>
              <w:jc w:val="center"/>
              <w:rPr>
                <w:rFonts w:ascii="宋体" w:hAnsi="宋体"/>
                <w:sz w:val="21"/>
                <w:szCs w:val="21"/>
              </w:rPr>
            </w:pPr>
            <w:r>
              <w:rPr>
                <w:rFonts w:ascii="宋体" w:hAnsi="宋体"/>
                <w:sz w:val="21"/>
                <w:szCs w:val="21"/>
              </w:rPr>
              <w:t>采样点位</w:t>
            </w:r>
          </w:p>
        </w:tc>
        <w:tc>
          <w:tcPr>
            <w:tcW w:w="1701" w:type="dxa"/>
            <w:tcBorders>
              <w:top w:val="single" w:color="auto" w:sz="12" w:space="0"/>
            </w:tcBorders>
            <w:vAlign w:val="center"/>
          </w:tcPr>
          <w:p w14:paraId="59B69983">
            <w:pPr>
              <w:autoSpaceDE w:val="0"/>
              <w:autoSpaceDN w:val="0"/>
              <w:adjustRightInd w:val="0"/>
              <w:spacing w:line="320" w:lineRule="exact"/>
              <w:ind w:left="-120" w:leftChars="-50" w:right="-120" w:rightChars="-50" w:firstLine="420"/>
              <w:jc w:val="center"/>
              <w:rPr>
                <w:rFonts w:ascii="宋体" w:hAnsi="宋体"/>
                <w:sz w:val="21"/>
                <w:szCs w:val="21"/>
              </w:rPr>
            </w:pPr>
            <w:r>
              <w:rPr>
                <w:rFonts w:hint="eastAsia" w:ascii="宋体" w:hAnsi="宋体"/>
                <w:sz w:val="21"/>
                <w:szCs w:val="21"/>
              </w:rPr>
              <w:t>特征</w:t>
            </w:r>
          </w:p>
        </w:tc>
        <w:tc>
          <w:tcPr>
            <w:tcW w:w="1934" w:type="dxa"/>
            <w:tcBorders>
              <w:top w:val="single" w:color="auto" w:sz="12" w:space="0"/>
              <w:right w:val="single" w:color="auto" w:sz="12" w:space="0"/>
            </w:tcBorders>
            <w:vAlign w:val="center"/>
          </w:tcPr>
          <w:p w14:paraId="7BA8BBAB">
            <w:pPr>
              <w:autoSpaceDE w:val="0"/>
              <w:autoSpaceDN w:val="0"/>
              <w:adjustRightInd w:val="0"/>
              <w:spacing w:line="320" w:lineRule="exact"/>
              <w:ind w:right="-120" w:rightChars="-50" w:firstLine="420"/>
              <w:jc w:val="center"/>
              <w:rPr>
                <w:rFonts w:ascii="宋体" w:hAnsi="宋体"/>
                <w:sz w:val="21"/>
                <w:szCs w:val="21"/>
                <w:lang w:eastAsia="zh-CN"/>
              </w:rPr>
            </w:pPr>
            <w:r>
              <w:rPr>
                <w:rFonts w:hint="eastAsia" w:ascii="宋体" w:hAnsi="宋体"/>
                <w:sz w:val="21"/>
                <w:szCs w:val="21"/>
                <w:lang w:eastAsia="zh-CN"/>
              </w:rPr>
              <w:t>备注</w:t>
            </w:r>
          </w:p>
        </w:tc>
      </w:tr>
      <w:tr w14:paraId="4F28E1A5">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1560" w:type="dxa"/>
            <w:tcBorders>
              <w:left w:val="single" w:color="auto" w:sz="12" w:space="0"/>
            </w:tcBorders>
            <w:vAlign w:val="center"/>
          </w:tcPr>
          <w:p w14:paraId="27399894">
            <w:pPr>
              <w:autoSpaceDE w:val="0"/>
              <w:autoSpaceDN w:val="0"/>
              <w:adjustRightInd w:val="0"/>
              <w:spacing w:line="320" w:lineRule="exact"/>
              <w:ind w:left="-120" w:leftChars="-50" w:right="-120" w:rightChars="-50" w:firstLine="420"/>
              <w:jc w:val="center"/>
              <w:rPr>
                <w:rFonts w:ascii="宋体" w:hAnsi="宋体"/>
                <w:sz w:val="21"/>
                <w:szCs w:val="21"/>
              </w:rPr>
            </w:pPr>
            <w:r>
              <w:rPr>
                <w:rFonts w:hint="eastAsia" w:ascii="宋体" w:hAnsi="宋体"/>
                <w:sz w:val="21"/>
                <w:szCs w:val="21"/>
              </w:rPr>
              <w:t>1</w:t>
            </w:r>
            <w:r>
              <w:rPr>
                <w:rFonts w:ascii="宋体" w:hAnsi="宋体"/>
                <w:sz w:val="21"/>
                <w:szCs w:val="21"/>
              </w:rPr>
              <w:t>#</w:t>
            </w:r>
          </w:p>
        </w:tc>
        <w:tc>
          <w:tcPr>
            <w:tcW w:w="3118" w:type="dxa"/>
            <w:vAlign w:val="center"/>
          </w:tcPr>
          <w:p w14:paraId="1FA54261">
            <w:pPr>
              <w:autoSpaceDE w:val="0"/>
              <w:autoSpaceDN w:val="0"/>
              <w:adjustRightInd w:val="0"/>
              <w:spacing w:line="320" w:lineRule="exact"/>
              <w:ind w:left="-120" w:leftChars="-50" w:right="-120" w:rightChars="-50" w:firstLine="420"/>
              <w:jc w:val="center"/>
              <w:rPr>
                <w:rFonts w:ascii="宋体" w:hAnsi="宋体"/>
                <w:sz w:val="21"/>
                <w:szCs w:val="21"/>
                <w:lang w:eastAsia="zh-CN"/>
              </w:rPr>
            </w:pPr>
            <w:r>
              <w:rPr>
                <w:rFonts w:hint="eastAsia" w:ascii="宋体" w:hAnsi="宋体"/>
                <w:sz w:val="21"/>
                <w:szCs w:val="21"/>
                <w:lang w:eastAsia="zh-CN"/>
              </w:rPr>
              <w:t>太53断块</w:t>
            </w:r>
          </w:p>
        </w:tc>
        <w:tc>
          <w:tcPr>
            <w:tcW w:w="1701" w:type="dxa"/>
            <w:vAlign w:val="center"/>
          </w:tcPr>
          <w:p w14:paraId="5EE9BA94">
            <w:pPr>
              <w:autoSpaceDE w:val="0"/>
              <w:autoSpaceDN w:val="0"/>
              <w:adjustRightInd w:val="0"/>
              <w:spacing w:line="320" w:lineRule="exact"/>
              <w:ind w:left="-120" w:leftChars="-50" w:right="-120" w:rightChars="-50" w:firstLine="420"/>
              <w:jc w:val="center"/>
              <w:rPr>
                <w:rFonts w:ascii="宋体" w:hAnsi="宋体"/>
                <w:sz w:val="21"/>
                <w:szCs w:val="21"/>
              </w:rPr>
            </w:pPr>
            <w:r>
              <w:rPr>
                <w:rFonts w:hint="eastAsia" w:ascii="宋体" w:hAnsi="宋体"/>
                <w:sz w:val="21"/>
                <w:szCs w:val="21"/>
              </w:rPr>
              <w:t>采油井区</w:t>
            </w:r>
          </w:p>
        </w:tc>
        <w:tc>
          <w:tcPr>
            <w:tcW w:w="1934" w:type="dxa"/>
            <w:tcBorders>
              <w:right w:val="single" w:color="auto" w:sz="12" w:space="0"/>
            </w:tcBorders>
            <w:vAlign w:val="center"/>
          </w:tcPr>
          <w:p w14:paraId="57E161A3">
            <w:pPr>
              <w:autoSpaceDE w:val="0"/>
              <w:autoSpaceDN w:val="0"/>
              <w:adjustRightInd w:val="0"/>
              <w:spacing w:line="320" w:lineRule="exact"/>
              <w:ind w:right="-120" w:rightChars="-50" w:firstLine="0" w:firstLineChars="0"/>
              <w:jc w:val="center"/>
              <w:rPr>
                <w:rFonts w:ascii="宋体" w:hAnsi="宋体"/>
                <w:sz w:val="21"/>
                <w:szCs w:val="21"/>
              </w:rPr>
            </w:pPr>
            <w:r>
              <w:rPr>
                <w:rFonts w:hint="eastAsia" w:ascii="宋体" w:hAnsi="宋体"/>
                <w:sz w:val="21"/>
                <w:szCs w:val="21"/>
              </w:rPr>
              <w:t>距离采井200m处</w:t>
            </w:r>
          </w:p>
        </w:tc>
      </w:tr>
      <w:tr w14:paraId="24627D80">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1560" w:type="dxa"/>
            <w:tcBorders>
              <w:left w:val="single" w:color="auto" w:sz="12" w:space="0"/>
            </w:tcBorders>
            <w:vAlign w:val="center"/>
          </w:tcPr>
          <w:p w14:paraId="50F4CEAF">
            <w:pPr>
              <w:autoSpaceDE w:val="0"/>
              <w:autoSpaceDN w:val="0"/>
              <w:adjustRightInd w:val="0"/>
              <w:spacing w:line="320" w:lineRule="exact"/>
              <w:ind w:left="-120" w:leftChars="-50" w:right="-120" w:rightChars="-50" w:firstLine="420"/>
              <w:jc w:val="center"/>
              <w:rPr>
                <w:rFonts w:ascii="宋体" w:hAnsi="宋体"/>
                <w:sz w:val="21"/>
                <w:szCs w:val="21"/>
              </w:rPr>
            </w:pPr>
            <w:r>
              <w:rPr>
                <w:rFonts w:hint="eastAsia" w:ascii="宋体" w:hAnsi="宋体"/>
                <w:sz w:val="21"/>
                <w:szCs w:val="21"/>
              </w:rPr>
              <w:t>2</w:t>
            </w:r>
            <w:r>
              <w:rPr>
                <w:rFonts w:ascii="宋体" w:hAnsi="宋体"/>
                <w:sz w:val="21"/>
                <w:szCs w:val="21"/>
              </w:rPr>
              <w:t>#</w:t>
            </w:r>
          </w:p>
        </w:tc>
        <w:tc>
          <w:tcPr>
            <w:tcW w:w="3118" w:type="dxa"/>
            <w:vAlign w:val="center"/>
          </w:tcPr>
          <w:p w14:paraId="06C2D7EB">
            <w:pPr>
              <w:autoSpaceDE w:val="0"/>
              <w:autoSpaceDN w:val="0"/>
              <w:adjustRightInd w:val="0"/>
              <w:spacing w:line="320" w:lineRule="exact"/>
              <w:ind w:left="-120" w:leftChars="-50" w:right="-120" w:rightChars="-50" w:firstLine="420"/>
              <w:jc w:val="center"/>
              <w:rPr>
                <w:rFonts w:ascii="宋体" w:hAnsi="宋体"/>
                <w:sz w:val="21"/>
                <w:szCs w:val="21"/>
                <w:lang w:eastAsia="zh-CN"/>
              </w:rPr>
            </w:pPr>
            <w:r>
              <w:rPr>
                <w:rFonts w:hint="eastAsia" w:ascii="宋体" w:hAnsi="宋体"/>
                <w:sz w:val="21"/>
                <w:szCs w:val="21"/>
                <w:lang w:eastAsia="zh-CN"/>
              </w:rPr>
              <w:t>太27断块</w:t>
            </w:r>
          </w:p>
        </w:tc>
        <w:tc>
          <w:tcPr>
            <w:tcW w:w="1701" w:type="dxa"/>
            <w:vAlign w:val="center"/>
          </w:tcPr>
          <w:p w14:paraId="3CE102E5">
            <w:pPr>
              <w:autoSpaceDE w:val="0"/>
              <w:autoSpaceDN w:val="0"/>
              <w:adjustRightInd w:val="0"/>
              <w:spacing w:line="320" w:lineRule="exact"/>
              <w:ind w:left="-120" w:leftChars="-50" w:right="-120" w:rightChars="-50" w:firstLine="420"/>
              <w:jc w:val="center"/>
              <w:rPr>
                <w:rFonts w:ascii="宋体" w:hAnsi="宋体"/>
                <w:sz w:val="21"/>
                <w:szCs w:val="21"/>
              </w:rPr>
            </w:pPr>
            <w:r>
              <w:rPr>
                <w:rFonts w:hint="eastAsia" w:ascii="宋体" w:hAnsi="宋体"/>
                <w:sz w:val="21"/>
                <w:szCs w:val="21"/>
              </w:rPr>
              <w:t>采油井区</w:t>
            </w:r>
          </w:p>
        </w:tc>
        <w:tc>
          <w:tcPr>
            <w:tcW w:w="1934" w:type="dxa"/>
            <w:tcBorders>
              <w:right w:val="single" w:color="auto" w:sz="12" w:space="0"/>
            </w:tcBorders>
            <w:vAlign w:val="center"/>
          </w:tcPr>
          <w:p w14:paraId="069052EB">
            <w:pPr>
              <w:autoSpaceDE w:val="0"/>
              <w:autoSpaceDN w:val="0"/>
              <w:adjustRightInd w:val="0"/>
              <w:spacing w:line="320" w:lineRule="exact"/>
              <w:ind w:right="-120" w:rightChars="-50" w:firstLine="0" w:firstLineChars="0"/>
              <w:jc w:val="center"/>
              <w:rPr>
                <w:rFonts w:ascii="宋体" w:hAnsi="宋体"/>
                <w:sz w:val="21"/>
                <w:szCs w:val="21"/>
              </w:rPr>
            </w:pPr>
            <w:r>
              <w:rPr>
                <w:rFonts w:hint="eastAsia" w:ascii="宋体" w:hAnsi="宋体"/>
                <w:sz w:val="21"/>
                <w:szCs w:val="21"/>
              </w:rPr>
              <w:t>距离采井200m处</w:t>
            </w:r>
          </w:p>
        </w:tc>
      </w:tr>
      <w:tr w14:paraId="78E60F1B">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1560" w:type="dxa"/>
            <w:tcBorders>
              <w:left w:val="single" w:color="auto" w:sz="12" w:space="0"/>
            </w:tcBorders>
            <w:vAlign w:val="center"/>
          </w:tcPr>
          <w:p w14:paraId="1A2AB7EE">
            <w:pPr>
              <w:autoSpaceDE w:val="0"/>
              <w:autoSpaceDN w:val="0"/>
              <w:adjustRightInd w:val="0"/>
              <w:spacing w:line="320" w:lineRule="exact"/>
              <w:ind w:left="-120" w:leftChars="-50" w:right="-120" w:rightChars="-50" w:firstLine="420"/>
              <w:jc w:val="center"/>
              <w:rPr>
                <w:rFonts w:ascii="宋体" w:hAnsi="宋体"/>
                <w:sz w:val="21"/>
                <w:szCs w:val="21"/>
              </w:rPr>
            </w:pPr>
            <w:r>
              <w:rPr>
                <w:rFonts w:hint="eastAsia" w:ascii="宋体" w:hAnsi="宋体"/>
                <w:sz w:val="21"/>
                <w:szCs w:val="21"/>
              </w:rPr>
              <w:t>3</w:t>
            </w:r>
            <w:r>
              <w:rPr>
                <w:rFonts w:ascii="宋体" w:hAnsi="宋体"/>
                <w:sz w:val="21"/>
                <w:szCs w:val="21"/>
              </w:rPr>
              <w:t>#</w:t>
            </w:r>
          </w:p>
        </w:tc>
        <w:tc>
          <w:tcPr>
            <w:tcW w:w="3118" w:type="dxa"/>
            <w:vAlign w:val="center"/>
          </w:tcPr>
          <w:p w14:paraId="2A421192">
            <w:pPr>
              <w:autoSpaceDE w:val="0"/>
              <w:autoSpaceDN w:val="0"/>
              <w:adjustRightInd w:val="0"/>
              <w:spacing w:line="320" w:lineRule="exact"/>
              <w:ind w:left="-120" w:leftChars="-50" w:right="-120" w:rightChars="-50" w:firstLine="420"/>
              <w:jc w:val="center"/>
              <w:rPr>
                <w:rFonts w:ascii="宋体" w:hAnsi="宋体"/>
                <w:sz w:val="21"/>
                <w:szCs w:val="21"/>
              </w:rPr>
            </w:pPr>
            <w:r>
              <w:rPr>
                <w:rFonts w:hint="eastAsia" w:ascii="宋体" w:hAnsi="宋体"/>
                <w:sz w:val="21"/>
                <w:szCs w:val="21"/>
              </w:rPr>
              <w:t>雅思联合站西侧</w:t>
            </w:r>
          </w:p>
        </w:tc>
        <w:tc>
          <w:tcPr>
            <w:tcW w:w="1701" w:type="dxa"/>
            <w:vAlign w:val="center"/>
          </w:tcPr>
          <w:p w14:paraId="56E2AE69">
            <w:pPr>
              <w:autoSpaceDE w:val="0"/>
              <w:autoSpaceDN w:val="0"/>
              <w:adjustRightInd w:val="0"/>
              <w:spacing w:line="320" w:lineRule="exact"/>
              <w:ind w:left="-120" w:leftChars="-50" w:right="-120" w:rightChars="-50" w:firstLine="420"/>
              <w:jc w:val="center"/>
              <w:rPr>
                <w:rFonts w:ascii="宋体" w:hAnsi="宋体"/>
                <w:sz w:val="21"/>
                <w:szCs w:val="21"/>
                <w:lang w:eastAsia="zh-CN"/>
              </w:rPr>
            </w:pPr>
            <w:r>
              <w:rPr>
                <w:rFonts w:hint="eastAsia" w:ascii="宋体" w:hAnsi="宋体"/>
                <w:sz w:val="21"/>
                <w:szCs w:val="21"/>
                <w:lang w:eastAsia="zh-CN"/>
              </w:rPr>
              <w:t>站场附近</w:t>
            </w:r>
          </w:p>
        </w:tc>
        <w:tc>
          <w:tcPr>
            <w:tcW w:w="1934" w:type="dxa"/>
            <w:tcBorders>
              <w:right w:val="single" w:color="auto" w:sz="12" w:space="0"/>
            </w:tcBorders>
            <w:vAlign w:val="center"/>
          </w:tcPr>
          <w:p w14:paraId="51348D82">
            <w:pPr>
              <w:autoSpaceDE w:val="0"/>
              <w:autoSpaceDN w:val="0"/>
              <w:adjustRightInd w:val="0"/>
              <w:spacing w:line="320" w:lineRule="exact"/>
              <w:ind w:right="-120" w:rightChars="-50" w:firstLine="420"/>
              <w:jc w:val="center"/>
              <w:rPr>
                <w:rFonts w:ascii="宋体" w:hAnsi="宋体"/>
                <w:sz w:val="21"/>
                <w:szCs w:val="21"/>
              </w:rPr>
            </w:pPr>
            <w:r>
              <w:rPr>
                <w:rFonts w:hint="eastAsia" w:ascii="宋体" w:hAnsi="宋体"/>
                <w:sz w:val="21"/>
                <w:szCs w:val="21"/>
              </w:rPr>
              <w:t>10m处</w:t>
            </w:r>
          </w:p>
        </w:tc>
      </w:tr>
      <w:tr w14:paraId="6FA161EA">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1560" w:type="dxa"/>
            <w:tcBorders>
              <w:left w:val="single" w:color="auto" w:sz="12" w:space="0"/>
            </w:tcBorders>
            <w:vAlign w:val="center"/>
          </w:tcPr>
          <w:p w14:paraId="0B34FA4A">
            <w:pPr>
              <w:autoSpaceDE w:val="0"/>
              <w:autoSpaceDN w:val="0"/>
              <w:adjustRightInd w:val="0"/>
              <w:spacing w:line="320" w:lineRule="exact"/>
              <w:ind w:left="-120" w:leftChars="-50" w:right="-120" w:rightChars="-50" w:firstLine="420"/>
              <w:jc w:val="center"/>
              <w:rPr>
                <w:rFonts w:ascii="宋体" w:hAnsi="宋体"/>
                <w:sz w:val="21"/>
                <w:szCs w:val="21"/>
              </w:rPr>
            </w:pPr>
            <w:r>
              <w:rPr>
                <w:rFonts w:hint="eastAsia" w:ascii="宋体" w:hAnsi="宋体"/>
                <w:sz w:val="21"/>
                <w:szCs w:val="21"/>
              </w:rPr>
              <w:t>4</w:t>
            </w:r>
            <w:r>
              <w:rPr>
                <w:rFonts w:ascii="宋体" w:hAnsi="宋体"/>
                <w:sz w:val="21"/>
                <w:szCs w:val="21"/>
              </w:rPr>
              <w:t>#</w:t>
            </w:r>
          </w:p>
        </w:tc>
        <w:tc>
          <w:tcPr>
            <w:tcW w:w="3118" w:type="dxa"/>
            <w:vAlign w:val="center"/>
          </w:tcPr>
          <w:p w14:paraId="112D51EF">
            <w:pPr>
              <w:autoSpaceDE w:val="0"/>
              <w:autoSpaceDN w:val="0"/>
              <w:adjustRightInd w:val="0"/>
              <w:spacing w:line="320" w:lineRule="exact"/>
              <w:ind w:left="-120" w:leftChars="-50" w:right="-120" w:rightChars="-50" w:firstLine="0" w:firstLineChars="0"/>
              <w:jc w:val="center"/>
              <w:rPr>
                <w:rFonts w:ascii="宋体" w:hAnsi="宋体"/>
                <w:sz w:val="21"/>
                <w:szCs w:val="21"/>
                <w:lang w:eastAsia="zh-CN"/>
              </w:rPr>
            </w:pPr>
            <w:r>
              <w:rPr>
                <w:rFonts w:hint="eastAsia" w:ascii="宋体" w:hAnsi="宋体"/>
                <w:sz w:val="21"/>
                <w:szCs w:val="21"/>
                <w:lang w:eastAsia="zh-CN"/>
              </w:rPr>
              <w:t>乌里雅斯太</w:t>
            </w:r>
            <w:r>
              <w:rPr>
                <w:rFonts w:ascii="宋体" w:hAnsi="宋体"/>
                <w:sz w:val="21"/>
                <w:szCs w:val="21"/>
                <w:lang w:eastAsia="zh-CN"/>
              </w:rPr>
              <w:t>油田</w:t>
            </w:r>
            <w:r>
              <w:rPr>
                <w:rFonts w:hint="eastAsia" w:ascii="宋体" w:hAnsi="宋体"/>
                <w:sz w:val="21"/>
                <w:szCs w:val="21"/>
                <w:lang w:eastAsia="zh-CN"/>
              </w:rPr>
              <w:t>采</w:t>
            </w:r>
            <w:r>
              <w:rPr>
                <w:rFonts w:ascii="宋体" w:hAnsi="宋体"/>
                <w:sz w:val="21"/>
                <w:szCs w:val="21"/>
                <w:lang w:eastAsia="zh-CN"/>
              </w:rPr>
              <w:t>区外围东侧</w:t>
            </w:r>
          </w:p>
        </w:tc>
        <w:tc>
          <w:tcPr>
            <w:tcW w:w="1701" w:type="dxa"/>
            <w:vAlign w:val="center"/>
          </w:tcPr>
          <w:p w14:paraId="058ADBDA">
            <w:pPr>
              <w:autoSpaceDE w:val="0"/>
              <w:autoSpaceDN w:val="0"/>
              <w:adjustRightInd w:val="0"/>
              <w:spacing w:line="320" w:lineRule="exact"/>
              <w:ind w:left="-120" w:leftChars="-50" w:right="-120" w:rightChars="-50" w:firstLine="420"/>
              <w:jc w:val="center"/>
              <w:rPr>
                <w:rFonts w:ascii="宋体" w:hAnsi="宋体"/>
                <w:sz w:val="21"/>
                <w:szCs w:val="21"/>
              </w:rPr>
            </w:pPr>
            <w:r>
              <w:rPr>
                <w:rFonts w:hint="eastAsia" w:ascii="宋体" w:hAnsi="宋体"/>
                <w:sz w:val="21"/>
                <w:szCs w:val="21"/>
              </w:rPr>
              <w:t>背景点</w:t>
            </w:r>
          </w:p>
        </w:tc>
        <w:tc>
          <w:tcPr>
            <w:tcW w:w="1934" w:type="dxa"/>
            <w:tcBorders>
              <w:right w:val="single" w:color="auto" w:sz="12" w:space="0"/>
            </w:tcBorders>
            <w:vAlign w:val="center"/>
          </w:tcPr>
          <w:p w14:paraId="2E2D93C0">
            <w:pPr>
              <w:autoSpaceDE w:val="0"/>
              <w:autoSpaceDN w:val="0"/>
              <w:adjustRightInd w:val="0"/>
              <w:spacing w:line="320" w:lineRule="exact"/>
              <w:ind w:right="-120" w:rightChars="-50" w:firstLine="0" w:firstLineChars="0"/>
              <w:jc w:val="center"/>
              <w:rPr>
                <w:rFonts w:ascii="宋体" w:hAnsi="宋体"/>
                <w:sz w:val="21"/>
                <w:szCs w:val="21"/>
              </w:rPr>
            </w:pPr>
            <w:r>
              <w:rPr>
                <w:rFonts w:hint="eastAsia" w:ascii="宋体" w:hAnsi="宋体"/>
                <w:sz w:val="21"/>
                <w:szCs w:val="21"/>
              </w:rPr>
              <w:t>油田外2000m处</w:t>
            </w:r>
          </w:p>
        </w:tc>
      </w:tr>
      <w:tr w14:paraId="3C879BBD">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1560" w:type="dxa"/>
            <w:tcBorders>
              <w:left w:val="single" w:color="auto" w:sz="12" w:space="0"/>
              <w:bottom w:val="single" w:color="auto" w:sz="12" w:space="0"/>
            </w:tcBorders>
            <w:vAlign w:val="center"/>
          </w:tcPr>
          <w:p w14:paraId="13B490CD">
            <w:pPr>
              <w:autoSpaceDE w:val="0"/>
              <w:autoSpaceDN w:val="0"/>
              <w:adjustRightInd w:val="0"/>
              <w:spacing w:line="320" w:lineRule="exact"/>
              <w:ind w:left="-120" w:leftChars="-50" w:right="-120" w:rightChars="-50" w:firstLine="420"/>
              <w:jc w:val="center"/>
              <w:rPr>
                <w:rFonts w:ascii="宋体" w:hAnsi="宋体"/>
                <w:sz w:val="21"/>
                <w:szCs w:val="21"/>
              </w:rPr>
            </w:pPr>
            <w:r>
              <w:rPr>
                <w:rFonts w:hint="eastAsia" w:ascii="宋体" w:hAnsi="宋体"/>
                <w:sz w:val="21"/>
                <w:szCs w:val="21"/>
              </w:rPr>
              <w:t>5</w:t>
            </w:r>
            <w:r>
              <w:rPr>
                <w:rFonts w:ascii="宋体" w:hAnsi="宋体"/>
                <w:sz w:val="21"/>
                <w:szCs w:val="21"/>
              </w:rPr>
              <w:t>#</w:t>
            </w:r>
          </w:p>
        </w:tc>
        <w:tc>
          <w:tcPr>
            <w:tcW w:w="3118" w:type="dxa"/>
            <w:tcBorders>
              <w:bottom w:val="single" w:color="auto" w:sz="12" w:space="0"/>
            </w:tcBorders>
            <w:vAlign w:val="center"/>
          </w:tcPr>
          <w:p w14:paraId="762D5BBF">
            <w:pPr>
              <w:autoSpaceDE w:val="0"/>
              <w:autoSpaceDN w:val="0"/>
              <w:adjustRightInd w:val="0"/>
              <w:spacing w:line="320" w:lineRule="exact"/>
              <w:ind w:left="-120" w:leftChars="-50" w:right="-120" w:rightChars="-50" w:firstLine="0" w:firstLineChars="0"/>
              <w:jc w:val="center"/>
              <w:rPr>
                <w:rFonts w:ascii="宋体" w:hAnsi="宋体"/>
                <w:sz w:val="21"/>
                <w:szCs w:val="21"/>
                <w:lang w:eastAsia="zh-CN"/>
              </w:rPr>
            </w:pPr>
            <w:r>
              <w:rPr>
                <w:rFonts w:hint="eastAsia" w:ascii="宋体" w:hAnsi="宋体"/>
                <w:sz w:val="21"/>
                <w:szCs w:val="21"/>
                <w:lang w:eastAsia="zh-CN"/>
              </w:rPr>
              <w:t>乌里雅斯太</w:t>
            </w:r>
            <w:r>
              <w:rPr>
                <w:rFonts w:ascii="宋体" w:hAnsi="宋体"/>
                <w:sz w:val="21"/>
                <w:szCs w:val="21"/>
                <w:lang w:eastAsia="zh-CN"/>
              </w:rPr>
              <w:t>油田</w:t>
            </w:r>
            <w:r>
              <w:rPr>
                <w:rFonts w:hint="eastAsia" w:ascii="宋体" w:hAnsi="宋体"/>
                <w:sz w:val="21"/>
                <w:szCs w:val="21"/>
                <w:lang w:eastAsia="zh-CN"/>
              </w:rPr>
              <w:t>采</w:t>
            </w:r>
            <w:r>
              <w:rPr>
                <w:rFonts w:ascii="宋体" w:hAnsi="宋体"/>
                <w:sz w:val="21"/>
                <w:szCs w:val="21"/>
                <w:lang w:eastAsia="zh-CN"/>
              </w:rPr>
              <w:t>区外围西侧</w:t>
            </w:r>
          </w:p>
        </w:tc>
        <w:tc>
          <w:tcPr>
            <w:tcW w:w="1701" w:type="dxa"/>
            <w:tcBorders>
              <w:bottom w:val="single" w:color="auto" w:sz="12" w:space="0"/>
            </w:tcBorders>
            <w:vAlign w:val="center"/>
          </w:tcPr>
          <w:p w14:paraId="507F2FCE">
            <w:pPr>
              <w:autoSpaceDE w:val="0"/>
              <w:autoSpaceDN w:val="0"/>
              <w:adjustRightInd w:val="0"/>
              <w:spacing w:line="320" w:lineRule="exact"/>
              <w:ind w:left="-120" w:leftChars="-50" w:right="-120" w:rightChars="-50" w:firstLine="420"/>
              <w:jc w:val="center"/>
              <w:rPr>
                <w:rFonts w:ascii="宋体" w:hAnsi="宋体"/>
                <w:sz w:val="21"/>
                <w:szCs w:val="21"/>
              </w:rPr>
            </w:pPr>
            <w:r>
              <w:rPr>
                <w:rFonts w:hint="eastAsia" w:ascii="宋体" w:hAnsi="宋体"/>
                <w:sz w:val="21"/>
                <w:szCs w:val="21"/>
              </w:rPr>
              <w:t>背景点</w:t>
            </w:r>
          </w:p>
        </w:tc>
        <w:tc>
          <w:tcPr>
            <w:tcW w:w="1934" w:type="dxa"/>
            <w:tcBorders>
              <w:bottom w:val="single" w:color="auto" w:sz="12" w:space="0"/>
              <w:right w:val="single" w:color="auto" w:sz="12" w:space="0"/>
            </w:tcBorders>
            <w:vAlign w:val="center"/>
          </w:tcPr>
          <w:p w14:paraId="10AFF676">
            <w:pPr>
              <w:autoSpaceDE w:val="0"/>
              <w:autoSpaceDN w:val="0"/>
              <w:adjustRightInd w:val="0"/>
              <w:spacing w:line="320" w:lineRule="exact"/>
              <w:ind w:right="-120" w:rightChars="-50" w:firstLine="0" w:firstLineChars="0"/>
              <w:jc w:val="center"/>
              <w:rPr>
                <w:rFonts w:ascii="宋体" w:hAnsi="宋体"/>
                <w:sz w:val="21"/>
                <w:szCs w:val="21"/>
              </w:rPr>
            </w:pPr>
            <w:r>
              <w:rPr>
                <w:rFonts w:hint="eastAsia" w:ascii="宋体" w:hAnsi="宋体"/>
                <w:sz w:val="21"/>
                <w:szCs w:val="21"/>
              </w:rPr>
              <w:t>油田外2000m处</w:t>
            </w:r>
          </w:p>
        </w:tc>
      </w:tr>
    </w:tbl>
    <w:p w14:paraId="3C19076C">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（2）</w:t>
      </w:r>
      <w:r>
        <w:rPr>
          <w:rFonts w:asciiTheme="minorEastAsia" w:hAnsiTheme="minorEastAsia" w:eastAsiaTheme="minorEastAsia"/>
          <w:lang w:eastAsia="zh-CN"/>
        </w:rPr>
        <w:t>取样方法</w:t>
      </w:r>
    </w:p>
    <w:p w14:paraId="2D505C80">
      <w:pPr>
        <w:ind w:firstLine="480"/>
        <w:rPr>
          <w:rFonts w:asciiTheme="minorEastAsia" w:hAnsiTheme="minorEastAsia" w:eastAsiaTheme="minorEastAsia"/>
          <w:lang w:eastAsia="zh-CN"/>
        </w:rPr>
      </w:pPr>
      <w:r>
        <w:rPr>
          <w:rFonts w:asciiTheme="minorEastAsia" w:hAnsiTheme="minorEastAsia" w:eastAsiaTheme="minorEastAsia"/>
          <w:lang w:eastAsia="zh-CN"/>
        </w:rPr>
        <w:t>各现状取样点</w:t>
      </w:r>
      <w:r>
        <w:rPr>
          <w:rFonts w:hint="eastAsia" w:asciiTheme="minorEastAsia" w:hAnsiTheme="minorEastAsia" w:eastAsiaTheme="minorEastAsia"/>
          <w:lang w:eastAsia="zh-CN"/>
        </w:rPr>
        <w:t>分别采</w:t>
      </w:r>
      <w:r>
        <w:rPr>
          <w:rFonts w:asciiTheme="minorEastAsia" w:hAnsiTheme="minorEastAsia" w:eastAsiaTheme="minorEastAsia"/>
          <w:lang w:eastAsia="zh-CN"/>
        </w:rPr>
        <w:t>表层土</w:t>
      </w:r>
      <w:r>
        <w:rPr>
          <w:rFonts w:hint="eastAsia" w:asciiTheme="minorEastAsia" w:hAnsiTheme="minorEastAsia" w:eastAsiaTheme="minorEastAsia"/>
          <w:lang w:eastAsia="zh-CN"/>
        </w:rPr>
        <w:t>（0-20cm）、中</w:t>
      </w:r>
      <w:r>
        <w:rPr>
          <w:rFonts w:asciiTheme="minorEastAsia" w:hAnsiTheme="minorEastAsia" w:eastAsiaTheme="minorEastAsia"/>
          <w:lang w:eastAsia="zh-CN"/>
        </w:rPr>
        <w:t>层土</w:t>
      </w:r>
      <w:r>
        <w:rPr>
          <w:rFonts w:hint="eastAsia" w:asciiTheme="minorEastAsia" w:hAnsiTheme="minorEastAsia" w:eastAsiaTheme="minorEastAsia"/>
          <w:lang w:eastAsia="zh-CN"/>
        </w:rPr>
        <w:t>（20-60cm）、</w:t>
      </w:r>
      <w:r>
        <w:rPr>
          <w:rFonts w:asciiTheme="minorEastAsia" w:hAnsiTheme="minorEastAsia" w:eastAsiaTheme="minorEastAsia"/>
          <w:lang w:eastAsia="zh-CN"/>
        </w:rPr>
        <w:t>深层土（60-100cm）。</w:t>
      </w:r>
    </w:p>
    <w:p w14:paraId="4D307C5B">
      <w:pPr>
        <w:ind w:firstLine="480"/>
        <w:outlineLvl w:val="0"/>
        <w:rPr>
          <w:rFonts w:asciiTheme="minorEastAsia" w:hAnsiTheme="minorEastAsia" w:eastAsiaTheme="minorEastAsia"/>
          <w:lang w:eastAsia="zh-CN"/>
        </w:rPr>
      </w:pPr>
      <w:r>
        <w:rPr>
          <w:rFonts w:hint="eastAsia" w:asciiTheme="minorEastAsia" w:hAnsiTheme="minorEastAsia" w:eastAsiaTheme="minorEastAsia"/>
          <w:lang w:eastAsia="zh-CN"/>
        </w:rPr>
        <w:t>（3）</w:t>
      </w:r>
      <w:r>
        <w:rPr>
          <w:rFonts w:asciiTheme="minorEastAsia" w:hAnsiTheme="minorEastAsia" w:eastAsiaTheme="minorEastAsia"/>
          <w:lang w:eastAsia="zh-CN"/>
        </w:rPr>
        <w:t>监测项目</w:t>
      </w:r>
    </w:p>
    <w:p w14:paraId="53B26DA3">
      <w:pPr>
        <w:ind w:firstLine="480"/>
        <w:rPr>
          <w:rFonts w:asciiTheme="minorEastAsia" w:hAnsiTheme="minorEastAsia" w:eastAsiaTheme="minorEastAsia"/>
          <w:lang w:eastAsia="zh-CN"/>
        </w:rPr>
      </w:pPr>
      <w:r>
        <w:rPr>
          <w:rFonts w:asciiTheme="minorEastAsia" w:hAnsiTheme="minorEastAsia" w:eastAsiaTheme="minorEastAsia"/>
          <w:lang w:eastAsia="zh-CN"/>
        </w:rPr>
        <w:t>PH、镉、汞、砷、铜、铅、铬、锌、镍、阳离子交换量</w:t>
      </w:r>
      <w:r>
        <w:rPr>
          <w:rFonts w:hint="eastAsia" w:asciiTheme="minorEastAsia" w:hAnsiTheme="minorEastAsia" w:eastAsiaTheme="minorEastAsia"/>
          <w:lang w:eastAsia="zh-CN"/>
        </w:rPr>
        <w:t>以及石油类</w:t>
      </w:r>
      <w:r>
        <w:rPr>
          <w:rFonts w:asciiTheme="minorEastAsia" w:hAnsiTheme="minorEastAsia" w:eastAsiaTheme="minorEastAsia"/>
          <w:lang w:eastAsia="zh-CN"/>
        </w:rPr>
        <w:t>共1</w:t>
      </w:r>
      <w:r>
        <w:rPr>
          <w:rFonts w:hint="eastAsia" w:asciiTheme="minorEastAsia" w:hAnsiTheme="minorEastAsia" w:eastAsiaTheme="minorEastAsia"/>
          <w:lang w:eastAsia="zh-CN"/>
        </w:rPr>
        <w:t>1</w:t>
      </w:r>
      <w:r>
        <w:rPr>
          <w:rFonts w:asciiTheme="minorEastAsia" w:hAnsiTheme="minorEastAsia" w:eastAsiaTheme="minorEastAsia"/>
          <w:lang w:eastAsia="zh-CN"/>
        </w:rPr>
        <w:t>项。</w:t>
      </w:r>
    </w:p>
    <w:p w14:paraId="433FD91D">
      <w:pPr>
        <w:ind w:firstLine="480"/>
        <w:outlineLvl w:val="0"/>
        <w:rPr>
          <w:rFonts w:asciiTheme="minorEastAsia" w:hAnsiTheme="minorEastAsia" w:eastAsiaTheme="minorEastAsia"/>
          <w:lang w:eastAsia="zh-CN"/>
        </w:rPr>
      </w:pPr>
      <w:r>
        <w:rPr>
          <w:rFonts w:hint="eastAsia" w:asciiTheme="minorEastAsia" w:hAnsiTheme="minorEastAsia" w:eastAsiaTheme="minorEastAsia"/>
          <w:lang w:eastAsia="zh-CN"/>
        </w:rPr>
        <w:t>（4）</w:t>
      </w:r>
      <w:r>
        <w:rPr>
          <w:rFonts w:asciiTheme="minorEastAsia" w:hAnsiTheme="minorEastAsia" w:eastAsiaTheme="minorEastAsia"/>
          <w:lang w:eastAsia="zh-CN"/>
        </w:rPr>
        <w:t>分析方法</w:t>
      </w:r>
    </w:p>
    <w:p w14:paraId="3B667303">
      <w:pPr>
        <w:ind w:firstLine="480"/>
        <w:rPr>
          <w:rFonts w:asciiTheme="minorEastAsia" w:hAnsiTheme="minorEastAsia" w:eastAsiaTheme="minorEastAsia"/>
          <w:lang w:eastAsia="zh-CN"/>
        </w:rPr>
      </w:pPr>
      <w:r>
        <w:rPr>
          <w:rFonts w:asciiTheme="minorEastAsia" w:hAnsiTheme="minorEastAsia" w:eastAsiaTheme="minorEastAsia"/>
          <w:lang w:eastAsia="zh-CN"/>
        </w:rPr>
        <w:t>监测方法按照国家规定的标准方法进行，见表</w:t>
      </w:r>
      <w:r>
        <w:rPr>
          <w:rFonts w:hint="eastAsia" w:asciiTheme="minorEastAsia" w:hAnsiTheme="minorEastAsia" w:eastAsiaTheme="minorEastAsia"/>
          <w:lang w:eastAsia="zh-CN"/>
        </w:rPr>
        <w:t>9</w:t>
      </w:r>
      <w:r>
        <w:rPr>
          <w:rFonts w:asciiTheme="minorEastAsia" w:hAnsiTheme="minorEastAsia" w:eastAsiaTheme="minorEastAsia"/>
          <w:lang w:eastAsia="zh-CN"/>
        </w:rPr>
        <w:t>.1-1</w:t>
      </w:r>
      <w:r>
        <w:rPr>
          <w:rFonts w:hint="eastAsia" w:asciiTheme="minorEastAsia" w:hAnsiTheme="minorEastAsia" w:eastAsiaTheme="minorEastAsia"/>
          <w:lang w:eastAsia="zh-CN"/>
        </w:rPr>
        <w:t>0</w:t>
      </w:r>
      <w:r>
        <w:rPr>
          <w:rFonts w:asciiTheme="minorEastAsia" w:hAnsiTheme="minorEastAsia" w:eastAsiaTheme="minorEastAsia"/>
          <w:lang w:eastAsia="zh-CN"/>
        </w:rPr>
        <w:t>。</w:t>
      </w:r>
    </w:p>
    <w:p w14:paraId="7D4F861B">
      <w:pPr>
        <w:pStyle w:val="18"/>
        <w:spacing w:line="240" w:lineRule="auto"/>
        <w:ind w:firstLine="482"/>
        <w:rPr>
          <w:rFonts w:ascii="Times New Roman" w:hAnsi="Times New Roman"/>
          <w:b/>
          <w:snapToGrid w:val="0"/>
          <w:sz w:val="24"/>
        </w:rPr>
      </w:pPr>
      <w:r>
        <w:rPr>
          <w:rFonts w:ascii="Times New Roman" w:hAnsi="Times New Roman"/>
          <w:b/>
          <w:snapToGrid w:val="0"/>
          <w:sz w:val="24"/>
        </w:rPr>
        <w:t>表</w:t>
      </w:r>
      <w:r>
        <w:rPr>
          <w:rFonts w:hint="eastAsia" w:ascii="Times New Roman" w:hAnsi="Times New Roman"/>
          <w:b/>
          <w:snapToGrid w:val="0"/>
          <w:sz w:val="24"/>
        </w:rPr>
        <w:t>9</w:t>
      </w:r>
      <w:r>
        <w:rPr>
          <w:rFonts w:ascii="Times New Roman" w:hAnsi="Times New Roman"/>
          <w:b/>
          <w:snapToGrid w:val="0"/>
          <w:sz w:val="24"/>
        </w:rPr>
        <w:t>.1-1</w:t>
      </w:r>
      <w:r>
        <w:rPr>
          <w:rFonts w:hint="eastAsia" w:ascii="Times New Roman" w:hAnsi="Times New Roman"/>
          <w:b/>
          <w:snapToGrid w:val="0"/>
          <w:sz w:val="24"/>
        </w:rPr>
        <w:t>0</w:t>
      </w:r>
      <w:r>
        <w:rPr>
          <w:rFonts w:ascii="Times New Roman" w:hAnsi="Times New Roman"/>
          <w:b/>
          <w:snapToGrid w:val="0"/>
          <w:sz w:val="24"/>
        </w:rPr>
        <w:t xml:space="preserve">  </w:t>
      </w:r>
      <w:r>
        <w:rPr>
          <w:rFonts w:hint="eastAsia" w:ascii="Times New Roman" w:hAnsi="Times New Roman"/>
          <w:b/>
          <w:snapToGrid w:val="0"/>
          <w:sz w:val="24"/>
        </w:rPr>
        <w:t xml:space="preserve">   </w:t>
      </w:r>
      <w:r>
        <w:rPr>
          <w:rFonts w:ascii="Times New Roman" w:hAnsi="Times New Roman"/>
          <w:b/>
          <w:snapToGrid w:val="0"/>
          <w:sz w:val="24"/>
        </w:rPr>
        <w:t>土壤监测项目及分析方法</w:t>
      </w:r>
    </w:p>
    <w:tbl>
      <w:tblPr>
        <w:tblStyle w:val="7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69"/>
        <w:gridCol w:w="4960"/>
        <w:gridCol w:w="1900"/>
      </w:tblGrid>
      <w:tr w14:paraId="60224C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trPr>
        <w:tc>
          <w:tcPr>
            <w:tcW w:w="1669" w:type="dxa"/>
            <w:vAlign w:val="center"/>
          </w:tcPr>
          <w:p w14:paraId="1B17F875">
            <w:pPr>
              <w:pStyle w:val="518"/>
            </w:pPr>
            <w:r>
              <w:t>分析项目</w:t>
            </w:r>
          </w:p>
        </w:tc>
        <w:tc>
          <w:tcPr>
            <w:tcW w:w="4960" w:type="dxa"/>
            <w:vAlign w:val="center"/>
          </w:tcPr>
          <w:p w14:paraId="6F30A3BC">
            <w:pPr>
              <w:pStyle w:val="518"/>
            </w:pPr>
            <w:r>
              <w:t>测定方法</w:t>
            </w:r>
          </w:p>
        </w:tc>
        <w:tc>
          <w:tcPr>
            <w:tcW w:w="1900" w:type="dxa"/>
            <w:vAlign w:val="center"/>
          </w:tcPr>
          <w:p w14:paraId="312EB197">
            <w:pPr>
              <w:pStyle w:val="518"/>
            </w:pPr>
            <w:r>
              <w:t>最低检出浓度</w:t>
            </w:r>
          </w:p>
        </w:tc>
      </w:tr>
      <w:tr w14:paraId="774E8F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69" w:type="dxa"/>
            <w:vAlign w:val="center"/>
          </w:tcPr>
          <w:p w14:paraId="5B60BAD6">
            <w:pPr>
              <w:pStyle w:val="518"/>
            </w:pPr>
            <w:r>
              <w:t>PH值</w:t>
            </w:r>
          </w:p>
        </w:tc>
        <w:tc>
          <w:tcPr>
            <w:tcW w:w="4960" w:type="dxa"/>
            <w:vAlign w:val="center"/>
          </w:tcPr>
          <w:p w14:paraId="664FFBA6">
            <w:pPr>
              <w:pStyle w:val="518"/>
            </w:pPr>
            <w:r>
              <w:t>玻璃电极法  GB6920-86</w:t>
            </w:r>
          </w:p>
        </w:tc>
        <w:tc>
          <w:tcPr>
            <w:tcW w:w="1900" w:type="dxa"/>
            <w:vAlign w:val="center"/>
          </w:tcPr>
          <w:p w14:paraId="13C26FC2">
            <w:pPr>
              <w:pStyle w:val="518"/>
            </w:pPr>
            <w:r>
              <w:t>0.1（PH值）</w:t>
            </w:r>
          </w:p>
        </w:tc>
      </w:tr>
      <w:tr w14:paraId="6E3D95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69" w:type="dxa"/>
            <w:vAlign w:val="center"/>
          </w:tcPr>
          <w:p w14:paraId="7F4851F0">
            <w:pPr>
              <w:pStyle w:val="518"/>
              <w:rPr>
                <w:lang w:eastAsia="zh-CN"/>
              </w:rPr>
            </w:pPr>
            <w:r>
              <w:rPr>
                <w:lang w:eastAsia="zh-CN"/>
              </w:rPr>
              <w:t>汞</w:t>
            </w:r>
          </w:p>
        </w:tc>
        <w:tc>
          <w:tcPr>
            <w:tcW w:w="4960" w:type="dxa"/>
            <w:vAlign w:val="center"/>
          </w:tcPr>
          <w:p w14:paraId="476112E0">
            <w:pPr>
              <w:pStyle w:val="518"/>
              <w:rPr>
                <w:lang w:eastAsia="zh-CN"/>
              </w:rPr>
            </w:pPr>
            <w:r>
              <w:rPr>
                <w:lang w:eastAsia="zh-CN"/>
              </w:rPr>
              <w:t>原子荧光法 水和废水监测分析方法（第四版）</w:t>
            </w:r>
          </w:p>
        </w:tc>
        <w:tc>
          <w:tcPr>
            <w:tcW w:w="1900" w:type="dxa"/>
            <w:vAlign w:val="center"/>
          </w:tcPr>
          <w:p w14:paraId="414300D5">
            <w:pPr>
              <w:pStyle w:val="518"/>
            </w:pPr>
            <w:r>
              <w:t>1.50×10</w:t>
            </w:r>
            <w:r>
              <w:rPr>
                <w:vertAlign w:val="superscript"/>
              </w:rPr>
              <w:t>-</w:t>
            </w:r>
            <w:r>
              <w:rPr>
                <w:rFonts w:hint="eastAsia"/>
                <w:vertAlign w:val="superscript"/>
                <w:lang w:eastAsia="zh-CN"/>
              </w:rPr>
              <w:t>4</w:t>
            </w:r>
            <w:r>
              <w:t>mg/L</w:t>
            </w:r>
          </w:p>
        </w:tc>
      </w:tr>
      <w:tr w14:paraId="119DF1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69" w:type="dxa"/>
            <w:vAlign w:val="center"/>
          </w:tcPr>
          <w:p w14:paraId="445399FB">
            <w:pPr>
              <w:pStyle w:val="518"/>
              <w:rPr>
                <w:lang w:eastAsia="zh-CN"/>
              </w:rPr>
            </w:pPr>
            <w:r>
              <w:rPr>
                <w:rFonts w:hint="eastAsia"/>
                <w:lang w:eastAsia="zh-CN"/>
              </w:rPr>
              <w:t>砷</w:t>
            </w:r>
          </w:p>
        </w:tc>
        <w:tc>
          <w:tcPr>
            <w:tcW w:w="4960" w:type="dxa"/>
            <w:vAlign w:val="center"/>
          </w:tcPr>
          <w:p w14:paraId="63B84CE4">
            <w:pPr>
              <w:pStyle w:val="518"/>
              <w:jc w:val="left"/>
            </w:pPr>
            <w:r>
              <w:t>原子吸收分光光度法   GB7475-87</w:t>
            </w:r>
          </w:p>
        </w:tc>
        <w:tc>
          <w:tcPr>
            <w:tcW w:w="1900" w:type="dxa"/>
            <w:vAlign w:val="center"/>
          </w:tcPr>
          <w:p w14:paraId="0E2CFBB7">
            <w:pPr>
              <w:pStyle w:val="518"/>
            </w:pPr>
            <w:r>
              <w:t>0.</w:t>
            </w:r>
            <w:r>
              <w:rPr>
                <w:rFonts w:hint="eastAsia"/>
                <w:lang w:eastAsia="zh-CN"/>
              </w:rPr>
              <w:t>00</w:t>
            </w:r>
            <w:r>
              <w:t>0</w:t>
            </w:r>
            <w:r>
              <w:rPr>
                <w:lang w:eastAsia="zh-CN"/>
              </w:rPr>
              <w:t>1</w:t>
            </w:r>
            <w:r>
              <w:t>mg/L</w:t>
            </w:r>
          </w:p>
        </w:tc>
      </w:tr>
      <w:tr w14:paraId="6C3A46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69" w:type="dxa"/>
            <w:vAlign w:val="center"/>
          </w:tcPr>
          <w:p w14:paraId="636356FD">
            <w:pPr>
              <w:pStyle w:val="518"/>
              <w:rPr>
                <w:lang w:eastAsia="zh-CN"/>
              </w:rPr>
            </w:pPr>
            <w:r>
              <w:t>铬</w:t>
            </w:r>
          </w:p>
        </w:tc>
        <w:tc>
          <w:tcPr>
            <w:tcW w:w="4960" w:type="dxa"/>
            <w:vAlign w:val="center"/>
          </w:tcPr>
          <w:p w14:paraId="52760D5F">
            <w:pPr>
              <w:pStyle w:val="518"/>
              <w:rPr>
                <w:lang w:eastAsia="zh-CN"/>
              </w:rPr>
            </w:pPr>
            <w:r>
              <w:rPr>
                <w:lang w:eastAsia="zh-CN"/>
              </w:rPr>
              <w:t>原子吸收分光光度法   水和废水监测分析方法（第四版）</w:t>
            </w:r>
          </w:p>
        </w:tc>
        <w:tc>
          <w:tcPr>
            <w:tcW w:w="1900" w:type="dxa"/>
            <w:vAlign w:val="center"/>
          </w:tcPr>
          <w:p w14:paraId="17C8D912">
            <w:pPr>
              <w:pStyle w:val="518"/>
            </w:pPr>
            <w:r>
              <w:t>0.03mg/L</w:t>
            </w:r>
          </w:p>
        </w:tc>
      </w:tr>
      <w:tr w14:paraId="34FC6C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69" w:type="dxa"/>
            <w:vAlign w:val="center"/>
          </w:tcPr>
          <w:p w14:paraId="226EA0A2">
            <w:pPr>
              <w:pStyle w:val="518"/>
              <w:rPr>
                <w:lang w:eastAsia="zh-CN"/>
              </w:rPr>
            </w:pPr>
            <w:r>
              <w:rPr>
                <w:lang w:eastAsia="zh-CN"/>
              </w:rPr>
              <w:t>铜、</w:t>
            </w:r>
            <w:r>
              <w:t>锌</w:t>
            </w:r>
            <w:r>
              <w:rPr>
                <w:lang w:eastAsia="zh-CN"/>
              </w:rPr>
              <w:t>、</w:t>
            </w:r>
            <w:r>
              <w:rPr>
                <w:rFonts w:hint="eastAsia"/>
                <w:lang w:eastAsia="zh-CN"/>
              </w:rPr>
              <w:t>铅、</w:t>
            </w:r>
            <w:r>
              <w:t>镉</w:t>
            </w:r>
          </w:p>
        </w:tc>
        <w:tc>
          <w:tcPr>
            <w:tcW w:w="4960" w:type="dxa"/>
            <w:vAlign w:val="center"/>
          </w:tcPr>
          <w:p w14:paraId="370922E7">
            <w:pPr>
              <w:pStyle w:val="518"/>
              <w:rPr>
                <w:lang w:eastAsia="zh-CN"/>
              </w:rPr>
            </w:pPr>
            <w:r>
              <w:t>原子吸收分光光度法      GB</w:t>
            </w:r>
            <w:r>
              <w:rPr>
                <w:rFonts w:hint="eastAsia"/>
                <w:lang w:eastAsia="zh-CN"/>
              </w:rPr>
              <w:t>7475</w:t>
            </w:r>
            <w:r>
              <w:t>-8</w:t>
            </w:r>
            <w:r>
              <w:rPr>
                <w:rFonts w:hint="eastAsia"/>
                <w:lang w:eastAsia="zh-CN"/>
              </w:rPr>
              <w:t>7</w:t>
            </w:r>
          </w:p>
        </w:tc>
        <w:tc>
          <w:tcPr>
            <w:tcW w:w="1900" w:type="dxa"/>
            <w:vAlign w:val="center"/>
          </w:tcPr>
          <w:p w14:paraId="186C5371">
            <w:pPr>
              <w:pStyle w:val="518"/>
            </w:pPr>
            <w:r>
              <w:t>0.001、0.001、0.01、</w:t>
            </w:r>
            <w:r>
              <w:rPr>
                <w:lang w:eastAsia="zh-CN"/>
              </w:rPr>
              <w:t>0.0</w:t>
            </w:r>
            <w:r>
              <w:rPr>
                <w:rFonts w:hint="eastAsia"/>
                <w:lang w:eastAsia="zh-CN"/>
              </w:rPr>
              <w:t>01</w:t>
            </w:r>
            <w:r>
              <w:t xml:space="preserve">mg/L </w:t>
            </w:r>
          </w:p>
        </w:tc>
      </w:tr>
      <w:tr w14:paraId="380E5E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69" w:type="dxa"/>
            <w:vAlign w:val="center"/>
          </w:tcPr>
          <w:p w14:paraId="12FB3743">
            <w:pPr>
              <w:pStyle w:val="518"/>
              <w:rPr>
                <w:lang w:eastAsia="zh-CN"/>
              </w:rPr>
            </w:pPr>
            <w:r>
              <w:rPr>
                <w:rFonts w:hint="eastAsia"/>
                <w:lang w:eastAsia="zh-CN"/>
              </w:rPr>
              <w:t>镍</w:t>
            </w:r>
          </w:p>
        </w:tc>
        <w:tc>
          <w:tcPr>
            <w:tcW w:w="4960" w:type="dxa"/>
            <w:vAlign w:val="center"/>
          </w:tcPr>
          <w:p w14:paraId="0DD4182B">
            <w:pPr>
              <w:pStyle w:val="518"/>
              <w:rPr>
                <w:lang w:eastAsia="zh-CN"/>
              </w:rPr>
            </w:pPr>
            <w:r>
              <w:rPr>
                <w:rFonts w:hint="eastAsia"/>
                <w:lang w:eastAsia="zh-CN"/>
              </w:rPr>
              <w:t>火焰</w:t>
            </w:r>
            <w:r>
              <w:rPr>
                <w:lang w:eastAsia="zh-CN"/>
              </w:rPr>
              <w:t xml:space="preserve">原子吸收分光光度法   </w:t>
            </w:r>
          </w:p>
          <w:p w14:paraId="2BE63D85">
            <w:pPr>
              <w:pStyle w:val="518"/>
              <w:rPr>
                <w:lang w:eastAsia="zh-CN"/>
              </w:rPr>
            </w:pPr>
            <w:r>
              <w:rPr>
                <w:lang w:eastAsia="zh-CN"/>
              </w:rPr>
              <w:t>水和废水监测分析方法（第四版）</w:t>
            </w:r>
          </w:p>
        </w:tc>
        <w:tc>
          <w:tcPr>
            <w:tcW w:w="1900" w:type="dxa"/>
            <w:vAlign w:val="center"/>
          </w:tcPr>
          <w:p w14:paraId="1265FD34">
            <w:pPr>
              <w:pStyle w:val="518"/>
            </w:pPr>
            <w:r>
              <w:t>0.0</w:t>
            </w:r>
            <w:r>
              <w:rPr>
                <w:rFonts w:hint="eastAsia"/>
                <w:lang w:eastAsia="zh-CN"/>
              </w:rPr>
              <w:t>5</w:t>
            </w:r>
            <w:r>
              <w:t>mg/L</w:t>
            </w:r>
          </w:p>
        </w:tc>
      </w:tr>
      <w:tr w14:paraId="7E4218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69" w:type="dxa"/>
            <w:vAlign w:val="center"/>
          </w:tcPr>
          <w:p w14:paraId="3049AF01">
            <w:pPr>
              <w:pStyle w:val="518"/>
            </w:pPr>
            <w:r>
              <w:t>阳离子交换量</w:t>
            </w:r>
          </w:p>
        </w:tc>
        <w:tc>
          <w:tcPr>
            <w:tcW w:w="4960" w:type="dxa"/>
            <w:vAlign w:val="center"/>
          </w:tcPr>
          <w:p w14:paraId="213F112D">
            <w:pPr>
              <w:pStyle w:val="518"/>
              <w:rPr>
                <w:lang w:eastAsia="zh-CN"/>
              </w:rPr>
            </w:pPr>
            <w:r>
              <w:rPr>
                <w:lang w:eastAsia="zh-CN"/>
              </w:rPr>
              <w:t>乙酸铵法</w:t>
            </w:r>
          </w:p>
        </w:tc>
        <w:tc>
          <w:tcPr>
            <w:tcW w:w="1900" w:type="dxa"/>
            <w:vAlign w:val="center"/>
          </w:tcPr>
          <w:p w14:paraId="08B01FA6">
            <w:pPr>
              <w:pStyle w:val="518"/>
            </w:pPr>
          </w:p>
        </w:tc>
      </w:tr>
    </w:tbl>
    <w:p w14:paraId="1C8F74A1">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（5）</w:t>
      </w:r>
      <w:r>
        <w:rPr>
          <w:rFonts w:asciiTheme="minorEastAsia" w:hAnsiTheme="minorEastAsia" w:eastAsiaTheme="minorEastAsia"/>
          <w:lang w:eastAsia="zh-CN"/>
        </w:rPr>
        <w:t>监测结果</w:t>
      </w:r>
    </w:p>
    <w:p w14:paraId="449C3B8C">
      <w:pPr>
        <w:ind w:firstLine="480"/>
        <w:rPr>
          <w:rFonts w:asciiTheme="minorEastAsia" w:hAnsiTheme="minorEastAsia" w:eastAsiaTheme="minorEastAsia"/>
          <w:lang w:eastAsia="zh-CN"/>
        </w:rPr>
      </w:pPr>
      <w:r>
        <w:rPr>
          <w:rFonts w:asciiTheme="minorEastAsia" w:hAnsiTheme="minorEastAsia" w:eastAsiaTheme="minorEastAsia"/>
          <w:lang w:eastAsia="zh-CN"/>
        </w:rPr>
        <w:t>各监测点位的土壤环境现状监测结果详见表</w:t>
      </w:r>
      <w:r>
        <w:rPr>
          <w:rFonts w:hint="eastAsia" w:asciiTheme="minorEastAsia" w:hAnsiTheme="minorEastAsia" w:eastAsiaTheme="minorEastAsia"/>
          <w:lang w:eastAsia="zh-CN"/>
        </w:rPr>
        <w:t>9</w:t>
      </w:r>
      <w:r>
        <w:rPr>
          <w:rFonts w:asciiTheme="minorEastAsia" w:hAnsiTheme="minorEastAsia" w:eastAsiaTheme="minorEastAsia"/>
          <w:lang w:eastAsia="zh-CN"/>
        </w:rPr>
        <w:t>.1-</w:t>
      </w:r>
      <w:r>
        <w:rPr>
          <w:rFonts w:hint="eastAsia" w:asciiTheme="minorEastAsia" w:hAnsiTheme="minorEastAsia" w:eastAsiaTheme="minorEastAsia"/>
          <w:lang w:eastAsia="zh-CN"/>
        </w:rPr>
        <w:t>11、9</w:t>
      </w:r>
      <w:r>
        <w:rPr>
          <w:rFonts w:asciiTheme="minorEastAsia" w:hAnsiTheme="minorEastAsia" w:eastAsiaTheme="minorEastAsia"/>
          <w:lang w:eastAsia="zh-CN"/>
        </w:rPr>
        <w:t>.1-</w:t>
      </w:r>
      <w:r>
        <w:rPr>
          <w:rFonts w:hint="eastAsia" w:asciiTheme="minorEastAsia" w:hAnsiTheme="minorEastAsia" w:eastAsiaTheme="minorEastAsia"/>
          <w:lang w:eastAsia="zh-CN"/>
        </w:rPr>
        <w:t>12</w:t>
      </w:r>
      <w:r>
        <w:rPr>
          <w:rFonts w:asciiTheme="minorEastAsia" w:hAnsiTheme="minorEastAsia" w:eastAsiaTheme="minorEastAsia"/>
          <w:lang w:eastAsia="zh-CN"/>
        </w:rPr>
        <w:t>。</w:t>
      </w:r>
    </w:p>
    <w:p w14:paraId="4EF490EC">
      <w:pPr>
        <w:ind w:firstLine="480"/>
        <w:rPr>
          <w:rFonts w:asciiTheme="minorEastAsia" w:hAnsiTheme="minorEastAsia" w:eastAsiaTheme="minorEastAsia"/>
          <w:lang w:eastAsia="zh-CN"/>
        </w:rPr>
      </w:pPr>
    </w:p>
    <w:p w14:paraId="0D25A331">
      <w:pPr>
        <w:ind w:firstLine="480"/>
        <w:rPr>
          <w:rFonts w:asciiTheme="minorEastAsia" w:hAnsiTheme="minorEastAsia" w:eastAsiaTheme="minorEastAsia"/>
          <w:lang w:eastAsia="zh-CN"/>
        </w:rPr>
      </w:pPr>
    </w:p>
    <w:p w14:paraId="13703955">
      <w:pPr>
        <w:ind w:firstLine="480"/>
        <w:rPr>
          <w:rFonts w:asciiTheme="minorEastAsia" w:hAnsiTheme="minorEastAsia" w:eastAsiaTheme="minorEastAsia"/>
          <w:lang w:eastAsia="zh-CN"/>
        </w:rPr>
      </w:pPr>
    </w:p>
    <w:p w14:paraId="25D3DBF3">
      <w:pPr>
        <w:ind w:firstLine="480"/>
        <w:rPr>
          <w:rFonts w:asciiTheme="minorEastAsia" w:hAnsiTheme="minorEastAsia" w:eastAsiaTheme="minorEastAsia"/>
          <w:lang w:eastAsia="zh-CN"/>
        </w:rPr>
      </w:pPr>
    </w:p>
    <w:p w14:paraId="745B330E">
      <w:pPr>
        <w:ind w:firstLine="480"/>
        <w:rPr>
          <w:rFonts w:asciiTheme="minorEastAsia" w:hAnsiTheme="minorEastAsia" w:eastAsiaTheme="minorEastAsia"/>
          <w:lang w:eastAsia="zh-CN"/>
        </w:rPr>
      </w:pPr>
    </w:p>
    <w:p w14:paraId="67B5A64A">
      <w:pPr>
        <w:ind w:firstLine="480"/>
        <w:rPr>
          <w:rFonts w:asciiTheme="minorEastAsia" w:hAnsiTheme="minorEastAsia" w:eastAsiaTheme="minorEastAsia"/>
          <w:lang w:eastAsia="zh-CN"/>
        </w:rPr>
      </w:pPr>
    </w:p>
    <w:p w14:paraId="29843342">
      <w:pPr>
        <w:ind w:firstLine="480"/>
        <w:rPr>
          <w:rFonts w:asciiTheme="minorEastAsia" w:hAnsiTheme="minorEastAsia" w:eastAsiaTheme="minorEastAsia"/>
          <w:lang w:eastAsia="zh-CN"/>
        </w:rPr>
      </w:pPr>
    </w:p>
    <w:p w14:paraId="4EC2F4BD">
      <w:pPr>
        <w:ind w:firstLine="480"/>
        <w:rPr>
          <w:rFonts w:asciiTheme="minorEastAsia" w:hAnsiTheme="minorEastAsia" w:eastAsiaTheme="minorEastAsia"/>
          <w:lang w:eastAsia="zh-CN"/>
        </w:rPr>
      </w:pPr>
    </w:p>
    <w:p w14:paraId="5A61C724">
      <w:pPr>
        <w:spacing w:line="240" w:lineRule="auto"/>
        <w:ind w:firstLine="479" w:firstLineChars="199"/>
        <w:rPr>
          <w:snapToGrid w:val="0"/>
          <w:sz w:val="21"/>
          <w:szCs w:val="21"/>
          <w:lang w:eastAsia="zh-CN"/>
        </w:rPr>
      </w:pPr>
      <w:r>
        <w:rPr>
          <w:b/>
          <w:snapToGrid w:val="0"/>
          <w:lang w:eastAsia="zh-CN"/>
        </w:rPr>
        <w:t>表</w:t>
      </w:r>
      <w:r>
        <w:rPr>
          <w:rFonts w:hint="eastAsia"/>
          <w:b/>
          <w:snapToGrid w:val="0"/>
          <w:lang w:eastAsia="zh-CN"/>
        </w:rPr>
        <w:t>9</w:t>
      </w:r>
      <w:r>
        <w:rPr>
          <w:b/>
          <w:snapToGrid w:val="0"/>
          <w:lang w:eastAsia="zh-CN"/>
        </w:rPr>
        <w:t>.1-</w:t>
      </w:r>
      <w:r>
        <w:rPr>
          <w:rFonts w:hint="eastAsia"/>
          <w:b/>
          <w:snapToGrid w:val="0"/>
          <w:lang w:eastAsia="zh-CN"/>
        </w:rPr>
        <w:t>11</w:t>
      </w:r>
      <w:r>
        <w:rPr>
          <w:b/>
          <w:snapToGrid w:val="0"/>
          <w:lang w:eastAsia="zh-CN"/>
        </w:rPr>
        <w:t xml:space="preserve"> </w:t>
      </w:r>
      <w:r>
        <w:rPr>
          <w:rFonts w:hint="eastAsia"/>
          <w:b/>
          <w:snapToGrid w:val="0"/>
          <w:lang w:eastAsia="zh-CN"/>
        </w:rPr>
        <w:t xml:space="preserve"> 乌里雅斯太油田</w:t>
      </w:r>
      <w:r>
        <w:rPr>
          <w:b/>
          <w:snapToGrid w:val="0"/>
          <w:lang w:eastAsia="zh-CN"/>
        </w:rPr>
        <w:t>区块土壤监测数据统计表</w:t>
      </w:r>
      <w:r>
        <w:rPr>
          <w:rFonts w:hint="eastAsia"/>
          <w:b/>
          <w:snapToGrid w:val="0"/>
          <w:sz w:val="21"/>
          <w:szCs w:val="21"/>
          <w:lang w:eastAsia="zh-CN"/>
        </w:rPr>
        <w:t>（单位：</w:t>
      </w:r>
      <w:r>
        <w:rPr>
          <w:b/>
          <w:snapToGrid w:val="0"/>
          <w:sz w:val="21"/>
          <w:szCs w:val="21"/>
          <w:lang w:eastAsia="zh-CN"/>
        </w:rPr>
        <w:t>mg/kg</w:t>
      </w:r>
      <w:r>
        <w:rPr>
          <w:rFonts w:hint="eastAsia"/>
          <w:b/>
          <w:snapToGrid w:val="0"/>
          <w:sz w:val="21"/>
          <w:szCs w:val="21"/>
          <w:lang w:eastAsia="zh-CN"/>
        </w:rPr>
        <w:t>，</w:t>
      </w:r>
      <w:r>
        <w:rPr>
          <w:b/>
          <w:snapToGrid w:val="0"/>
          <w:sz w:val="21"/>
          <w:szCs w:val="21"/>
          <w:lang w:eastAsia="zh-CN"/>
        </w:rPr>
        <w:t>pH</w:t>
      </w:r>
      <w:r>
        <w:rPr>
          <w:rFonts w:hint="eastAsia"/>
          <w:b/>
          <w:snapToGrid w:val="0"/>
          <w:sz w:val="21"/>
          <w:szCs w:val="21"/>
          <w:lang w:eastAsia="zh-CN"/>
        </w:rPr>
        <w:t>除外）</w:t>
      </w:r>
    </w:p>
    <w:tbl>
      <w:tblPr>
        <w:tblStyle w:val="76"/>
        <w:tblW w:w="889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59"/>
        <w:gridCol w:w="865"/>
        <w:gridCol w:w="836"/>
        <w:gridCol w:w="850"/>
        <w:gridCol w:w="851"/>
        <w:gridCol w:w="850"/>
        <w:gridCol w:w="851"/>
        <w:gridCol w:w="992"/>
        <w:gridCol w:w="851"/>
        <w:gridCol w:w="992"/>
      </w:tblGrid>
      <w:tr w14:paraId="32A2D8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Merge w:val="restart"/>
            <w:vAlign w:val="center"/>
          </w:tcPr>
          <w:p w14:paraId="5C1E32AB">
            <w:pPr>
              <w:pStyle w:val="518"/>
              <w:rPr>
                <w:snapToGrid w:val="0"/>
                <w:lang w:eastAsia="zh-CN"/>
              </w:rPr>
            </w:pPr>
            <w:r>
              <w:rPr>
                <w:snapToGrid w:val="0"/>
              </w:rPr>
              <w:t>监测</w:t>
            </w:r>
          </w:p>
          <w:p w14:paraId="7A2BDEE6">
            <w:pPr>
              <w:pStyle w:val="518"/>
              <w:rPr>
                <w:snapToGrid w:val="0"/>
              </w:rPr>
            </w:pPr>
            <w:r>
              <w:rPr>
                <w:snapToGrid w:val="0"/>
              </w:rPr>
              <w:t>项目</w:t>
            </w:r>
          </w:p>
        </w:tc>
        <w:tc>
          <w:tcPr>
            <w:tcW w:w="2551" w:type="dxa"/>
            <w:gridSpan w:val="3"/>
            <w:tcBorders>
              <w:bottom w:val="single" w:color="auto" w:sz="4" w:space="0"/>
            </w:tcBorders>
            <w:vAlign w:val="center"/>
          </w:tcPr>
          <w:p w14:paraId="40F34484">
            <w:pPr>
              <w:pStyle w:val="518"/>
            </w:pPr>
            <w:r>
              <w:rPr>
                <w:rFonts w:hint="eastAsia"/>
                <w:lang w:eastAsia="zh-CN"/>
              </w:rPr>
              <w:t>1#</w:t>
            </w:r>
          </w:p>
        </w:tc>
        <w:tc>
          <w:tcPr>
            <w:tcW w:w="2552" w:type="dxa"/>
            <w:gridSpan w:val="3"/>
            <w:vAlign w:val="center"/>
          </w:tcPr>
          <w:p w14:paraId="42558DA2">
            <w:pPr>
              <w:pStyle w:val="518"/>
              <w:rPr>
                <w:lang w:eastAsia="zh-CN"/>
              </w:rPr>
            </w:pPr>
            <w:r>
              <w:rPr>
                <w:rFonts w:hint="eastAsia"/>
                <w:lang w:eastAsia="zh-CN"/>
              </w:rPr>
              <w:t>2#</w:t>
            </w:r>
          </w:p>
        </w:tc>
        <w:tc>
          <w:tcPr>
            <w:tcW w:w="2835" w:type="dxa"/>
            <w:gridSpan w:val="3"/>
            <w:vAlign w:val="center"/>
          </w:tcPr>
          <w:p w14:paraId="092ECC1C">
            <w:pPr>
              <w:pStyle w:val="518"/>
              <w:rPr>
                <w:lang w:eastAsia="zh-CN"/>
              </w:rPr>
            </w:pPr>
            <w:r>
              <w:rPr>
                <w:rFonts w:hint="eastAsia"/>
                <w:lang w:eastAsia="zh-CN"/>
              </w:rPr>
              <w:t>3#</w:t>
            </w:r>
          </w:p>
        </w:tc>
      </w:tr>
      <w:tr w14:paraId="3E6BF5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Merge w:val="continue"/>
            <w:vAlign w:val="center"/>
          </w:tcPr>
          <w:p w14:paraId="712C01A4">
            <w:pPr>
              <w:pStyle w:val="518"/>
              <w:rPr>
                <w:snapToGrid w:val="0"/>
              </w:rPr>
            </w:pPr>
          </w:p>
        </w:tc>
        <w:tc>
          <w:tcPr>
            <w:tcW w:w="865" w:type="dxa"/>
            <w:tcBorders>
              <w:top w:val="single" w:color="auto" w:sz="4" w:space="0"/>
            </w:tcBorders>
            <w:vAlign w:val="center"/>
          </w:tcPr>
          <w:p w14:paraId="574756D6">
            <w:pPr>
              <w:pStyle w:val="518"/>
              <w:rPr>
                <w:snapToGrid w:val="0"/>
                <w:lang w:eastAsia="zh-CN"/>
              </w:rPr>
            </w:pPr>
            <w:r>
              <w:rPr>
                <w:rFonts w:hint="eastAsia" w:ascii="宋体" w:hAnsi="宋体"/>
                <w:lang w:eastAsia="zh-CN"/>
              </w:rPr>
              <w:t>0-20cm</w:t>
            </w:r>
          </w:p>
        </w:tc>
        <w:tc>
          <w:tcPr>
            <w:tcW w:w="836" w:type="dxa"/>
            <w:vAlign w:val="center"/>
          </w:tcPr>
          <w:p w14:paraId="325825CA">
            <w:pPr>
              <w:pStyle w:val="518"/>
              <w:rPr>
                <w:rFonts w:ascii="宋体" w:hAnsi="宋体"/>
                <w:lang w:eastAsia="zh-CN"/>
              </w:rPr>
            </w:pPr>
            <w:r>
              <w:rPr>
                <w:rFonts w:hint="eastAsia" w:ascii="宋体" w:hAnsi="宋体"/>
                <w:lang w:eastAsia="zh-CN"/>
              </w:rPr>
              <w:t>20-</w:t>
            </w:r>
          </w:p>
          <w:p w14:paraId="04F1B848">
            <w:pPr>
              <w:pStyle w:val="518"/>
              <w:rPr>
                <w:lang w:eastAsia="zh-CN"/>
              </w:rPr>
            </w:pPr>
            <w:r>
              <w:rPr>
                <w:rFonts w:hint="eastAsia" w:ascii="宋体" w:hAnsi="宋体"/>
                <w:lang w:eastAsia="zh-CN"/>
              </w:rPr>
              <w:t>60cm</w:t>
            </w:r>
          </w:p>
        </w:tc>
        <w:tc>
          <w:tcPr>
            <w:tcW w:w="850" w:type="dxa"/>
            <w:vAlign w:val="center"/>
          </w:tcPr>
          <w:p w14:paraId="6F9A6510">
            <w:pPr>
              <w:pStyle w:val="518"/>
              <w:rPr>
                <w:lang w:eastAsia="zh-CN"/>
              </w:rPr>
            </w:pPr>
            <w:r>
              <w:rPr>
                <w:rFonts w:hint="eastAsia"/>
                <w:lang w:eastAsia="zh-CN"/>
              </w:rPr>
              <w:t>60-</w:t>
            </w:r>
          </w:p>
          <w:p w14:paraId="18857F6C">
            <w:pPr>
              <w:pStyle w:val="518"/>
              <w:rPr>
                <w:lang w:eastAsia="zh-CN"/>
              </w:rPr>
            </w:pPr>
            <w:r>
              <w:rPr>
                <w:rFonts w:hint="eastAsia"/>
                <w:lang w:eastAsia="zh-CN"/>
              </w:rPr>
              <w:t>100cm</w:t>
            </w:r>
          </w:p>
        </w:tc>
        <w:tc>
          <w:tcPr>
            <w:tcW w:w="851" w:type="dxa"/>
            <w:vAlign w:val="center"/>
          </w:tcPr>
          <w:p w14:paraId="115B1B5E">
            <w:pPr>
              <w:pStyle w:val="518"/>
              <w:rPr>
                <w:snapToGrid w:val="0"/>
                <w:lang w:eastAsia="zh-CN"/>
              </w:rPr>
            </w:pPr>
            <w:r>
              <w:rPr>
                <w:rFonts w:hint="eastAsia" w:ascii="宋体" w:hAnsi="宋体"/>
                <w:lang w:eastAsia="zh-CN"/>
              </w:rPr>
              <w:t>0-20cm</w:t>
            </w:r>
          </w:p>
        </w:tc>
        <w:tc>
          <w:tcPr>
            <w:tcW w:w="850" w:type="dxa"/>
            <w:tcBorders>
              <w:right w:val="single" w:color="auto" w:sz="4" w:space="0"/>
            </w:tcBorders>
            <w:vAlign w:val="center"/>
          </w:tcPr>
          <w:p w14:paraId="1A920C75">
            <w:pPr>
              <w:pStyle w:val="518"/>
              <w:rPr>
                <w:rFonts w:ascii="宋体" w:hAnsi="宋体"/>
                <w:lang w:eastAsia="zh-CN"/>
              </w:rPr>
            </w:pPr>
            <w:r>
              <w:rPr>
                <w:rFonts w:hint="eastAsia" w:ascii="宋体" w:hAnsi="宋体"/>
                <w:lang w:eastAsia="zh-CN"/>
              </w:rPr>
              <w:t>20-</w:t>
            </w:r>
          </w:p>
          <w:p w14:paraId="2AE3D705">
            <w:pPr>
              <w:pStyle w:val="518"/>
              <w:rPr>
                <w:lang w:eastAsia="zh-CN"/>
              </w:rPr>
            </w:pPr>
            <w:r>
              <w:rPr>
                <w:rFonts w:hint="eastAsia" w:ascii="宋体" w:hAnsi="宋体"/>
                <w:lang w:eastAsia="zh-CN"/>
              </w:rPr>
              <w:t>60cm</w:t>
            </w:r>
          </w:p>
        </w:tc>
        <w:tc>
          <w:tcPr>
            <w:tcW w:w="851" w:type="dxa"/>
            <w:tcBorders>
              <w:left w:val="single" w:color="auto" w:sz="4" w:space="0"/>
            </w:tcBorders>
            <w:vAlign w:val="center"/>
          </w:tcPr>
          <w:p w14:paraId="224712F4">
            <w:pPr>
              <w:pStyle w:val="518"/>
              <w:rPr>
                <w:lang w:eastAsia="zh-CN"/>
              </w:rPr>
            </w:pPr>
            <w:r>
              <w:rPr>
                <w:rFonts w:hint="eastAsia"/>
                <w:lang w:eastAsia="zh-CN"/>
              </w:rPr>
              <w:t>60-</w:t>
            </w:r>
          </w:p>
          <w:p w14:paraId="65DFBCA8">
            <w:pPr>
              <w:pStyle w:val="518"/>
              <w:rPr>
                <w:lang w:eastAsia="zh-CN"/>
              </w:rPr>
            </w:pPr>
            <w:r>
              <w:rPr>
                <w:rFonts w:hint="eastAsia"/>
                <w:lang w:eastAsia="zh-CN"/>
              </w:rPr>
              <w:t>100cm</w:t>
            </w:r>
          </w:p>
        </w:tc>
        <w:tc>
          <w:tcPr>
            <w:tcW w:w="992" w:type="dxa"/>
            <w:tcBorders>
              <w:right w:val="single" w:color="auto" w:sz="4" w:space="0"/>
            </w:tcBorders>
            <w:vAlign w:val="center"/>
          </w:tcPr>
          <w:p w14:paraId="234A05A4">
            <w:pPr>
              <w:pStyle w:val="518"/>
              <w:rPr>
                <w:snapToGrid w:val="0"/>
                <w:lang w:eastAsia="zh-CN"/>
              </w:rPr>
            </w:pPr>
            <w:r>
              <w:rPr>
                <w:rFonts w:hint="eastAsia" w:ascii="宋体" w:hAnsi="宋体"/>
                <w:lang w:eastAsia="zh-CN"/>
              </w:rPr>
              <w:t>0-20cm</w:t>
            </w:r>
          </w:p>
        </w:tc>
        <w:tc>
          <w:tcPr>
            <w:tcW w:w="851" w:type="dxa"/>
            <w:tcBorders>
              <w:left w:val="single" w:color="auto" w:sz="4" w:space="0"/>
            </w:tcBorders>
            <w:vAlign w:val="center"/>
          </w:tcPr>
          <w:p w14:paraId="10C42995">
            <w:pPr>
              <w:pStyle w:val="518"/>
              <w:rPr>
                <w:rFonts w:ascii="宋体" w:hAnsi="宋体"/>
                <w:lang w:eastAsia="zh-CN"/>
              </w:rPr>
            </w:pPr>
            <w:r>
              <w:rPr>
                <w:rFonts w:hint="eastAsia" w:ascii="宋体" w:hAnsi="宋体"/>
                <w:lang w:eastAsia="zh-CN"/>
              </w:rPr>
              <w:t>20-</w:t>
            </w:r>
          </w:p>
          <w:p w14:paraId="71AC3247">
            <w:pPr>
              <w:pStyle w:val="518"/>
              <w:rPr>
                <w:lang w:eastAsia="zh-CN"/>
              </w:rPr>
            </w:pPr>
            <w:r>
              <w:rPr>
                <w:rFonts w:hint="eastAsia" w:ascii="宋体" w:hAnsi="宋体"/>
                <w:lang w:eastAsia="zh-CN"/>
              </w:rPr>
              <w:t>60cm</w:t>
            </w:r>
          </w:p>
        </w:tc>
        <w:tc>
          <w:tcPr>
            <w:tcW w:w="992" w:type="dxa"/>
            <w:vAlign w:val="center"/>
          </w:tcPr>
          <w:p w14:paraId="6747C776">
            <w:pPr>
              <w:pStyle w:val="518"/>
              <w:rPr>
                <w:lang w:eastAsia="zh-CN"/>
              </w:rPr>
            </w:pPr>
            <w:r>
              <w:rPr>
                <w:rFonts w:hint="eastAsia"/>
                <w:lang w:eastAsia="zh-CN"/>
              </w:rPr>
              <w:t>60-</w:t>
            </w:r>
          </w:p>
          <w:p w14:paraId="0F4798D4">
            <w:pPr>
              <w:pStyle w:val="518"/>
              <w:rPr>
                <w:lang w:eastAsia="zh-CN"/>
              </w:rPr>
            </w:pPr>
            <w:r>
              <w:rPr>
                <w:rFonts w:hint="eastAsia"/>
                <w:lang w:eastAsia="zh-CN"/>
              </w:rPr>
              <w:t>100cm</w:t>
            </w:r>
          </w:p>
        </w:tc>
      </w:tr>
      <w:tr w14:paraId="53FE3A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Align w:val="center"/>
          </w:tcPr>
          <w:p w14:paraId="2361A231">
            <w:pPr>
              <w:pStyle w:val="518"/>
              <w:rPr>
                <w:snapToGrid w:val="0"/>
              </w:rPr>
            </w:pPr>
            <w:r>
              <w:rPr>
                <w:snapToGrid w:val="0"/>
              </w:rPr>
              <w:t>pH</w:t>
            </w:r>
          </w:p>
        </w:tc>
        <w:tc>
          <w:tcPr>
            <w:tcW w:w="865" w:type="dxa"/>
            <w:vAlign w:val="center"/>
          </w:tcPr>
          <w:p w14:paraId="253556A8">
            <w:pPr>
              <w:pStyle w:val="518"/>
              <w:rPr>
                <w:lang w:eastAsia="zh-CN"/>
              </w:rPr>
            </w:pPr>
            <w:r>
              <w:rPr>
                <w:rFonts w:hint="eastAsia"/>
                <w:lang w:eastAsia="zh-CN"/>
              </w:rPr>
              <w:t>8.62</w:t>
            </w:r>
          </w:p>
        </w:tc>
        <w:tc>
          <w:tcPr>
            <w:tcW w:w="836" w:type="dxa"/>
            <w:vAlign w:val="center"/>
          </w:tcPr>
          <w:p w14:paraId="43FE9BCF">
            <w:pPr>
              <w:pStyle w:val="518"/>
              <w:rPr>
                <w:lang w:eastAsia="zh-CN"/>
              </w:rPr>
            </w:pPr>
            <w:r>
              <w:rPr>
                <w:rFonts w:hint="eastAsia"/>
                <w:lang w:eastAsia="zh-CN"/>
              </w:rPr>
              <w:t>8.14</w:t>
            </w:r>
          </w:p>
        </w:tc>
        <w:tc>
          <w:tcPr>
            <w:tcW w:w="850" w:type="dxa"/>
            <w:vAlign w:val="center"/>
          </w:tcPr>
          <w:p w14:paraId="1E7156C5">
            <w:pPr>
              <w:pStyle w:val="518"/>
            </w:pPr>
            <w:r>
              <w:rPr>
                <w:rFonts w:hint="eastAsia"/>
                <w:lang w:eastAsia="zh-CN"/>
              </w:rPr>
              <w:t>8.76</w:t>
            </w:r>
          </w:p>
        </w:tc>
        <w:tc>
          <w:tcPr>
            <w:tcW w:w="851" w:type="dxa"/>
            <w:vAlign w:val="center"/>
          </w:tcPr>
          <w:p w14:paraId="6A52B301">
            <w:pPr>
              <w:pStyle w:val="518"/>
              <w:rPr>
                <w:lang w:eastAsia="zh-CN"/>
              </w:rPr>
            </w:pPr>
            <w:r>
              <w:rPr>
                <w:rFonts w:hint="eastAsia"/>
                <w:lang w:eastAsia="zh-CN"/>
              </w:rPr>
              <w:t>8.63</w:t>
            </w:r>
          </w:p>
        </w:tc>
        <w:tc>
          <w:tcPr>
            <w:tcW w:w="850" w:type="dxa"/>
            <w:tcBorders>
              <w:right w:val="single" w:color="auto" w:sz="4" w:space="0"/>
            </w:tcBorders>
            <w:vAlign w:val="center"/>
          </w:tcPr>
          <w:p w14:paraId="455A7874">
            <w:pPr>
              <w:pStyle w:val="518"/>
            </w:pPr>
            <w:r>
              <w:rPr>
                <w:rFonts w:hint="eastAsia"/>
                <w:lang w:eastAsia="zh-CN"/>
              </w:rPr>
              <w:t>8.64</w:t>
            </w:r>
          </w:p>
        </w:tc>
        <w:tc>
          <w:tcPr>
            <w:tcW w:w="851" w:type="dxa"/>
            <w:tcBorders>
              <w:left w:val="single" w:color="auto" w:sz="4" w:space="0"/>
            </w:tcBorders>
            <w:vAlign w:val="center"/>
          </w:tcPr>
          <w:p w14:paraId="61162191">
            <w:pPr>
              <w:pStyle w:val="518"/>
              <w:rPr>
                <w:lang w:eastAsia="zh-CN"/>
              </w:rPr>
            </w:pPr>
            <w:r>
              <w:rPr>
                <w:rFonts w:hint="eastAsia"/>
                <w:lang w:eastAsia="zh-CN"/>
              </w:rPr>
              <w:t>8.69</w:t>
            </w:r>
          </w:p>
        </w:tc>
        <w:tc>
          <w:tcPr>
            <w:tcW w:w="992" w:type="dxa"/>
            <w:tcBorders>
              <w:right w:val="single" w:color="auto" w:sz="4" w:space="0"/>
            </w:tcBorders>
            <w:vAlign w:val="center"/>
          </w:tcPr>
          <w:p w14:paraId="0A0D554C">
            <w:pPr>
              <w:pStyle w:val="518"/>
              <w:rPr>
                <w:lang w:eastAsia="zh-CN"/>
              </w:rPr>
            </w:pPr>
            <w:r>
              <w:rPr>
                <w:rFonts w:hint="eastAsia"/>
                <w:lang w:eastAsia="zh-CN"/>
              </w:rPr>
              <w:t>8.58</w:t>
            </w:r>
          </w:p>
        </w:tc>
        <w:tc>
          <w:tcPr>
            <w:tcW w:w="851" w:type="dxa"/>
            <w:tcBorders>
              <w:left w:val="single" w:color="auto" w:sz="4" w:space="0"/>
            </w:tcBorders>
            <w:vAlign w:val="center"/>
          </w:tcPr>
          <w:p w14:paraId="3FFFD2F8">
            <w:pPr>
              <w:pStyle w:val="518"/>
              <w:rPr>
                <w:lang w:eastAsia="zh-CN"/>
              </w:rPr>
            </w:pPr>
            <w:r>
              <w:rPr>
                <w:rFonts w:hint="eastAsia"/>
                <w:lang w:eastAsia="zh-CN"/>
              </w:rPr>
              <w:t>8.61</w:t>
            </w:r>
          </w:p>
        </w:tc>
        <w:tc>
          <w:tcPr>
            <w:tcW w:w="992" w:type="dxa"/>
            <w:vAlign w:val="center"/>
          </w:tcPr>
          <w:p w14:paraId="4EDF3670">
            <w:pPr>
              <w:pStyle w:val="518"/>
            </w:pPr>
            <w:r>
              <w:rPr>
                <w:rFonts w:hint="eastAsia"/>
                <w:lang w:eastAsia="zh-CN"/>
              </w:rPr>
              <w:t>8.62</w:t>
            </w:r>
          </w:p>
        </w:tc>
      </w:tr>
      <w:tr w14:paraId="21E482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Align w:val="center"/>
          </w:tcPr>
          <w:p w14:paraId="539600F2">
            <w:pPr>
              <w:pStyle w:val="518"/>
              <w:rPr>
                <w:snapToGrid w:val="0"/>
              </w:rPr>
            </w:pPr>
            <w:r>
              <w:rPr>
                <w:snapToGrid w:val="0"/>
              </w:rPr>
              <w:t>铬</w:t>
            </w:r>
          </w:p>
        </w:tc>
        <w:tc>
          <w:tcPr>
            <w:tcW w:w="865" w:type="dxa"/>
            <w:vAlign w:val="center"/>
          </w:tcPr>
          <w:p w14:paraId="4821417D">
            <w:pPr>
              <w:pStyle w:val="518"/>
              <w:rPr>
                <w:lang w:eastAsia="zh-CN"/>
              </w:rPr>
            </w:pPr>
            <w:r>
              <w:rPr>
                <w:rFonts w:hint="eastAsia"/>
                <w:lang w:eastAsia="zh-CN"/>
              </w:rPr>
              <w:t>41.8</w:t>
            </w:r>
          </w:p>
        </w:tc>
        <w:tc>
          <w:tcPr>
            <w:tcW w:w="836" w:type="dxa"/>
            <w:vAlign w:val="center"/>
          </w:tcPr>
          <w:p w14:paraId="61209F23">
            <w:pPr>
              <w:pStyle w:val="518"/>
              <w:rPr>
                <w:lang w:eastAsia="zh-CN"/>
              </w:rPr>
            </w:pPr>
            <w:r>
              <w:rPr>
                <w:rFonts w:hint="eastAsia"/>
                <w:lang w:eastAsia="zh-CN"/>
              </w:rPr>
              <w:t>32.9</w:t>
            </w:r>
          </w:p>
        </w:tc>
        <w:tc>
          <w:tcPr>
            <w:tcW w:w="850" w:type="dxa"/>
            <w:vAlign w:val="center"/>
          </w:tcPr>
          <w:p w14:paraId="106CD4B4">
            <w:pPr>
              <w:pStyle w:val="518"/>
              <w:rPr>
                <w:lang w:eastAsia="zh-CN"/>
              </w:rPr>
            </w:pPr>
            <w:r>
              <w:rPr>
                <w:rFonts w:hint="eastAsia"/>
                <w:lang w:eastAsia="zh-CN"/>
              </w:rPr>
              <w:t>40.4</w:t>
            </w:r>
          </w:p>
        </w:tc>
        <w:tc>
          <w:tcPr>
            <w:tcW w:w="851" w:type="dxa"/>
            <w:vAlign w:val="center"/>
          </w:tcPr>
          <w:p w14:paraId="2C4665A5">
            <w:pPr>
              <w:pStyle w:val="518"/>
              <w:rPr>
                <w:lang w:eastAsia="zh-CN"/>
              </w:rPr>
            </w:pPr>
            <w:r>
              <w:rPr>
                <w:rFonts w:hint="eastAsia"/>
                <w:lang w:eastAsia="zh-CN"/>
              </w:rPr>
              <w:t>40.9</w:t>
            </w:r>
          </w:p>
        </w:tc>
        <w:tc>
          <w:tcPr>
            <w:tcW w:w="850" w:type="dxa"/>
            <w:tcBorders>
              <w:right w:val="single" w:color="auto" w:sz="4" w:space="0"/>
            </w:tcBorders>
            <w:vAlign w:val="center"/>
          </w:tcPr>
          <w:p w14:paraId="5DB7EDEF">
            <w:pPr>
              <w:pStyle w:val="518"/>
              <w:rPr>
                <w:snapToGrid w:val="0"/>
                <w:lang w:eastAsia="zh-CN"/>
              </w:rPr>
            </w:pPr>
            <w:r>
              <w:rPr>
                <w:rFonts w:hint="eastAsia"/>
                <w:snapToGrid w:val="0"/>
                <w:lang w:eastAsia="zh-CN"/>
              </w:rPr>
              <w:t>32.5</w:t>
            </w:r>
          </w:p>
        </w:tc>
        <w:tc>
          <w:tcPr>
            <w:tcW w:w="851" w:type="dxa"/>
            <w:tcBorders>
              <w:left w:val="single" w:color="auto" w:sz="4" w:space="0"/>
            </w:tcBorders>
            <w:vAlign w:val="center"/>
          </w:tcPr>
          <w:p w14:paraId="250196AD">
            <w:pPr>
              <w:pStyle w:val="518"/>
              <w:rPr>
                <w:snapToGrid w:val="0"/>
                <w:lang w:eastAsia="zh-CN"/>
              </w:rPr>
            </w:pPr>
            <w:r>
              <w:rPr>
                <w:rFonts w:hint="eastAsia"/>
                <w:snapToGrid w:val="0"/>
                <w:lang w:eastAsia="zh-CN"/>
              </w:rPr>
              <w:t>39.3</w:t>
            </w:r>
          </w:p>
        </w:tc>
        <w:tc>
          <w:tcPr>
            <w:tcW w:w="992" w:type="dxa"/>
            <w:tcBorders>
              <w:right w:val="single" w:color="auto" w:sz="4" w:space="0"/>
            </w:tcBorders>
            <w:vAlign w:val="center"/>
          </w:tcPr>
          <w:p w14:paraId="4A044F38">
            <w:pPr>
              <w:pStyle w:val="518"/>
              <w:rPr>
                <w:lang w:eastAsia="zh-CN"/>
              </w:rPr>
            </w:pPr>
            <w:r>
              <w:rPr>
                <w:rFonts w:hint="eastAsia"/>
                <w:lang w:eastAsia="zh-CN"/>
              </w:rPr>
              <w:t>42.1</w:t>
            </w:r>
          </w:p>
        </w:tc>
        <w:tc>
          <w:tcPr>
            <w:tcW w:w="851" w:type="dxa"/>
            <w:tcBorders>
              <w:left w:val="single" w:color="auto" w:sz="4" w:space="0"/>
            </w:tcBorders>
            <w:vAlign w:val="center"/>
          </w:tcPr>
          <w:p w14:paraId="405E5B1F">
            <w:pPr>
              <w:pStyle w:val="518"/>
              <w:rPr>
                <w:lang w:eastAsia="zh-CN"/>
              </w:rPr>
            </w:pPr>
            <w:r>
              <w:rPr>
                <w:rFonts w:hint="eastAsia"/>
                <w:lang w:eastAsia="zh-CN"/>
              </w:rPr>
              <w:t>36.8</w:t>
            </w:r>
          </w:p>
        </w:tc>
        <w:tc>
          <w:tcPr>
            <w:tcW w:w="992" w:type="dxa"/>
            <w:vAlign w:val="center"/>
          </w:tcPr>
          <w:p w14:paraId="10053203">
            <w:pPr>
              <w:pStyle w:val="518"/>
              <w:rPr>
                <w:snapToGrid w:val="0"/>
                <w:lang w:eastAsia="zh-CN"/>
              </w:rPr>
            </w:pPr>
            <w:r>
              <w:rPr>
                <w:rFonts w:hint="eastAsia"/>
                <w:snapToGrid w:val="0"/>
                <w:lang w:eastAsia="zh-CN"/>
              </w:rPr>
              <w:t>41.8</w:t>
            </w:r>
          </w:p>
        </w:tc>
      </w:tr>
      <w:tr w14:paraId="6FE40C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Align w:val="center"/>
          </w:tcPr>
          <w:p w14:paraId="7459DECC">
            <w:pPr>
              <w:pStyle w:val="518"/>
              <w:rPr>
                <w:snapToGrid w:val="0"/>
              </w:rPr>
            </w:pPr>
            <w:r>
              <w:rPr>
                <w:snapToGrid w:val="0"/>
                <w:lang w:eastAsia="zh-CN"/>
              </w:rPr>
              <w:t>汞</w:t>
            </w:r>
          </w:p>
        </w:tc>
        <w:tc>
          <w:tcPr>
            <w:tcW w:w="865" w:type="dxa"/>
            <w:vAlign w:val="center"/>
          </w:tcPr>
          <w:p w14:paraId="64690494">
            <w:pPr>
              <w:pStyle w:val="518"/>
              <w:rPr>
                <w:lang w:eastAsia="zh-CN"/>
              </w:rPr>
            </w:pPr>
            <w:r>
              <w:rPr>
                <w:rFonts w:hint="eastAsia"/>
                <w:lang w:eastAsia="zh-CN"/>
              </w:rPr>
              <w:t>0.097</w:t>
            </w:r>
          </w:p>
        </w:tc>
        <w:tc>
          <w:tcPr>
            <w:tcW w:w="836" w:type="dxa"/>
            <w:vAlign w:val="center"/>
          </w:tcPr>
          <w:p w14:paraId="28961424">
            <w:pPr>
              <w:pStyle w:val="518"/>
              <w:rPr>
                <w:lang w:eastAsia="zh-CN"/>
              </w:rPr>
            </w:pPr>
            <w:r>
              <w:rPr>
                <w:rFonts w:hint="eastAsia"/>
                <w:lang w:eastAsia="zh-CN"/>
              </w:rPr>
              <w:t>0.100</w:t>
            </w:r>
          </w:p>
        </w:tc>
        <w:tc>
          <w:tcPr>
            <w:tcW w:w="850" w:type="dxa"/>
            <w:vAlign w:val="center"/>
          </w:tcPr>
          <w:p w14:paraId="6A2826D1">
            <w:pPr>
              <w:pStyle w:val="518"/>
              <w:rPr>
                <w:lang w:eastAsia="zh-CN"/>
              </w:rPr>
            </w:pPr>
            <w:r>
              <w:rPr>
                <w:rFonts w:hint="eastAsia"/>
                <w:lang w:eastAsia="zh-CN"/>
              </w:rPr>
              <w:t>0.264</w:t>
            </w:r>
          </w:p>
        </w:tc>
        <w:tc>
          <w:tcPr>
            <w:tcW w:w="851" w:type="dxa"/>
            <w:vAlign w:val="center"/>
          </w:tcPr>
          <w:p w14:paraId="2ED04831">
            <w:pPr>
              <w:pStyle w:val="518"/>
              <w:rPr>
                <w:lang w:eastAsia="zh-CN"/>
              </w:rPr>
            </w:pPr>
            <w:r>
              <w:rPr>
                <w:rFonts w:hint="eastAsia"/>
                <w:lang w:eastAsia="zh-CN"/>
              </w:rPr>
              <w:t>0.096</w:t>
            </w:r>
          </w:p>
        </w:tc>
        <w:tc>
          <w:tcPr>
            <w:tcW w:w="850" w:type="dxa"/>
            <w:tcBorders>
              <w:right w:val="single" w:color="auto" w:sz="4" w:space="0"/>
            </w:tcBorders>
            <w:vAlign w:val="center"/>
          </w:tcPr>
          <w:p w14:paraId="2A400F13">
            <w:pPr>
              <w:pStyle w:val="518"/>
              <w:rPr>
                <w:snapToGrid w:val="0"/>
                <w:lang w:eastAsia="zh-CN"/>
              </w:rPr>
            </w:pPr>
            <w:r>
              <w:rPr>
                <w:rFonts w:hint="eastAsia"/>
                <w:snapToGrid w:val="0"/>
                <w:lang w:eastAsia="zh-CN"/>
              </w:rPr>
              <w:t>0.099</w:t>
            </w:r>
          </w:p>
        </w:tc>
        <w:tc>
          <w:tcPr>
            <w:tcW w:w="851" w:type="dxa"/>
            <w:tcBorders>
              <w:left w:val="single" w:color="auto" w:sz="4" w:space="0"/>
            </w:tcBorders>
            <w:vAlign w:val="center"/>
          </w:tcPr>
          <w:p w14:paraId="4328FF18">
            <w:pPr>
              <w:pStyle w:val="518"/>
              <w:rPr>
                <w:snapToGrid w:val="0"/>
                <w:lang w:eastAsia="zh-CN"/>
              </w:rPr>
            </w:pPr>
            <w:r>
              <w:rPr>
                <w:rFonts w:hint="eastAsia"/>
                <w:snapToGrid w:val="0"/>
                <w:lang w:eastAsia="zh-CN"/>
              </w:rPr>
              <w:t>0.262</w:t>
            </w:r>
          </w:p>
        </w:tc>
        <w:tc>
          <w:tcPr>
            <w:tcW w:w="992" w:type="dxa"/>
            <w:tcBorders>
              <w:right w:val="single" w:color="auto" w:sz="4" w:space="0"/>
            </w:tcBorders>
            <w:vAlign w:val="center"/>
          </w:tcPr>
          <w:p w14:paraId="2A7AA276">
            <w:pPr>
              <w:pStyle w:val="518"/>
              <w:rPr>
                <w:lang w:eastAsia="zh-CN"/>
              </w:rPr>
            </w:pPr>
            <w:r>
              <w:rPr>
                <w:rFonts w:hint="eastAsia"/>
                <w:lang w:eastAsia="zh-CN"/>
              </w:rPr>
              <w:t>0.101</w:t>
            </w:r>
          </w:p>
        </w:tc>
        <w:tc>
          <w:tcPr>
            <w:tcW w:w="851" w:type="dxa"/>
            <w:tcBorders>
              <w:left w:val="single" w:color="auto" w:sz="4" w:space="0"/>
            </w:tcBorders>
            <w:vAlign w:val="center"/>
          </w:tcPr>
          <w:p w14:paraId="6E577729">
            <w:pPr>
              <w:pStyle w:val="518"/>
              <w:rPr>
                <w:lang w:eastAsia="zh-CN"/>
              </w:rPr>
            </w:pPr>
            <w:r>
              <w:rPr>
                <w:rFonts w:hint="eastAsia"/>
                <w:lang w:eastAsia="zh-CN"/>
              </w:rPr>
              <w:t>0.103</w:t>
            </w:r>
          </w:p>
        </w:tc>
        <w:tc>
          <w:tcPr>
            <w:tcW w:w="992" w:type="dxa"/>
            <w:vAlign w:val="center"/>
          </w:tcPr>
          <w:p w14:paraId="5BACD340">
            <w:pPr>
              <w:pStyle w:val="518"/>
              <w:rPr>
                <w:snapToGrid w:val="0"/>
                <w:lang w:eastAsia="zh-CN"/>
              </w:rPr>
            </w:pPr>
            <w:r>
              <w:rPr>
                <w:rFonts w:hint="eastAsia"/>
                <w:snapToGrid w:val="0"/>
                <w:lang w:eastAsia="zh-CN"/>
              </w:rPr>
              <w:t>0.266</w:t>
            </w:r>
          </w:p>
        </w:tc>
      </w:tr>
      <w:tr w14:paraId="63D7DA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Align w:val="center"/>
          </w:tcPr>
          <w:p w14:paraId="24A99C83">
            <w:pPr>
              <w:pStyle w:val="518"/>
              <w:rPr>
                <w:snapToGrid w:val="0"/>
              </w:rPr>
            </w:pPr>
            <w:r>
              <w:rPr>
                <w:snapToGrid w:val="0"/>
              </w:rPr>
              <w:t>砷</w:t>
            </w:r>
          </w:p>
        </w:tc>
        <w:tc>
          <w:tcPr>
            <w:tcW w:w="865" w:type="dxa"/>
            <w:vAlign w:val="center"/>
          </w:tcPr>
          <w:p w14:paraId="0AAAD685">
            <w:pPr>
              <w:pStyle w:val="518"/>
              <w:rPr>
                <w:lang w:eastAsia="zh-CN"/>
              </w:rPr>
            </w:pPr>
            <w:r>
              <w:rPr>
                <w:rFonts w:hint="eastAsia"/>
                <w:lang w:eastAsia="zh-CN"/>
              </w:rPr>
              <w:t>3.80</w:t>
            </w:r>
          </w:p>
        </w:tc>
        <w:tc>
          <w:tcPr>
            <w:tcW w:w="836" w:type="dxa"/>
            <w:vAlign w:val="center"/>
          </w:tcPr>
          <w:p w14:paraId="0B332032">
            <w:pPr>
              <w:pStyle w:val="518"/>
              <w:rPr>
                <w:lang w:eastAsia="zh-CN"/>
              </w:rPr>
            </w:pPr>
            <w:r>
              <w:rPr>
                <w:rFonts w:hint="eastAsia"/>
                <w:lang w:eastAsia="zh-CN"/>
              </w:rPr>
              <w:t>3.63</w:t>
            </w:r>
          </w:p>
        </w:tc>
        <w:tc>
          <w:tcPr>
            <w:tcW w:w="850" w:type="dxa"/>
            <w:vAlign w:val="center"/>
          </w:tcPr>
          <w:p w14:paraId="786B6B31">
            <w:pPr>
              <w:pStyle w:val="518"/>
              <w:rPr>
                <w:lang w:eastAsia="zh-CN"/>
              </w:rPr>
            </w:pPr>
            <w:r>
              <w:rPr>
                <w:rFonts w:hint="eastAsia"/>
                <w:lang w:eastAsia="zh-CN"/>
              </w:rPr>
              <w:t>3.74</w:t>
            </w:r>
          </w:p>
        </w:tc>
        <w:tc>
          <w:tcPr>
            <w:tcW w:w="851" w:type="dxa"/>
            <w:vAlign w:val="center"/>
          </w:tcPr>
          <w:p w14:paraId="54B18C4B">
            <w:pPr>
              <w:pStyle w:val="518"/>
              <w:rPr>
                <w:lang w:eastAsia="zh-CN"/>
              </w:rPr>
            </w:pPr>
            <w:r>
              <w:rPr>
                <w:rFonts w:hint="eastAsia"/>
                <w:lang w:eastAsia="zh-CN"/>
              </w:rPr>
              <w:t>3.76</w:t>
            </w:r>
          </w:p>
        </w:tc>
        <w:tc>
          <w:tcPr>
            <w:tcW w:w="850" w:type="dxa"/>
            <w:tcBorders>
              <w:right w:val="single" w:color="auto" w:sz="4" w:space="0"/>
            </w:tcBorders>
            <w:vAlign w:val="center"/>
          </w:tcPr>
          <w:p w14:paraId="1C67435B">
            <w:pPr>
              <w:pStyle w:val="518"/>
              <w:rPr>
                <w:snapToGrid w:val="0"/>
                <w:lang w:eastAsia="zh-CN"/>
              </w:rPr>
            </w:pPr>
            <w:r>
              <w:rPr>
                <w:rFonts w:hint="eastAsia"/>
                <w:snapToGrid w:val="0"/>
                <w:lang w:eastAsia="zh-CN"/>
              </w:rPr>
              <w:t>3.56</w:t>
            </w:r>
          </w:p>
        </w:tc>
        <w:tc>
          <w:tcPr>
            <w:tcW w:w="851" w:type="dxa"/>
            <w:tcBorders>
              <w:left w:val="single" w:color="auto" w:sz="4" w:space="0"/>
            </w:tcBorders>
            <w:vAlign w:val="center"/>
          </w:tcPr>
          <w:p w14:paraId="7E6AF41E">
            <w:pPr>
              <w:pStyle w:val="518"/>
              <w:rPr>
                <w:snapToGrid w:val="0"/>
                <w:lang w:eastAsia="zh-CN"/>
              </w:rPr>
            </w:pPr>
            <w:r>
              <w:rPr>
                <w:rFonts w:hint="eastAsia"/>
                <w:snapToGrid w:val="0"/>
                <w:lang w:eastAsia="zh-CN"/>
              </w:rPr>
              <w:t>3.67</w:t>
            </w:r>
          </w:p>
        </w:tc>
        <w:tc>
          <w:tcPr>
            <w:tcW w:w="992" w:type="dxa"/>
            <w:tcBorders>
              <w:right w:val="single" w:color="auto" w:sz="4" w:space="0"/>
            </w:tcBorders>
            <w:vAlign w:val="center"/>
          </w:tcPr>
          <w:p w14:paraId="3D20C05D">
            <w:pPr>
              <w:pStyle w:val="518"/>
              <w:rPr>
                <w:lang w:eastAsia="zh-CN"/>
              </w:rPr>
            </w:pPr>
            <w:r>
              <w:rPr>
                <w:rFonts w:hint="eastAsia"/>
                <w:lang w:eastAsia="zh-CN"/>
              </w:rPr>
              <w:t>3.83</w:t>
            </w:r>
          </w:p>
        </w:tc>
        <w:tc>
          <w:tcPr>
            <w:tcW w:w="851" w:type="dxa"/>
            <w:tcBorders>
              <w:left w:val="single" w:color="auto" w:sz="4" w:space="0"/>
            </w:tcBorders>
            <w:vAlign w:val="center"/>
          </w:tcPr>
          <w:p w14:paraId="29E3D230">
            <w:pPr>
              <w:pStyle w:val="518"/>
              <w:rPr>
                <w:lang w:eastAsia="zh-CN"/>
              </w:rPr>
            </w:pPr>
            <w:r>
              <w:rPr>
                <w:rFonts w:hint="eastAsia"/>
                <w:lang w:eastAsia="zh-CN"/>
              </w:rPr>
              <w:t>3.61</w:t>
            </w:r>
          </w:p>
        </w:tc>
        <w:tc>
          <w:tcPr>
            <w:tcW w:w="992" w:type="dxa"/>
            <w:vAlign w:val="center"/>
          </w:tcPr>
          <w:p w14:paraId="2AC82AC1">
            <w:pPr>
              <w:pStyle w:val="518"/>
              <w:rPr>
                <w:snapToGrid w:val="0"/>
                <w:lang w:eastAsia="zh-CN"/>
              </w:rPr>
            </w:pPr>
            <w:r>
              <w:rPr>
                <w:rFonts w:hint="eastAsia"/>
                <w:snapToGrid w:val="0"/>
                <w:lang w:eastAsia="zh-CN"/>
              </w:rPr>
              <w:t>3.73</w:t>
            </w:r>
          </w:p>
        </w:tc>
      </w:tr>
      <w:tr w14:paraId="30F406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Align w:val="center"/>
          </w:tcPr>
          <w:p w14:paraId="1204A35F">
            <w:pPr>
              <w:pStyle w:val="518"/>
              <w:rPr>
                <w:snapToGrid w:val="0"/>
              </w:rPr>
            </w:pPr>
            <w:r>
              <w:t>铜</w:t>
            </w:r>
          </w:p>
        </w:tc>
        <w:tc>
          <w:tcPr>
            <w:tcW w:w="865" w:type="dxa"/>
            <w:vAlign w:val="center"/>
          </w:tcPr>
          <w:p w14:paraId="0F481CBA">
            <w:pPr>
              <w:pStyle w:val="518"/>
              <w:rPr>
                <w:lang w:eastAsia="zh-CN"/>
              </w:rPr>
            </w:pPr>
            <w:r>
              <w:rPr>
                <w:rFonts w:hint="eastAsia"/>
                <w:lang w:eastAsia="zh-CN"/>
              </w:rPr>
              <w:t>24.2</w:t>
            </w:r>
          </w:p>
        </w:tc>
        <w:tc>
          <w:tcPr>
            <w:tcW w:w="836" w:type="dxa"/>
            <w:vAlign w:val="center"/>
          </w:tcPr>
          <w:p w14:paraId="1C96F666">
            <w:pPr>
              <w:pStyle w:val="518"/>
              <w:rPr>
                <w:lang w:eastAsia="zh-CN"/>
              </w:rPr>
            </w:pPr>
            <w:r>
              <w:rPr>
                <w:rFonts w:hint="eastAsia"/>
                <w:lang w:eastAsia="zh-CN"/>
              </w:rPr>
              <w:t>23.6</w:t>
            </w:r>
          </w:p>
        </w:tc>
        <w:tc>
          <w:tcPr>
            <w:tcW w:w="850" w:type="dxa"/>
            <w:vAlign w:val="center"/>
          </w:tcPr>
          <w:p w14:paraId="0BD529E2">
            <w:pPr>
              <w:pStyle w:val="518"/>
              <w:rPr>
                <w:lang w:eastAsia="zh-CN"/>
              </w:rPr>
            </w:pPr>
            <w:r>
              <w:rPr>
                <w:rFonts w:hint="eastAsia"/>
                <w:lang w:eastAsia="zh-CN"/>
              </w:rPr>
              <w:t>22.4</w:t>
            </w:r>
          </w:p>
        </w:tc>
        <w:tc>
          <w:tcPr>
            <w:tcW w:w="851" w:type="dxa"/>
            <w:vAlign w:val="center"/>
          </w:tcPr>
          <w:p w14:paraId="7CDD7661">
            <w:pPr>
              <w:pStyle w:val="518"/>
              <w:rPr>
                <w:lang w:eastAsia="zh-CN"/>
              </w:rPr>
            </w:pPr>
            <w:r>
              <w:rPr>
                <w:rFonts w:hint="eastAsia"/>
                <w:lang w:eastAsia="zh-CN"/>
              </w:rPr>
              <w:t>23.8</w:t>
            </w:r>
          </w:p>
        </w:tc>
        <w:tc>
          <w:tcPr>
            <w:tcW w:w="850" w:type="dxa"/>
            <w:tcBorders>
              <w:right w:val="single" w:color="auto" w:sz="4" w:space="0"/>
            </w:tcBorders>
            <w:vAlign w:val="center"/>
          </w:tcPr>
          <w:p w14:paraId="5F170244">
            <w:pPr>
              <w:pStyle w:val="518"/>
              <w:rPr>
                <w:snapToGrid w:val="0"/>
                <w:lang w:eastAsia="zh-CN"/>
              </w:rPr>
            </w:pPr>
            <w:r>
              <w:rPr>
                <w:rFonts w:hint="eastAsia"/>
                <w:snapToGrid w:val="0"/>
                <w:lang w:eastAsia="zh-CN"/>
              </w:rPr>
              <w:t>22.7</w:t>
            </w:r>
          </w:p>
        </w:tc>
        <w:tc>
          <w:tcPr>
            <w:tcW w:w="851" w:type="dxa"/>
            <w:tcBorders>
              <w:left w:val="single" w:color="auto" w:sz="4" w:space="0"/>
            </w:tcBorders>
            <w:vAlign w:val="center"/>
          </w:tcPr>
          <w:p w14:paraId="649159E0">
            <w:pPr>
              <w:pStyle w:val="518"/>
              <w:rPr>
                <w:snapToGrid w:val="0"/>
                <w:lang w:eastAsia="zh-CN"/>
              </w:rPr>
            </w:pPr>
            <w:r>
              <w:rPr>
                <w:rFonts w:hint="eastAsia"/>
                <w:snapToGrid w:val="0"/>
                <w:lang w:eastAsia="zh-CN"/>
              </w:rPr>
              <w:t>21.6</w:t>
            </w:r>
          </w:p>
        </w:tc>
        <w:tc>
          <w:tcPr>
            <w:tcW w:w="992" w:type="dxa"/>
            <w:tcBorders>
              <w:right w:val="single" w:color="auto" w:sz="4" w:space="0"/>
            </w:tcBorders>
            <w:vAlign w:val="center"/>
          </w:tcPr>
          <w:p w14:paraId="27229E16">
            <w:pPr>
              <w:pStyle w:val="518"/>
              <w:rPr>
                <w:lang w:eastAsia="zh-CN"/>
              </w:rPr>
            </w:pPr>
            <w:r>
              <w:rPr>
                <w:rFonts w:hint="eastAsia"/>
                <w:lang w:eastAsia="zh-CN"/>
              </w:rPr>
              <w:t>25.6</w:t>
            </w:r>
          </w:p>
        </w:tc>
        <w:tc>
          <w:tcPr>
            <w:tcW w:w="851" w:type="dxa"/>
            <w:tcBorders>
              <w:left w:val="single" w:color="auto" w:sz="4" w:space="0"/>
            </w:tcBorders>
            <w:vAlign w:val="center"/>
          </w:tcPr>
          <w:p w14:paraId="354115F0">
            <w:pPr>
              <w:pStyle w:val="518"/>
              <w:rPr>
                <w:lang w:eastAsia="zh-CN"/>
              </w:rPr>
            </w:pPr>
            <w:r>
              <w:rPr>
                <w:rFonts w:hint="eastAsia"/>
                <w:lang w:eastAsia="zh-CN"/>
              </w:rPr>
              <w:t>24.1</w:t>
            </w:r>
          </w:p>
        </w:tc>
        <w:tc>
          <w:tcPr>
            <w:tcW w:w="992" w:type="dxa"/>
            <w:vAlign w:val="center"/>
          </w:tcPr>
          <w:p w14:paraId="2C688C20">
            <w:pPr>
              <w:pStyle w:val="518"/>
              <w:rPr>
                <w:snapToGrid w:val="0"/>
                <w:lang w:eastAsia="zh-CN"/>
              </w:rPr>
            </w:pPr>
            <w:r>
              <w:rPr>
                <w:rFonts w:hint="eastAsia"/>
                <w:snapToGrid w:val="0"/>
                <w:lang w:eastAsia="zh-CN"/>
              </w:rPr>
              <w:t>23.6</w:t>
            </w:r>
          </w:p>
        </w:tc>
      </w:tr>
      <w:tr w14:paraId="2366D6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Align w:val="center"/>
          </w:tcPr>
          <w:p w14:paraId="337DB9A2">
            <w:pPr>
              <w:pStyle w:val="518"/>
              <w:rPr>
                <w:snapToGrid w:val="0"/>
                <w:lang w:eastAsia="zh-CN"/>
              </w:rPr>
            </w:pPr>
            <w:r>
              <w:rPr>
                <w:snapToGrid w:val="0"/>
                <w:lang w:eastAsia="zh-CN"/>
              </w:rPr>
              <w:t>锌</w:t>
            </w:r>
          </w:p>
        </w:tc>
        <w:tc>
          <w:tcPr>
            <w:tcW w:w="865" w:type="dxa"/>
            <w:vAlign w:val="center"/>
          </w:tcPr>
          <w:p w14:paraId="2D8F87B9">
            <w:pPr>
              <w:pStyle w:val="518"/>
              <w:rPr>
                <w:lang w:eastAsia="zh-CN"/>
              </w:rPr>
            </w:pPr>
            <w:r>
              <w:rPr>
                <w:rFonts w:hint="eastAsia"/>
                <w:lang w:eastAsia="zh-CN"/>
              </w:rPr>
              <w:t>65.5</w:t>
            </w:r>
          </w:p>
        </w:tc>
        <w:tc>
          <w:tcPr>
            <w:tcW w:w="836" w:type="dxa"/>
            <w:vAlign w:val="center"/>
          </w:tcPr>
          <w:p w14:paraId="10AC10DA">
            <w:pPr>
              <w:pStyle w:val="518"/>
              <w:rPr>
                <w:lang w:eastAsia="zh-CN"/>
              </w:rPr>
            </w:pPr>
            <w:r>
              <w:rPr>
                <w:rFonts w:hint="eastAsia"/>
                <w:lang w:eastAsia="zh-CN"/>
              </w:rPr>
              <w:t>59.6</w:t>
            </w:r>
          </w:p>
        </w:tc>
        <w:tc>
          <w:tcPr>
            <w:tcW w:w="850" w:type="dxa"/>
            <w:vAlign w:val="center"/>
          </w:tcPr>
          <w:p w14:paraId="4792826D">
            <w:pPr>
              <w:pStyle w:val="518"/>
              <w:rPr>
                <w:lang w:eastAsia="zh-CN"/>
              </w:rPr>
            </w:pPr>
            <w:r>
              <w:rPr>
                <w:rFonts w:hint="eastAsia"/>
                <w:lang w:eastAsia="zh-CN"/>
              </w:rPr>
              <w:t>53.3</w:t>
            </w:r>
          </w:p>
        </w:tc>
        <w:tc>
          <w:tcPr>
            <w:tcW w:w="851" w:type="dxa"/>
            <w:vAlign w:val="center"/>
          </w:tcPr>
          <w:p w14:paraId="2C77C66D">
            <w:pPr>
              <w:pStyle w:val="518"/>
              <w:rPr>
                <w:lang w:eastAsia="zh-CN"/>
              </w:rPr>
            </w:pPr>
            <w:r>
              <w:rPr>
                <w:rFonts w:hint="eastAsia"/>
                <w:lang w:eastAsia="zh-CN"/>
              </w:rPr>
              <w:t>64.3</w:t>
            </w:r>
          </w:p>
        </w:tc>
        <w:tc>
          <w:tcPr>
            <w:tcW w:w="850" w:type="dxa"/>
            <w:tcBorders>
              <w:right w:val="single" w:color="auto" w:sz="4" w:space="0"/>
            </w:tcBorders>
            <w:vAlign w:val="center"/>
          </w:tcPr>
          <w:p w14:paraId="7B9958F2">
            <w:pPr>
              <w:pStyle w:val="518"/>
              <w:rPr>
                <w:snapToGrid w:val="0"/>
                <w:lang w:eastAsia="zh-CN"/>
              </w:rPr>
            </w:pPr>
            <w:r>
              <w:rPr>
                <w:rFonts w:hint="eastAsia"/>
                <w:snapToGrid w:val="0"/>
                <w:lang w:eastAsia="zh-CN"/>
              </w:rPr>
              <w:t>58.9</w:t>
            </w:r>
          </w:p>
        </w:tc>
        <w:tc>
          <w:tcPr>
            <w:tcW w:w="851" w:type="dxa"/>
            <w:tcBorders>
              <w:left w:val="single" w:color="auto" w:sz="4" w:space="0"/>
            </w:tcBorders>
            <w:vAlign w:val="center"/>
          </w:tcPr>
          <w:p w14:paraId="102A039E">
            <w:pPr>
              <w:pStyle w:val="518"/>
              <w:rPr>
                <w:snapToGrid w:val="0"/>
                <w:lang w:eastAsia="zh-CN"/>
              </w:rPr>
            </w:pPr>
            <w:r>
              <w:rPr>
                <w:rFonts w:hint="eastAsia"/>
                <w:snapToGrid w:val="0"/>
                <w:lang w:eastAsia="zh-CN"/>
              </w:rPr>
              <w:t>54.8</w:t>
            </w:r>
          </w:p>
        </w:tc>
        <w:tc>
          <w:tcPr>
            <w:tcW w:w="992" w:type="dxa"/>
            <w:tcBorders>
              <w:right w:val="single" w:color="auto" w:sz="4" w:space="0"/>
            </w:tcBorders>
            <w:vAlign w:val="center"/>
          </w:tcPr>
          <w:p w14:paraId="5E13CBD7">
            <w:pPr>
              <w:pStyle w:val="518"/>
              <w:rPr>
                <w:lang w:eastAsia="zh-CN"/>
              </w:rPr>
            </w:pPr>
            <w:r>
              <w:rPr>
                <w:rFonts w:hint="eastAsia"/>
                <w:lang w:eastAsia="zh-CN"/>
              </w:rPr>
              <w:t>66.4</w:t>
            </w:r>
          </w:p>
        </w:tc>
        <w:tc>
          <w:tcPr>
            <w:tcW w:w="851" w:type="dxa"/>
            <w:tcBorders>
              <w:left w:val="single" w:color="auto" w:sz="4" w:space="0"/>
            </w:tcBorders>
            <w:vAlign w:val="center"/>
          </w:tcPr>
          <w:p w14:paraId="247A86ED">
            <w:pPr>
              <w:pStyle w:val="518"/>
              <w:rPr>
                <w:lang w:eastAsia="zh-CN"/>
              </w:rPr>
            </w:pPr>
            <w:r>
              <w:rPr>
                <w:rFonts w:hint="eastAsia"/>
                <w:lang w:eastAsia="zh-CN"/>
              </w:rPr>
              <w:t>63.1</w:t>
            </w:r>
          </w:p>
        </w:tc>
        <w:tc>
          <w:tcPr>
            <w:tcW w:w="992" w:type="dxa"/>
            <w:vAlign w:val="center"/>
          </w:tcPr>
          <w:p w14:paraId="471F8BB6">
            <w:pPr>
              <w:pStyle w:val="518"/>
              <w:rPr>
                <w:snapToGrid w:val="0"/>
                <w:lang w:eastAsia="zh-CN"/>
              </w:rPr>
            </w:pPr>
            <w:r>
              <w:rPr>
                <w:rFonts w:hint="eastAsia"/>
                <w:snapToGrid w:val="0"/>
                <w:lang w:eastAsia="zh-CN"/>
              </w:rPr>
              <w:t>59.7</w:t>
            </w:r>
          </w:p>
        </w:tc>
      </w:tr>
      <w:tr w14:paraId="350BFC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Align w:val="center"/>
          </w:tcPr>
          <w:p w14:paraId="565FCECC">
            <w:pPr>
              <w:pStyle w:val="518"/>
              <w:rPr>
                <w:snapToGrid w:val="0"/>
                <w:lang w:eastAsia="zh-CN"/>
              </w:rPr>
            </w:pPr>
            <w:r>
              <w:rPr>
                <w:snapToGrid w:val="0"/>
              </w:rPr>
              <w:t>铅</w:t>
            </w:r>
          </w:p>
        </w:tc>
        <w:tc>
          <w:tcPr>
            <w:tcW w:w="865" w:type="dxa"/>
            <w:vAlign w:val="center"/>
          </w:tcPr>
          <w:p w14:paraId="4A34FCBD">
            <w:pPr>
              <w:pStyle w:val="518"/>
              <w:rPr>
                <w:lang w:eastAsia="zh-CN"/>
              </w:rPr>
            </w:pPr>
            <w:r>
              <w:rPr>
                <w:rFonts w:hint="eastAsia"/>
                <w:lang w:eastAsia="zh-CN"/>
              </w:rPr>
              <w:t>30.2</w:t>
            </w:r>
          </w:p>
        </w:tc>
        <w:tc>
          <w:tcPr>
            <w:tcW w:w="836" w:type="dxa"/>
            <w:vAlign w:val="center"/>
          </w:tcPr>
          <w:p w14:paraId="4A90FA21">
            <w:pPr>
              <w:pStyle w:val="518"/>
              <w:rPr>
                <w:lang w:eastAsia="zh-CN"/>
              </w:rPr>
            </w:pPr>
            <w:r>
              <w:rPr>
                <w:rFonts w:hint="eastAsia"/>
                <w:lang w:eastAsia="zh-CN"/>
              </w:rPr>
              <w:t>29.8</w:t>
            </w:r>
          </w:p>
        </w:tc>
        <w:tc>
          <w:tcPr>
            <w:tcW w:w="850" w:type="dxa"/>
            <w:vAlign w:val="center"/>
          </w:tcPr>
          <w:p w14:paraId="1F456DA3">
            <w:pPr>
              <w:pStyle w:val="518"/>
              <w:rPr>
                <w:lang w:eastAsia="zh-CN"/>
              </w:rPr>
            </w:pPr>
            <w:r>
              <w:rPr>
                <w:rFonts w:hint="eastAsia"/>
                <w:lang w:eastAsia="zh-CN"/>
              </w:rPr>
              <w:t>28.6</w:t>
            </w:r>
          </w:p>
        </w:tc>
        <w:tc>
          <w:tcPr>
            <w:tcW w:w="851" w:type="dxa"/>
            <w:vAlign w:val="center"/>
          </w:tcPr>
          <w:p w14:paraId="7ECDFE5F">
            <w:pPr>
              <w:pStyle w:val="518"/>
              <w:rPr>
                <w:lang w:eastAsia="zh-CN"/>
              </w:rPr>
            </w:pPr>
            <w:r>
              <w:rPr>
                <w:rFonts w:hint="eastAsia"/>
                <w:lang w:eastAsia="zh-CN"/>
              </w:rPr>
              <w:t>29.8</w:t>
            </w:r>
          </w:p>
        </w:tc>
        <w:tc>
          <w:tcPr>
            <w:tcW w:w="850" w:type="dxa"/>
            <w:tcBorders>
              <w:right w:val="single" w:color="auto" w:sz="4" w:space="0"/>
            </w:tcBorders>
            <w:vAlign w:val="center"/>
          </w:tcPr>
          <w:p w14:paraId="1284AC2B">
            <w:pPr>
              <w:pStyle w:val="518"/>
              <w:rPr>
                <w:snapToGrid w:val="0"/>
                <w:lang w:eastAsia="zh-CN"/>
              </w:rPr>
            </w:pPr>
            <w:r>
              <w:rPr>
                <w:rFonts w:hint="eastAsia"/>
                <w:snapToGrid w:val="0"/>
                <w:lang w:eastAsia="zh-CN"/>
              </w:rPr>
              <w:t>28.7</w:t>
            </w:r>
          </w:p>
        </w:tc>
        <w:tc>
          <w:tcPr>
            <w:tcW w:w="851" w:type="dxa"/>
            <w:tcBorders>
              <w:left w:val="single" w:color="auto" w:sz="4" w:space="0"/>
            </w:tcBorders>
            <w:vAlign w:val="center"/>
          </w:tcPr>
          <w:p w14:paraId="4AD676E1">
            <w:pPr>
              <w:pStyle w:val="518"/>
              <w:rPr>
                <w:snapToGrid w:val="0"/>
                <w:lang w:eastAsia="zh-CN"/>
              </w:rPr>
            </w:pPr>
            <w:r>
              <w:rPr>
                <w:rFonts w:hint="eastAsia"/>
                <w:snapToGrid w:val="0"/>
                <w:lang w:eastAsia="zh-CN"/>
              </w:rPr>
              <w:t>26.9</w:t>
            </w:r>
          </w:p>
        </w:tc>
        <w:tc>
          <w:tcPr>
            <w:tcW w:w="992" w:type="dxa"/>
            <w:tcBorders>
              <w:right w:val="single" w:color="auto" w:sz="4" w:space="0"/>
            </w:tcBorders>
            <w:vAlign w:val="center"/>
          </w:tcPr>
          <w:p w14:paraId="651F6A3A">
            <w:pPr>
              <w:pStyle w:val="518"/>
              <w:rPr>
                <w:lang w:eastAsia="zh-CN"/>
              </w:rPr>
            </w:pPr>
            <w:r>
              <w:rPr>
                <w:rFonts w:hint="eastAsia"/>
                <w:lang w:eastAsia="zh-CN"/>
              </w:rPr>
              <w:t>31.4</w:t>
            </w:r>
          </w:p>
        </w:tc>
        <w:tc>
          <w:tcPr>
            <w:tcW w:w="851" w:type="dxa"/>
            <w:tcBorders>
              <w:left w:val="single" w:color="auto" w:sz="4" w:space="0"/>
            </w:tcBorders>
            <w:vAlign w:val="center"/>
          </w:tcPr>
          <w:p w14:paraId="3EE2BE83">
            <w:pPr>
              <w:pStyle w:val="518"/>
              <w:rPr>
                <w:lang w:eastAsia="zh-CN"/>
              </w:rPr>
            </w:pPr>
            <w:r>
              <w:rPr>
                <w:rFonts w:hint="eastAsia"/>
                <w:lang w:eastAsia="zh-CN"/>
              </w:rPr>
              <w:t>30.1</w:t>
            </w:r>
          </w:p>
        </w:tc>
        <w:tc>
          <w:tcPr>
            <w:tcW w:w="992" w:type="dxa"/>
            <w:vAlign w:val="center"/>
          </w:tcPr>
          <w:p w14:paraId="20B63EC6">
            <w:pPr>
              <w:pStyle w:val="518"/>
              <w:rPr>
                <w:snapToGrid w:val="0"/>
                <w:lang w:eastAsia="zh-CN"/>
              </w:rPr>
            </w:pPr>
            <w:r>
              <w:rPr>
                <w:rFonts w:hint="eastAsia"/>
                <w:snapToGrid w:val="0"/>
                <w:lang w:eastAsia="zh-CN"/>
              </w:rPr>
              <w:t>29.3</w:t>
            </w:r>
          </w:p>
        </w:tc>
      </w:tr>
      <w:tr w14:paraId="6BA7C7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Align w:val="center"/>
          </w:tcPr>
          <w:p w14:paraId="1BE3820B">
            <w:pPr>
              <w:pStyle w:val="518"/>
              <w:rPr>
                <w:snapToGrid w:val="0"/>
              </w:rPr>
            </w:pPr>
            <w:r>
              <w:rPr>
                <w:snapToGrid w:val="0"/>
              </w:rPr>
              <w:t>镉</w:t>
            </w:r>
          </w:p>
        </w:tc>
        <w:tc>
          <w:tcPr>
            <w:tcW w:w="865" w:type="dxa"/>
            <w:vAlign w:val="center"/>
          </w:tcPr>
          <w:p w14:paraId="14F815B5">
            <w:pPr>
              <w:pStyle w:val="518"/>
              <w:rPr>
                <w:lang w:eastAsia="zh-CN"/>
              </w:rPr>
            </w:pPr>
            <w:r>
              <w:rPr>
                <w:rFonts w:hint="eastAsia"/>
                <w:lang w:eastAsia="zh-CN"/>
              </w:rPr>
              <w:t>0.215</w:t>
            </w:r>
          </w:p>
        </w:tc>
        <w:tc>
          <w:tcPr>
            <w:tcW w:w="836" w:type="dxa"/>
            <w:vAlign w:val="center"/>
          </w:tcPr>
          <w:p w14:paraId="08C8D8E0">
            <w:pPr>
              <w:pStyle w:val="518"/>
              <w:rPr>
                <w:lang w:eastAsia="zh-CN"/>
              </w:rPr>
            </w:pPr>
            <w:r>
              <w:rPr>
                <w:rFonts w:hint="eastAsia"/>
                <w:lang w:eastAsia="zh-CN"/>
              </w:rPr>
              <w:t>0.208</w:t>
            </w:r>
          </w:p>
        </w:tc>
        <w:tc>
          <w:tcPr>
            <w:tcW w:w="850" w:type="dxa"/>
            <w:vAlign w:val="center"/>
          </w:tcPr>
          <w:p w14:paraId="000DF3B1">
            <w:pPr>
              <w:pStyle w:val="518"/>
              <w:rPr>
                <w:lang w:eastAsia="zh-CN"/>
              </w:rPr>
            </w:pPr>
            <w:r>
              <w:rPr>
                <w:rFonts w:hint="eastAsia"/>
                <w:lang w:eastAsia="zh-CN"/>
              </w:rPr>
              <w:t>0.198</w:t>
            </w:r>
          </w:p>
        </w:tc>
        <w:tc>
          <w:tcPr>
            <w:tcW w:w="851" w:type="dxa"/>
            <w:vAlign w:val="center"/>
          </w:tcPr>
          <w:p w14:paraId="54F63619">
            <w:pPr>
              <w:pStyle w:val="518"/>
              <w:rPr>
                <w:lang w:eastAsia="zh-CN"/>
              </w:rPr>
            </w:pPr>
            <w:r>
              <w:rPr>
                <w:rFonts w:hint="eastAsia"/>
                <w:lang w:eastAsia="zh-CN"/>
              </w:rPr>
              <w:t>0.209</w:t>
            </w:r>
          </w:p>
        </w:tc>
        <w:tc>
          <w:tcPr>
            <w:tcW w:w="850" w:type="dxa"/>
            <w:tcBorders>
              <w:right w:val="single" w:color="auto" w:sz="4" w:space="0"/>
            </w:tcBorders>
            <w:vAlign w:val="center"/>
          </w:tcPr>
          <w:p w14:paraId="3BD866C6">
            <w:pPr>
              <w:pStyle w:val="518"/>
              <w:rPr>
                <w:snapToGrid w:val="0"/>
                <w:lang w:eastAsia="zh-CN"/>
              </w:rPr>
            </w:pPr>
            <w:r>
              <w:rPr>
                <w:rFonts w:hint="eastAsia"/>
                <w:snapToGrid w:val="0"/>
                <w:lang w:eastAsia="zh-CN"/>
              </w:rPr>
              <w:t>0.203</w:t>
            </w:r>
          </w:p>
        </w:tc>
        <w:tc>
          <w:tcPr>
            <w:tcW w:w="851" w:type="dxa"/>
            <w:tcBorders>
              <w:left w:val="single" w:color="auto" w:sz="4" w:space="0"/>
            </w:tcBorders>
            <w:vAlign w:val="center"/>
          </w:tcPr>
          <w:p w14:paraId="6612BBAB">
            <w:pPr>
              <w:pStyle w:val="518"/>
              <w:rPr>
                <w:snapToGrid w:val="0"/>
                <w:lang w:eastAsia="zh-CN"/>
              </w:rPr>
            </w:pPr>
            <w:r>
              <w:rPr>
                <w:rFonts w:hint="eastAsia"/>
                <w:snapToGrid w:val="0"/>
                <w:lang w:eastAsia="zh-CN"/>
              </w:rPr>
              <w:t>0.193</w:t>
            </w:r>
          </w:p>
        </w:tc>
        <w:tc>
          <w:tcPr>
            <w:tcW w:w="992" w:type="dxa"/>
            <w:tcBorders>
              <w:right w:val="single" w:color="auto" w:sz="4" w:space="0"/>
            </w:tcBorders>
            <w:vAlign w:val="center"/>
          </w:tcPr>
          <w:p w14:paraId="3130F412">
            <w:pPr>
              <w:pStyle w:val="518"/>
              <w:rPr>
                <w:lang w:eastAsia="zh-CN"/>
              </w:rPr>
            </w:pPr>
            <w:r>
              <w:rPr>
                <w:rFonts w:hint="eastAsia"/>
                <w:lang w:eastAsia="zh-CN"/>
              </w:rPr>
              <w:t>0.219</w:t>
            </w:r>
          </w:p>
        </w:tc>
        <w:tc>
          <w:tcPr>
            <w:tcW w:w="851" w:type="dxa"/>
            <w:tcBorders>
              <w:left w:val="single" w:color="auto" w:sz="4" w:space="0"/>
            </w:tcBorders>
            <w:vAlign w:val="center"/>
          </w:tcPr>
          <w:p w14:paraId="7DCE7435">
            <w:pPr>
              <w:pStyle w:val="518"/>
              <w:rPr>
                <w:lang w:eastAsia="zh-CN"/>
              </w:rPr>
            </w:pPr>
            <w:r>
              <w:rPr>
                <w:rFonts w:hint="eastAsia"/>
                <w:lang w:eastAsia="zh-CN"/>
              </w:rPr>
              <w:t>0.211</w:t>
            </w:r>
          </w:p>
        </w:tc>
        <w:tc>
          <w:tcPr>
            <w:tcW w:w="992" w:type="dxa"/>
            <w:vAlign w:val="center"/>
          </w:tcPr>
          <w:p w14:paraId="7D2FDDB2">
            <w:pPr>
              <w:pStyle w:val="518"/>
              <w:rPr>
                <w:snapToGrid w:val="0"/>
                <w:lang w:eastAsia="zh-CN"/>
              </w:rPr>
            </w:pPr>
            <w:r>
              <w:rPr>
                <w:rFonts w:hint="eastAsia"/>
                <w:snapToGrid w:val="0"/>
                <w:lang w:eastAsia="zh-CN"/>
              </w:rPr>
              <w:t>0.205</w:t>
            </w:r>
          </w:p>
        </w:tc>
      </w:tr>
      <w:tr w14:paraId="4D551F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Align w:val="center"/>
          </w:tcPr>
          <w:p w14:paraId="24EEF6D5">
            <w:pPr>
              <w:pStyle w:val="518"/>
              <w:rPr>
                <w:snapToGrid w:val="0"/>
              </w:rPr>
            </w:pPr>
            <w:r>
              <w:t>镍</w:t>
            </w:r>
          </w:p>
        </w:tc>
        <w:tc>
          <w:tcPr>
            <w:tcW w:w="865" w:type="dxa"/>
            <w:vAlign w:val="center"/>
          </w:tcPr>
          <w:p w14:paraId="68D6D6AF">
            <w:pPr>
              <w:pStyle w:val="518"/>
              <w:rPr>
                <w:lang w:eastAsia="zh-CN"/>
              </w:rPr>
            </w:pPr>
            <w:r>
              <w:rPr>
                <w:rFonts w:hint="eastAsia"/>
                <w:lang w:eastAsia="zh-CN"/>
              </w:rPr>
              <w:t>24.6</w:t>
            </w:r>
          </w:p>
        </w:tc>
        <w:tc>
          <w:tcPr>
            <w:tcW w:w="836" w:type="dxa"/>
            <w:vAlign w:val="center"/>
          </w:tcPr>
          <w:p w14:paraId="25CDE4E7">
            <w:pPr>
              <w:pStyle w:val="518"/>
              <w:rPr>
                <w:lang w:eastAsia="zh-CN"/>
              </w:rPr>
            </w:pPr>
            <w:r>
              <w:rPr>
                <w:rFonts w:hint="eastAsia"/>
                <w:lang w:eastAsia="zh-CN"/>
              </w:rPr>
              <w:t>19.7</w:t>
            </w:r>
          </w:p>
        </w:tc>
        <w:tc>
          <w:tcPr>
            <w:tcW w:w="850" w:type="dxa"/>
            <w:vAlign w:val="center"/>
          </w:tcPr>
          <w:p w14:paraId="441324C3">
            <w:pPr>
              <w:pStyle w:val="518"/>
              <w:rPr>
                <w:lang w:eastAsia="zh-CN"/>
              </w:rPr>
            </w:pPr>
            <w:r>
              <w:rPr>
                <w:rFonts w:hint="eastAsia"/>
                <w:lang w:eastAsia="zh-CN"/>
              </w:rPr>
              <w:t>16.6</w:t>
            </w:r>
          </w:p>
        </w:tc>
        <w:tc>
          <w:tcPr>
            <w:tcW w:w="851" w:type="dxa"/>
            <w:vAlign w:val="center"/>
          </w:tcPr>
          <w:p w14:paraId="60552758">
            <w:pPr>
              <w:pStyle w:val="518"/>
              <w:rPr>
                <w:lang w:eastAsia="zh-CN"/>
              </w:rPr>
            </w:pPr>
            <w:r>
              <w:rPr>
                <w:rFonts w:hint="eastAsia"/>
                <w:lang w:eastAsia="zh-CN"/>
              </w:rPr>
              <w:t>22.4</w:t>
            </w:r>
          </w:p>
        </w:tc>
        <w:tc>
          <w:tcPr>
            <w:tcW w:w="850" w:type="dxa"/>
            <w:tcBorders>
              <w:right w:val="single" w:color="auto" w:sz="4" w:space="0"/>
            </w:tcBorders>
            <w:vAlign w:val="center"/>
          </w:tcPr>
          <w:p w14:paraId="074B34E1">
            <w:pPr>
              <w:pStyle w:val="518"/>
              <w:rPr>
                <w:snapToGrid w:val="0"/>
                <w:lang w:eastAsia="zh-CN"/>
              </w:rPr>
            </w:pPr>
            <w:r>
              <w:rPr>
                <w:rFonts w:hint="eastAsia"/>
                <w:snapToGrid w:val="0"/>
                <w:lang w:eastAsia="zh-CN"/>
              </w:rPr>
              <w:t>18.6</w:t>
            </w:r>
          </w:p>
        </w:tc>
        <w:tc>
          <w:tcPr>
            <w:tcW w:w="851" w:type="dxa"/>
            <w:tcBorders>
              <w:left w:val="single" w:color="auto" w:sz="4" w:space="0"/>
            </w:tcBorders>
            <w:vAlign w:val="center"/>
          </w:tcPr>
          <w:p w14:paraId="286BB033">
            <w:pPr>
              <w:pStyle w:val="518"/>
              <w:rPr>
                <w:snapToGrid w:val="0"/>
                <w:lang w:eastAsia="zh-CN"/>
              </w:rPr>
            </w:pPr>
            <w:r>
              <w:rPr>
                <w:rFonts w:hint="eastAsia"/>
                <w:snapToGrid w:val="0"/>
                <w:lang w:eastAsia="zh-CN"/>
              </w:rPr>
              <w:t>15.9</w:t>
            </w:r>
          </w:p>
        </w:tc>
        <w:tc>
          <w:tcPr>
            <w:tcW w:w="992" w:type="dxa"/>
            <w:tcBorders>
              <w:right w:val="single" w:color="auto" w:sz="4" w:space="0"/>
            </w:tcBorders>
            <w:vAlign w:val="center"/>
          </w:tcPr>
          <w:p w14:paraId="65D1629B">
            <w:pPr>
              <w:pStyle w:val="518"/>
              <w:rPr>
                <w:lang w:eastAsia="zh-CN"/>
              </w:rPr>
            </w:pPr>
            <w:r>
              <w:rPr>
                <w:rFonts w:hint="eastAsia"/>
                <w:lang w:eastAsia="zh-CN"/>
              </w:rPr>
              <w:t>25.7</w:t>
            </w:r>
          </w:p>
        </w:tc>
        <w:tc>
          <w:tcPr>
            <w:tcW w:w="851" w:type="dxa"/>
            <w:tcBorders>
              <w:left w:val="single" w:color="auto" w:sz="4" w:space="0"/>
            </w:tcBorders>
            <w:vAlign w:val="center"/>
          </w:tcPr>
          <w:p w14:paraId="79E7BC53">
            <w:pPr>
              <w:pStyle w:val="518"/>
              <w:rPr>
                <w:lang w:eastAsia="zh-CN"/>
              </w:rPr>
            </w:pPr>
            <w:r>
              <w:rPr>
                <w:rFonts w:hint="eastAsia"/>
                <w:lang w:eastAsia="zh-CN"/>
              </w:rPr>
              <w:t>23.2</w:t>
            </w:r>
          </w:p>
        </w:tc>
        <w:tc>
          <w:tcPr>
            <w:tcW w:w="992" w:type="dxa"/>
            <w:vAlign w:val="center"/>
          </w:tcPr>
          <w:p w14:paraId="45D6C1D3">
            <w:pPr>
              <w:pStyle w:val="518"/>
              <w:rPr>
                <w:snapToGrid w:val="0"/>
                <w:lang w:eastAsia="zh-CN"/>
              </w:rPr>
            </w:pPr>
            <w:r>
              <w:rPr>
                <w:rFonts w:hint="eastAsia"/>
                <w:snapToGrid w:val="0"/>
                <w:lang w:eastAsia="zh-CN"/>
              </w:rPr>
              <w:t>20.8</w:t>
            </w:r>
          </w:p>
        </w:tc>
      </w:tr>
      <w:tr w14:paraId="09B292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Align w:val="center"/>
          </w:tcPr>
          <w:p w14:paraId="69AE239E">
            <w:pPr>
              <w:pStyle w:val="518"/>
              <w:rPr>
                <w:lang w:eastAsia="zh-CN"/>
              </w:rPr>
            </w:pPr>
            <w:r>
              <w:rPr>
                <w:rFonts w:hint="eastAsia"/>
                <w:lang w:eastAsia="zh-CN"/>
              </w:rPr>
              <w:t>石油类</w:t>
            </w:r>
          </w:p>
        </w:tc>
        <w:tc>
          <w:tcPr>
            <w:tcW w:w="865" w:type="dxa"/>
            <w:vAlign w:val="center"/>
          </w:tcPr>
          <w:p w14:paraId="75F233C8">
            <w:pPr>
              <w:pStyle w:val="518"/>
              <w:rPr>
                <w:snapToGrid w:val="0"/>
                <w:lang w:eastAsia="zh-CN"/>
              </w:rPr>
            </w:pPr>
            <w:r>
              <w:rPr>
                <w:rFonts w:hint="eastAsia"/>
                <w:snapToGrid w:val="0"/>
                <w:lang w:eastAsia="zh-CN"/>
              </w:rPr>
              <w:t>6.87</w:t>
            </w:r>
          </w:p>
        </w:tc>
        <w:tc>
          <w:tcPr>
            <w:tcW w:w="836" w:type="dxa"/>
            <w:vAlign w:val="center"/>
          </w:tcPr>
          <w:p w14:paraId="4792C2AA">
            <w:pPr>
              <w:pStyle w:val="518"/>
              <w:rPr>
                <w:lang w:eastAsia="zh-CN"/>
              </w:rPr>
            </w:pPr>
            <w:r>
              <w:rPr>
                <w:rFonts w:hint="eastAsia"/>
                <w:lang w:eastAsia="zh-CN"/>
              </w:rPr>
              <w:t>6.79</w:t>
            </w:r>
          </w:p>
        </w:tc>
        <w:tc>
          <w:tcPr>
            <w:tcW w:w="850" w:type="dxa"/>
            <w:vAlign w:val="center"/>
          </w:tcPr>
          <w:p w14:paraId="4420C970">
            <w:pPr>
              <w:pStyle w:val="518"/>
              <w:rPr>
                <w:lang w:eastAsia="zh-CN"/>
              </w:rPr>
            </w:pPr>
            <w:r>
              <w:rPr>
                <w:rFonts w:hint="eastAsia"/>
                <w:lang w:eastAsia="zh-CN"/>
              </w:rPr>
              <w:t>6.42</w:t>
            </w:r>
          </w:p>
        </w:tc>
        <w:tc>
          <w:tcPr>
            <w:tcW w:w="851" w:type="dxa"/>
            <w:vAlign w:val="center"/>
          </w:tcPr>
          <w:p w14:paraId="3053A41B">
            <w:pPr>
              <w:pStyle w:val="518"/>
              <w:rPr>
                <w:lang w:eastAsia="zh-CN"/>
              </w:rPr>
            </w:pPr>
            <w:r>
              <w:rPr>
                <w:rFonts w:hint="eastAsia"/>
                <w:lang w:eastAsia="zh-CN"/>
              </w:rPr>
              <w:t>6.78</w:t>
            </w:r>
          </w:p>
        </w:tc>
        <w:tc>
          <w:tcPr>
            <w:tcW w:w="850" w:type="dxa"/>
            <w:tcBorders>
              <w:right w:val="single" w:color="auto" w:sz="4" w:space="0"/>
            </w:tcBorders>
            <w:vAlign w:val="center"/>
          </w:tcPr>
          <w:p w14:paraId="4443A321">
            <w:pPr>
              <w:pStyle w:val="518"/>
              <w:rPr>
                <w:snapToGrid w:val="0"/>
                <w:lang w:eastAsia="zh-CN"/>
              </w:rPr>
            </w:pPr>
            <w:r>
              <w:rPr>
                <w:rFonts w:hint="eastAsia"/>
                <w:snapToGrid w:val="0"/>
                <w:lang w:eastAsia="zh-CN"/>
              </w:rPr>
              <w:t>6.68</w:t>
            </w:r>
          </w:p>
        </w:tc>
        <w:tc>
          <w:tcPr>
            <w:tcW w:w="851" w:type="dxa"/>
            <w:tcBorders>
              <w:left w:val="single" w:color="auto" w:sz="4" w:space="0"/>
            </w:tcBorders>
            <w:vAlign w:val="center"/>
          </w:tcPr>
          <w:p w14:paraId="54E029AA">
            <w:pPr>
              <w:pStyle w:val="518"/>
              <w:rPr>
                <w:snapToGrid w:val="0"/>
                <w:lang w:eastAsia="zh-CN"/>
              </w:rPr>
            </w:pPr>
            <w:r>
              <w:rPr>
                <w:rFonts w:hint="eastAsia"/>
                <w:snapToGrid w:val="0"/>
                <w:lang w:eastAsia="zh-CN"/>
              </w:rPr>
              <w:t>6.45</w:t>
            </w:r>
          </w:p>
        </w:tc>
        <w:tc>
          <w:tcPr>
            <w:tcW w:w="992" w:type="dxa"/>
            <w:tcBorders>
              <w:right w:val="single" w:color="auto" w:sz="4" w:space="0"/>
            </w:tcBorders>
            <w:vAlign w:val="center"/>
          </w:tcPr>
          <w:p w14:paraId="45B45C4D">
            <w:pPr>
              <w:pStyle w:val="518"/>
              <w:rPr>
                <w:lang w:eastAsia="zh-CN"/>
              </w:rPr>
            </w:pPr>
            <w:r>
              <w:rPr>
                <w:rFonts w:hint="eastAsia"/>
                <w:lang w:eastAsia="zh-CN"/>
              </w:rPr>
              <w:t>6.94</w:t>
            </w:r>
          </w:p>
        </w:tc>
        <w:tc>
          <w:tcPr>
            <w:tcW w:w="851" w:type="dxa"/>
            <w:tcBorders>
              <w:left w:val="single" w:color="auto" w:sz="4" w:space="0"/>
            </w:tcBorders>
            <w:vAlign w:val="center"/>
          </w:tcPr>
          <w:p w14:paraId="458878F1">
            <w:pPr>
              <w:pStyle w:val="518"/>
              <w:rPr>
                <w:lang w:eastAsia="zh-CN"/>
              </w:rPr>
            </w:pPr>
            <w:r>
              <w:rPr>
                <w:rFonts w:hint="eastAsia"/>
                <w:lang w:eastAsia="zh-CN"/>
              </w:rPr>
              <w:t>6.83</w:t>
            </w:r>
          </w:p>
        </w:tc>
        <w:tc>
          <w:tcPr>
            <w:tcW w:w="992" w:type="dxa"/>
            <w:vAlign w:val="center"/>
          </w:tcPr>
          <w:p w14:paraId="3581EC12">
            <w:pPr>
              <w:pStyle w:val="518"/>
              <w:rPr>
                <w:snapToGrid w:val="0"/>
                <w:lang w:eastAsia="zh-CN"/>
              </w:rPr>
            </w:pPr>
            <w:r>
              <w:rPr>
                <w:rFonts w:hint="eastAsia"/>
                <w:snapToGrid w:val="0"/>
                <w:lang w:eastAsia="zh-CN"/>
              </w:rPr>
              <w:t>6.54</w:t>
            </w:r>
          </w:p>
        </w:tc>
      </w:tr>
      <w:tr w14:paraId="561220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Align w:val="center"/>
          </w:tcPr>
          <w:p w14:paraId="22CC431D">
            <w:pPr>
              <w:pStyle w:val="518"/>
              <w:rPr>
                <w:lang w:eastAsia="zh-CN"/>
              </w:rPr>
            </w:pPr>
            <w:r>
              <w:rPr>
                <w:lang w:eastAsia="zh-CN"/>
              </w:rPr>
              <w:t>阳离子交换量</w:t>
            </w:r>
          </w:p>
          <w:p w14:paraId="2CE97B51">
            <w:pPr>
              <w:pStyle w:val="518"/>
              <w:rPr>
                <w:lang w:eastAsia="zh-CN"/>
              </w:rPr>
            </w:pPr>
            <w:r>
              <w:rPr>
                <w:snapToGrid w:val="0"/>
                <w:lang w:eastAsia="zh-CN"/>
              </w:rPr>
              <w:t>cmol/kg</w:t>
            </w:r>
          </w:p>
        </w:tc>
        <w:tc>
          <w:tcPr>
            <w:tcW w:w="865" w:type="dxa"/>
            <w:vAlign w:val="center"/>
          </w:tcPr>
          <w:p w14:paraId="39A3CB75">
            <w:pPr>
              <w:pStyle w:val="518"/>
              <w:rPr>
                <w:snapToGrid w:val="0"/>
                <w:lang w:eastAsia="zh-CN"/>
              </w:rPr>
            </w:pPr>
            <w:r>
              <w:rPr>
                <w:rFonts w:hint="eastAsia"/>
                <w:snapToGrid w:val="0"/>
                <w:lang w:eastAsia="zh-CN"/>
              </w:rPr>
              <w:t>7.10</w:t>
            </w:r>
          </w:p>
        </w:tc>
        <w:tc>
          <w:tcPr>
            <w:tcW w:w="836" w:type="dxa"/>
            <w:vAlign w:val="center"/>
          </w:tcPr>
          <w:p w14:paraId="2D027F08">
            <w:pPr>
              <w:pStyle w:val="518"/>
              <w:rPr>
                <w:lang w:eastAsia="zh-CN"/>
              </w:rPr>
            </w:pPr>
            <w:r>
              <w:rPr>
                <w:rFonts w:hint="eastAsia"/>
                <w:lang w:eastAsia="zh-CN"/>
              </w:rPr>
              <w:t>6.25</w:t>
            </w:r>
          </w:p>
        </w:tc>
        <w:tc>
          <w:tcPr>
            <w:tcW w:w="850" w:type="dxa"/>
            <w:vAlign w:val="center"/>
          </w:tcPr>
          <w:p w14:paraId="162E96A6">
            <w:pPr>
              <w:pStyle w:val="518"/>
              <w:rPr>
                <w:lang w:eastAsia="zh-CN"/>
              </w:rPr>
            </w:pPr>
            <w:r>
              <w:rPr>
                <w:rFonts w:hint="eastAsia"/>
                <w:lang w:eastAsia="zh-CN"/>
              </w:rPr>
              <w:t>3.45</w:t>
            </w:r>
          </w:p>
        </w:tc>
        <w:tc>
          <w:tcPr>
            <w:tcW w:w="851" w:type="dxa"/>
            <w:vAlign w:val="center"/>
          </w:tcPr>
          <w:p w14:paraId="0430EA42">
            <w:pPr>
              <w:pStyle w:val="518"/>
              <w:rPr>
                <w:lang w:eastAsia="zh-CN"/>
              </w:rPr>
            </w:pPr>
            <w:r>
              <w:rPr>
                <w:rFonts w:hint="eastAsia"/>
                <w:lang w:eastAsia="zh-CN"/>
              </w:rPr>
              <w:t>7.08</w:t>
            </w:r>
          </w:p>
        </w:tc>
        <w:tc>
          <w:tcPr>
            <w:tcW w:w="850" w:type="dxa"/>
            <w:tcBorders>
              <w:right w:val="single" w:color="auto" w:sz="4" w:space="0"/>
            </w:tcBorders>
            <w:vAlign w:val="center"/>
          </w:tcPr>
          <w:p w14:paraId="041D8D44">
            <w:pPr>
              <w:pStyle w:val="518"/>
              <w:rPr>
                <w:lang w:eastAsia="zh-CN"/>
              </w:rPr>
            </w:pPr>
            <w:r>
              <w:rPr>
                <w:rFonts w:hint="eastAsia"/>
                <w:lang w:eastAsia="zh-CN"/>
              </w:rPr>
              <w:t>6.23</w:t>
            </w:r>
          </w:p>
        </w:tc>
        <w:tc>
          <w:tcPr>
            <w:tcW w:w="851" w:type="dxa"/>
            <w:tcBorders>
              <w:left w:val="single" w:color="auto" w:sz="4" w:space="0"/>
            </w:tcBorders>
            <w:vAlign w:val="center"/>
          </w:tcPr>
          <w:p w14:paraId="2C43A845">
            <w:pPr>
              <w:pStyle w:val="518"/>
              <w:rPr>
                <w:lang w:eastAsia="zh-CN"/>
              </w:rPr>
            </w:pPr>
            <w:r>
              <w:rPr>
                <w:rFonts w:hint="eastAsia"/>
                <w:lang w:eastAsia="zh-CN"/>
              </w:rPr>
              <w:t>3.42</w:t>
            </w:r>
          </w:p>
        </w:tc>
        <w:tc>
          <w:tcPr>
            <w:tcW w:w="992" w:type="dxa"/>
            <w:tcBorders>
              <w:right w:val="single" w:color="auto" w:sz="4" w:space="0"/>
            </w:tcBorders>
            <w:vAlign w:val="center"/>
          </w:tcPr>
          <w:p w14:paraId="1991DC2E">
            <w:pPr>
              <w:pStyle w:val="518"/>
              <w:rPr>
                <w:lang w:eastAsia="zh-CN"/>
              </w:rPr>
            </w:pPr>
            <w:r>
              <w:rPr>
                <w:rFonts w:hint="eastAsia"/>
                <w:lang w:eastAsia="zh-CN"/>
              </w:rPr>
              <w:t>7.15</w:t>
            </w:r>
          </w:p>
        </w:tc>
        <w:tc>
          <w:tcPr>
            <w:tcW w:w="851" w:type="dxa"/>
            <w:tcBorders>
              <w:left w:val="single" w:color="auto" w:sz="4" w:space="0"/>
            </w:tcBorders>
            <w:vAlign w:val="center"/>
          </w:tcPr>
          <w:p w14:paraId="4E289DCC">
            <w:pPr>
              <w:pStyle w:val="518"/>
              <w:rPr>
                <w:lang w:eastAsia="zh-CN"/>
              </w:rPr>
            </w:pPr>
            <w:r>
              <w:rPr>
                <w:rFonts w:hint="eastAsia"/>
                <w:lang w:eastAsia="zh-CN"/>
              </w:rPr>
              <w:t>6.30</w:t>
            </w:r>
          </w:p>
        </w:tc>
        <w:tc>
          <w:tcPr>
            <w:tcW w:w="992" w:type="dxa"/>
            <w:vAlign w:val="center"/>
          </w:tcPr>
          <w:p w14:paraId="79F2017E">
            <w:pPr>
              <w:pStyle w:val="518"/>
              <w:rPr>
                <w:lang w:eastAsia="zh-CN"/>
              </w:rPr>
            </w:pPr>
            <w:r>
              <w:rPr>
                <w:rFonts w:hint="eastAsia"/>
                <w:lang w:eastAsia="zh-CN"/>
              </w:rPr>
              <w:t>3.51</w:t>
            </w:r>
          </w:p>
        </w:tc>
      </w:tr>
    </w:tbl>
    <w:p w14:paraId="79A14696">
      <w:pPr>
        <w:ind w:firstLine="480"/>
        <w:rPr>
          <w:rFonts w:asciiTheme="minorEastAsia" w:hAnsiTheme="minorEastAsia" w:eastAsiaTheme="minorEastAsia"/>
          <w:bCs/>
          <w:szCs w:val="24"/>
          <w:lang w:eastAsia="zh-CN"/>
        </w:rPr>
      </w:pPr>
    </w:p>
    <w:p w14:paraId="169485A5">
      <w:pPr>
        <w:spacing w:line="240" w:lineRule="auto"/>
        <w:ind w:firstLine="479" w:firstLineChars="199"/>
        <w:rPr>
          <w:snapToGrid w:val="0"/>
          <w:sz w:val="21"/>
          <w:szCs w:val="21"/>
          <w:lang w:eastAsia="zh-CN"/>
        </w:rPr>
      </w:pPr>
      <w:r>
        <w:rPr>
          <w:b/>
          <w:snapToGrid w:val="0"/>
          <w:lang w:eastAsia="zh-CN"/>
        </w:rPr>
        <w:t>表</w:t>
      </w:r>
      <w:r>
        <w:rPr>
          <w:rFonts w:hint="eastAsia"/>
          <w:b/>
          <w:snapToGrid w:val="0"/>
          <w:lang w:eastAsia="zh-CN"/>
        </w:rPr>
        <w:t>9</w:t>
      </w:r>
      <w:r>
        <w:rPr>
          <w:b/>
          <w:snapToGrid w:val="0"/>
          <w:lang w:eastAsia="zh-CN"/>
        </w:rPr>
        <w:t>.1-</w:t>
      </w:r>
      <w:r>
        <w:rPr>
          <w:rFonts w:hint="eastAsia"/>
          <w:b/>
          <w:snapToGrid w:val="0"/>
          <w:lang w:eastAsia="zh-CN"/>
        </w:rPr>
        <w:t>12 乌里雅斯太油田背景</w:t>
      </w:r>
      <w:r>
        <w:rPr>
          <w:b/>
          <w:snapToGrid w:val="0"/>
          <w:lang w:eastAsia="zh-CN"/>
        </w:rPr>
        <w:t>土壤监测数据统计表</w:t>
      </w:r>
      <w:r>
        <w:rPr>
          <w:rFonts w:hint="eastAsia"/>
          <w:b/>
          <w:snapToGrid w:val="0"/>
          <w:sz w:val="21"/>
          <w:szCs w:val="21"/>
          <w:lang w:eastAsia="zh-CN"/>
        </w:rPr>
        <w:t>（单位：</w:t>
      </w:r>
      <w:r>
        <w:rPr>
          <w:b/>
          <w:snapToGrid w:val="0"/>
          <w:sz w:val="21"/>
          <w:szCs w:val="21"/>
          <w:lang w:eastAsia="zh-CN"/>
        </w:rPr>
        <w:t>mg/kg</w:t>
      </w:r>
      <w:r>
        <w:rPr>
          <w:rFonts w:hint="eastAsia"/>
          <w:b/>
          <w:snapToGrid w:val="0"/>
          <w:sz w:val="21"/>
          <w:szCs w:val="21"/>
          <w:lang w:eastAsia="zh-CN"/>
        </w:rPr>
        <w:t>，</w:t>
      </w:r>
      <w:r>
        <w:rPr>
          <w:b/>
          <w:snapToGrid w:val="0"/>
          <w:sz w:val="21"/>
          <w:szCs w:val="21"/>
          <w:lang w:eastAsia="zh-CN"/>
        </w:rPr>
        <w:t>pH</w:t>
      </w:r>
      <w:r>
        <w:rPr>
          <w:rFonts w:hint="eastAsia"/>
          <w:b/>
          <w:snapToGrid w:val="0"/>
          <w:sz w:val="21"/>
          <w:szCs w:val="21"/>
          <w:lang w:eastAsia="zh-CN"/>
        </w:rPr>
        <w:t>除外）</w:t>
      </w:r>
    </w:p>
    <w:tbl>
      <w:tblPr>
        <w:tblStyle w:val="76"/>
        <w:tblW w:w="889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59"/>
        <w:gridCol w:w="1134"/>
        <w:gridCol w:w="1417"/>
        <w:gridCol w:w="1418"/>
        <w:gridCol w:w="1276"/>
        <w:gridCol w:w="1417"/>
        <w:gridCol w:w="1276"/>
      </w:tblGrid>
      <w:tr w14:paraId="7A9733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Merge w:val="restart"/>
            <w:vAlign w:val="center"/>
          </w:tcPr>
          <w:p w14:paraId="1C1B2C13">
            <w:pPr>
              <w:pStyle w:val="518"/>
              <w:rPr>
                <w:snapToGrid w:val="0"/>
                <w:lang w:eastAsia="zh-CN"/>
              </w:rPr>
            </w:pPr>
            <w:r>
              <w:rPr>
                <w:snapToGrid w:val="0"/>
              </w:rPr>
              <w:t>监测</w:t>
            </w:r>
          </w:p>
          <w:p w14:paraId="1CC8C03C">
            <w:pPr>
              <w:pStyle w:val="518"/>
              <w:rPr>
                <w:snapToGrid w:val="0"/>
              </w:rPr>
            </w:pPr>
            <w:r>
              <w:rPr>
                <w:snapToGrid w:val="0"/>
              </w:rPr>
              <w:t>项目</w:t>
            </w:r>
          </w:p>
        </w:tc>
        <w:tc>
          <w:tcPr>
            <w:tcW w:w="3969" w:type="dxa"/>
            <w:gridSpan w:val="3"/>
            <w:tcBorders>
              <w:bottom w:val="single" w:color="auto" w:sz="4" w:space="0"/>
            </w:tcBorders>
            <w:vAlign w:val="center"/>
          </w:tcPr>
          <w:p w14:paraId="7E794B08">
            <w:pPr>
              <w:pStyle w:val="518"/>
            </w:pPr>
            <w:r>
              <w:rPr>
                <w:rFonts w:hint="eastAsia"/>
                <w:lang w:eastAsia="zh-CN"/>
              </w:rPr>
              <w:t>1#</w:t>
            </w:r>
          </w:p>
        </w:tc>
        <w:tc>
          <w:tcPr>
            <w:tcW w:w="3969" w:type="dxa"/>
            <w:gridSpan w:val="3"/>
            <w:vAlign w:val="center"/>
          </w:tcPr>
          <w:p w14:paraId="2260B64F">
            <w:pPr>
              <w:pStyle w:val="518"/>
              <w:rPr>
                <w:lang w:eastAsia="zh-CN"/>
              </w:rPr>
            </w:pPr>
            <w:r>
              <w:rPr>
                <w:rFonts w:hint="eastAsia"/>
                <w:lang w:eastAsia="zh-CN"/>
              </w:rPr>
              <w:t>2#</w:t>
            </w:r>
          </w:p>
        </w:tc>
      </w:tr>
      <w:tr w14:paraId="042D77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Merge w:val="continue"/>
            <w:vAlign w:val="center"/>
          </w:tcPr>
          <w:p w14:paraId="291F4FF8">
            <w:pPr>
              <w:pStyle w:val="518"/>
              <w:rPr>
                <w:snapToGrid w:val="0"/>
              </w:rPr>
            </w:pPr>
          </w:p>
        </w:tc>
        <w:tc>
          <w:tcPr>
            <w:tcW w:w="1134" w:type="dxa"/>
            <w:tcBorders>
              <w:top w:val="single" w:color="auto" w:sz="4" w:space="0"/>
            </w:tcBorders>
            <w:vAlign w:val="center"/>
          </w:tcPr>
          <w:p w14:paraId="3026D352">
            <w:pPr>
              <w:pStyle w:val="518"/>
              <w:rPr>
                <w:snapToGrid w:val="0"/>
                <w:lang w:eastAsia="zh-CN"/>
              </w:rPr>
            </w:pPr>
            <w:r>
              <w:rPr>
                <w:rFonts w:hint="eastAsia" w:ascii="宋体" w:hAnsi="宋体"/>
                <w:lang w:eastAsia="zh-CN"/>
              </w:rPr>
              <w:t>0-20cm</w:t>
            </w:r>
          </w:p>
        </w:tc>
        <w:tc>
          <w:tcPr>
            <w:tcW w:w="1417" w:type="dxa"/>
            <w:vAlign w:val="center"/>
          </w:tcPr>
          <w:p w14:paraId="282A8521">
            <w:pPr>
              <w:pStyle w:val="518"/>
              <w:rPr>
                <w:rFonts w:ascii="宋体" w:hAnsi="宋体"/>
                <w:lang w:eastAsia="zh-CN"/>
              </w:rPr>
            </w:pPr>
            <w:r>
              <w:rPr>
                <w:rFonts w:hint="eastAsia" w:ascii="宋体" w:hAnsi="宋体"/>
                <w:lang w:eastAsia="zh-CN"/>
              </w:rPr>
              <w:t>20-60cm</w:t>
            </w:r>
          </w:p>
        </w:tc>
        <w:tc>
          <w:tcPr>
            <w:tcW w:w="1418" w:type="dxa"/>
            <w:vAlign w:val="center"/>
          </w:tcPr>
          <w:p w14:paraId="58B22364">
            <w:pPr>
              <w:pStyle w:val="518"/>
              <w:rPr>
                <w:lang w:eastAsia="zh-CN"/>
              </w:rPr>
            </w:pPr>
            <w:r>
              <w:rPr>
                <w:rFonts w:hint="eastAsia"/>
                <w:lang w:eastAsia="zh-CN"/>
              </w:rPr>
              <w:t>60-100cm</w:t>
            </w:r>
          </w:p>
        </w:tc>
        <w:tc>
          <w:tcPr>
            <w:tcW w:w="1276" w:type="dxa"/>
            <w:vAlign w:val="center"/>
          </w:tcPr>
          <w:p w14:paraId="5D19B63B">
            <w:pPr>
              <w:pStyle w:val="518"/>
              <w:rPr>
                <w:snapToGrid w:val="0"/>
                <w:lang w:eastAsia="zh-CN"/>
              </w:rPr>
            </w:pPr>
            <w:r>
              <w:rPr>
                <w:rFonts w:hint="eastAsia" w:ascii="宋体" w:hAnsi="宋体"/>
                <w:lang w:eastAsia="zh-CN"/>
              </w:rPr>
              <w:t>0-20cm</w:t>
            </w:r>
          </w:p>
        </w:tc>
        <w:tc>
          <w:tcPr>
            <w:tcW w:w="1417" w:type="dxa"/>
            <w:tcBorders>
              <w:right w:val="single" w:color="auto" w:sz="4" w:space="0"/>
            </w:tcBorders>
            <w:vAlign w:val="center"/>
          </w:tcPr>
          <w:p w14:paraId="0D689393">
            <w:pPr>
              <w:pStyle w:val="518"/>
              <w:rPr>
                <w:rFonts w:ascii="宋体" w:hAnsi="宋体"/>
                <w:lang w:eastAsia="zh-CN"/>
              </w:rPr>
            </w:pPr>
            <w:r>
              <w:rPr>
                <w:rFonts w:hint="eastAsia" w:ascii="宋体" w:hAnsi="宋体"/>
                <w:lang w:eastAsia="zh-CN"/>
              </w:rPr>
              <w:t>20-60cm</w:t>
            </w:r>
          </w:p>
        </w:tc>
        <w:tc>
          <w:tcPr>
            <w:tcW w:w="1276" w:type="dxa"/>
            <w:tcBorders>
              <w:left w:val="single" w:color="auto" w:sz="4" w:space="0"/>
            </w:tcBorders>
            <w:vAlign w:val="center"/>
          </w:tcPr>
          <w:p w14:paraId="75AA76D5">
            <w:pPr>
              <w:pStyle w:val="518"/>
              <w:rPr>
                <w:lang w:eastAsia="zh-CN"/>
              </w:rPr>
            </w:pPr>
            <w:r>
              <w:rPr>
                <w:rFonts w:hint="eastAsia"/>
                <w:lang w:eastAsia="zh-CN"/>
              </w:rPr>
              <w:t>60-100cm</w:t>
            </w:r>
          </w:p>
        </w:tc>
      </w:tr>
      <w:tr w14:paraId="32B26D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Align w:val="center"/>
          </w:tcPr>
          <w:p w14:paraId="3BD44598">
            <w:pPr>
              <w:pStyle w:val="518"/>
              <w:rPr>
                <w:snapToGrid w:val="0"/>
              </w:rPr>
            </w:pPr>
            <w:r>
              <w:rPr>
                <w:snapToGrid w:val="0"/>
              </w:rPr>
              <w:t>pH</w:t>
            </w:r>
          </w:p>
        </w:tc>
        <w:tc>
          <w:tcPr>
            <w:tcW w:w="1134" w:type="dxa"/>
            <w:vAlign w:val="center"/>
          </w:tcPr>
          <w:p w14:paraId="285FC582">
            <w:pPr>
              <w:pStyle w:val="518"/>
              <w:rPr>
                <w:lang w:eastAsia="zh-CN"/>
              </w:rPr>
            </w:pPr>
            <w:r>
              <w:rPr>
                <w:rFonts w:hint="eastAsia"/>
                <w:lang w:eastAsia="zh-CN"/>
              </w:rPr>
              <w:t>8.56</w:t>
            </w:r>
          </w:p>
        </w:tc>
        <w:tc>
          <w:tcPr>
            <w:tcW w:w="1417" w:type="dxa"/>
            <w:vAlign w:val="center"/>
          </w:tcPr>
          <w:p w14:paraId="5F6DD8B7">
            <w:pPr>
              <w:pStyle w:val="518"/>
              <w:rPr>
                <w:lang w:eastAsia="zh-CN"/>
              </w:rPr>
            </w:pPr>
            <w:r>
              <w:rPr>
                <w:rFonts w:hint="eastAsia"/>
                <w:lang w:eastAsia="zh-CN"/>
              </w:rPr>
              <w:t>8.62</w:t>
            </w:r>
          </w:p>
        </w:tc>
        <w:tc>
          <w:tcPr>
            <w:tcW w:w="1418" w:type="dxa"/>
            <w:vAlign w:val="center"/>
          </w:tcPr>
          <w:p w14:paraId="443347C3">
            <w:pPr>
              <w:pStyle w:val="518"/>
              <w:rPr>
                <w:lang w:eastAsia="zh-CN"/>
              </w:rPr>
            </w:pPr>
            <w:r>
              <w:rPr>
                <w:rFonts w:hint="eastAsia"/>
                <w:lang w:eastAsia="zh-CN"/>
              </w:rPr>
              <w:t>8.67</w:t>
            </w:r>
          </w:p>
        </w:tc>
        <w:tc>
          <w:tcPr>
            <w:tcW w:w="1276" w:type="dxa"/>
            <w:vAlign w:val="center"/>
          </w:tcPr>
          <w:p w14:paraId="58DD789F">
            <w:pPr>
              <w:pStyle w:val="518"/>
              <w:rPr>
                <w:lang w:eastAsia="zh-CN"/>
              </w:rPr>
            </w:pPr>
            <w:r>
              <w:rPr>
                <w:rFonts w:hint="eastAsia"/>
                <w:lang w:eastAsia="zh-CN"/>
              </w:rPr>
              <w:t>8.57</w:t>
            </w:r>
          </w:p>
        </w:tc>
        <w:tc>
          <w:tcPr>
            <w:tcW w:w="1417" w:type="dxa"/>
            <w:tcBorders>
              <w:right w:val="single" w:color="auto" w:sz="4" w:space="0"/>
            </w:tcBorders>
            <w:vAlign w:val="center"/>
          </w:tcPr>
          <w:p w14:paraId="3F07D3B9">
            <w:pPr>
              <w:pStyle w:val="518"/>
              <w:rPr>
                <w:lang w:eastAsia="zh-CN"/>
              </w:rPr>
            </w:pPr>
            <w:r>
              <w:rPr>
                <w:rFonts w:hint="eastAsia"/>
                <w:lang w:eastAsia="zh-CN"/>
              </w:rPr>
              <w:t>8.61</w:t>
            </w:r>
          </w:p>
        </w:tc>
        <w:tc>
          <w:tcPr>
            <w:tcW w:w="1276" w:type="dxa"/>
            <w:tcBorders>
              <w:left w:val="single" w:color="auto" w:sz="4" w:space="0"/>
            </w:tcBorders>
            <w:vAlign w:val="center"/>
          </w:tcPr>
          <w:p w14:paraId="4951687D">
            <w:pPr>
              <w:pStyle w:val="518"/>
              <w:rPr>
                <w:lang w:eastAsia="zh-CN"/>
              </w:rPr>
            </w:pPr>
            <w:r>
              <w:rPr>
                <w:rFonts w:hint="eastAsia"/>
                <w:lang w:eastAsia="zh-CN"/>
              </w:rPr>
              <w:t>8.68</w:t>
            </w:r>
          </w:p>
        </w:tc>
      </w:tr>
      <w:tr w14:paraId="694D51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Align w:val="center"/>
          </w:tcPr>
          <w:p w14:paraId="7A693F36">
            <w:pPr>
              <w:pStyle w:val="518"/>
              <w:rPr>
                <w:snapToGrid w:val="0"/>
              </w:rPr>
            </w:pPr>
            <w:r>
              <w:rPr>
                <w:snapToGrid w:val="0"/>
              </w:rPr>
              <w:t>铬</w:t>
            </w:r>
          </w:p>
        </w:tc>
        <w:tc>
          <w:tcPr>
            <w:tcW w:w="1134" w:type="dxa"/>
            <w:vAlign w:val="center"/>
          </w:tcPr>
          <w:p w14:paraId="5E85EA0A">
            <w:pPr>
              <w:pStyle w:val="518"/>
              <w:rPr>
                <w:lang w:eastAsia="zh-CN"/>
              </w:rPr>
            </w:pPr>
            <w:r>
              <w:rPr>
                <w:rFonts w:hint="eastAsia"/>
                <w:lang w:eastAsia="zh-CN"/>
              </w:rPr>
              <w:t>40.8</w:t>
            </w:r>
          </w:p>
        </w:tc>
        <w:tc>
          <w:tcPr>
            <w:tcW w:w="1417" w:type="dxa"/>
            <w:vAlign w:val="center"/>
          </w:tcPr>
          <w:p w14:paraId="0050C196">
            <w:pPr>
              <w:pStyle w:val="518"/>
              <w:rPr>
                <w:lang w:eastAsia="zh-CN"/>
              </w:rPr>
            </w:pPr>
            <w:r>
              <w:rPr>
                <w:rFonts w:hint="eastAsia"/>
                <w:lang w:eastAsia="zh-CN"/>
              </w:rPr>
              <w:t>31.5</w:t>
            </w:r>
          </w:p>
        </w:tc>
        <w:tc>
          <w:tcPr>
            <w:tcW w:w="1418" w:type="dxa"/>
            <w:vAlign w:val="center"/>
          </w:tcPr>
          <w:p w14:paraId="026FD0C9">
            <w:pPr>
              <w:pStyle w:val="518"/>
              <w:rPr>
                <w:lang w:eastAsia="zh-CN"/>
              </w:rPr>
            </w:pPr>
            <w:r>
              <w:rPr>
                <w:rFonts w:hint="eastAsia"/>
                <w:lang w:eastAsia="zh-CN"/>
              </w:rPr>
              <w:t>38.6</w:t>
            </w:r>
          </w:p>
        </w:tc>
        <w:tc>
          <w:tcPr>
            <w:tcW w:w="1276" w:type="dxa"/>
            <w:vAlign w:val="center"/>
          </w:tcPr>
          <w:p w14:paraId="232FA9CE">
            <w:pPr>
              <w:pStyle w:val="518"/>
              <w:rPr>
                <w:lang w:eastAsia="zh-CN"/>
              </w:rPr>
            </w:pPr>
            <w:r>
              <w:rPr>
                <w:rFonts w:hint="eastAsia"/>
                <w:lang w:eastAsia="zh-CN"/>
              </w:rPr>
              <w:t>40.7</w:t>
            </w:r>
          </w:p>
        </w:tc>
        <w:tc>
          <w:tcPr>
            <w:tcW w:w="1417" w:type="dxa"/>
            <w:tcBorders>
              <w:right w:val="single" w:color="auto" w:sz="4" w:space="0"/>
            </w:tcBorders>
            <w:vAlign w:val="center"/>
          </w:tcPr>
          <w:p w14:paraId="17F46671">
            <w:pPr>
              <w:pStyle w:val="518"/>
              <w:rPr>
                <w:snapToGrid w:val="0"/>
                <w:lang w:eastAsia="zh-CN"/>
              </w:rPr>
            </w:pPr>
            <w:r>
              <w:rPr>
                <w:rFonts w:hint="eastAsia"/>
                <w:snapToGrid w:val="0"/>
                <w:lang w:eastAsia="zh-CN"/>
              </w:rPr>
              <w:t>31.6</w:t>
            </w:r>
          </w:p>
        </w:tc>
        <w:tc>
          <w:tcPr>
            <w:tcW w:w="1276" w:type="dxa"/>
            <w:tcBorders>
              <w:left w:val="single" w:color="auto" w:sz="4" w:space="0"/>
            </w:tcBorders>
            <w:vAlign w:val="center"/>
          </w:tcPr>
          <w:p w14:paraId="47628D70">
            <w:pPr>
              <w:pStyle w:val="518"/>
              <w:rPr>
                <w:snapToGrid w:val="0"/>
                <w:lang w:eastAsia="zh-CN"/>
              </w:rPr>
            </w:pPr>
            <w:r>
              <w:rPr>
                <w:rFonts w:hint="eastAsia"/>
                <w:snapToGrid w:val="0"/>
                <w:lang w:eastAsia="zh-CN"/>
              </w:rPr>
              <w:t>40.4</w:t>
            </w:r>
          </w:p>
        </w:tc>
      </w:tr>
      <w:tr w14:paraId="115036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Align w:val="center"/>
          </w:tcPr>
          <w:p w14:paraId="5DB0597A">
            <w:pPr>
              <w:pStyle w:val="518"/>
              <w:rPr>
                <w:snapToGrid w:val="0"/>
              </w:rPr>
            </w:pPr>
            <w:r>
              <w:rPr>
                <w:snapToGrid w:val="0"/>
                <w:lang w:eastAsia="zh-CN"/>
              </w:rPr>
              <w:t>汞</w:t>
            </w:r>
          </w:p>
        </w:tc>
        <w:tc>
          <w:tcPr>
            <w:tcW w:w="1134" w:type="dxa"/>
            <w:vAlign w:val="center"/>
          </w:tcPr>
          <w:p w14:paraId="16B23854">
            <w:pPr>
              <w:pStyle w:val="518"/>
              <w:rPr>
                <w:lang w:eastAsia="zh-CN"/>
              </w:rPr>
            </w:pPr>
            <w:r>
              <w:rPr>
                <w:rFonts w:hint="eastAsia"/>
                <w:lang w:eastAsia="zh-CN"/>
              </w:rPr>
              <w:t>0.097</w:t>
            </w:r>
          </w:p>
        </w:tc>
        <w:tc>
          <w:tcPr>
            <w:tcW w:w="1417" w:type="dxa"/>
            <w:vAlign w:val="center"/>
          </w:tcPr>
          <w:p w14:paraId="7DEEE907">
            <w:pPr>
              <w:pStyle w:val="518"/>
              <w:rPr>
                <w:lang w:eastAsia="zh-CN"/>
              </w:rPr>
            </w:pPr>
            <w:r>
              <w:rPr>
                <w:rFonts w:hint="eastAsia"/>
                <w:lang w:eastAsia="zh-CN"/>
              </w:rPr>
              <w:t>0.101</w:t>
            </w:r>
          </w:p>
        </w:tc>
        <w:tc>
          <w:tcPr>
            <w:tcW w:w="1418" w:type="dxa"/>
            <w:vAlign w:val="center"/>
          </w:tcPr>
          <w:p w14:paraId="113BD336">
            <w:pPr>
              <w:pStyle w:val="518"/>
              <w:rPr>
                <w:lang w:eastAsia="zh-CN"/>
              </w:rPr>
            </w:pPr>
            <w:r>
              <w:rPr>
                <w:rFonts w:hint="eastAsia"/>
                <w:lang w:eastAsia="zh-CN"/>
              </w:rPr>
              <w:t>0.263</w:t>
            </w:r>
          </w:p>
        </w:tc>
        <w:tc>
          <w:tcPr>
            <w:tcW w:w="1276" w:type="dxa"/>
            <w:vAlign w:val="center"/>
          </w:tcPr>
          <w:p w14:paraId="5CA8772D">
            <w:pPr>
              <w:pStyle w:val="518"/>
              <w:rPr>
                <w:lang w:eastAsia="zh-CN"/>
              </w:rPr>
            </w:pPr>
            <w:r>
              <w:rPr>
                <w:rFonts w:hint="eastAsia"/>
                <w:lang w:eastAsia="zh-CN"/>
              </w:rPr>
              <w:t>0.096</w:t>
            </w:r>
          </w:p>
        </w:tc>
        <w:tc>
          <w:tcPr>
            <w:tcW w:w="1417" w:type="dxa"/>
            <w:tcBorders>
              <w:right w:val="single" w:color="auto" w:sz="4" w:space="0"/>
            </w:tcBorders>
            <w:vAlign w:val="center"/>
          </w:tcPr>
          <w:p w14:paraId="60DDC722">
            <w:pPr>
              <w:pStyle w:val="518"/>
              <w:rPr>
                <w:snapToGrid w:val="0"/>
                <w:lang w:eastAsia="zh-CN"/>
              </w:rPr>
            </w:pPr>
            <w:r>
              <w:rPr>
                <w:rFonts w:hint="eastAsia"/>
                <w:snapToGrid w:val="0"/>
                <w:lang w:eastAsia="zh-CN"/>
              </w:rPr>
              <w:t>0.099</w:t>
            </w:r>
          </w:p>
        </w:tc>
        <w:tc>
          <w:tcPr>
            <w:tcW w:w="1276" w:type="dxa"/>
            <w:tcBorders>
              <w:left w:val="single" w:color="auto" w:sz="4" w:space="0"/>
            </w:tcBorders>
            <w:vAlign w:val="center"/>
          </w:tcPr>
          <w:p w14:paraId="6A9278B8">
            <w:pPr>
              <w:pStyle w:val="518"/>
              <w:rPr>
                <w:snapToGrid w:val="0"/>
                <w:lang w:eastAsia="zh-CN"/>
              </w:rPr>
            </w:pPr>
            <w:r>
              <w:rPr>
                <w:rFonts w:hint="eastAsia"/>
                <w:snapToGrid w:val="0"/>
                <w:lang w:eastAsia="zh-CN"/>
              </w:rPr>
              <w:t>0.259</w:t>
            </w:r>
          </w:p>
        </w:tc>
      </w:tr>
      <w:tr w14:paraId="207EB4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Align w:val="center"/>
          </w:tcPr>
          <w:p w14:paraId="277B20A0">
            <w:pPr>
              <w:pStyle w:val="518"/>
              <w:rPr>
                <w:snapToGrid w:val="0"/>
              </w:rPr>
            </w:pPr>
            <w:r>
              <w:rPr>
                <w:snapToGrid w:val="0"/>
              </w:rPr>
              <w:t>砷</w:t>
            </w:r>
          </w:p>
        </w:tc>
        <w:tc>
          <w:tcPr>
            <w:tcW w:w="1134" w:type="dxa"/>
            <w:vAlign w:val="center"/>
          </w:tcPr>
          <w:p w14:paraId="2EBB1055">
            <w:pPr>
              <w:pStyle w:val="518"/>
              <w:rPr>
                <w:lang w:eastAsia="zh-CN"/>
              </w:rPr>
            </w:pPr>
            <w:r>
              <w:rPr>
                <w:rFonts w:hint="eastAsia"/>
                <w:lang w:eastAsia="zh-CN"/>
              </w:rPr>
              <w:t>3.67</w:t>
            </w:r>
          </w:p>
        </w:tc>
        <w:tc>
          <w:tcPr>
            <w:tcW w:w="1417" w:type="dxa"/>
            <w:vAlign w:val="center"/>
          </w:tcPr>
          <w:p w14:paraId="560AB9C5">
            <w:pPr>
              <w:pStyle w:val="518"/>
              <w:rPr>
                <w:lang w:eastAsia="zh-CN"/>
              </w:rPr>
            </w:pPr>
            <w:r>
              <w:rPr>
                <w:rFonts w:hint="eastAsia"/>
                <w:lang w:eastAsia="zh-CN"/>
              </w:rPr>
              <w:t>3.53</w:t>
            </w:r>
          </w:p>
        </w:tc>
        <w:tc>
          <w:tcPr>
            <w:tcW w:w="1418" w:type="dxa"/>
            <w:vAlign w:val="center"/>
          </w:tcPr>
          <w:p w14:paraId="0D9EA308">
            <w:pPr>
              <w:pStyle w:val="518"/>
              <w:rPr>
                <w:lang w:eastAsia="zh-CN"/>
              </w:rPr>
            </w:pPr>
            <w:r>
              <w:rPr>
                <w:rFonts w:hint="eastAsia"/>
                <w:lang w:eastAsia="zh-CN"/>
              </w:rPr>
              <w:t>3.62</w:t>
            </w:r>
          </w:p>
        </w:tc>
        <w:tc>
          <w:tcPr>
            <w:tcW w:w="1276" w:type="dxa"/>
            <w:vAlign w:val="center"/>
          </w:tcPr>
          <w:p w14:paraId="3FB82A8D">
            <w:pPr>
              <w:pStyle w:val="518"/>
              <w:rPr>
                <w:lang w:eastAsia="zh-CN"/>
              </w:rPr>
            </w:pPr>
            <w:r>
              <w:rPr>
                <w:rFonts w:hint="eastAsia"/>
                <w:lang w:eastAsia="zh-CN"/>
              </w:rPr>
              <w:t>3.65</w:t>
            </w:r>
          </w:p>
        </w:tc>
        <w:tc>
          <w:tcPr>
            <w:tcW w:w="1417" w:type="dxa"/>
            <w:tcBorders>
              <w:right w:val="single" w:color="auto" w:sz="4" w:space="0"/>
            </w:tcBorders>
            <w:vAlign w:val="center"/>
          </w:tcPr>
          <w:p w14:paraId="66DF5FEA">
            <w:pPr>
              <w:pStyle w:val="518"/>
              <w:rPr>
                <w:snapToGrid w:val="0"/>
                <w:lang w:eastAsia="zh-CN"/>
              </w:rPr>
            </w:pPr>
            <w:r>
              <w:rPr>
                <w:rFonts w:hint="eastAsia"/>
                <w:snapToGrid w:val="0"/>
                <w:lang w:eastAsia="zh-CN"/>
              </w:rPr>
              <w:t>3.53</w:t>
            </w:r>
          </w:p>
        </w:tc>
        <w:tc>
          <w:tcPr>
            <w:tcW w:w="1276" w:type="dxa"/>
            <w:tcBorders>
              <w:left w:val="single" w:color="auto" w:sz="4" w:space="0"/>
            </w:tcBorders>
            <w:vAlign w:val="center"/>
          </w:tcPr>
          <w:p w14:paraId="16480DAD">
            <w:pPr>
              <w:pStyle w:val="518"/>
              <w:rPr>
                <w:snapToGrid w:val="0"/>
                <w:lang w:eastAsia="zh-CN"/>
              </w:rPr>
            </w:pPr>
            <w:r>
              <w:rPr>
                <w:rFonts w:hint="eastAsia"/>
                <w:snapToGrid w:val="0"/>
                <w:lang w:eastAsia="zh-CN"/>
              </w:rPr>
              <w:t>3.61</w:t>
            </w:r>
          </w:p>
        </w:tc>
      </w:tr>
      <w:tr w14:paraId="7E0210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Align w:val="center"/>
          </w:tcPr>
          <w:p w14:paraId="3F5F7838">
            <w:pPr>
              <w:pStyle w:val="518"/>
              <w:rPr>
                <w:snapToGrid w:val="0"/>
              </w:rPr>
            </w:pPr>
            <w:r>
              <w:t>铜</w:t>
            </w:r>
          </w:p>
        </w:tc>
        <w:tc>
          <w:tcPr>
            <w:tcW w:w="1134" w:type="dxa"/>
            <w:vAlign w:val="center"/>
          </w:tcPr>
          <w:p w14:paraId="0BE46ED5">
            <w:pPr>
              <w:pStyle w:val="518"/>
              <w:rPr>
                <w:lang w:eastAsia="zh-CN"/>
              </w:rPr>
            </w:pPr>
            <w:r>
              <w:rPr>
                <w:rFonts w:hint="eastAsia"/>
                <w:lang w:eastAsia="zh-CN"/>
              </w:rPr>
              <w:t>22.7</w:t>
            </w:r>
          </w:p>
        </w:tc>
        <w:tc>
          <w:tcPr>
            <w:tcW w:w="1417" w:type="dxa"/>
            <w:vAlign w:val="center"/>
          </w:tcPr>
          <w:p w14:paraId="48598A44">
            <w:pPr>
              <w:pStyle w:val="518"/>
              <w:rPr>
                <w:lang w:eastAsia="zh-CN"/>
              </w:rPr>
            </w:pPr>
            <w:r>
              <w:rPr>
                <w:rFonts w:hint="eastAsia"/>
                <w:lang w:eastAsia="zh-CN"/>
              </w:rPr>
              <w:t>21.6</w:t>
            </w:r>
          </w:p>
        </w:tc>
        <w:tc>
          <w:tcPr>
            <w:tcW w:w="1418" w:type="dxa"/>
            <w:vAlign w:val="center"/>
          </w:tcPr>
          <w:p w14:paraId="5B543541">
            <w:pPr>
              <w:pStyle w:val="518"/>
              <w:rPr>
                <w:lang w:eastAsia="zh-CN"/>
              </w:rPr>
            </w:pPr>
            <w:r>
              <w:rPr>
                <w:rFonts w:hint="eastAsia"/>
                <w:lang w:eastAsia="zh-CN"/>
              </w:rPr>
              <w:t>20.9</w:t>
            </w:r>
          </w:p>
        </w:tc>
        <w:tc>
          <w:tcPr>
            <w:tcW w:w="1276" w:type="dxa"/>
            <w:vAlign w:val="center"/>
          </w:tcPr>
          <w:p w14:paraId="10D2F455">
            <w:pPr>
              <w:pStyle w:val="518"/>
              <w:rPr>
                <w:lang w:eastAsia="zh-CN"/>
              </w:rPr>
            </w:pPr>
            <w:r>
              <w:rPr>
                <w:rFonts w:hint="eastAsia"/>
                <w:lang w:eastAsia="zh-CN"/>
              </w:rPr>
              <w:t>22.5</w:t>
            </w:r>
          </w:p>
        </w:tc>
        <w:tc>
          <w:tcPr>
            <w:tcW w:w="1417" w:type="dxa"/>
            <w:tcBorders>
              <w:right w:val="single" w:color="auto" w:sz="4" w:space="0"/>
            </w:tcBorders>
            <w:vAlign w:val="center"/>
          </w:tcPr>
          <w:p w14:paraId="55CF78D6">
            <w:pPr>
              <w:pStyle w:val="518"/>
              <w:rPr>
                <w:snapToGrid w:val="0"/>
                <w:lang w:eastAsia="zh-CN"/>
              </w:rPr>
            </w:pPr>
            <w:r>
              <w:rPr>
                <w:rFonts w:hint="eastAsia"/>
                <w:snapToGrid w:val="0"/>
                <w:lang w:eastAsia="zh-CN"/>
              </w:rPr>
              <w:t>21.3</w:t>
            </w:r>
          </w:p>
        </w:tc>
        <w:tc>
          <w:tcPr>
            <w:tcW w:w="1276" w:type="dxa"/>
            <w:tcBorders>
              <w:left w:val="single" w:color="auto" w:sz="4" w:space="0"/>
            </w:tcBorders>
            <w:vAlign w:val="center"/>
          </w:tcPr>
          <w:p w14:paraId="20F38531">
            <w:pPr>
              <w:pStyle w:val="518"/>
              <w:rPr>
                <w:snapToGrid w:val="0"/>
                <w:lang w:eastAsia="zh-CN"/>
              </w:rPr>
            </w:pPr>
            <w:r>
              <w:rPr>
                <w:rFonts w:hint="eastAsia"/>
                <w:snapToGrid w:val="0"/>
                <w:lang w:eastAsia="zh-CN"/>
              </w:rPr>
              <w:t>20.8</w:t>
            </w:r>
          </w:p>
        </w:tc>
      </w:tr>
      <w:tr w14:paraId="76A7D1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Align w:val="center"/>
          </w:tcPr>
          <w:p w14:paraId="4B98D97B">
            <w:pPr>
              <w:pStyle w:val="518"/>
              <w:rPr>
                <w:snapToGrid w:val="0"/>
                <w:lang w:eastAsia="zh-CN"/>
              </w:rPr>
            </w:pPr>
            <w:r>
              <w:rPr>
                <w:snapToGrid w:val="0"/>
                <w:lang w:eastAsia="zh-CN"/>
              </w:rPr>
              <w:t>锌</w:t>
            </w:r>
          </w:p>
        </w:tc>
        <w:tc>
          <w:tcPr>
            <w:tcW w:w="1134" w:type="dxa"/>
            <w:vAlign w:val="center"/>
          </w:tcPr>
          <w:p w14:paraId="6D2B9FE0">
            <w:pPr>
              <w:pStyle w:val="518"/>
              <w:rPr>
                <w:lang w:eastAsia="zh-CN"/>
              </w:rPr>
            </w:pPr>
            <w:r>
              <w:rPr>
                <w:rFonts w:hint="eastAsia"/>
                <w:lang w:eastAsia="zh-CN"/>
              </w:rPr>
              <w:t>64.7</w:t>
            </w:r>
          </w:p>
        </w:tc>
        <w:tc>
          <w:tcPr>
            <w:tcW w:w="1417" w:type="dxa"/>
            <w:vAlign w:val="center"/>
          </w:tcPr>
          <w:p w14:paraId="16F95291">
            <w:pPr>
              <w:pStyle w:val="518"/>
              <w:rPr>
                <w:lang w:eastAsia="zh-CN"/>
              </w:rPr>
            </w:pPr>
            <w:r>
              <w:rPr>
                <w:rFonts w:hint="eastAsia"/>
                <w:lang w:eastAsia="zh-CN"/>
              </w:rPr>
              <w:t>57.6</w:t>
            </w:r>
          </w:p>
        </w:tc>
        <w:tc>
          <w:tcPr>
            <w:tcW w:w="1418" w:type="dxa"/>
            <w:vAlign w:val="center"/>
          </w:tcPr>
          <w:p w14:paraId="05A07A21">
            <w:pPr>
              <w:pStyle w:val="518"/>
              <w:rPr>
                <w:lang w:eastAsia="zh-CN"/>
              </w:rPr>
            </w:pPr>
            <w:r>
              <w:rPr>
                <w:rFonts w:hint="eastAsia"/>
                <w:lang w:eastAsia="zh-CN"/>
              </w:rPr>
              <w:t>52.1</w:t>
            </w:r>
          </w:p>
        </w:tc>
        <w:tc>
          <w:tcPr>
            <w:tcW w:w="1276" w:type="dxa"/>
            <w:vAlign w:val="center"/>
          </w:tcPr>
          <w:p w14:paraId="793BD1EA">
            <w:pPr>
              <w:pStyle w:val="518"/>
              <w:rPr>
                <w:lang w:eastAsia="zh-CN"/>
              </w:rPr>
            </w:pPr>
            <w:r>
              <w:rPr>
                <w:rFonts w:hint="eastAsia"/>
                <w:lang w:eastAsia="zh-CN"/>
              </w:rPr>
              <w:t>64.2</w:t>
            </w:r>
          </w:p>
        </w:tc>
        <w:tc>
          <w:tcPr>
            <w:tcW w:w="1417" w:type="dxa"/>
            <w:tcBorders>
              <w:right w:val="single" w:color="auto" w:sz="4" w:space="0"/>
            </w:tcBorders>
            <w:vAlign w:val="center"/>
          </w:tcPr>
          <w:p w14:paraId="65950305">
            <w:pPr>
              <w:pStyle w:val="518"/>
              <w:rPr>
                <w:snapToGrid w:val="0"/>
                <w:lang w:eastAsia="zh-CN"/>
              </w:rPr>
            </w:pPr>
            <w:r>
              <w:rPr>
                <w:rFonts w:hint="eastAsia"/>
                <w:snapToGrid w:val="0"/>
                <w:lang w:eastAsia="zh-CN"/>
              </w:rPr>
              <w:t>57.5</w:t>
            </w:r>
          </w:p>
        </w:tc>
        <w:tc>
          <w:tcPr>
            <w:tcW w:w="1276" w:type="dxa"/>
            <w:tcBorders>
              <w:left w:val="single" w:color="auto" w:sz="4" w:space="0"/>
            </w:tcBorders>
            <w:vAlign w:val="center"/>
          </w:tcPr>
          <w:p w14:paraId="015972EA">
            <w:pPr>
              <w:pStyle w:val="518"/>
              <w:rPr>
                <w:snapToGrid w:val="0"/>
                <w:lang w:eastAsia="zh-CN"/>
              </w:rPr>
            </w:pPr>
            <w:r>
              <w:rPr>
                <w:rFonts w:hint="eastAsia"/>
                <w:snapToGrid w:val="0"/>
                <w:lang w:eastAsia="zh-CN"/>
              </w:rPr>
              <w:t>52.0</w:t>
            </w:r>
          </w:p>
        </w:tc>
      </w:tr>
      <w:tr w14:paraId="181AA9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Align w:val="center"/>
          </w:tcPr>
          <w:p w14:paraId="38659600">
            <w:pPr>
              <w:pStyle w:val="518"/>
              <w:rPr>
                <w:snapToGrid w:val="0"/>
                <w:lang w:eastAsia="zh-CN"/>
              </w:rPr>
            </w:pPr>
            <w:r>
              <w:rPr>
                <w:snapToGrid w:val="0"/>
              </w:rPr>
              <w:t>铅</w:t>
            </w:r>
          </w:p>
        </w:tc>
        <w:tc>
          <w:tcPr>
            <w:tcW w:w="1134" w:type="dxa"/>
            <w:vAlign w:val="center"/>
          </w:tcPr>
          <w:p w14:paraId="1E40BDA9">
            <w:pPr>
              <w:pStyle w:val="518"/>
              <w:rPr>
                <w:lang w:eastAsia="zh-CN"/>
              </w:rPr>
            </w:pPr>
            <w:r>
              <w:rPr>
                <w:rFonts w:hint="eastAsia"/>
                <w:lang w:eastAsia="zh-CN"/>
              </w:rPr>
              <w:t>29.5</w:t>
            </w:r>
          </w:p>
        </w:tc>
        <w:tc>
          <w:tcPr>
            <w:tcW w:w="1417" w:type="dxa"/>
            <w:vAlign w:val="center"/>
          </w:tcPr>
          <w:p w14:paraId="2F6C6CDB">
            <w:pPr>
              <w:pStyle w:val="518"/>
              <w:rPr>
                <w:lang w:eastAsia="zh-CN"/>
              </w:rPr>
            </w:pPr>
            <w:r>
              <w:rPr>
                <w:rFonts w:hint="eastAsia"/>
                <w:lang w:eastAsia="zh-CN"/>
              </w:rPr>
              <w:t>27.6</w:t>
            </w:r>
          </w:p>
        </w:tc>
        <w:tc>
          <w:tcPr>
            <w:tcW w:w="1418" w:type="dxa"/>
            <w:vAlign w:val="center"/>
          </w:tcPr>
          <w:p w14:paraId="1CE83D52">
            <w:pPr>
              <w:pStyle w:val="518"/>
              <w:rPr>
                <w:lang w:eastAsia="zh-CN"/>
              </w:rPr>
            </w:pPr>
            <w:r>
              <w:rPr>
                <w:rFonts w:hint="eastAsia"/>
                <w:lang w:eastAsia="zh-CN"/>
              </w:rPr>
              <w:t>26.3</w:t>
            </w:r>
          </w:p>
        </w:tc>
        <w:tc>
          <w:tcPr>
            <w:tcW w:w="1276" w:type="dxa"/>
            <w:vAlign w:val="center"/>
          </w:tcPr>
          <w:p w14:paraId="28ED3303">
            <w:pPr>
              <w:pStyle w:val="518"/>
              <w:rPr>
                <w:lang w:eastAsia="zh-CN"/>
              </w:rPr>
            </w:pPr>
            <w:r>
              <w:rPr>
                <w:rFonts w:hint="eastAsia"/>
                <w:lang w:eastAsia="zh-CN"/>
              </w:rPr>
              <w:t>29.5</w:t>
            </w:r>
          </w:p>
        </w:tc>
        <w:tc>
          <w:tcPr>
            <w:tcW w:w="1417" w:type="dxa"/>
            <w:tcBorders>
              <w:right w:val="single" w:color="auto" w:sz="4" w:space="0"/>
            </w:tcBorders>
            <w:vAlign w:val="center"/>
          </w:tcPr>
          <w:p w14:paraId="410418BE">
            <w:pPr>
              <w:pStyle w:val="518"/>
              <w:rPr>
                <w:snapToGrid w:val="0"/>
                <w:lang w:eastAsia="zh-CN"/>
              </w:rPr>
            </w:pPr>
            <w:r>
              <w:rPr>
                <w:rFonts w:hint="eastAsia"/>
                <w:snapToGrid w:val="0"/>
                <w:lang w:eastAsia="zh-CN"/>
              </w:rPr>
              <w:t>27.3</w:t>
            </w:r>
          </w:p>
        </w:tc>
        <w:tc>
          <w:tcPr>
            <w:tcW w:w="1276" w:type="dxa"/>
            <w:tcBorders>
              <w:left w:val="single" w:color="auto" w:sz="4" w:space="0"/>
            </w:tcBorders>
            <w:vAlign w:val="center"/>
          </w:tcPr>
          <w:p w14:paraId="0A0AFE76">
            <w:pPr>
              <w:pStyle w:val="518"/>
              <w:rPr>
                <w:snapToGrid w:val="0"/>
                <w:lang w:eastAsia="zh-CN"/>
              </w:rPr>
            </w:pPr>
            <w:r>
              <w:rPr>
                <w:rFonts w:hint="eastAsia"/>
                <w:snapToGrid w:val="0"/>
                <w:lang w:eastAsia="zh-CN"/>
              </w:rPr>
              <w:t>25.9</w:t>
            </w:r>
          </w:p>
        </w:tc>
      </w:tr>
      <w:tr w14:paraId="115428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Align w:val="center"/>
          </w:tcPr>
          <w:p w14:paraId="58949F84">
            <w:pPr>
              <w:pStyle w:val="518"/>
              <w:rPr>
                <w:snapToGrid w:val="0"/>
              </w:rPr>
            </w:pPr>
            <w:r>
              <w:rPr>
                <w:snapToGrid w:val="0"/>
              </w:rPr>
              <w:t>镉</w:t>
            </w:r>
          </w:p>
        </w:tc>
        <w:tc>
          <w:tcPr>
            <w:tcW w:w="1134" w:type="dxa"/>
            <w:vAlign w:val="center"/>
          </w:tcPr>
          <w:p w14:paraId="623CED41">
            <w:pPr>
              <w:pStyle w:val="518"/>
              <w:rPr>
                <w:lang w:eastAsia="zh-CN"/>
              </w:rPr>
            </w:pPr>
            <w:r>
              <w:rPr>
                <w:rFonts w:hint="eastAsia"/>
                <w:lang w:eastAsia="zh-CN"/>
              </w:rPr>
              <w:t>0.197</w:t>
            </w:r>
          </w:p>
        </w:tc>
        <w:tc>
          <w:tcPr>
            <w:tcW w:w="1417" w:type="dxa"/>
            <w:vAlign w:val="center"/>
          </w:tcPr>
          <w:p w14:paraId="58C1AD1D">
            <w:pPr>
              <w:pStyle w:val="518"/>
              <w:rPr>
                <w:lang w:eastAsia="zh-CN"/>
              </w:rPr>
            </w:pPr>
            <w:r>
              <w:rPr>
                <w:rFonts w:hint="eastAsia"/>
                <w:lang w:eastAsia="zh-CN"/>
              </w:rPr>
              <w:t>0.183</w:t>
            </w:r>
          </w:p>
        </w:tc>
        <w:tc>
          <w:tcPr>
            <w:tcW w:w="1418" w:type="dxa"/>
            <w:vAlign w:val="center"/>
          </w:tcPr>
          <w:p w14:paraId="0D72F813">
            <w:pPr>
              <w:pStyle w:val="518"/>
              <w:rPr>
                <w:lang w:eastAsia="zh-CN"/>
              </w:rPr>
            </w:pPr>
            <w:r>
              <w:rPr>
                <w:rFonts w:hint="eastAsia"/>
                <w:lang w:eastAsia="zh-CN"/>
              </w:rPr>
              <w:t>0.169</w:t>
            </w:r>
          </w:p>
        </w:tc>
        <w:tc>
          <w:tcPr>
            <w:tcW w:w="1276" w:type="dxa"/>
            <w:vAlign w:val="center"/>
          </w:tcPr>
          <w:p w14:paraId="0348950B">
            <w:pPr>
              <w:pStyle w:val="518"/>
              <w:rPr>
                <w:lang w:eastAsia="zh-CN"/>
              </w:rPr>
            </w:pPr>
            <w:r>
              <w:rPr>
                <w:rFonts w:hint="eastAsia"/>
                <w:lang w:eastAsia="zh-CN"/>
              </w:rPr>
              <w:t>0.198</w:t>
            </w:r>
          </w:p>
        </w:tc>
        <w:tc>
          <w:tcPr>
            <w:tcW w:w="1417" w:type="dxa"/>
            <w:tcBorders>
              <w:right w:val="single" w:color="auto" w:sz="4" w:space="0"/>
            </w:tcBorders>
            <w:vAlign w:val="center"/>
          </w:tcPr>
          <w:p w14:paraId="29C668DB">
            <w:pPr>
              <w:pStyle w:val="518"/>
              <w:rPr>
                <w:snapToGrid w:val="0"/>
                <w:lang w:eastAsia="zh-CN"/>
              </w:rPr>
            </w:pPr>
            <w:r>
              <w:rPr>
                <w:rFonts w:hint="eastAsia"/>
                <w:snapToGrid w:val="0"/>
                <w:lang w:eastAsia="zh-CN"/>
              </w:rPr>
              <w:t>0.185</w:t>
            </w:r>
          </w:p>
        </w:tc>
        <w:tc>
          <w:tcPr>
            <w:tcW w:w="1276" w:type="dxa"/>
            <w:tcBorders>
              <w:left w:val="single" w:color="auto" w:sz="4" w:space="0"/>
            </w:tcBorders>
            <w:vAlign w:val="center"/>
          </w:tcPr>
          <w:p w14:paraId="55133B1C">
            <w:pPr>
              <w:pStyle w:val="518"/>
              <w:rPr>
                <w:snapToGrid w:val="0"/>
                <w:lang w:eastAsia="zh-CN"/>
              </w:rPr>
            </w:pPr>
            <w:r>
              <w:rPr>
                <w:rFonts w:hint="eastAsia"/>
                <w:snapToGrid w:val="0"/>
                <w:lang w:eastAsia="zh-CN"/>
              </w:rPr>
              <w:t>0.170</w:t>
            </w:r>
          </w:p>
        </w:tc>
      </w:tr>
      <w:tr w14:paraId="78A84E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Align w:val="center"/>
          </w:tcPr>
          <w:p w14:paraId="1E186857">
            <w:pPr>
              <w:pStyle w:val="518"/>
              <w:rPr>
                <w:snapToGrid w:val="0"/>
              </w:rPr>
            </w:pPr>
            <w:r>
              <w:t>镍</w:t>
            </w:r>
          </w:p>
        </w:tc>
        <w:tc>
          <w:tcPr>
            <w:tcW w:w="1134" w:type="dxa"/>
            <w:vAlign w:val="center"/>
          </w:tcPr>
          <w:p w14:paraId="05A3149F">
            <w:pPr>
              <w:pStyle w:val="518"/>
              <w:rPr>
                <w:lang w:eastAsia="zh-CN"/>
              </w:rPr>
            </w:pPr>
            <w:r>
              <w:rPr>
                <w:rFonts w:hint="eastAsia"/>
                <w:lang w:eastAsia="zh-CN"/>
              </w:rPr>
              <w:t>23.5</w:t>
            </w:r>
          </w:p>
        </w:tc>
        <w:tc>
          <w:tcPr>
            <w:tcW w:w="1417" w:type="dxa"/>
            <w:vAlign w:val="center"/>
          </w:tcPr>
          <w:p w14:paraId="694ADE3F">
            <w:pPr>
              <w:pStyle w:val="518"/>
              <w:rPr>
                <w:lang w:eastAsia="zh-CN"/>
              </w:rPr>
            </w:pPr>
            <w:r>
              <w:rPr>
                <w:rFonts w:hint="eastAsia"/>
                <w:lang w:eastAsia="zh-CN"/>
              </w:rPr>
              <w:t>18.7</w:t>
            </w:r>
          </w:p>
        </w:tc>
        <w:tc>
          <w:tcPr>
            <w:tcW w:w="1418" w:type="dxa"/>
            <w:vAlign w:val="center"/>
          </w:tcPr>
          <w:p w14:paraId="6A18111F">
            <w:pPr>
              <w:pStyle w:val="518"/>
              <w:rPr>
                <w:lang w:eastAsia="zh-CN"/>
              </w:rPr>
            </w:pPr>
            <w:r>
              <w:rPr>
                <w:rFonts w:hint="eastAsia"/>
                <w:lang w:eastAsia="zh-CN"/>
              </w:rPr>
              <w:t>15.4</w:t>
            </w:r>
          </w:p>
        </w:tc>
        <w:tc>
          <w:tcPr>
            <w:tcW w:w="1276" w:type="dxa"/>
            <w:vAlign w:val="center"/>
          </w:tcPr>
          <w:p w14:paraId="6726A075">
            <w:pPr>
              <w:pStyle w:val="518"/>
              <w:rPr>
                <w:lang w:eastAsia="zh-CN"/>
              </w:rPr>
            </w:pPr>
            <w:r>
              <w:rPr>
                <w:rFonts w:hint="eastAsia"/>
                <w:lang w:eastAsia="zh-CN"/>
              </w:rPr>
              <w:t>23.6</w:t>
            </w:r>
          </w:p>
        </w:tc>
        <w:tc>
          <w:tcPr>
            <w:tcW w:w="1417" w:type="dxa"/>
            <w:tcBorders>
              <w:right w:val="single" w:color="auto" w:sz="4" w:space="0"/>
            </w:tcBorders>
            <w:vAlign w:val="center"/>
          </w:tcPr>
          <w:p w14:paraId="25FE75CA">
            <w:pPr>
              <w:pStyle w:val="518"/>
              <w:rPr>
                <w:snapToGrid w:val="0"/>
                <w:lang w:eastAsia="zh-CN"/>
              </w:rPr>
            </w:pPr>
            <w:r>
              <w:rPr>
                <w:rFonts w:hint="eastAsia"/>
                <w:snapToGrid w:val="0"/>
                <w:lang w:eastAsia="zh-CN"/>
              </w:rPr>
              <w:t>18.9</w:t>
            </w:r>
          </w:p>
        </w:tc>
        <w:tc>
          <w:tcPr>
            <w:tcW w:w="1276" w:type="dxa"/>
            <w:tcBorders>
              <w:left w:val="single" w:color="auto" w:sz="4" w:space="0"/>
            </w:tcBorders>
            <w:vAlign w:val="center"/>
          </w:tcPr>
          <w:p w14:paraId="6D6232E6">
            <w:pPr>
              <w:pStyle w:val="518"/>
              <w:rPr>
                <w:snapToGrid w:val="0"/>
                <w:lang w:eastAsia="zh-CN"/>
              </w:rPr>
            </w:pPr>
            <w:r>
              <w:rPr>
                <w:rFonts w:hint="eastAsia"/>
                <w:snapToGrid w:val="0"/>
                <w:lang w:eastAsia="zh-CN"/>
              </w:rPr>
              <w:t>15.5</w:t>
            </w:r>
          </w:p>
        </w:tc>
      </w:tr>
      <w:tr w14:paraId="0D7DB3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Align w:val="center"/>
          </w:tcPr>
          <w:p w14:paraId="4DA98C75">
            <w:pPr>
              <w:pStyle w:val="518"/>
              <w:rPr>
                <w:lang w:eastAsia="zh-CN"/>
              </w:rPr>
            </w:pPr>
            <w:r>
              <w:rPr>
                <w:rFonts w:hint="eastAsia"/>
                <w:lang w:eastAsia="zh-CN"/>
              </w:rPr>
              <w:t>石油类</w:t>
            </w:r>
          </w:p>
        </w:tc>
        <w:tc>
          <w:tcPr>
            <w:tcW w:w="1134" w:type="dxa"/>
            <w:vAlign w:val="center"/>
          </w:tcPr>
          <w:p w14:paraId="05910B06">
            <w:pPr>
              <w:pStyle w:val="518"/>
              <w:rPr>
                <w:snapToGrid w:val="0"/>
                <w:lang w:eastAsia="zh-CN"/>
              </w:rPr>
            </w:pPr>
            <w:r>
              <w:rPr>
                <w:rFonts w:hint="eastAsia"/>
                <w:snapToGrid w:val="0"/>
                <w:lang w:eastAsia="zh-CN"/>
              </w:rPr>
              <w:t>6.79</w:t>
            </w:r>
          </w:p>
        </w:tc>
        <w:tc>
          <w:tcPr>
            <w:tcW w:w="1417" w:type="dxa"/>
            <w:vAlign w:val="center"/>
          </w:tcPr>
          <w:p w14:paraId="0814989E">
            <w:pPr>
              <w:pStyle w:val="518"/>
              <w:rPr>
                <w:lang w:eastAsia="zh-CN"/>
              </w:rPr>
            </w:pPr>
            <w:r>
              <w:rPr>
                <w:rFonts w:hint="eastAsia"/>
                <w:lang w:eastAsia="zh-CN"/>
              </w:rPr>
              <w:t>6.71</w:t>
            </w:r>
          </w:p>
        </w:tc>
        <w:tc>
          <w:tcPr>
            <w:tcW w:w="1418" w:type="dxa"/>
            <w:vAlign w:val="center"/>
          </w:tcPr>
          <w:p w14:paraId="46EC6057">
            <w:pPr>
              <w:pStyle w:val="518"/>
              <w:rPr>
                <w:lang w:eastAsia="zh-CN"/>
              </w:rPr>
            </w:pPr>
            <w:r>
              <w:rPr>
                <w:rFonts w:hint="eastAsia"/>
                <w:lang w:eastAsia="zh-CN"/>
              </w:rPr>
              <w:t>6.53</w:t>
            </w:r>
          </w:p>
        </w:tc>
        <w:tc>
          <w:tcPr>
            <w:tcW w:w="1276" w:type="dxa"/>
            <w:vAlign w:val="center"/>
          </w:tcPr>
          <w:p w14:paraId="18E06CA7">
            <w:pPr>
              <w:pStyle w:val="518"/>
              <w:rPr>
                <w:lang w:eastAsia="zh-CN"/>
              </w:rPr>
            </w:pPr>
            <w:r>
              <w:rPr>
                <w:rFonts w:hint="eastAsia"/>
                <w:lang w:eastAsia="zh-CN"/>
              </w:rPr>
              <w:t>6.81</w:t>
            </w:r>
          </w:p>
        </w:tc>
        <w:tc>
          <w:tcPr>
            <w:tcW w:w="1417" w:type="dxa"/>
            <w:tcBorders>
              <w:right w:val="single" w:color="auto" w:sz="4" w:space="0"/>
            </w:tcBorders>
            <w:vAlign w:val="center"/>
          </w:tcPr>
          <w:p w14:paraId="32694C80">
            <w:pPr>
              <w:pStyle w:val="518"/>
              <w:rPr>
                <w:snapToGrid w:val="0"/>
                <w:lang w:eastAsia="zh-CN"/>
              </w:rPr>
            </w:pPr>
            <w:r>
              <w:rPr>
                <w:rFonts w:hint="eastAsia"/>
                <w:snapToGrid w:val="0"/>
                <w:lang w:eastAsia="zh-CN"/>
              </w:rPr>
              <w:t>6.69</w:t>
            </w:r>
          </w:p>
        </w:tc>
        <w:tc>
          <w:tcPr>
            <w:tcW w:w="1276" w:type="dxa"/>
            <w:tcBorders>
              <w:left w:val="single" w:color="auto" w:sz="4" w:space="0"/>
            </w:tcBorders>
            <w:vAlign w:val="center"/>
          </w:tcPr>
          <w:p w14:paraId="0821F651">
            <w:pPr>
              <w:pStyle w:val="518"/>
              <w:rPr>
                <w:snapToGrid w:val="0"/>
                <w:lang w:eastAsia="zh-CN"/>
              </w:rPr>
            </w:pPr>
            <w:r>
              <w:rPr>
                <w:rFonts w:hint="eastAsia"/>
                <w:snapToGrid w:val="0"/>
                <w:lang w:eastAsia="zh-CN"/>
              </w:rPr>
              <w:t>6.52</w:t>
            </w:r>
          </w:p>
        </w:tc>
      </w:tr>
      <w:tr w14:paraId="0F19DE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Align w:val="center"/>
          </w:tcPr>
          <w:p w14:paraId="73F7F942">
            <w:pPr>
              <w:pStyle w:val="518"/>
              <w:rPr>
                <w:lang w:eastAsia="zh-CN"/>
              </w:rPr>
            </w:pPr>
            <w:r>
              <w:rPr>
                <w:lang w:eastAsia="zh-CN"/>
              </w:rPr>
              <w:t>阳离子交换量</w:t>
            </w:r>
          </w:p>
          <w:p w14:paraId="6AB49FC8">
            <w:pPr>
              <w:pStyle w:val="518"/>
              <w:rPr>
                <w:lang w:eastAsia="zh-CN"/>
              </w:rPr>
            </w:pPr>
            <w:r>
              <w:rPr>
                <w:snapToGrid w:val="0"/>
                <w:lang w:eastAsia="zh-CN"/>
              </w:rPr>
              <w:t>cmol/kg</w:t>
            </w:r>
          </w:p>
        </w:tc>
        <w:tc>
          <w:tcPr>
            <w:tcW w:w="1134" w:type="dxa"/>
            <w:vAlign w:val="center"/>
          </w:tcPr>
          <w:p w14:paraId="6A0BE7C9">
            <w:pPr>
              <w:pStyle w:val="518"/>
              <w:rPr>
                <w:snapToGrid w:val="0"/>
                <w:lang w:eastAsia="zh-CN"/>
              </w:rPr>
            </w:pPr>
            <w:r>
              <w:rPr>
                <w:rFonts w:hint="eastAsia"/>
                <w:snapToGrid w:val="0"/>
                <w:lang w:eastAsia="zh-CN"/>
              </w:rPr>
              <w:t>7.10</w:t>
            </w:r>
          </w:p>
        </w:tc>
        <w:tc>
          <w:tcPr>
            <w:tcW w:w="1417" w:type="dxa"/>
            <w:vAlign w:val="center"/>
          </w:tcPr>
          <w:p w14:paraId="703FE808">
            <w:pPr>
              <w:pStyle w:val="518"/>
              <w:rPr>
                <w:lang w:eastAsia="zh-CN"/>
              </w:rPr>
            </w:pPr>
            <w:r>
              <w:rPr>
                <w:rFonts w:hint="eastAsia"/>
                <w:lang w:eastAsia="zh-CN"/>
              </w:rPr>
              <w:t>6.24</w:t>
            </w:r>
          </w:p>
        </w:tc>
        <w:tc>
          <w:tcPr>
            <w:tcW w:w="1418" w:type="dxa"/>
            <w:vAlign w:val="center"/>
          </w:tcPr>
          <w:p w14:paraId="532D79C5">
            <w:pPr>
              <w:pStyle w:val="518"/>
              <w:rPr>
                <w:lang w:eastAsia="zh-CN"/>
              </w:rPr>
            </w:pPr>
            <w:r>
              <w:rPr>
                <w:rFonts w:hint="eastAsia"/>
                <w:lang w:eastAsia="zh-CN"/>
              </w:rPr>
              <w:t>3.43</w:t>
            </w:r>
          </w:p>
        </w:tc>
        <w:tc>
          <w:tcPr>
            <w:tcW w:w="1276" w:type="dxa"/>
            <w:vAlign w:val="center"/>
          </w:tcPr>
          <w:p w14:paraId="294B71ED">
            <w:pPr>
              <w:pStyle w:val="518"/>
              <w:rPr>
                <w:lang w:eastAsia="zh-CN"/>
              </w:rPr>
            </w:pPr>
            <w:r>
              <w:rPr>
                <w:rFonts w:hint="eastAsia"/>
                <w:lang w:eastAsia="zh-CN"/>
              </w:rPr>
              <w:t>7.08</w:t>
            </w:r>
          </w:p>
        </w:tc>
        <w:tc>
          <w:tcPr>
            <w:tcW w:w="1417" w:type="dxa"/>
            <w:tcBorders>
              <w:right w:val="single" w:color="auto" w:sz="4" w:space="0"/>
            </w:tcBorders>
            <w:vAlign w:val="center"/>
          </w:tcPr>
          <w:p w14:paraId="0A824661">
            <w:pPr>
              <w:pStyle w:val="518"/>
              <w:rPr>
                <w:lang w:eastAsia="zh-CN"/>
              </w:rPr>
            </w:pPr>
            <w:r>
              <w:rPr>
                <w:rFonts w:hint="eastAsia"/>
                <w:lang w:eastAsia="zh-CN"/>
              </w:rPr>
              <w:t>6.21</w:t>
            </w:r>
          </w:p>
        </w:tc>
        <w:tc>
          <w:tcPr>
            <w:tcW w:w="1276" w:type="dxa"/>
            <w:tcBorders>
              <w:left w:val="single" w:color="auto" w:sz="4" w:space="0"/>
            </w:tcBorders>
            <w:vAlign w:val="center"/>
          </w:tcPr>
          <w:p w14:paraId="37ACCE18">
            <w:pPr>
              <w:pStyle w:val="518"/>
              <w:rPr>
                <w:lang w:eastAsia="zh-CN"/>
              </w:rPr>
            </w:pPr>
            <w:r>
              <w:rPr>
                <w:rFonts w:hint="eastAsia"/>
                <w:lang w:eastAsia="zh-CN"/>
              </w:rPr>
              <w:t>3.42</w:t>
            </w:r>
          </w:p>
        </w:tc>
      </w:tr>
    </w:tbl>
    <w:p w14:paraId="573366B7">
      <w:pPr>
        <w:ind w:firstLine="480"/>
        <w:rPr>
          <w:rFonts w:asciiTheme="minorEastAsia" w:hAnsiTheme="minorEastAsia" w:eastAsiaTheme="minorEastAsia"/>
          <w:bCs/>
          <w:szCs w:val="24"/>
          <w:lang w:eastAsia="zh-CN"/>
        </w:rPr>
      </w:pPr>
    </w:p>
    <w:p w14:paraId="0F085FF7">
      <w:pPr>
        <w:ind w:firstLine="480"/>
        <w:rPr>
          <w:rFonts w:asciiTheme="minorEastAsia" w:hAnsiTheme="minorEastAsia" w:eastAsiaTheme="minorEastAsia"/>
          <w:bCs/>
          <w:szCs w:val="24"/>
          <w:lang w:eastAsia="zh-CN"/>
        </w:rPr>
      </w:pPr>
    </w:p>
    <w:p w14:paraId="2F639C5B">
      <w:pPr>
        <w:ind w:firstLine="480"/>
        <w:rPr>
          <w:rFonts w:asciiTheme="minorEastAsia" w:hAnsiTheme="minorEastAsia" w:eastAsiaTheme="minorEastAsia"/>
          <w:bCs/>
          <w:szCs w:val="24"/>
          <w:lang w:eastAsia="zh-CN"/>
        </w:rPr>
      </w:pPr>
    </w:p>
    <w:p w14:paraId="11618B67">
      <w:pPr>
        <w:ind w:firstLine="480"/>
        <w:rPr>
          <w:rFonts w:asciiTheme="minorEastAsia" w:hAnsiTheme="minorEastAsia" w:eastAsiaTheme="minorEastAsia"/>
          <w:bCs/>
          <w:szCs w:val="24"/>
          <w:lang w:eastAsia="zh-CN"/>
        </w:rPr>
        <w:sectPr>
          <w:pgSz w:w="11907" w:h="16840"/>
          <w:pgMar w:top="1440" w:right="1797" w:bottom="1440" w:left="1797" w:header="851" w:footer="992" w:gutter="0"/>
          <w:cols w:space="720" w:num="1"/>
          <w:docGrid w:linePitch="319" w:charSpace="0"/>
        </w:sectPr>
      </w:pPr>
    </w:p>
    <w:p w14:paraId="5B04300C">
      <w:pPr>
        <w:ind w:firstLine="480"/>
        <w:rPr>
          <w:rFonts w:asciiTheme="minorEastAsia" w:hAnsiTheme="minorEastAsia" w:eastAsiaTheme="minorEastAsia"/>
          <w:bCs/>
          <w:szCs w:val="24"/>
          <w:lang w:eastAsia="zh-CN"/>
        </w:rPr>
      </w:pPr>
    </w:p>
    <w:p w14:paraId="1A9DC816">
      <w:pPr>
        <w:spacing w:line="240" w:lineRule="auto"/>
        <w:ind w:firstLine="479" w:firstLineChars="199"/>
        <w:rPr>
          <w:snapToGrid w:val="0"/>
          <w:sz w:val="21"/>
          <w:szCs w:val="21"/>
          <w:lang w:eastAsia="zh-CN"/>
        </w:rPr>
      </w:pPr>
      <w:r>
        <w:rPr>
          <w:b/>
          <w:snapToGrid w:val="0"/>
          <w:lang w:eastAsia="zh-CN"/>
        </w:rPr>
        <w:t>表</w:t>
      </w:r>
      <w:r>
        <w:rPr>
          <w:rFonts w:hint="eastAsia"/>
          <w:b/>
          <w:snapToGrid w:val="0"/>
          <w:lang w:eastAsia="zh-CN"/>
        </w:rPr>
        <w:t>9</w:t>
      </w:r>
      <w:r>
        <w:rPr>
          <w:b/>
          <w:snapToGrid w:val="0"/>
          <w:lang w:eastAsia="zh-CN"/>
        </w:rPr>
        <w:t>.1-</w:t>
      </w:r>
      <w:r>
        <w:rPr>
          <w:rFonts w:hint="eastAsia"/>
          <w:b/>
          <w:snapToGrid w:val="0"/>
          <w:lang w:eastAsia="zh-CN"/>
        </w:rPr>
        <w:t>1</w:t>
      </w:r>
      <w:r>
        <w:rPr>
          <w:b/>
          <w:snapToGrid w:val="0"/>
          <w:lang w:eastAsia="zh-CN"/>
        </w:rPr>
        <w:t xml:space="preserve">2 </w:t>
      </w:r>
      <w:r>
        <w:rPr>
          <w:rFonts w:hint="eastAsia"/>
          <w:b/>
          <w:snapToGrid w:val="0"/>
          <w:lang w:eastAsia="zh-CN"/>
        </w:rPr>
        <w:t xml:space="preserve">  乌里雅斯太油田</w:t>
      </w:r>
      <w:r>
        <w:rPr>
          <w:b/>
          <w:snapToGrid w:val="0"/>
          <w:lang w:eastAsia="zh-CN"/>
        </w:rPr>
        <w:t>区块土壤</w:t>
      </w:r>
      <w:r>
        <w:rPr>
          <w:rFonts w:hint="eastAsia"/>
          <w:b/>
          <w:snapToGrid w:val="0"/>
          <w:lang w:eastAsia="zh-CN"/>
        </w:rPr>
        <w:t>评价结果</w:t>
      </w:r>
      <w:r>
        <w:rPr>
          <w:b/>
          <w:snapToGrid w:val="0"/>
          <w:lang w:eastAsia="zh-CN"/>
        </w:rPr>
        <w:t>表</w:t>
      </w:r>
      <w:r>
        <w:rPr>
          <w:rFonts w:hint="eastAsia"/>
          <w:b/>
          <w:snapToGrid w:val="0"/>
          <w:lang w:eastAsia="zh-CN"/>
        </w:rPr>
        <w:t xml:space="preserve">      </w:t>
      </w:r>
      <w:r>
        <w:rPr>
          <w:rFonts w:hint="eastAsia"/>
          <w:b/>
          <w:snapToGrid w:val="0"/>
          <w:sz w:val="21"/>
          <w:szCs w:val="21"/>
          <w:lang w:eastAsia="zh-CN"/>
        </w:rPr>
        <w:t>（单位：</w:t>
      </w:r>
      <w:r>
        <w:rPr>
          <w:b/>
          <w:snapToGrid w:val="0"/>
          <w:sz w:val="21"/>
          <w:szCs w:val="21"/>
          <w:lang w:eastAsia="zh-CN"/>
        </w:rPr>
        <w:t>mg/kg</w:t>
      </w:r>
      <w:r>
        <w:rPr>
          <w:rFonts w:hint="eastAsia"/>
          <w:b/>
          <w:snapToGrid w:val="0"/>
          <w:sz w:val="21"/>
          <w:szCs w:val="21"/>
          <w:lang w:eastAsia="zh-CN"/>
        </w:rPr>
        <w:t>，</w:t>
      </w:r>
      <w:r>
        <w:rPr>
          <w:b/>
          <w:snapToGrid w:val="0"/>
          <w:sz w:val="21"/>
          <w:szCs w:val="21"/>
          <w:lang w:eastAsia="zh-CN"/>
        </w:rPr>
        <w:t>pH</w:t>
      </w:r>
      <w:r>
        <w:rPr>
          <w:rFonts w:hint="eastAsia"/>
          <w:b/>
          <w:snapToGrid w:val="0"/>
          <w:sz w:val="21"/>
          <w:szCs w:val="21"/>
          <w:lang w:eastAsia="zh-CN"/>
        </w:rPr>
        <w:t>除外）</w:t>
      </w:r>
    </w:p>
    <w:tbl>
      <w:tblPr>
        <w:tblStyle w:val="76"/>
        <w:tblW w:w="14601" w:type="dxa"/>
        <w:tblInd w:w="-176"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93"/>
        <w:gridCol w:w="709"/>
        <w:gridCol w:w="708"/>
        <w:gridCol w:w="708"/>
        <w:gridCol w:w="710"/>
        <w:gridCol w:w="850"/>
        <w:gridCol w:w="708"/>
        <w:gridCol w:w="709"/>
        <w:gridCol w:w="709"/>
        <w:gridCol w:w="850"/>
        <w:gridCol w:w="709"/>
        <w:gridCol w:w="851"/>
        <w:gridCol w:w="709"/>
        <w:gridCol w:w="846"/>
        <w:gridCol w:w="714"/>
        <w:gridCol w:w="850"/>
        <w:gridCol w:w="709"/>
        <w:gridCol w:w="850"/>
        <w:gridCol w:w="709"/>
      </w:tblGrid>
      <w:tr w14:paraId="042369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93" w:type="dxa"/>
            <w:vMerge w:val="restart"/>
            <w:vAlign w:val="center"/>
          </w:tcPr>
          <w:p w14:paraId="0FD01D07">
            <w:pPr>
              <w:pStyle w:val="518"/>
              <w:rPr>
                <w:snapToGrid w:val="0"/>
                <w:lang w:eastAsia="zh-CN"/>
              </w:rPr>
            </w:pPr>
            <w:r>
              <w:rPr>
                <w:snapToGrid w:val="0"/>
              </w:rPr>
              <w:t>监测</w:t>
            </w:r>
          </w:p>
          <w:p w14:paraId="49321F16">
            <w:pPr>
              <w:pStyle w:val="518"/>
              <w:rPr>
                <w:snapToGrid w:val="0"/>
              </w:rPr>
            </w:pPr>
            <w:r>
              <w:rPr>
                <w:snapToGrid w:val="0"/>
              </w:rPr>
              <w:t>项目</w:t>
            </w:r>
          </w:p>
        </w:tc>
        <w:tc>
          <w:tcPr>
            <w:tcW w:w="4393" w:type="dxa"/>
            <w:gridSpan w:val="6"/>
            <w:tcBorders>
              <w:bottom w:val="single" w:color="auto" w:sz="4" w:space="0"/>
              <w:right w:val="single" w:color="auto" w:sz="4" w:space="0"/>
            </w:tcBorders>
            <w:vAlign w:val="center"/>
          </w:tcPr>
          <w:p w14:paraId="3A44D97A">
            <w:pPr>
              <w:pStyle w:val="518"/>
              <w:jc w:val="both"/>
              <w:rPr>
                <w:lang w:eastAsia="zh-CN"/>
              </w:rPr>
            </w:pPr>
            <w:r>
              <w:rPr>
                <w:rFonts w:hint="eastAsia"/>
                <w:lang w:eastAsia="zh-CN"/>
              </w:rPr>
              <w:t>1#</w:t>
            </w:r>
          </w:p>
        </w:tc>
        <w:tc>
          <w:tcPr>
            <w:tcW w:w="4537" w:type="dxa"/>
            <w:gridSpan w:val="6"/>
            <w:tcBorders>
              <w:left w:val="single" w:color="auto" w:sz="4" w:space="0"/>
              <w:bottom w:val="single" w:color="auto" w:sz="4" w:space="0"/>
              <w:right w:val="single" w:color="auto" w:sz="4" w:space="0"/>
            </w:tcBorders>
            <w:vAlign w:val="center"/>
          </w:tcPr>
          <w:p w14:paraId="52FA876F">
            <w:pPr>
              <w:pStyle w:val="518"/>
              <w:rPr>
                <w:lang w:eastAsia="zh-CN"/>
              </w:rPr>
            </w:pPr>
            <w:r>
              <w:rPr>
                <w:rFonts w:hint="eastAsia"/>
                <w:lang w:eastAsia="zh-CN"/>
              </w:rPr>
              <w:t>2#</w:t>
            </w:r>
          </w:p>
        </w:tc>
        <w:tc>
          <w:tcPr>
            <w:tcW w:w="4678" w:type="dxa"/>
            <w:gridSpan w:val="6"/>
            <w:tcBorders>
              <w:left w:val="single" w:color="auto" w:sz="4" w:space="0"/>
            </w:tcBorders>
            <w:vAlign w:val="center"/>
          </w:tcPr>
          <w:p w14:paraId="03E22F1F">
            <w:pPr>
              <w:widowControl/>
              <w:spacing w:line="240" w:lineRule="auto"/>
              <w:ind w:firstLine="240" w:firstLineChars="100"/>
              <w:jc w:val="left"/>
              <w:rPr>
                <w:spacing w:val="-8"/>
                <w:sz w:val="21"/>
                <w:lang w:eastAsia="zh-CN"/>
              </w:rPr>
            </w:pPr>
            <w:r>
              <w:rPr>
                <w:rFonts w:hint="eastAsia"/>
                <w:lang w:eastAsia="zh-CN"/>
              </w:rPr>
              <w:t>3#</w:t>
            </w:r>
          </w:p>
        </w:tc>
      </w:tr>
      <w:tr w14:paraId="3EB465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93" w:type="dxa"/>
            <w:vMerge w:val="continue"/>
            <w:vAlign w:val="center"/>
          </w:tcPr>
          <w:p w14:paraId="36D8470A">
            <w:pPr>
              <w:pStyle w:val="518"/>
              <w:rPr>
                <w:snapToGrid w:val="0"/>
              </w:rPr>
            </w:pPr>
          </w:p>
        </w:tc>
        <w:tc>
          <w:tcPr>
            <w:tcW w:w="709" w:type="dxa"/>
            <w:tcBorders>
              <w:bottom w:val="single" w:color="auto" w:sz="4" w:space="0"/>
              <w:right w:val="single" w:color="auto" w:sz="4" w:space="0"/>
            </w:tcBorders>
            <w:vAlign w:val="center"/>
          </w:tcPr>
          <w:p w14:paraId="3B4D8C69">
            <w:pPr>
              <w:pStyle w:val="518"/>
              <w:rPr>
                <w:lang w:eastAsia="zh-CN"/>
              </w:rPr>
            </w:pPr>
            <w:r>
              <w:rPr>
                <w:rFonts w:hint="eastAsia"/>
                <w:lang w:eastAsia="zh-CN"/>
              </w:rPr>
              <w:t>监测结果</w:t>
            </w:r>
          </w:p>
        </w:tc>
        <w:tc>
          <w:tcPr>
            <w:tcW w:w="708" w:type="dxa"/>
            <w:tcBorders>
              <w:left w:val="single" w:color="auto" w:sz="4" w:space="0"/>
              <w:bottom w:val="single" w:color="auto" w:sz="4" w:space="0"/>
              <w:right w:val="single" w:color="auto" w:sz="4" w:space="0"/>
            </w:tcBorders>
            <w:vAlign w:val="center"/>
          </w:tcPr>
          <w:p w14:paraId="502A80F9">
            <w:pPr>
              <w:pStyle w:val="518"/>
              <w:rPr>
                <w:lang w:eastAsia="zh-CN"/>
              </w:rPr>
            </w:pPr>
            <w:r>
              <w:rPr>
                <w:rFonts w:hint="eastAsia"/>
                <w:lang w:eastAsia="zh-CN"/>
              </w:rPr>
              <w:t>评价指数</w:t>
            </w:r>
          </w:p>
        </w:tc>
        <w:tc>
          <w:tcPr>
            <w:tcW w:w="708" w:type="dxa"/>
            <w:tcBorders>
              <w:left w:val="single" w:color="auto" w:sz="4" w:space="0"/>
              <w:bottom w:val="single" w:color="auto" w:sz="4" w:space="0"/>
              <w:right w:val="single" w:color="auto" w:sz="4" w:space="0"/>
            </w:tcBorders>
            <w:vAlign w:val="center"/>
          </w:tcPr>
          <w:p w14:paraId="53F7EF71">
            <w:pPr>
              <w:pStyle w:val="518"/>
              <w:rPr>
                <w:lang w:eastAsia="zh-CN"/>
              </w:rPr>
            </w:pPr>
            <w:r>
              <w:rPr>
                <w:rFonts w:hint="eastAsia"/>
                <w:lang w:eastAsia="zh-CN"/>
              </w:rPr>
              <w:t>监测结果</w:t>
            </w:r>
          </w:p>
        </w:tc>
        <w:tc>
          <w:tcPr>
            <w:tcW w:w="710" w:type="dxa"/>
            <w:tcBorders>
              <w:left w:val="single" w:color="auto" w:sz="4" w:space="0"/>
              <w:bottom w:val="single" w:color="auto" w:sz="4" w:space="0"/>
              <w:right w:val="single" w:color="auto" w:sz="4" w:space="0"/>
            </w:tcBorders>
            <w:vAlign w:val="center"/>
          </w:tcPr>
          <w:p w14:paraId="12A035A3">
            <w:pPr>
              <w:pStyle w:val="518"/>
              <w:rPr>
                <w:lang w:eastAsia="zh-CN"/>
              </w:rPr>
            </w:pPr>
            <w:r>
              <w:rPr>
                <w:rFonts w:hint="eastAsia"/>
                <w:lang w:eastAsia="zh-CN"/>
              </w:rPr>
              <w:t>评价</w:t>
            </w:r>
          </w:p>
          <w:p w14:paraId="1EB8D7E6">
            <w:pPr>
              <w:pStyle w:val="518"/>
              <w:rPr>
                <w:lang w:eastAsia="zh-CN"/>
              </w:rPr>
            </w:pPr>
            <w:r>
              <w:rPr>
                <w:rFonts w:hint="eastAsia"/>
                <w:lang w:eastAsia="zh-CN"/>
              </w:rPr>
              <w:t>指数</w:t>
            </w:r>
          </w:p>
        </w:tc>
        <w:tc>
          <w:tcPr>
            <w:tcW w:w="850" w:type="dxa"/>
            <w:tcBorders>
              <w:left w:val="single" w:color="auto" w:sz="4" w:space="0"/>
              <w:bottom w:val="single" w:color="auto" w:sz="4" w:space="0"/>
              <w:right w:val="single" w:color="auto" w:sz="4" w:space="0"/>
            </w:tcBorders>
            <w:vAlign w:val="center"/>
          </w:tcPr>
          <w:p w14:paraId="2983ACC8">
            <w:pPr>
              <w:pStyle w:val="518"/>
              <w:rPr>
                <w:lang w:eastAsia="zh-CN"/>
              </w:rPr>
            </w:pPr>
            <w:r>
              <w:rPr>
                <w:rFonts w:hint="eastAsia"/>
                <w:lang w:eastAsia="zh-CN"/>
              </w:rPr>
              <w:t>监测</w:t>
            </w:r>
          </w:p>
          <w:p w14:paraId="6ED50863">
            <w:pPr>
              <w:pStyle w:val="518"/>
              <w:rPr>
                <w:lang w:eastAsia="zh-CN"/>
              </w:rPr>
            </w:pPr>
            <w:r>
              <w:rPr>
                <w:rFonts w:hint="eastAsia"/>
                <w:lang w:eastAsia="zh-CN"/>
              </w:rPr>
              <w:t>结果</w:t>
            </w:r>
          </w:p>
        </w:tc>
        <w:tc>
          <w:tcPr>
            <w:tcW w:w="708" w:type="dxa"/>
            <w:tcBorders>
              <w:left w:val="single" w:color="auto" w:sz="4" w:space="0"/>
              <w:bottom w:val="single" w:color="auto" w:sz="4" w:space="0"/>
              <w:right w:val="single" w:color="auto" w:sz="4" w:space="0"/>
            </w:tcBorders>
            <w:vAlign w:val="center"/>
          </w:tcPr>
          <w:p w14:paraId="4E8239CD">
            <w:pPr>
              <w:pStyle w:val="518"/>
              <w:rPr>
                <w:lang w:eastAsia="zh-CN"/>
              </w:rPr>
            </w:pPr>
            <w:r>
              <w:rPr>
                <w:rFonts w:hint="eastAsia"/>
                <w:lang w:eastAsia="zh-CN"/>
              </w:rPr>
              <w:t>评价指数</w:t>
            </w:r>
          </w:p>
        </w:tc>
        <w:tc>
          <w:tcPr>
            <w:tcW w:w="709" w:type="dxa"/>
            <w:tcBorders>
              <w:left w:val="single" w:color="auto" w:sz="4" w:space="0"/>
              <w:bottom w:val="single" w:color="auto" w:sz="4" w:space="0"/>
              <w:right w:val="single" w:color="auto" w:sz="4" w:space="0"/>
            </w:tcBorders>
            <w:vAlign w:val="center"/>
          </w:tcPr>
          <w:p w14:paraId="1F0DF868">
            <w:pPr>
              <w:pStyle w:val="518"/>
              <w:rPr>
                <w:lang w:eastAsia="zh-CN"/>
              </w:rPr>
            </w:pPr>
            <w:r>
              <w:rPr>
                <w:rFonts w:hint="eastAsia"/>
                <w:lang w:eastAsia="zh-CN"/>
              </w:rPr>
              <w:t>监测结果</w:t>
            </w:r>
          </w:p>
        </w:tc>
        <w:tc>
          <w:tcPr>
            <w:tcW w:w="709" w:type="dxa"/>
            <w:tcBorders>
              <w:left w:val="single" w:color="auto" w:sz="4" w:space="0"/>
              <w:right w:val="single" w:color="auto" w:sz="4" w:space="0"/>
            </w:tcBorders>
            <w:vAlign w:val="center"/>
          </w:tcPr>
          <w:p w14:paraId="7F0A7979">
            <w:pPr>
              <w:pStyle w:val="518"/>
              <w:rPr>
                <w:lang w:eastAsia="zh-CN"/>
              </w:rPr>
            </w:pPr>
            <w:r>
              <w:rPr>
                <w:rFonts w:hint="eastAsia"/>
                <w:lang w:eastAsia="zh-CN"/>
              </w:rPr>
              <w:t>评价指数</w:t>
            </w:r>
          </w:p>
        </w:tc>
        <w:tc>
          <w:tcPr>
            <w:tcW w:w="850" w:type="dxa"/>
            <w:tcBorders>
              <w:left w:val="single" w:color="auto" w:sz="4" w:space="0"/>
              <w:right w:val="single" w:color="auto" w:sz="4" w:space="0"/>
            </w:tcBorders>
            <w:vAlign w:val="center"/>
          </w:tcPr>
          <w:p w14:paraId="58872241">
            <w:pPr>
              <w:pStyle w:val="518"/>
              <w:rPr>
                <w:lang w:eastAsia="zh-CN"/>
              </w:rPr>
            </w:pPr>
            <w:r>
              <w:rPr>
                <w:rFonts w:hint="eastAsia"/>
                <w:lang w:eastAsia="zh-CN"/>
              </w:rPr>
              <w:t>监测</w:t>
            </w:r>
          </w:p>
          <w:p w14:paraId="21EBE970">
            <w:pPr>
              <w:pStyle w:val="518"/>
              <w:rPr>
                <w:lang w:eastAsia="zh-CN"/>
              </w:rPr>
            </w:pPr>
            <w:r>
              <w:rPr>
                <w:rFonts w:hint="eastAsia"/>
                <w:lang w:eastAsia="zh-CN"/>
              </w:rPr>
              <w:t>结果</w:t>
            </w:r>
          </w:p>
        </w:tc>
        <w:tc>
          <w:tcPr>
            <w:tcW w:w="709" w:type="dxa"/>
            <w:tcBorders>
              <w:left w:val="single" w:color="auto" w:sz="4" w:space="0"/>
              <w:right w:val="single" w:color="auto" w:sz="4" w:space="0"/>
            </w:tcBorders>
            <w:vAlign w:val="center"/>
          </w:tcPr>
          <w:p w14:paraId="6A75D8FD">
            <w:pPr>
              <w:pStyle w:val="518"/>
              <w:rPr>
                <w:lang w:eastAsia="zh-CN"/>
              </w:rPr>
            </w:pPr>
            <w:r>
              <w:rPr>
                <w:rFonts w:hint="eastAsia"/>
                <w:lang w:eastAsia="zh-CN"/>
              </w:rPr>
              <w:t>评价指数</w:t>
            </w:r>
          </w:p>
        </w:tc>
        <w:tc>
          <w:tcPr>
            <w:tcW w:w="851" w:type="dxa"/>
            <w:tcBorders>
              <w:left w:val="single" w:color="auto" w:sz="4" w:space="0"/>
              <w:right w:val="single" w:color="auto" w:sz="4" w:space="0"/>
            </w:tcBorders>
            <w:vAlign w:val="center"/>
          </w:tcPr>
          <w:p w14:paraId="2A2C5783">
            <w:pPr>
              <w:pStyle w:val="518"/>
              <w:rPr>
                <w:lang w:eastAsia="zh-CN"/>
              </w:rPr>
            </w:pPr>
            <w:r>
              <w:rPr>
                <w:rFonts w:hint="eastAsia"/>
                <w:lang w:eastAsia="zh-CN"/>
              </w:rPr>
              <w:t>监测</w:t>
            </w:r>
          </w:p>
          <w:p w14:paraId="19310059">
            <w:pPr>
              <w:pStyle w:val="518"/>
              <w:rPr>
                <w:lang w:eastAsia="zh-CN"/>
              </w:rPr>
            </w:pPr>
            <w:r>
              <w:rPr>
                <w:rFonts w:hint="eastAsia"/>
                <w:lang w:eastAsia="zh-CN"/>
              </w:rPr>
              <w:t>结果</w:t>
            </w:r>
          </w:p>
        </w:tc>
        <w:tc>
          <w:tcPr>
            <w:tcW w:w="709" w:type="dxa"/>
            <w:tcBorders>
              <w:left w:val="single" w:color="auto" w:sz="4" w:space="0"/>
              <w:right w:val="single" w:color="auto" w:sz="4" w:space="0"/>
            </w:tcBorders>
            <w:vAlign w:val="center"/>
          </w:tcPr>
          <w:p w14:paraId="119F550E">
            <w:pPr>
              <w:pStyle w:val="518"/>
              <w:rPr>
                <w:lang w:eastAsia="zh-CN"/>
              </w:rPr>
            </w:pPr>
            <w:r>
              <w:rPr>
                <w:rFonts w:hint="eastAsia"/>
                <w:lang w:eastAsia="zh-CN"/>
              </w:rPr>
              <w:t>评价指数</w:t>
            </w:r>
          </w:p>
        </w:tc>
        <w:tc>
          <w:tcPr>
            <w:tcW w:w="846" w:type="dxa"/>
            <w:tcBorders>
              <w:left w:val="single" w:color="auto" w:sz="4" w:space="0"/>
              <w:right w:val="single" w:color="auto" w:sz="4" w:space="0"/>
            </w:tcBorders>
            <w:vAlign w:val="center"/>
          </w:tcPr>
          <w:p w14:paraId="6565D1BA">
            <w:pPr>
              <w:pStyle w:val="518"/>
              <w:rPr>
                <w:lang w:eastAsia="zh-CN"/>
              </w:rPr>
            </w:pPr>
            <w:r>
              <w:rPr>
                <w:rFonts w:hint="eastAsia"/>
                <w:lang w:eastAsia="zh-CN"/>
              </w:rPr>
              <w:t>监测</w:t>
            </w:r>
          </w:p>
          <w:p w14:paraId="01B6F4AA">
            <w:pPr>
              <w:pStyle w:val="518"/>
              <w:rPr>
                <w:lang w:eastAsia="zh-CN"/>
              </w:rPr>
            </w:pPr>
            <w:r>
              <w:rPr>
                <w:rFonts w:hint="eastAsia"/>
                <w:lang w:eastAsia="zh-CN"/>
              </w:rPr>
              <w:t>结果</w:t>
            </w:r>
          </w:p>
        </w:tc>
        <w:tc>
          <w:tcPr>
            <w:tcW w:w="714" w:type="dxa"/>
            <w:tcBorders>
              <w:top w:val="single" w:color="auto" w:sz="4" w:space="0"/>
              <w:left w:val="single" w:color="auto" w:sz="4" w:space="0"/>
              <w:right w:val="single" w:color="auto" w:sz="4" w:space="0"/>
            </w:tcBorders>
            <w:vAlign w:val="center"/>
          </w:tcPr>
          <w:p w14:paraId="4AFF7F96">
            <w:pPr>
              <w:pStyle w:val="518"/>
              <w:rPr>
                <w:lang w:eastAsia="zh-CN"/>
              </w:rPr>
            </w:pPr>
            <w:r>
              <w:rPr>
                <w:rFonts w:hint="eastAsia"/>
                <w:lang w:eastAsia="zh-CN"/>
              </w:rPr>
              <w:t>评价指数</w:t>
            </w:r>
          </w:p>
        </w:tc>
        <w:tc>
          <w:tcPr>
            <w:tcW w:w="850" w:type="dxa"/>
            <w:tcBorders>
              <w:top w:val="single" w:color="auto" w:sz="4" w:space="0"/>
              <w:left w:val="single" w:color="auto" w:sz="4" w:space="0"/>
              <w:right w:val="single" w:color="auto" w:sz="4" w:space="0"/>
            </w:tcBorders>
            <w:vAlign w:val="center"/>
          </w:tcPr>
          <w:p w14:paraId="54CE99BF">
            <w:pPr>
              <w:pStyle w:val="518"/>
              <w:rPr>
                <w:lang w:eastAsia="zh-CN"/>
              </w:rPr>
            </w:pPr>
            <w:r>
              <w:rPr>
                <w:rFonts w:hint="eastAsia"/>
                <w:lang w:eastAsia="zh-CN"/>
              </w:rPr>
              <w:t>监测结果</w:t>
            </w:r>
          </w:p>
        </w:tc>
        <w:tc>
          <w:tcPr>
            <w:tcW w:w="709" w:type="dxa"/>
            <w:tcBorders>
              <w:top w:val="single" w:color="auto" w:sz="4" w:space="0"/>
              <w:left w:val="single" w:color="auto" w:sz="4" w:space="0"/>
              <w:right w:val="single" w:color="auto" w:sz="4" w:space="0"/>
            </w:tcBorders>
            <w:vAlign w:val="center"/>
          </w:tcPr>
          <w:p w14:paraId="21B4C095">
            <w:pPr>
              <w:pStyle w:val="518"/>
              <w:rPr>
                <w:lang w:eastAsia="zh-CN"/>
              </w:rPr>
            </w:pPr>
            <w:r>
              <w:rPr>
                <w:rFonts w:hint="eastAsia"/>
                <w:lang w:eastAsia="zh-CN"/>
              </w:rPr>
              <w:t>评价指数</w:t>
            </w:r>
          </w:p>
        </w:tc>
        <w:tc>
          <w:tcPr>
            <w:tcW w:w="850" w:type="dxa"/>
            <w:tcBorders>
              <w:top w:val="single" w:color="auto" w:sz="4" w:space="0"/>
              <w:left w:val="single" w:color="auto" w:sz="4" w:space="0"/>
              <w:right w:val="single" w:color="auto" w:sz="4" w:space="0"/>
            </w:tcBorders>
            <w:vAlign w:val="center"/>
          </w:tcPr>
          <w:p w14:paraId="6AC0101F">
            <w:pPr>
              <w:pStyle w:val="518"/>
              <w:rPr>
                <w:lang w:eastAsia="zh-CN"/>
              </w:rPr>
            </w:pPr>
            <w:r>
              <w:rPr>
                <w:rFonts w:hint="eastAsia"/>
                <w:lang w:eastAsia="zh-CN"/>
              </w:rPr>
              <w:t>监测结果</w:t>
            </w:r>
          </w:p>
        </w:tc>
        <w:tc>
          <w:tcPr>
            <w:tcW w:w="709" w:type="dxa"/>
            <w:tcBorders>
              <w:top w:val="single" w:color="auto" w:sz="4" w:space="0"/>
              <w:left w:val="single" w:color="auto" w:sz="4" w:space="0"/>
            </w:tcBorders>
            <w:vAlign w:val="center"/>
          </w:tcPr>
          <w:p w14:paraId="1D3FA298">
            <w:pPr>
              <w:pStyle w:val="518"/>
              <w:rPr>
                <w:lang w:eastAsia="zh-CN"/>
              </w:rPr>
            </w:pPr>
            <w:r>
              <w:rPr>
                <w:rFonts w:hint="eastAsia"/>
                <w:lang w:eastAsia="zh-CN"/>
              </w:rPr>
              <w:t>评价指数</w:t>
            </w:r>
          </w:p>
        </w:tc>
      </w:tr>
      <w:tr w14:paraId="4BBF8D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93" w:type="dxa"/>
            <w:vMerge w:val="continue"/>
            <w:vAlign w:val="center"/>
          </w:tcPr>
          <w:p w14:paraId="2CDEA0E1">
            <w:pPr>
              <w:pStyle w:val="518"/>
              <w:rPr>
                <w:snapToGrid w:val="0"/>
              </w:rPr>
            </w:pPr>
          </w:p>
        </w:tc>
        <w:tc>
          <w:tcPr>
            <w:tcW w:w="709" w:type="dxa"/>
            <w:tcBorders>
              <w:top w:val="single" w:color="auto" w:sz="4" w:space="0"/>
              <w:right w:val="single" w:color="auto" w:sz="4" w:space="0"/>
            </w:tcBorders>
            <w:vAlign w:val="center"/>
          </w:tcPr>
          <w:p w14:paraId="1922F7FA">
            <w:pPr>
              <w:pStyle w:val="518"/>
              <w:rPr>
                <w:rFonts w:ascii="宋体" w:hAnsi="宋体"/>
                <w:lang w:eastAsia="zh-CN"/>
              </w:rPr>
            </w:pPr>
            <w:r>
              <w:rPr>
                <w:rFonts w:hint="eastAsia" w:ascii="宋体" w:hAnsi="宋体"/>
                <w:lang w:eastAsia="zh-CN"/>
              </w:rPr>
              <w:t>0-</w:t>
            </w:r>
          </w:p>
          <w:p w14:paraId="230BD178">
            <w:pPr>
              <w:pStyle w:val="518"/>
              <w:rPr>
                <w:snapToGrid w:val="0"/>
                <w:lang w:eastAsia="zh-CN"/>
              </w:rPr>
            </w:pPr>
            <w:r>
              <w:rPr>
                <w:rFonts w:hint="eastAsia" w:ascii="宋体" w:hAnsi="宋体"/>
                <w:lang w:eastAsia="zh-CN"/>
              </w:rPr>
              <w:t>20cm</w:t>
            </w:r>
          </w:p>
        </w:tc>
        <w:tc>
          <w:tcPr>
            <w:tcW w:w="708" w:type="dxa"/>
            <w:tcBorders>
              <w:top w:val="single" w:color="auto" w:sz="4" w:space="0"/>
              <w:left w:val="single" w:color="auto" w:sz="4" w:space="0"/>
              <w:right w:val="single" w:color="auto" w:sz="4" w:space="0"/>
            </w:tcBorders>
            <w:vAlign w:val="center"/>
          </w:tcPr>
          <w:p w14:paraId="1276F81F">
            <w:pPr>
              <w:widowControl/>
              <w:spacing w:line="240" w:lineRule="auto"/>
              <w:ind w:firstLine="0" w:firstLineChars="0"/>
              <w:jc w:val="left"/>
              <w:rPr>
                <w:snapToGrid w:val="0"/>
                <w:spacing w:val="-8"/>
                <w:sz w:val="21"/>
                <w:lang w:eastAsia="zh-CN"/>
              </w:rPr>
            </w:pPr>
          </w:p>
          <w:p w14:paraId="5112236D">
            <w:pPr>
              <w:pStyle w:val="518"/>
              <w:rPr>
                <w:snapToGrid w:val="0"/>
                <w:lang w:eastAsia="zh-CN"/>
              </w:rPr>
            </w:pPr>
          </w:p>
        </w:tc>
        <w:tc>
          <w:tcPr>
            <w:tcW w:w="708" w:type="dxa"/>
            <w:tcBorders>
              <w:left w:val="single" w:color="auto" w:sz="4" w:space="0"/>
              <w:right w:val="single" w:color="auto" w:sz="4" w:space="0"/>
            </w:tcBorders>
            <w:vAlign w:val="center"/>
          </w:tcPr>
          <w:p w14:paraId="6533BB19">
            <w:pPr>
              <w:pStyle w:val="518"/>
              <w:rPr>
                <w:rFonts w:ascii="宋体" w:hAnsi="宋体"/>
                <w:lang w:eastAsia="zh-CN"/>
              </w:rPr>
            </w:pPr>
            <w:r>
              <w:rPr>
                <w:rFonts w:hint="eastAsia" w:ascii="宋体" w:hAnsi="宋体"/>
                <w:lang w:eastAsia="zh-CN"/>
              </w:rPr>
              <w:t>20-</w:t>
            </w:r>
          </w:p>
          <w:p w14:paraId="41BB0208">
            <w:pPr>
              <w:pStyle w:val="518"/>
              <w:rPr>
                <w:lang w:eastAsia="zh-CN"/>
              </w:rPr>
            </w:pPr>
            <w:r>
              <w:rPr>
                <w:rFonts w:hint="eastAsia" w:ascii="宋体" w:hAnsi="宋体"/>
                <w:lang w:eastAsia="zh-CN"/>
              </w:rPr>
              <w:t>60cm</w:t>
            </w:r>
          </w:p>
        </w:tc>
        <w:tc>
          <w:tcPr>
            <w:tcW w:w="710" w:type="dxa"/>
            <w:tcBorders>
              <w:left w:val="single" w:color="auto" w:sz="4" w:space="0"/>
              <w:right w:val="single" w:color="auto" w:sz="4" w:space="0"/>
            </w:tcBorders>
            <w:vAlign w:val="center"/>
          </w:tcPr>
          <w:p w14:paraId="5B3EB3BD">
            <w:pPr>
              <w:widowControl/>
              <w:spacing w:line="240" w:lineRule="auto"/>
              <w:ind w:firstLine="0" w:firstLineChars="0"/>
              <w:jc w:val="left"/>
              <w:rPr>
                <w:spacing w:val="-8"/>
                <w:sz w:val="21"/>
                <w:lang w:eastAsia="zh-CN"/>
              </w:rPr>
            </w:pPr>
          </w:p>
          <w:p w14:paraId="4337FE5C">
            <w:pPr>
              <w:pStyle w:val="518"/>
              <w:rPr>
                <w:lang w:eastAsia="zh-CN"/>
              </w:rPr>
            </w:pPr>
          </w:p>
        </w:tc>
        <w:tc>
          <w:tcPr>
            <w:tcW w:w="850" w:type="dxa"/>
            <w:tcBorders>
              <w:left w:val="single" w:color="auto" w:sz="4" w:space="0"/>
              <w:right w:val="single" w:color="auto" w:sz="4" w:space="0"/>
            </w:tcBorders>
            <w:vAlign w:val="center"/>
          </w:tcPr>
          <w:p w14:paraId="5146A954">
            <w:pPr>
              <w:pStyle w:val="518"/>
              <w:rPr>
                <w:lang w:eastAsia="zh-CN"/>
              </w:rPr>
            </w:pPr>
            <w:r>
              <w:rPr>
                <w:rFonts w:hint="eastAsia"/>
                <w:lang w:eastAsia="zh-CN"/>
              </w:rPr>
              <w:t>60-</w:t>
            </w:r>
          </w:p>
          <w:p w14:paraId="30257192">
            <w:pPr>
              <w:pStyle w:val="518"/>
              <w:rPr>
                <w:lang w:eastAsia="zh-CN"/>
              </w:rPr>
            </w:pPr>
            <w:r>
              <w:rPr>
                <w:rFonts w:hint="eastAsia"/>
                <w:lang w:eastAsia="zh-CN"/>
              </w:rPr>
              <w:t>100cm</w:t>
            </w:r>
          </w:p>
        </w:tc>
        <w:tc>
          <w:tcPr>
            <w:tcW w:w="708" w:type="dxa"/>
            <w:tcBorders>
              <w:left w:val="single" w:color="auto" w:sz="4" w:space="0"/>
              <w:right w:val="single" w:color="auto" w:sz="4" w:space="0"/>
            </w:tcBorders>
            <w:vAlign w:val="center"/>
          </w:tcPr>
          <w:p w14:paraId="0579D636">
            <w:pPr>
              <w:widowControl/>
              <w:spacing w:line="240" w:lineRule="auto"/>
              <w:ind w:firstLine="0" w:firstLineChars="0"/>
              <w:jc w:val="left"/>
              <w:rPr>
                <w:spacing w:val="-8"/>
                <w:sz w:val="21"/>
                <w:lang w:eastAsia="zh-CN"/>
              </w:rPr>
            </w:pPr>
          </w:p>
          <w:p w14:paraId="644019C8">
            <w:pPr>
              <w:pStyle w:val="518"/>
              <w:rPr>
                <w:lang w:eastAsia="zh-CN"/>
              </w:rPr>
            </w:pPr>
          </w:p>
        </w:tc>
        <w:tc>
          <w:tcPr>
            <w:tcW w:w="709" w:type="dxa"/>
            <w:tcBorders>
              <w:left w:val="single" w:color="auto" w:sz="4" w:space="0"/>
              <w:right w:val="single" w:color="auto" w:sz="4" w:space="0"/>
            </w:tcBorders>
            <w:vAlign w:val="center"/>
          </w:tcPr>
          <w:p w14:paraId="1BC1C647">
            <w:pPr>
              <w:pStyle w:val="518"/>
              <w:rPr>
                <w:rFonts w:ascii="宋体" w:hAnsi="宋体"/>
                <w:lang w:eastAsia="zh-CN"/>
              </w:rPr>
            </w:pPr>
            <w:r>
              <w:rPr>
                <w:rFonts w:hint="eastAsia" w:ascii="宋体" w:hAnsi="宋体"/>
                <w:lang w:eastAsia="zh-CN"/>
              </w:rPr>
              <w:t>0-</w:t>
            </w:r>
          </w:p>
          <w:p w14:paraId="40A086FB">
            <w:pPr>
              <w:pStyle w:val="518"/>
              <w:rPr>
                <w:snapToGrid w:val="0"/>
                <w:lang w:eastAsia="zh-CN"/>
              </w:rPr>
            </w:pPr>
            <w:r>
              <w:rPr>
                <w:rFonts w:hint="eastAsia" w:ascii="宋体" w:hAnsi="宋体"/>
                <w:lang w:eastAsia="zh-CN"/>
              </w:rPr>
              <w:t>20cm</w:t>
            </w:r>
          </w:p>
        </w:tc>
        <w:tc>
          <w:tcPr>
            <w:tcW w:w="709" w:type="dxa"/>
            <w:tcBorders>
              <w:left w:val="single" w:color="auto" w:sz="4" w:space="0"/>
              <w:right w:val="single" w:color="auto" w:sz="4" w:space="0"/>
            </w:tcBorders>
            <w:vAlign w:val="center"/>
          </w:tcPr>
          <w:p w14:paraId="6FB30405">
            <w:pPr>
              <w:pStyle w:val="518"/>
              <w:rPr>
                <w:rFonts w:ascii="宋体" w:hAnsi="宋体"/>
                <w:lang w:eastAsia="zh-CN"/>
              </w:rPr>
            </w:pPr>
          </w:p>
          <w:p w14:paraId="4110599C">
            <w:pPr>
              <w:pStyle w:val="518"/>
              <w:rPr>
                <w:lang w:eastAsia="zh-CN"/>
              </w:rPr>
            </w:pPr>
          </w:p>
        </w:tc>
        <w:tc>
          <w:tcPr>
            <w:tcW w:w="850" w:type="dxa"/>
            <w:tcBorders>
              <w:left w:val="single" w:color="auto" w:sz="4" w:space="0"/>
              <w:right w:val="single" w:color="auto" w:sz="4" w:space="0"/>
            </w:tcBorders>
            <w:vAlign w:val="center"/>
          </w:tcPr>
          <w:p w14:paraId="3C6BF34D">
            <w:pPr>
              <w:pStyle w:val="518"/>
              <w:rPr>
                <w:rFonts w:ascii="宋体" w:hAnsi="宋体"/>
                <w:lang w:eastAsia="zh-CN"/>
              </w:rPr>
            </w:pPr>
            <w:r>
              <w:rPr>
                <w:rFonts w:hint="eastAsia" w:ascii="宋体" w:hAnsi="宋体"/>
                <w:lang w:eastAsia="zh-CN"/>
              </w:rPr>
              <w:t>20-</w:t>
            </w:r>
          </w:p>
          <w:p w14:paraId="5D6D8C36">
            <w:pPr>
              <w:pStyle w:val="518"/>
              <w:rPr>
                <w:lang w:eastAsia="zh-CN"/>
              </w:rPr>
            </w:pPr>
            <w:r>
              <w:rPr>
                <w:rFonts w:hint="eastAsia" w:ascii="宋体" w:hAnsi="宋体"/>
                <w:lang w:eastAsia="zh-CN"/>
              </w:rPr>
              <w:t>60cm</w:t>
            </w:r>
          </w:p>
        </w:tc>
        <w:tc>
          <w:tcPr>
            <w:tcW w:w="709" w:type="dxa"/>
            <w:tcBorders>
              <w:left w:val="single" w:color="auto" w:sz="4" w:space="0"/>
              <w:right w:val="single" w:color="auto" w:sz="4" w:space="0"/>
            </w:tcBorders>
            <w:vAlign w:val="center"/>
          </w:tcPr>
          <w:p w14:paraId="0514C910">
            <w:pPr>
              <w:pStyle w:val="518"/>
              <w:rPr>
                <w:lang w:eastAsia="zh-CN"/>
              </w:rPr>
            </w:pPr>
          </w:p>
          <w:p w14:paraId="451ABA75">
            <w:pPr>
              <w:pStyle w:val="518"/>
              <w:rPr>
                <w:lang w:eastAsia="zh-CN"/>
              </w:rPr>
            </w:pPr>
          </w:p>
        </w:tc>
        <w:tc>
          <w:tcPr>
            <w:tcW w:w="851" w:type="dxa"/>
            <w:tcBorders>
              <w:left w:val="single" w:color="auto" w:sz="4" w:space="0"/>
              <w:right w:val="single" w:color="auto" w:sz="4" w:space="0"/>
            </w:tcBorders>
            <w:vAlign w:val="center"/>
          </w:tcPr>
          <w:p w14:paraId="6F80F000">
            <w:pPr>
              <w:pStyle w:val="518"/>
              <w:rPr>
                <w:lang w:eastAsia="zh-CN"/>
              </w:rPr>
            </w:pPr>
            <w:r>
              <w:rPr>
                <w:rFonts w:hint="eastAsia"/>
                <w:lang w:eastAsia="zh-CN"/>
              </w:rPr>
              <w:t>60-</w:t>
            </w:r>
          </w:p>
          <w:p w14:paraId="42F736C0">
            <w:pPr>
              <w:pStyle w:val="518"/>
              <w:rPr>
                <w:lang w:eastAsia="zh-CN"/>
              </w:rPr>
            </w:pPr>
            <w:r>
              <w:rPr>
                <w:rFonts w:hint="eastAsia"/>
                <w:lang w:eastAsia="zh-CN"/>
              </w:rPr>
              <w:t>100cm</w:t>
            </w:r>
          </w:p>
        </w:tc>
        <w:tc>
          <w:tcPr>
            <w:tcW w:w="709" w:type="dxa"/>
            <w:tcBorders>
              <w:left w:val="single" w:color="auto" w:sz="4" w:space="0"/>
              <w:right w:val="single" w:color="auto" w:sz="4" w:space="0"/>
            </w:tcBorders>
            <w:vAlign w:val="center"/>
          </w:tcPr>
          <w:p w14:paraId="487D7477">
            <w:pPr>
              <w:widowControl/>
              <w:spacing w:line="240" w:lineRule="auto"/>
              <w:ind w:firstLine="0" w:firstLineChars="0"/>
              <w:jc w:val="left"/>
              <w:rPr>
                <w:spacing w:val="-8"/>
                <w:sz w:val="21"/>
                <w:lang w:eastAsia="zh-CN"/>
              </w:rPr>
            </w:pPr>
          </w:p>
          <w:p w14:paraId="06759680">
            <w:pPr>
              <w:pStyle w:val="518"/>
              <w:rPr>
                <w:lang w:eastAsia="zh-CN"/>
              </w:rPr>
            </w:pPr>
          </w:p>
        </w:tc>
        <w:tc>
          <w:tcPr>
            <w:tcW w:w="846" w:type="dxa"/>
            <w:tcBorders>
              <w:left w:val="single" w:color="auto" w:sz="4" w:space="0"/>
              <w:right w:val="single" w:color="auto" w:sz="4" w:space="0"/>
            </w:tcBorders>
            <w:vAlign w:val="center"/>
          </w:tcPr>
          <w:p w14:paraId="4EE12D4B">
            <w:pPr>
              <w:pStyle w:val="518"/>
              <w:rPr>
                <w:rFonts w:ascii="宋体" w:hAnsi="宋体"/>
                <w:lang w:eastAsia="zh-CN"/>
              </w:rPr>
            </w:pPr>
            <w:r>
              <w:rPr>
                <w:rFonts w:hint="eastAsia" w:ascii="宋体" w:hAnsi="宋体"/>
                <w:lang w:eastAsia="zh-CN"/>
              </w:rPr>
              <w:t>0-</w:t>
            </w:r>
          </w:p>
          <w:p w14:paraId="1FEC26BB">
            <w:pPr>
              <w:pStyle w:val="518"/>
              <w:rPr>
                <w:snapToGrid w:val="0"/>
                <w:lang w:eastAsia="zh-CN"/>
              </w:rPr>
            </w:pPr>
            <w:r>
              <w:rPr>
                <w:rFonts w:hint="eastAsia" w:ascii="宋体" w:hAnsi="宋体"/>
                <w:lang w:eastAsia="zh-CN"/>
              </w:rPr>
              <w:t>20cm</w:t>
            </w:r>
          </w:p>
        </w:tc>
        <w:tc>
          <w:tcPr>
            <w:tcW w:w="714" w:type="dxa"/>
            <w:tcBorders>
              <w:left w:val="single" w:color="auto" w:sz="4" w:space="0"/>
              <w:right w:val="single" w:color="auto" w:sz="4" w:space="0"/>
            </w:tcBorders>
            <w:vAlign w:val="center"/>
          </w:tcPr>
          <w:p w14:paraId="7F8709B3">
            <w:pPr>
              <w:pStyle w:val="518"/>
              <w:rPr>
                <w:rFonts w:ascii="宋体" w:hAnsi="宋体"/>
                <w:lang w:eastAsia="zh-CN"/>
              </w:rPr>
            </w:pPr>
          </w:p>
          <w:p w14:paraId="4F3C7709">
            <w:pPr>
              <w:pStyle w:val="518"/>
              <w:rPr>
                <w:lang w:eastAsia="zh-CN"/>
              </w:rPr>
            </w:pPr>
          </w:p>
        </w:tc>
        <w:tc>
          <w:tcPr>
            <w:tcW w:w="850" w:type="dxa"/>
            <w:tcBorders>
              <w:left w:val="single" w:color="auto" w:sz="4" w:space="0"/>
              <w:right w:val="single" w:color="auto" w:sz="4" w:space="0"/>
            </w:tcBorders>
            <w:vAlign w:val="center"/>
          </w:tcPr>
          <w:p w14:paraId="20354CBB">
            <w:pPr>
              <w:pStyle w:val="518"/>
              <w:rPr>
                <w:rFonts w:ascii="宋体" w:hAnsi="宋体"/>
                <w:lang w:eastAsia="zh-CN"/>
              </w:rPr>
            </w:pPr>
            <w:r>
              <w:rPr>
                <w:rFonts w:hint="eastAsia" w:ascii="宋体" w:hAnsi="宋体"/>
                <w:lang w:eastAsia="zh-CN"/>
              </w:rPr>
              <w:t>20-</w:t>
            </w:r>
          </w:p>
          <w:p w14:paraId="4FF679C6">
            <w:pPr>
              <w:pStyle w:val="518"/>
              <w:rPr>
                <w:lang w:eastAsia="zh-CN"/>
              </w:rPr>
            </w:pPr>
            <w:r>
              <w:rPr>
                <w:rFonts w:hint="eastAsia" w:ascii="宋体" w:hAnsi="宋体"/>
                <w:lang w:eastAsia="zh-CN"/>
              </w:rPr>
              <w:t>60cm</w:t>
            </w:r>
          </w:p>
        </w:tc>
        <w:tc>
          <w:tcPr>
            <w:tcW w:w="709" w:type="dxa"/>
            <w:tcBorders>
              <w:left w:val="single" w:color="auto" w:sz="4" w:space="0"/>
              <w:right w:val="single" w:color="auto" w:sz="4" w:space="0"/>
            </w:tcBorders>
            <w:vAlign w:val="center"/>
          </w:tcPr>
          <w:p w14:paraId="07B08DE5">
            <w:pPr>
              <w:pStyle w:val="518"/>
              <w:rPr>
                <w:lang w:eastAsia="zh-CN"/>
              </w:rPr>
            </w:pPr>
          </w:p>
          <w:p w14:paraId="258F1CED">
            <w:pPr>
              <w:pStyle w:val="518"/>
              <w:rPr>
                <w:lang w:eastAsia="zh-CN"/>
              </w:rPr>
            </w:pPr>
          </w:p>
        </w:tc>
        <w:tc>
          <w:tcPr>
            <w:tcW w:w="850" w:type="dxa"/>
            <w:tcBorders>
              <w:left w:val="single" w:color="auto" w:sz="4" w:space="0"/>
              <w:right w:val="single" w:color="auto" w:sz="4" w:space="0"/>
            </w:tcBorders>
            <w:vAlign w:val="center"/>
          </w:tcPr>
          <w:p w14:paraId="5AFD3353">
            <w:pPr>
              <w:pStyle w:val="518"/>
              <w:rPr>
                <w:lang w:eastAsia="zh-CN"/>
              </w:rPr>
            </w:pPr>
            <w:r>
              <w:rPr>
                <w:rFonts w:hint="eastAsia"/>
                <w:lang w:eastAsia="zh-CN"/>
              </w:rPr>
              <w:t>60-</w:t>
            </w:r>
          </w:p>
          <w:p w14:paraId="5D733225">
            <w:pPr>
              <w:pStyle w:val="518"/>
              <w:rPr>
                <w:lang w:eastAsia="zh-CN"/>
              </w:rPr>
            </w:pPr>
            <w:r>
              <w:rPr>
                <w:rFonts w:hint="eastAsia"/>
                <w:lang w:eastAsia="zh-CN"/>
              </w:rPr>
              <w:t>100cm</w:t>
            </w:r>
          </w:p>
        </w:tc>
        <w:tc>
          <w:tcPr>
            <w:tcW w:w="709" w:type="dxa"/>
            <w:tcBorders>
              <w:left w:val="single" w:color="auto" w:sz="4" w:space="0"/>
            </w:tcBorders>
            <w:vAlign w:val="center"/>
          </w:tcPr>
          <w:p w14:paraId="54BAAF72">
            <w:pPr>
              <w:widowControl/>
              <w:spacing w:line="240" w:lineRule="auto"/>
              <w:ind w:firstLine="0" w:firstLineChars="0"/>
              <w:jc w:val="left"/>
              <w:rPr>
                <w:spacing w:val="-8"/>
                <w:sz w:val="21"/>
                <w:lang w:eastAsia="zh-CN"/>
              </w:rPr>
            </w:pPr>
          </w:p>
          <w:p w14:paraId="0345EB4D">
            <w:pPr>
              <w:pStyle w:val="518"/>
              <w:rPr>
                <w:lang w:eastAsia="zh-CN"/>
              </w:rPr>
            </w:pPr>
          </w:p>
        </w:tc>
      </w:tr>
      <w:tr w14:paraId="33E67A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93" w:type="dxa"/>
            <w:vAlign w:val="center"/>
          </w:tcPr>
          <w:p w14:paraId="4971B813">
            <w:pPr>
              <w:pStyle w:val="518"/>
              <w:rPr>
                <w:snapToGrid w:val="0"/>
              </w:rPr>
            </w:pPr>
            <w:r>
              <w:rPr>
                <w:snapToGrid w:val="0"/>
              </w:rPr>
              <w:t>pH</w:t>
            </w:r>
          </w:p>
        </w:tc>
        <w:tc>
          <w:tcPr>
            <w:tcW w:w="709" w:type="dxa"/>
            <w:tcBorders>
              <w:right w:val="single" w:color="auto" w:sz="4" w:space="0"/>
            </w:tcBorders>
            <w:vAlign w:val="center"/>
          </w:tcPr>
          <w:p w14:paraId="1E0E14CE">
            <w:pPr>
              <w:pStyle w:val="518"/>
              <w:rPr>
                <w:lang w:eastAsia="zh-CN"/>
              </w:rPr>
            </w:pPr>
            <w:r>
              <w:rPr>
                <w:rFonts w:hint="eastAsia"/>
                <w:lang w:eastAsia="zh-CN"/>
              </w:rPr>
              <w:t>8.62</w:t>
            </w:r>
          </w:p>
        </w:tc>
        <w:tc>
          <w:tcPr>
            <w:tcW w:w="708" w:type="dxa"/>
            <w:tcBorders>
              <w:left w:val="single" w:color="auto" w:sz="4" w:space="0"/>
            </w:tcBorders>
            <w:vAlign w:val="center"/>
          </w:tcPr>
          <w:p w14:paraId="22C6AD91">
            <w:pPr>
              <w:pStyle w:val="518"/>
              <w:rPr>
                <w:lang w:eastAsia="zh-CN"/>
              </w:rPr>
            </w:pPr>
            <w:r>
              <w:rPr>
                <w:rFonts w:ascii="宋体" w:hAnsi="宋体"/>
                <w:snapToGrid w:val="0"/>
                <w:szCs w:val="21"/>
              </w:rPr>
              <w:t>＞7.5</w:t>
            </w:r>
          </w:p>
        </w:tc>
        <w:tc>
          <w:tcPr>
            <w:tcW w:w="708" w:type="dxa"/>
            <w:tcBorders>
              <w:right w:val="single" w:color="auto" w:sz="4" w:space="0"/>
            </w:tcBorders>
            <w:vAlign w:val="center"/>
          </w:tcPr>
          <w:p w14:paraId="1F229E95">
            <w:pPr>
              <w:pStyle w:val="518"/>
              <w:rPr>
                <w:lang w:eastAsia="zh-CN"/>
              </w:rPr>
            </w:pPr>
            <w:r>
              <w:rPr>
                <w:rFonts w:hint="eastAsia"/>
                <w:lang w:eastAsia="zh-CN"/>
              </w:rPr>
              <w:t>8.14</w:t>
            </w:r>
          </w:p>
        </w:tc>
        <w:tc>
          <w:tcPr>
            <w:tcW w:w="710" w:type="dxa"/>
            <w:tcBorders>
              <w:left w:val="single" w:color="auto" w:sz="4" w:space="0"/>
            </w:tcBorders>
            <w:vAlign w:val="center"/>
          </w:tcPr>
          <w:p w14:paraId="2DE63FAD">
            <w:pPr>
              <w:pStyle w:val="518"/>
              <w:rPr>
                <w:lang w:eastAsia="zh-CN"/>
              </w:rPr>
            </w:pPr>
            <w:r>
              <w:rPr>
                <w:rFonts w:ascii="宋体" w:hAnsi="宋体"/>
                <w:snapToGrid w:val="0"/>
                <w:szCs w:val="21"/>
              </w:rPr>
              <w:t>＞7.5</w:t>
            </w:r>
          </w:p>
        </w:tc>
        <w:tc>
          <w:tcPr>
            <w:tcW w:w="850" w:type="dxa"/>
            <w:tcBorders>
              <w:right w:val="single" w:color="auto" w:sz="4" w:space="0"/>
            </w:tcBorders>
            <w:vAlign w:val="center"/>
          </w:tcPr>
          <w:p w14:paraId="1EE005B9">
            <w:pPr>
              <w:pStyle w:val="518"/>
            </w:pPr>
            <w:r>
              <w:rPr>
                <w:rFonts w:hint="eastAsia"/>
                <w:lang w:eastAsia="zh-CN"/>
              </w:rPr>
              <w:t>8.76</w:t>
            </w:r>
          </w:p>
        </w:tc>
        <w:tc>
          <w:tcPr>
            <w:tcW w:w="708" w:type="dxa"/>
            <w:tcBorders>
              <w:left w:val="single" w:color="auto" w:sz="4" w:space="0"/>
            </w:tcBorders>
            <w:vAlign w:val="center"/>
          </w:tcPr>
          <w:p w14:paraId="0B1FE09B">
            <w:pPr>
              <w:pStyle w:val="518"/>
            </w:pPr>
            <w:r>
              <w:rPr>
                <w:rFonts w:ascii="宋体" w:hAnsi="宋体"/>
                <w:snapToGrid w:val="0"/>
                <w:szCs w:val="21"/>
              </w:rPr>
              <w:t>＞7.5</w:t>
            </w:r>
          </w:p>
        </w:tc>
        <w:tc>
          <w:tcPr>
            <w:tcW w:w="709" w:type="dxa"/>
            <w:vAlign w:val="center"/>
          </w:tcPr>
          <w:p w14:paraId="56CCBB0C">
            <w:pPr>
              <w:pStyle w:val="518"/>
              <w:rPr>
                <w:lang w:eastAsia="zh-CN"/>
              </w:rPr>
            </w:pPr>
            <w:r>
              <w:rPr>
                <w:rFonts w:hint="eastAsia"/>
                <w:lang w:eastAsia="zh-CN"/>
              </w:rPr>
              <w:t>8.63</w:t>
            </w:r>
          </w:p>
        </w:tc>
        <w:tc>
          <w:tcPr>
            <w:tcW w:w="709" w:type="dxa"/>
            <w:tcBorders>
              <w:right w:val="single" w:color="auto" w:sz="4" w:space="0"/>
            </w:tcBorders>
            <w:vAlign w:val="center"/>
          </w:tcPr>
          <w:p w14:paraId="65D00706">
            <w:pPr>
              <w:pStyle w:val="518"/>
            </w:pPr>
            <w:r>
              <w:rPr>
                <w:rFonts w:ascii="宋体" w:hAnsi="宋体"/>
                <w:snapToGrid w:val="0"/>
                <w:szCs w:val="21"/>
              </w:rPr>
              <w:t>＞7.5</w:t>
            </w:r>
          </w:p>
        </w:tc>
        <w:tc>
          <w:tcPr>
            <w:tcW w:w="850" w:type="dxa"/>
            <w:tcBorders>
              <w:left w:val="single" w:color="auto" w:sz="4" w:space="0"/>
              <w:right w:val="single" w:color="auto" w:sz="4" w:space="0"/>
            </w:tcBorders>
            <w:vAlign w:val="center"/>
          </w:tcPr>
          <w:p w14:paraId="20E18FCE">
            <w:pPr>
              <w:pStyle w:val="518"/>
            </w:pPr>
            <w:r>
              <w:rPr>
                <w:rFonts w:hint="eastAsia"/>
                <w:lang w:eastAsia="zh-CN"/>
              </w:rPr>
              <w:t>8.64</w:t>
            </w:r>
          </w:p>
        </w:tc>
        <w:tc>
          <w:tcPr>
            <w:tcW w:w="709" w:type="dxa"/>
            <w:tcBorders>
              <w:left w:val="single" w:color="auto" w:sz="4" w:space="0"/>
              <w:right w:val="single" w:color="auto" w:sz="4" w:space="0"/>
            </w:tcBorders>
            <w:vAlign w:val="center"/>
          </w:tcPr>
          <w:p w14:paraId="74C1C49D">
            <w:pPr>
              <w:pStyle w:val="518"/>
            </w:pPr>
            <w:r>
              <w:rPr>
                <w:rFonts w:ascii="宋体" w:hAnsi="宋体"/>
                <w:snapToGrid w:val="0"/>
                <w:szCs w:val="21"/>
              </w:rPr>
              <w:t>＞7.5</w:t>
            </w:r>
          </w:p>
        </w:tc>
        <w:tc>
          <w:tcPr>
            <w:tcW w:w="851" w:type="dxa"/>
            <w:tcBorders>
              <w:left w:val="single" w:color="auto" w:sz="4" w:space="0"/>
              <w:right w:val="single" w:color="auto" w:sz="4" w:space="0"/>
            </w:tcBorders>
            <w:vAlign w:val="center"/>
          </w:tcPr>
          <w:p w14:paraId="37AF10B0">
            <w:pPr>
              <w:pStyle w:val="518"/>
              <w:rPr>
                <w:lang w:eastAsia="zh-CN"/>
              </w:rPr>
            </w:pPr>
            <w:r>
              <w:rPr>
                <w:rFonts w:hint="eastAsia"/>
                <w:lang w:eastAsia="zh-CN"/>
              </w:rPr>
              <w:t>8.69</w:t>
            </w:r>
          </w:p>
        </w:tc>
        <w:tc>
          <w:tcPr>
            <w:tcW w:w="709" w:type="dxa"/>
            <w:tcBorders>
              <w:left w:val="single" w:color="auto" w:sz="4" w:space="0"/>
            </w:tcBorders>
            <w:vAlign w:val="center"/>
          </w:tcPr>
          <w:p w14:paraId="774F7B3A">
            <w:pPr>
              <w:pStyle w:val="518"/>
              <w:rPr>
                <w:lang w:eastAsia="zh-CN"/>
              </w:rPr>
            </w:pPr>
            <w:r>
              <w:rPr>
                <w:rFonts w:ascii="宋体" w:hAnsi="宋体"/>
                <w:snapToGrid w:val="0"/>
                <w:szCs w:val="21"/>
              </w:rPr>
              <w:t>＞7.5</w:t>
            </w:r>
          </w:p>
        </w:tc>
        <w:tc>
          <w:tcPr>
            <w:tcW w:w="846" w:type="dxa"/>
            <w:tcBorders>
              <w:right w:val="single" w:color="auto" w:sz="4" w:space="0"/>
            </w:tcBorders>
            <w:vAlign w:val="center"/>
          </w:tcPr>
          <w:p w14:paraId="3C27F0FC">
            <w:pPr>
              <w:pStyle w:val="518"/>
              <w:rPr>
                <w:lang w:eastAsia="zh-CN"/>
              </w:rPr>
            </w:pPr>
            <w:r>
              <w:rPr>
                <w:rFonts w:hint="eastAsia"/>
                <w:lang w:eastAsia="zh-CN"/>
              </w:rPr>
              <w:t>8.58</w:t>
            </w:r>
          </w:p>
        </w:tc>
        <w:tc>
          <w:tcPr>
            <w:tcW w:w="714" w:type="dxa"/>
            <w:tcBorders>
              <w:left w:val="single" w:color="auto" w:sz="4" w:space="0"/>
              <w:right w:val="single" w:color="auto" w:sz="4" w:space="0"/>
            </w:tcBorders>
            <w:vAlign w:val="center"/>
          </w:tcPr>
          <w:p w14:paraId="48FC55E7">
            <w:pPr>
              <w:pStyle w:val="518"/>
              <w:rPr>
                <w:lang w:eastAsia="zh-CN"/>
              </w:rPr>
            </w:pPr>
            <w:r>
              <w:rPr>
                <w:rFonts w:ascii="宋体" w:hAnsi="宋体"/>
                <w:snapToGrid w:val="0"/>
                <w:szCs w:val="21"/>
              </w:rPr>
              <w:t>＞7.5</w:t>
            </w:r>
          </w:p>
        </w:tc>
        <w:tc>
          <w:tcPr>
            <w:tcW w:w="850" w:type="dxa"/>
            <w:tcBorders>
              <w:left w:val="single" w:color="auto" w:sz="4" w:space="0"/>
              <w:right w:val="single" w:color="auto" w:sz="4" w:space="0"/>
            </w:tcBorders>
            <w:vAlign w:val="center"/>
          </w:tcPr>
          <w:p w14:paraId="43358CB1">
            <w:pPr>
              <w:pStyle w:val="518"/>
              <w:rPr>
                <w:lang w:eastAsia="zh-CN"/>
              </w:rPr>
            </w:pPr>
            <w:r>
              <w:rPr>
                <w:rFonts w:hint="eastAsia"/>
                <w:lang w:eastAsia="zh-CN"/>
              </w:rPr>
              <w:t>8.61</w:t>
            </w:r>
          </w:p>
        </w:tc>
        <w:tc>
          <w:tcPr>
            <w:tcW w:w="709" w:type="dxa"/>
            <w:tcBorders>
              <w:left w:val="single" w:color="auto" w:sz="4" w:space="0"/>
            </w:tcBorders>
            <w:vAlign w:val="center"/>
          </w:tcPr>
          <w:p w14:paraId="16EFEAE3">
            <w:pPr>
              <w:pStyle w:val="518"/>
              <w:rPr>
                <w:lang w:eastAsia="zh-CN"/>
              </w:rPr>
            </w:pPr>
            <w:r>
              <w:rPr>
                <w:rFonts w:ascii="宋体" w:hAnsi="宋体"/>
                <w:snapToGrid w:val="0"/>
                <w:szCs w:val="21"/>
              </w:rPr>
              <w:t>＞7.5</w:t>
            </w:r>
          </w:p>
        </w:tc>
        <w:tc>
          <w:tcPr>
            <w:tcW w:w="850" w:type="dxa"/>
            <w:tcBorders>
              <w:right w:val="single" w:color="auto" w:sz="4" w:space="0"/>
            </w:tcBorders>
            <w:vAlign w:val="center"/>
          </w:tcPr>
          <w:p w14:paraId="634AFB9E">
            <w:pPr>
              <w:pStyle w:val="518"/>
            </w:pPr>
            <w:r>
              <w:rPr>
                <w:rFonts w:hint="eastAsia"/>
                <w:lang w:eastAsia="zh-CN"/>
              </w:rPr>
              <w:t>8.62</w:t>
            </w:r>
          </w:p>
        </w:tc>
        <w:tc>
          <w:tcPr>
            <w:tcW w:w="709" w:type="dxa"/>
            <w:tcBorders>
              <w:left w:val="single" w:color="auto" w:sz="4" w:space="0"/>
            </w:tcBorders>
            <w:vAlign w:val="center"/>
          </w:tcPr>
          <w:p w14:paraId="462581FB">
            <w:pPr>
              <w:pStyle w:val="518"/>
            </w:pPr>
            <w:r>
              <w:rPr>
                <w:rFonts w:ascii="宋体" w:hAnsi="宋体"/>
                <w:snapToGrid w:val="0"/>
                <w:szCs w:val="21"/>
              </w:rPr>
              <w:t>＞7.5</w:t>
            </w:r>
          </w:p>
        </w:tc>
      </w:tr>
      <w:tr w14:paraId="224193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93" w:type="dxa"/>
            <w:vAlign w:val="center"/>
          </w:tcPr>
          <w:p w14:paraId="4D648F81">
            <w:pPr>
              <w:pStyle w:val="518"/>
              <w:rPr>
                <w:snapToGrid w:val="0"/>
              </w:rPr>
            </w:pPr>
            <w:r>
              <w:rPr>
                <w:snapToGrid w:val="0"/>
              </w:rPr>
              <w:t>铬</w:t>
            </w:r>
          </w:p>
        </w:tc>
        <w:tc>
          <w:tcPr>
            <w:tcW w:w="709" w:type="dxa"/>
            <w:tcBorders>
              <w:right w:val="single" w:color="auto" w:sz="4" w:space="0"/>
            </w:tcBorders>
            <w:vAlign w:val="center"/>
          </w:tcPr>
          <w:p w14:paraId="1FDE0D30">
            <w:pPr>
              <w:pStyle w:val="518"/>
              <w:rPr>
                <w:lang w:eastAsia="zh-CN"/>
              </w:rPr>
            </w:pPr>
            <w:r>
              <w:rPr>
                <w:rFonts w:hint="eastAsia"/>
                <w:lang w:eastAsia="zh-CN"/>
              </w:rPr>
              <w:t>41.8</w:t>
            </w:r>
          </w:p>
        </w:tc>
        <w:tc>
          <w:tcPr>
            <w:tcW w:w="708" w:type="dxa"/>
            <w:tcBorders>
              <w:left w:val="single" w:color="auto" w:sz="4" w:space="0"/>
            </w:tcBorders>
            <w:vAlign w:val="center"/>
          </w:tcPr>
          <w:p w14:paraId="65F17020">
            <w:pPr>
              <w:pStyle w:val="518"/>
              <w:rPr>
                <w:lang w:eastAsia="zh-CN"/>
              </w:rPr>
            </w:pPr>
            <w:r>
              <w:rPr>
                <w:rFonts w:hint="eastAsia"/>
                <w:lang w:eastAsia="zh-CN"/>
              </w:rPr>
              <w:t>0.17</w:t>
            </w:r>
          </w:p>
        </w:tc>
        <w:tc>
          <w:tcPr>
            <w:tcW w:w="708" w:type="dxa"/>
            <w:tcBorders>
              <w:right w:val="single" w:color="auto" w:sz="4" w:space="0"/>
            </w:tcBorders>
            <w:vAlign w:val="center"/>
          </w:tcPr>
          <w:p w14:paraId="3D9E8546">
            <w:pPr>
              <w:pStyle w:val="518"/>
              <w:rPr>
                <w:lang w:eastAsia="zh-CN"/>
              </w:rPr>
            </w:pPr>
            <w:r>
              <w:rPr>
                <w:rFonts w:hint="eastAsia"/>
                <w:lang w:eastAsia="zh-CN"/>
              </w:rPr>
              <w:t>32.9</w:t>
            </w:r>
          </w:p>
        </w:tc>
        <w:tc>
          <w:tcPr>
            <w:tcW w:w="710" w:type="dxa"/>
            <w:tcBorders>
              <w:left w:val="single" w:color="auto" w:sz="4" w:space="0"/>
            </w:tcBorders>
            <w:vAlign w:val="center"/>
          </w:tcPr>
          <w:p w14:paraId="11886938">
            <w:pPr>
              <w:pStyle w:val="518"/>
              <w:rPr>
                <w:lang w:eastAsia="zh-CN"/>
              </w:rPr>
            </w:pPr>
            <w:r>
              <w:rPr>
                <w:rFonts w:hint="eastAsia"/>
                <w:lang w:eastAsia="zh-CN"/>
              </w:rPr>
              <w:t>0.13</w:t>
            </w:r>
          </w:p>
        </w:tc>
        <w:tc>
          <w:tcPr>
            <w:tcW w:w="850" w:type="dxa"/>
            <w:tcBorders>
              <w:right w:val="single" w:color="auto" w:sz="4" w:space="0"/>
            </w:tcBorders>
            <w:vAlign w:val="center"/>
          </w:tcPr>
          <w:p w14:paraId="32DBA784">
            <w:pPr>
              <w:pStyle w:val="518"/>
              <w:rPr>
                <w:lang w:eastAsia="zh-CN"/>
              </w:rPr>
            </w:pPr>
            <w:r>
              <w:rPr>
                <w:rFonts w:hint="eastAsia"/>
                <w:lang w:eastAsia="zh-CN"/>
              </w:rPr>
              <w:t>40.4</w:t>
            </w:r>
          </w:p>
        </w:tc>
        <w:tc>
          <w:tcPr>
            <w:tcW w:w="708" w:type="dxa"/>
            <w:tcBorders>
              <w:left w:val="single" w:color="auto" w:sz="4" w:space="0"/>
            </w:tcBorders>
            <w:vAlign w:val="center"/>
          </w:tcPr>
          <w:p w14:paraId="3B1A07F1">
            <w:pPr>
              <w:pStyle w:val="518"/>
              <w:rPr>
                <w:lang w:eastAsia="zh-CN"/>
              </w:rPr>
            </w:pPr>
            <w:r>
              <w:rPr>
                <w:rFonts w:hint="eastAsia"/>
                <w:lang w:eastAsia="zh-CN"/>
              </w:rPr>
              <w:t>0.32</w:t>
            </w:r>
          </w:p>
        </w:tc>
        <w:tc>
          <w:tcPr>
            <w:tcW w:w="709" w:type="dxa"/>
            <w:vAlign w:val="center"/>
          </w:tcPr>
          <w:p w14:paraId="28647491">
            <w:pPr>
              <w:pStyle w:val="518"/>
              <w:rPr>
                <w:lang w:eastAsia="zh-CN"/>
              </w:rPr>
            </w:pPr>
            <w:r>
              <w:rPr>
                <w:rFonts w:hint="eastAsia"/>
                <w:lang w:eastAsia="zh-CN"/>
              </w:rPr>
              <w:t>40.9</w:t>
            </w:r>
          </w:p>
        </w:tc>
        <w:tc>
          <w:tcPr>
            <w:tcW w:w="709" w:type="dxa"/>
            <w:tcBorders>
              <w:right w:val="single" w:color="auto" w:sz="4" w:space="0"/>
            </w:tcBorders>
            <w:vAlign w:val="center"/>
          </w:tcPr>
          <w:p w14:paraId="2A886A51">
            <w:pPr>
              <w:pStyle w:val="518"/>
              <w:rPr>
                <w:snapToGrid w:val="0"/>
                <w:lang w:eastAsia="zh-CN"/>
              </w:rPr>
            </w:pPr>
            <w:r>
              <w:rPr>
                <w:rFonts w:hint="eastAsia"/>
                <w:snapToGrid w:val="0"/>
                <w:lang w:eastAsia="zh-CN"/>
              </w:rPr>
              <w:t>0.16</w:t>
            </w:r>
          </w:p>
        </w:tc>
        <w:tc>
          <w:tcPr>
            <w:tcW w:w="850" w:type="dxa"/>
            <w:tcBorders>
              <w:left w:val="single" w:color="auto" w:sz="4" w:space="0"/>
              <w:right w:val="single" w:color="auto" w:sz="4" w:space="0"/>
            </w:tcBorders>
            <w:vAlign w:val="center"/>
          </w:tcPr>
          <w:p w14:paraId="0A972FEE">
            <w:pPr>
              <w:pStyle w:val="518"/>
              <w:rPr>
                <w:snapToGrid w:val="0"/>
                <w:lang w:eastAsia="zh-CN"/>
              </w:rPr>
            </w:pPr>
            <w:r>
              <w:rPr>
                <w:rFonts w:hint="eastAsia"/>
                <w:snapToGrid w:val="0"/>
                <w:lang w:eastAsia="zh-CN"/>
              </w:rPr>
              <w:t>32.5</w:t>
            </w:r>
          </w:p>
        </w:tc>
        <w:tc>
          <w:tcPr>
            <w:tcW w:w="709" w:type="dxa"/>
            <w:tcBorders>
              <w:left w:val="single" w:color="auto" w:sz="4" w:space="0"/>
              <w:right w:val="single" w:color="auto" w:sz="4" w:space="0"/>
            </w:tcBorders>
            <w:vAlign w:val="center"/>
          </w:tcPr>
          <w:p w14:paraId="0AD2445E">
            <w:pPr>
              <w:pStyle w:val="518"/>
              <w:rPr>
                <w:snapToGrid w:val="0"/>
                <w:lang w:eastAsia="zh-CN"/>
              </w:rPr>
            </w:pPr>
            <w:r>
              <w:rPr>
                <w:rFonts w:hint="eastAsia"/>
                <w:snapToGrid w:val="0"/>
                <w:lang w:eastAsia="zh-CN"/>
              </w:rPr>
              <w:t>0.13</w:t>
            </w:r>
          </w:p>
        </w:tc>
        <w:tc>
          <w:tcPr>
            <w:tcW w:w="851" w:type="dxa"/>
            <w:tcBorders>
              <w:left w:val="single" w:color="auto" w:sz="4" w:space="0"/>
              <w:right w:val="single" w:color="auto" w:sz="4" w:space="0"/>
            </w:tcBorders>
            <w:vAlign w:val="center"/>
          </w:tcPr>
          <w:p w14:paraId="1FFE7B9A">
            <w:pPr>
              <w:pStyle w:val="518"/>
              <w:rPr>
                <w:snapToGrid w:val="0"/>
                <w:lang w:eastAsia="zh-CN"/>
              </w:rPr>
            </w:pPr>
            <w:r>
              <w:rPr>
                <w:rFonts w:hint="eastAsia"/>
                <w:snapToGrid w:val="0"/>
                <w:lang w:eastAsia="zh-CN"/>
              </w:rPr>
              <w:t>39.3</w:t>
            </w:r>
          </w:p>
        </w:tc>
        <w:tc>
          <w:tcPr>
            <w:tcW w:w="709" w:type="dxa"/>
            <w:tcBorders>
              <w:left w:val="single" w:color="auto" w:sz="4" w:space="0"/>
            </w:tcBorders>
            <w:vAlign w:val="center"/>
          </w:tcPr>
          <w:p w14:paraId="7FA09AF1">
            <w:pPr>
              <w:pStyle w:val="518"/>
              <w:rPr>
                <w:snapToGrid w:val="0"/>
                <w:lang w:eastAsia="zh-CN"/>
              </w:rPr>
            </w:pPr>
            <w:r>
              <w:rPr>
                <w:rFonts w:hint="eastAsia"/>
                <w:snapToGrid w:val="0"/>
                <w:lang w:eastAsia="zh-CN"/>
              </w:rPr>
              <w:t>0.31</w:t>
            </w:r>
          </w:p>
        </w:tc>
        <w:tc>
          <w:tcPr>
            <w:tcW w:w="846" w:type="dxa"/>
            <w:tcBorders>
              <w:right w:val="single" w:color="auto" w:sz="4" w:space="0"/>
            </w:tcBorders>
            <w:vAlign w:val="center"/>
          </w:tcPr>
          <w:p w14:paraId="27F82642">
            <w:pPr>
              <w:pStyle w:val="518"/>
              <w:rPr>
                <w:lang w:eastAsia="zh-CN"/>
              </w:rPr>
            </w:pPr>
            <w:r>
              <w:rPr>
                <w:rFonts w:hint="eastAsia"/>
                <w:lang w:eastAsia="zh-CN"/>
              </w:rPr>
              <w:t>42.1</w:t>
            </w:r>
          </w:p>
        </w:tc>
        <w:tc>
          <w:tcPr>
            <w:tcW w:w="714" w:type="dxa"/>
            <w:tcBorders>
              <w:left w:val="single" w:color="auto" w:sz="4" w:space="0"/>
              <w:right w:val="single" w:color="auto" w:sz="4" w:space="0"/>
            </w:tcBorders>
            <w:vAlign w:val="center"/>
          </w:tcPr>
          <w:p w14:paraId="4E5823E1">
            <w:pPr>
              <w:pStyle w:val="518"/>
              <w:rPr>
                <w:lang w:eastAsia="zh-CN"/>
              </w:rPr>
            </w:pPr>
            <w:r>
              <w:rPr>
                <w:rFonts w:hint="eastAsia"/>
                <w:lang w:eastAsia="zh-CN"/>
              </w:rPr>
              <w:t>0.17</w:t>
            </w:r>
          </w:p>
        </w:tc>
        <w:tc>
          <w:tcPr>
            <w:tcW w:w="850" w:type="dxa"/>
            <w:tcBorders>
              <w:left w:val="single" w:color="auto" w:sz="4" w:space="0"/>
              <w:right w:val="single" w:color="auto" w:sz="4" w:space="0"/>
            </w:tcBorders>
            <w:vAlign w:val="center"/>
          </w:tcPr>
          <w:p w14:paraId="6D2D837F">
            <w:pPr>
              <w:pStyle w:val="518"/>
              <w:rPr>
                <w:lang w:eastAsia="zh-CN"/>
              </w:rPr>
            </w:pPr>
            <w:r>
              <w:rPr>
                <w:rFonts w:hint="eastAsia"/>
                <w:lang w:eastAsia="zh-CN"/>
              </w:rPr>
              <w:t>36.8</w:t>
            </w:r>
          </w:p>
        </w:tc>
        <w:tc>
          <w:tcPr>
            <w:tcW w:w="709" w:type="dxa"/>
            <w:tcBorders>
              <w:left w:val="single" w:color="auto" w:sz="4" w:space="0"/>
            </w:tcBorders>
            <w:vAlign w:val="center"/>
          </w:tcPr>
          <w:p w14:paraId="3669FE0F">
            <w:pPr>
              <w:pStyle w:val="518"/>
              <w:rPr>
                <w:lang w:eastAsia="zh-CN"/>
              </w:rPr>
            </w:pPr>
            <w:r>
              <w:rPr>
                <w:rFonts w:hint="eastAsia"/>
                <w:lang w:eastAsia="zh-CN"/>
              </w:rPr>
              <w:t>0.15</w:t>
            </w:r>
          </w:p>
        </w:tc>
        <w:tc>
          <w:tcPr>
            <w:tcW w:w="850" w:type="dxa"/>
            <w:tcBorders>
              <w:right w:val="single" w:color="auto" w:sz="4" w:space="0"/>
            </w:tcBorders>
            <w:vAlign w:val="center"/>
          </w:tcPr>
          <w:p w14:paraId="693AAA73">
            <w:pPr>
              <w:pStyle w:val="518"/>
              <w:rPr>
                <w:snapToGrid w:val="0"/>
                <w:lang w:eastAsia="zh-CN"/>
              </w:rPr>
            </w:pPr>
            <w:r>
              <w:rPr>
                <w:rFonts w:hint="eastAsia"/>
                <w:snapToGrid w:val="0"/>
                <w:lang w:eastAsia="zh-CN"/>
              </w:rPr>
              <w:t>41.8</w:t>
            </w:r>
          </w:p>
        </w:tc>
        <w:tc>
          <w:tcPr>
            <w:tcW w:w="709" w:type="dxa"/>
            <w:tcBorders>
              <w:left w:val="single" w:color="auto" w:sz="4" w:space="0"/>
            </w:tcBorders>
            <w:vAlign w:val="center"/>
          </w:tcPr>
          <w:p w14:paraId="5EEAFA17">
            <w:pPr>
              <w:pStyle w:val="518"/>
              <w:rPr>
                <w:snapToGrid w:val="0"/>
                <w:lang w:eastAsia="zh-CN"/>
              </w:rPr>
            </w:pPr>
            <w:r>
              <w:rPr>
                <w:rFonts w:hint="eastAsia"/>
                <w:snapToGrid w:val="0"/>
                <w:lang w:eastAsia="zh-CN"/>
              </w:rPr>
              <w:t>0.33</w:t>
            </w:r>
          </w:p>
        </w:tc>
      </w:tr>
      <w:tr w14:paraId="6576FC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93" w:type="dxa"/>
            <w:vAlign w:val="center"/>
          </w:tcPr>
          <w:p w14:paraId="48B2BB43">
            <w:pPr>
              <w:pStyle w:val="518"/>
              <w:rPr>
                <w:snapToGrid w:val="0"/>
              </w:rPr>
            </w:pPr>
            <w:r>
              <w:rPr>
                <w:snapToGrid w:val="0"/>
                <w:lang w:eastAsia="zh-CN"/>
              </w:rPr>
              <w:t>汞</w:t>
            </w:r>
          </w:p>
        </w:tc>
        <w:tc>
          <w:tcPr>
            <w:tcW w:w="709" w:type="dxa"/>
            <w:tcBorders>
              <w:right w:val="single" w:color="auto" w:sz="4" w:space="0"/>
            </w:tcBorders>
            <w:vAlign w:val="center"/>
          </w:tcPr>
          <w:p w14:paraId="1090BF66">
            <w:pPr>
              <w:pStyle w:val="518"/>
              <w:rPr>
                <w:lang w:eastAsia="zh-CN"/>
              </w:rPr>
            </w:pPr>
            <w:r>
              <w:rPr>
                <w:rFonts w:hint="eastAsia"/>
                <w:lang w:eastAsia="zh-CN"/>
              </w:rPr>
              <w:t>0.097</w:t>
            </w:r>
          </w:p>
        </w:tc>
        <w:tc>
          <w:tcPr>
            <w:tcW w:w="708" w:type="dxa"/>
            <w:tcBorders>
              <w:left w:val="single" w:color="auto" w:sz="4" w:space="0"/>
            </w:tcBorders>
            <w:vAlign w:val="center"/>
          </w:tcPr>
          <w:p w14:paraId="4C847E1F">
            <w:pPr>
              <w:pStyle w:val="518"/>
              <w:rPr>
                <w:lang w:eastAsia="zh-CN"/>
              </w:rPr>
            </w:pPr>
            <w:r>
              <w:rPr>
                <w:rFonts w:hint="eastAsia"/>
                <w:lang w:eastAsia="zh-CN"/>
              </w:rPr>
              <w:t>0.10</w:t>
            </w:r>
          </w:p>
        </w:tc>
        <w:tc>
          <w:tcPr>
            <w:tcW w:w="708" w:type="dxa"/>
            <w:tcBorders>
              <w:right w:val="single" w:color="auto" w:sz="4" w:space="0"/>
            </w:tcBorders>
            <w:vAlign w:val="center"/>
          </w:tcPr>
          <w:p w14:paraId="656BEFF9">
            <w:pPr>
              <w:pStyle w:val="518"/>
              <w:rPr>
                <w:lang w:eastAsia="zh-CN"/>
              </w:rPr>
            </w:pPr>
            <w:r>
              <w:rPr>
                <w:rFonts w:hint="eastAsia"/>
                <w:lang w:eastAsia="zh-CN"/>
              </w:rPr>
              <w:t>0.100</w:t>
            </w:r>
          </w:p>
        </w:tc>
        <w:tc>
          <w:tcPr>
            <w:tcW w:w="710" w:type="dxa"/>
            <w:tcBorders>
              <w:left w:val="single" w:color="auto" w:sz="4" w:space="0"/>
            </w:tcBorders>
            <w:vAlign w:val="center"/>
          </w:tcPr>
          <w:p w14:paraId="34638988">
            <w:pPr>
              <w:pStyle w:val="518"/>
              <w:rPr>
                <w:lang w:eastAsia="zh-CN"/>
              </w:rPr>
            </w:pPr>
            <w:r>
              <w:rPr>
                <w:rFonts w:hint="eastAsia"/>
                <w:lang w:eastAsia="zh-CN"/>
              </w:rPr>
              <w:t>0.10</w:t>
            </w:r>
          </w:p>
        </w:tc>
        <w:tc>
          <w:tcPr>
            <w:tcW w:w="850" w:type="dxa"/>
            <w:tcBorders>
              <w:right w:val="single" w:color="auto" w:sz="4" w:space="0"/>
            </w:tcBorders>
            <w:vAlign w:val="center"/>
          </w:tcPr>
          <w:p w14:paraId="4DF3C513">
            <w:pPr>
              <w:pStyle w:val="518"/>
              <w:rPr>
                <w:lang w:eastAsia="zh-CN"/>
              </w:rPr>
            </w:pPr>
            <w:r>
              <w:rPr>
                <w:rFonts w:hint="eastAsia"/>
                <w:lang w:eastAsia="zh-CN"/>
              </w:rPr>
              <w:t>0.264</w:t>
            </w:r>
          </w:p>
        </w:tc>
        <w:tc>
          <w:tcPr>
            <w:tcW w:w="708" w:type="dxa"/>
            <w:tcBorders>
              <w:left w:val="single" w:color="auto" w:sz="4" w:space="0"/>
            </w:tcBorders>
            <w:vAlign w:val="center"/>
          </w:tcPr>
          <w:p w14:paraId="2DEDDFB2">
            <w:pPr>
              <w:pStyle w:val="518"/>
              <w:rPr>
                <w:lang w:eastAsia="zh-CN"/>
              </w:rPr>
            </w:pPr>
            <w:r>
              <w:rPr>
                <w:rFonts w:hint="eastAsia"/>
                <w:lang w:eastAsia="zh-CN"/>
              </w:rPr>
              <w:t>0.26</w:t>
            </w:r>
          </w:p>
        </w:tc>
        <w:tc>
          <w:tcPr>
            <w:tcW w:w="709" w:type="dxa"/>
            <w:vAlign w:val="center"/>
          </w:tcPr>
          <w:p w14:paraId="2B8262F5">
            <w:pPr>
              <w:pStyle w:val="518"/>
              <w:rPr>
                <w:lang w:eastAsia="zh-CN"/>
              </w:rPr>
            </w:pPr>
            <w:r>
              <w:rPr>
                <w:rFonts w:hint="eastAsia"/>
                <w:lang w:eastAsia="zh-CN"/>
              </w:rPr>
              <w:t>0.096</w:t>
            </w:r>
          </w:p>
        </w:tc>
        <w:tc>
          <w:tcPr>
            <w:tcW w:w="709" w:type="dxa"/>
            <w:tcBorders>
              <w:right w:val="single" w:color="auto" w:sz="4" w:space="0"/>
            </w:tcBorders>
            <w:vAlign w:val="center"/>
          </w:tcPr>
          <w:p w14:paraId="2FFCFEAE">
            <w:pPr>
              <w:pStyle w:val="518"/>
              <w:rPr>
                <w:snapToGrid w:val="0"/>
                <w:lang w:eastAsia="zh-CN"/>
              </w:rPr>
            </w:pPr>
            <w:r>
              <w:rPr>
                <w:rFonts w:hint="eastAsia"/>
                <w:snapToGrid w:val="0"/>
                <w:lang w:eastAsia="zh-CN"/>
              </w:rPr>
              <w:t>0.10</w:t>
            </w:r>
          </w:p>
        </w:tc>
        <w:tc>
          <w:tcPr>
            <w:tcW w:w="850" w:type="dxa"/>
            <w:tcBorders>
              <w:left w:val="single" w:color="auto" w:sz="4" w:space="0"/>
              <w:right w:val="single" w:color="auto" w:sz="4" w:space="0"/>
            </w:tcBorders>
            <w:vAlign w:val="center"/>
          </w:tcPr>
          <w:p w14:paraId="6E9F326D">
            <w:pPr>
              <w:pStyle w:val="518"/>
              <w:rPr>
                <w:snapToGrid w:val="0"/>
                <w:lang w:eastAsia="zh-CN"/>
              </w:rPr>
            </w:pPr>
            <w:r>
              <w:rPr>
                <w:rFonts w:hint="eastAsia"/>
                <w:snapToGrid w:val="0"/>
                <w:lang w:eastAsia="zh-CN"/>
              </w:rPr>
              <w:t>0.099</w:t>
            </w:r>
          </w:p>
        </w:tc>
        <w:tc>
          <w:tcPr>
            <w:tcW w:w="709" w:type="dxa"/>
            <w:tcBorders>
              <w:left w:val="single" w:color="auto" w:sz="4" w:space="0"/>
              <w:right w:val="single" w:color="auto" w:sz="4" w:space="0"/>
            </w:tcBorders>
            <w:vAlign w:val="center"/>
          </w:tcPr>
          <w:p w14:paraId="21DB0E02">
            <w:pPr>
              <w:pStyle w:val="518"/>
              <w:rPr>
                <w:snapToGrid w:val="0"/>
                <w:lang w:eastAsia="zh-CN"/>
              </w:rPr>
            </w:pPr>
            <w:r>
              <w:rPr>
                <w:rFonts w:hint="eastAsia"/>
                <w:snapToGrid w:val="0"/>
                <w:lang w:eastAsia="zh-CN"/>
              </w:rPr>
              <w:t>0.10</w:t>
            </w:r>
          </w:p>
        </w:tc>
        <w:tc>
          <w:tcPr>
            <w:tcW w:w="851" w:type="dxa"/>
            <w:tcBorders>
              <w:left w:val="single" w:color="auto" w:sz="4" w:space="0"/>
              <w:right w:val="single" w:color="auto" w:sz="4" w:space="0"/>
            </w:tcBorders>
            <w:vAlign w:val="center"/>
          </w:tcPr>
          <w:p w14:paraId="3FC0357D">
            <w:pPr>
              <w:pStyle w:val="518"/>
              <w:rPr>
                <w:snapToGrid w:val="0"/>
                <w:lang w:eastAsia="zh-CN"/>
              </w:rPr>
            </w:pPr>
            <w:r>
              <w:rPr>
                <w:rFonts w:hint="eastAsia"/>
                <w:snapToGrid w:val="0"/>
                <w:lang w:eastAsia="zh-CN"/>
              </w:rPr>
              <w:t>0.262</w:t>
            </w:r>
          </w:p>
        </w:tc>
        <w:tc>
          <w:tcPr>
            <w:tcW w:w="709" w:type="dxa"/>
            <w:tcBorders>
              <w:left w:val="single" w:color="auto" w:sz="4" w:space="0"/>
            </w:tcBorders>
            <w:vAlign w:val="center"/>
          </w:tcPr>
          <w:p w14:paraId="611592CA">
            <w:pPr>
              <w:pStyle w:val="518"/>
              <w:rPr>
                <w:snapToGrid w:val="0"/>
                <w:lang w:eastAsia="zh-CN"/>
              </w:rPr>
            </w:pPr>
            <w:r>
              <w:rPr>
                <w:rFonts w:hint="eastAsia"/>
                <w:snapToGrid w:val="0"/>
                <w:lang w:eastAsia="zh-CN"/>
              </w:rPr>
              <w:t>0.26</w:t>
            </w:r>
          </w:p>
        </w:tc>
        <w:tc>
          <w:tcPr>
            <w:tcW w:w="846" w:type="dxa"/>
            <w:tcBorders>
              <w:right w:val="single" w:color="auto" w:sz="4" w:space="0"/>
            </w:tcBorders>
            <w:vAlign w:val="center"/>
          </w:tcPr>
          <w:p w14:paraId="022493DA">
            <w:pPr>
              <w:pStyle w:val="518"/>
              <w:rPr>
                <w:lang w:eastAsia="zh-CN"/>
              </w:rPr>
            </w:pPr>
            <w:r>
              <w:rPr>
                <w:rFonts w:hint="eastAsia"/>
                <w:lang w:eastAsia="zh-CN"/>
              </w:rPr>
              <w:t>0.101</w:t>
            </w:r>
          </w:p>
        </w:tc>
        <w:tc>
          <w:tcPr>
            <w:tcW w:w="714" w:type="dxa"/>
            <w:tcBorders>
              <w:left w:val="single" w:color="auto" w:sz="4" w:space="0"/>
              <w:right w:val="single" w:color="auto" w:sz="4" w:space="0"/>
            </w:tcBorders>
            <w:vAlign w:val="center"/>
          </w:tcPr>
          <w:p w14:paraId="5BEF045C">
            <w:pPr>
              <w:pStyle w:val="518"/>
              <w:rPr>
                <w:lang w:eastAsia="zh-CN"/>
              </w:rPr>
            </w:pPr>
            <w:r>
              <w:rPr>
                <w:rFonts w:hint="eastAsia"/>
                <w:lang w:eastAsia="zh-CN"/>
              </w:rPr>
              <w:t>0.10</w:t>
            </w:r>
          </w:p>
        </w:tc>
        <w:tc>
          <w:tcPr>
            <w:tcW w:w="850" w:type="dxa"/>
            <w:tcBorders>
              <w:left w:val="single" w:color="auto" w:sz="4" w:space="0"/>
              <w:right w:val="single" w:color="auto" w:sz="4" w:space="0"/>
            </w:tcBorders>
            <w:vAlign w:val="center"/>
          </w:tcPr>
          <w:p w14:paraId="5A03BDF9">
            <w:pPr>
              <w:pStyle w:val="518"/>
              <w:rPr>
                <w:lang w:eastAsia="zh-CN"/>
              </w:rPr>
            </w:pPr>
            <w:r>
              <w:rPr>
                <w:rFonts w:hint="eastAsia"/>
                <w:lang w:eastAsia="zh-CN"/>
              </w:rPr>
              <w:t>0.103</w:t>
            </w:r>
          </w:p>
        </w:tc>
        <w:tc>
          <w:tcPr>
            <w:tcW w:w="709" w:type="dxa"/>
            <w:tcBorders>
              <w:left w:val="single" w:color="auto" w:sz="4" w:space="0"/>
            </w:tcBorders>
            <w:vAlign w:val="center"/>
          </w:tcPr>
          <w:p w14:paraId="04503FCF">
            <w:pPr>
              <w:pStyle w:val="518"/>
              <w:rPr>
                <w:lang w:eastAsia="zh-CN"/>
              </w:rPr>
            </w:pPr>
            <w:r>
              <w:rPr>
                <w:rFonts w:hint="eastAsia"/>
                <w:lang w:eastAsia="zh-CN"/>
              </w:rPr>
              <w:t>0.10</w:t>
            </w:r>
          </w:p>
        </w:tc>
        <w:tc>
          <w:tcPr>
            <w:tcW w:w="850" w:type="dxa"/>
            <w:tcBorders>
              <w:right w:val="single" w:color="auto" w:sz="4" w:space="0"/>
            </w:tcBorders>
            <w:vAlign w:val="center"/>
          </w:tcPr>
          <w:p w14:paraId="4A5CCEBC">
            <w:pPr>
              <w:pStyle w:val="518"/>
              <w:rPr>
                <w:snapToGrid w:val="0"/>
                <w:lang w:eastAsia="zh-CN"/>
              </w:rPr>
            </w:pPr>
            <w:r>
              <w:rPr>
                <w:rFonts w:hint="eastAsia"/>
                <w:snapToGrid w:val="0"/>
                <w:lang w:eastAsia="zh-CN"/>
              </w:rPr>
              <w:t>0.266</w:t>
            </w:r>
          </w:p>
        </w:tc>
        <w:tc>
          <w:tcPr>
            <w:tcW w:w="709" w:type="dxa"/>
            <w:tcBorders>
              <w:left w:val="single" w:color="auto" w:sz="4" w:space="0"/>
            </w:tcBorders>
            <w:vAlign w:val="center"/>
          </w:tcPr>
          <w:p w14:paraId="74745D46">
            <w:pPr>
              <w:pStyle w:val="518"/>
              <w:rPr>
                <w:snapToGrid w:val="0"/>
                <w:lang w:eastAsia="zh-CN"/>
              </w:rPr>
            </w:pPr>
            <w:r>
              <w:rPr>
                <w:rFonts w:hint="eastAsia"/>
                <w:snapToGrid w:val="0"/>
                <w:lang w:eastAsia="zh-CN"/>
              </w:rPr>
              <w:t>0.27</w:t>
            </w:r>
          </w:p>
        </w:tc>
      </w:tr>
      <w:tr w14:paraId="5F2C2A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93" w:type="dxa"/>
            <w:vAlign w:val="center"/>
          </w:tcPr>
          <w:p w14:paraId="4634D0F3">
            <w:pPr>
              <w:pStyle w:val="518"/>
              <w:rPr>
                <w:snapToGrid w:val="0"/>
              </w:rPr>
            </w:pPr>
            <w:r>
              <w:rPr>
                <w:snapToGrid w:val="0"/>
              </w:rPr>
              <w:t>砷</w:t>
            </w:r>
          </w:p>
        </w:tc>
        <w:tc>
          <w:tcPr>
            <w:tcW w:w="709" w:type="dxa"/>
            <w:tcBorders>
              <w:right w:val="single" w:color="auto" w:sz="4" w:space="0"/>
            </w:tcBorders>
            <w:vAlign w:val="center"/>
          </w:tcPr>
          <w:p w14:paraId="3D269489">
            <w:pPr>
              <w:pStyle w:val="518"/>
              <w:rPr>
                <w:lang w:eastAsia="zh-CN"/>
              </w:rPr>
            </w:pPr>
            <w:r>
              <w:rPr>
                <w:rFonts w:hint="eastAsia"/>
                <w:lang w:eastAsia="zh-CN"/>
              </w:rPr>
              <w:t>3.80</w:t>
            </w:r>
          </w:p>
        </w:tc>
        <w:tc>
          <w:tcPr>
            <w:tcW w:w="708" w:type="dxa"/>
            <w:tcBorders>
              <w:left w:val="single" w:color="auto" w:sz="4" w:space="0"/>
            </w:tcBorders>
            <w:vAlign w:val="center"/>
          </w:tcPr>
          <w:p w14:paraId="4ED84452">
            <w:pPr>
              <w:pStyle w:val="518"/>
              <w:rPr>
                <w:lang w:eastAsia="zh-CN"/>
              </w:rPr>
            </w:pPr>
            <w:r>
              <w:rPr>
                <w:rFonts w:hint="eastAsia"/>
                <w:lang w:eastAsia="zh-CN"/>
              </w:rPr>
              <w:t>0.15</w:t>
            </w:r>
          </w:p>
        </w:tc>
        <w:tc>
          <w:tcPr>
            <w:tcW w:w="708" w:type="dxa"/>
            <w:tcBorders>
              <w:right w:val="single" w:color="auto" w:sz="4" w:space="0"/>
            </w:tcBorders>
            <w:vAlign w:val="center"/>
          </w:tcPr>
          <w:p w14:paraId="605A473F">
            <w:pPr>
              <w:pStyle w:val="518"/>
              <w:rPr>
                <w:lang w:eastAsia="zh-CN"/>
              </w:rPr>
            </w:pPr>
            <w:r>
              <w:rPr>
                <w:rFonts w:hint="eastAsia"/>
                <w:lang w:eastAsia="zh-CN"/>
              </w:rPr>
              <w:t>3.63</w:t>
            </w:r>
          </w:p>
        </w:tc>
        <w:tc>
          <w:tcPr>
            <w:tcW w:w="710" w:type="dxa"/>
            <w:tcBorders>
              <w:left w:val="single" w:color="auto" w:sz="4" w:space="0"/>
            </w:tcBorders>
            <w:vAlign w:val="center"/>
          </w:tcPr>
          <w:p w14:paraId="14628BBB">
            <w:pPr>
              <w:pStyle w:val="518"/>
              <w:rPr>
                <w:lang w:eastAsia="zh-CN"/>
              </w:rPr>
            </w:pPr>
            <w:r>
              <w:rPr>
                <w:rFonts w:hint="eastAsia"/>
                <w:lang w:eastAsia="zh-CN"/>
              </w:rPr>
              <w:t>0.15</w:t>
            </w:r>
          </w:p>
        </w:tc>
        <w:tc>
          <w:tcPr>
            <w:tcW w:w="850" w:type="dxa"/>
            <w:tcBorders>
              <w:right w:val="single" w:color="auto" w:sz="4" w:space="0"/>
            </w:tcBorders>
            <w:vAlign w:val="center"/>
          </w:tcPr>
          <w:p w14:paraId="4936C6A2">
            <w:pPr>
              <w:pStyle w:val="518"/>
              <w:rPr>
                <w:lang w:eastAsia="zh-CN"/>
              </w:rPr>
            </w:pPr>
            <w:r>
              <w:rPr>
                <w:rFonts w:hint="eastAsia"/>
                <w:lang w:eastAsia="zh-CN"/>
              </w:rPr>
              <w:t>3.74</w:t>
            </w:r>
          </w:p>
        </w:tc>
        <w:tc>
          <w:tcPr>
            <w:tcW w:w="708" w:type="dxa"/>
            <w:tcBorders>
              <w:left w:val="single" w:color="auto" w:sz="4" w:space="0"/>
            </w:tcBorders>
            <w:vAlign w:val="center"/>
          </w:tcPr>
          <w:p w14:paraId="4876EC61">
            <w:pPr>
              <w:pStyle w:val="518"/>
              <w:rPr>
                <w:lang w:eastAsia="zh-CN"/>
              </w:rPr>
            </w:pPr>
            <w:r>
              <w:rPr>
                <w:rFonts w:hint="eastAsia"/>
                <w:lang w:eastAsia="zh-CN"/>
              </w:rPr>
              <w:t>0.30</w:t>
            </w:r>
          </w:p>
        </w:tc>
        <w:tc>
          <w:tcPr>
            <w:tcW w:w="709" w:type="dxa"/>
            <w:vAlign w:val="center"/>
          </w:tcPr>
          <w:p w14:paraId="497A7424">
            <w:pPr>
              <w:pStyle w:val="518"/>
              <w:rPr>
                <w:lang w:eastAsia="zh-CN"/>
              </w:rPr>
            </w:pPr>
            <w:r>
              <w:rPr>
                <w:rFonts w:hint="eastAsia"/>
                <w:lang w:eastAsia="zh-CN"/>
              </w:rPr>
              <w:t>3.76</w:t>
            </w:r>
          </w:p>
        </w:tc>
        <w:tc>
          <w:tcPr>
            <w:tcW w:w="709" w:type="dxa"/>
            <w:tcBorders>
              <w:right w:val="single" w:color="auto" w:sz="4" w:space="0"/>
            </w:tcBorders>
            <w:vAlign w:val="center"/>
          </w:tcPr>
          <w:p w14:paraId="07FFBDB5">
            <w:pPr>
              <w:pStyle w:val="518"/>
              <w:rPr>
                <w:snapToGrid w:val="0"/>
                <w:lang w:eastAsia="zh-CN"/>
              </w:rPr>
            </w:pPr>
            <w:r>
              <w:rPr>
                <w:rFonts w:hint="eastAsia"/>
                <w:snapToGrid w:val="0"/>
                <w:lang w:eastAsia="zh-CN"/>
              </w:rPr>
              <w:t>0.15</w:t>
            </w:r>
          </w:p>
        </w:tc>
        <w:tc>
          <w:tcPr>
            <w:tcW w:w="850" w:type="dxa"/>
            <w:tcBorders>
              <w:left w:val="single" w:color="auto" w:sz="4" w:space="0"/>
              <w:right w:val="single" w:color="auto" w:sz="4" w:space="0"/>
            </w:tcBorders>
            <w:vAlign w:val="center"/>
          </w:tcPr>
          <w:p w14:paraId="7631E5FD">
            <w:pPr>
              <w:pStyle w:val="518"/>
              <w:rPr>
                <w:snapToGrid w:val="0"/>
                <w:lang w:eastAsia="zh-CN"/>
              </w:rPr>
            </w:pPr>
            <w:r>
              <w:rPr>
                <w:rFonts w:hint="eastAsia"/>
                <w:snapToGrid w:val="0"/>
                <w:lang w:eastAsia="zh-CN"/>
              </w:rPr>
              <w:t>3.56</w:t>
            </w:r>
          </w:p>
        </w:tc>
        <w:tc>
          <w:tcPr>
            <w:tcW w:w="709" w:type="dxa"/>
            <w:tcBorders>
              <w:left w:val="single" w:color="auto" w:sz="4" w:space="0"/>
              <w:right w:val="single" w:color="auto" w:sz="4" w:space="0"/>
            </w:tcBorders>
            <w:vAlign w:val="center"/>
          </w:tcPr>
          <w:p w14:paraId="78C6450F">
            <w:pPr>
              <w:pStyle w:val="518"/>
              <w:rPr>
                <w:snapToGrid w:val="0"/>
                <w:lang w:eastAsia="zh-CN"/>
              </w:rPr>
            </w:pPr>
            <w:r>
              <w:rPr>
                <w:rFonts w:hint="eastAsia"/>
                <w:snapToGrid w:val="0"/>
                <w:lang w:eastAsia="zh-CN"/>
              </w:rPr>
              <w:t>0.14</w:t>
            </w:r>
          </w:p>
        </w:tc>
        <w:tc>
          <w:tcPr>
            <w:tcW w:w="851" w:type="dxa"/>
            <w:tcBorders>
              <w:left w:val="single" w:color="auto" w:sz="4" w:space="0"/>
              <w:right w:val="single" w:color="auto" w:sz="4" w:space="0"/>
            </w:tcBorders>
            <w:vAlign w:val="center"/>
          </w:tcPr>
          <w:p w14:paraId="2563D51B">
            <w:pPr>
              <w:pStyle w:val="518"/>
              <w:rPr>
                <w:snapToGrid w:val="0"/>
                <w:lang w:eastAsia="zh-CN"/>
              </w:rPr>
            </w:pPr>
            <w:r>
              <w:rPr>
                <w:rFonts w:hint="eastAsia"/>
                <w:snapToGrid w:val="0"/>
                <w:lang w:eastAsia="zh-CN"/>
              </w:rPr>
              <w:t>3.67</w:t>
            </w:r>
          </w:p>
        </w:tc>
        <w:tc>
          <w:tcPr>
            <w:tcW w:w="709" w:type="dxa"/>
            <w:tcBorders>
              <w:left w:val="single" w:color="auto" w:sz="4" w:space="0"/>
            </w:tcBorders>
            <w:vAlign w:val="center"/>
          </w:tcPr>
          <w:p w14:paraId="6BDFE995">
            <w:pPr>
              <w:pStyle w:val="518"/>
              <w:rPr>
                <w:snapToGrid w:val="0"/>
                <w:lang w:eastAsia="zh-CN"/>
              </w:rPr>
            </w:pPr>
            <w:r>
              <w:rPr>
                <w:rFonts w:hint="eastAsia"/>
                <w:snapToGrid w:val="0"/>
                <w:lang w:eastAsia="zh-CN"/>
              </w:rPr>
              <w:t>0.29</w:t>
            </w:r>
          </w:p>
        </w:tc>
        <w:tc>
          <w:tcPr>
            <w:tcW w:w="846" w:type="dxa"/>
            <w:tcBorders>
              <w:right w:val="single" w:color="auto" w:sz="4" w:space="0"/>
            </w:tcBorders>
            <w:vAlign w:val="center"/>
          </w:tcPr>
          <w:p w14:paraId="42466BF9">
            <w:pPr>
              <w:pStyle w:val="518"/>
              <w:rPr>
                <w:lang w:eastAsia="zh-CN"/>
              </w:rPr>
            </w:pPr>
            <w:r>
              <w:rPr>
                <w:rFonts w:hint="eastAsia"/>
                <w:lang w:eastAsia="zh-CN"/>
              </w:rPr>
              <w:t>3.83</w:t>
            </w:r>
          </w:p>
        </w:tc>
        <w:tc>
          <w:tcPr>
            <w:tcW w:w="714" w:type="dxa"/>
            <w:tcBorders>
              <w:left w:val="single" w:color="auto" w:sz="4" w:space="0"/>
              <w:right w:val="single" w:color="auto" w:sz="4" w:space="0"/>
            </w:tcBorders>
            <w:vAlign w:val="center"/>
          </w:tcPr>
          <w:p w14:paraId="5805C89C">
            <w:pPr>
              <w:pStyle w:val="518"/>
              <w:rPr>
                <w:lang w:eastAsia="zh-CN"/>
              </w:rPr>
            </w:pPr>
            <w:r>
              <w:rPr>
                <w:rFonts w:hint="eastAsia"/>
                <w:lang w:eastAsia="zh-CN"/>
              </w:rPr>
              <w:t>0.15</w:t>
            </w:r>
          </w:p>
        </w:tc>
        <w:tc>
          <w:tcPr>
            <w:tcW w:w="850" w:type="dxa"/>
            <w:tcBorders>
              <w:left w:val="single" w:color="auto" w:sz="4" w:space="0"/>
              <w:right w:val="single" w:color="auto" w:sz="4" w:space="0"/>
            </w:tcBorders>
            <w:vAlign w:val="center"/>
          </w:tcPr>
          <w:p w14:paraId="12A21474">
            <w:pPr>
              <w:pStyle w:val="518"/>
              <w:rPr>
                <w:lang w:eastAsia="zh-CN"/>
              </w:rPr>
            </w:pPr>
            <w:r>
              <w:rPr>
                <w:rFonts w:hint="eastAsia"/>
                <w:lang w:eastAsia="zh-CN"/>
              </w:rPr>
              <w:t>3.61</w:t>
            </w:r>
          </w:p>
        </w:tc>
        <w:tc>
          <w:tcPr>
            <w:tcW w:w="709" w:type="dxa"/>
            <w:tcBorders>
              <w:left w:val="single" w:color="auto" w:sz="4" w:space="0"/>
            </w:tcBorders>
            <w:vAlign w:val="center"/>
          </w:tcPr>
          <w:p w14:paraId="2832DB11">
            <w:pPr>
              <w:pStyle w:val="518"/>
              <w:rPr>
                <w:lang w:eastAsia="zh-CN"/>
              </w:rPr>
            </w:pPr>
            <w:r>
              <w:rPr>
                <w:rFonts w:hint="eastAsia"/>
                <w:lang w:eastAsia="zh-CN"/>
              </w:rPr>
              <w:t>0.14</w:t>
            </w:r>
          </w:p>
        </w:tc>
        <w:tc>
          <w:tcPr>
            <w:tcW w:w="850" w:type="dxa"/>
            <w:tcBorders>
              <w:right w:val="single" w:color="auto" w:sz="4" w:space="0"/>
            </w:tcBorders>
            <w:vAlign w:val="center"/>
          </w:tcPr>
          <w:p w14:paraId="522B12F9">
            <w:pPr>
              <w:pStyle w:val="518"/>
              <w:rPr>
                <w:snapToGrid w:val="0"/>
                <w:lang w:eastAsia="zh-CN"/>
              </w:rPr>
            </w:pPr>
            <w:r>
              <w:rPr>
                <w:rFonts w:hint="eastAsia"/>
                <w:snapToGrid w:val="0"/>
                <w:lang w:eastAsia="zh-CN"/>
              </w:rPr>
              <w:t>3.73</w:t>
            </w:r>
          </w:p>
        </w:tc>
        <w:tc>
          <w:tcPr>
            <w:tcW w:w="709" w:type="dxa"/>
            <w:tcBorders>
              <w:left w:val="single" w:color="auto" w:sz="4" w:space="0"/>
            </w:tcBorders>
            <w:vAlign w:val="center"/>
          </w:tcPr>
          <w:p w14:paraId="53B293E8">
            <w:pPr>
              <w:pStyle w:val="518"/>
              <w:rPr>
                <w:snapToGrid w:val="0"/>
                <w:lang w:eastAsia="zh-CN"/>
              </w:rPr>
            </w:pPr>
            <w:r>
              <w:rPr>
                <w:rFonts w:hint="eastAsia"/>
                <w:snapToGrid w:val="0"/>
                <w:lang w:eastAsia="zh-CN"/>
              </w:rPr>
              <w:t>0.30</w:t>
            </w:r>
          </w:p>
        </w:tc>
      </w:tr>
      <w:tr w14:paraId="43510B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93" w:type="dxa"/>
            <w:vAlign w:val="center"/>
          </w:tcPr>
          <w:p w14:paraId="288F68E6">
            <w:pPr>
              <w:pStyle w:val="518"/>
              <w:rPr>
                <w:snapToGrid w:val="0"/>
              </w:rPr>
            </w:pPr>
            <w:r>
              <w:t>铜</w:t>
            </w:r>
          </w:p>
        </w:tc>
        <w:tc>
          <w:tcPr>
            <w:tcW w:w="709" w:type="dxa"/>
            <w:tcBorders>
              <w:right w:val="single" w:color="auto" w:sz="4" w:space="0"/>
            </w:tcBorders>
            <w:vAlign w:val="center"/>
          </w:tcPr>
          <w:p w14:paraId="175E77E2">
            <w:pPr>
              <w:pStyle w:val="518"/>
              <w:rPr>
                <w:lang w:eastAsia="zh-CN"/>
              </w:rPr>
            </w:pPr>
            <w:r>
              <w:rPr>
                <w:rFonts w:hint="eastAsia"/>
                <w:lang w:eastAsia="zh-CN"/>
              </w:rPr>
              <w:t>24.2</w:t>
            </w:r>
          </w:p>
        </w:tc>
        <w:tc>
          <w:tcPr>
            <w:tcW w:w="708" w:type="dxa"/>
            <w:tcBorders>
              <w:left w:val="single" w:color="auto" w:sz="4" w:space="0"/>
            </w:tcBorders>
            <w:vAlign w:val="center"/>
          </w:tcPr>
          <w:p w14:paraId="0AC6C83C">
            <w:pPr>
              <w:pStyle w:val="518"/>
              <w:rPr>
                <w:lang w:eastAsia="zh-CN"/>
              </w:rPr>
            </w:pPr>
            <w:r>
              <w:rPr>
                <w:rFonts w:hint="eastAsia"/>
                <w:lang w:eastAsia="zh-CN"/>
              </w:rPr>
              <w:t>0.24</w:t>
            </w:r>
          </w:p>
        </w:tc>
        <w:tc>
          <w:tcPr>
            <w:tcW w:w="708" w:type="dxa"/>
            <w:tcBorders>
              <w:right w:val="single" w:color="auto" w:sz="4" w:space="0"/>
            </w:tcBorders>
            <w:vAlign w:val="center"/>
          </w:tcPr>
          <w:p w14:paraId="3337017E">
            <w:pPr>
              <w:pStyle w:val="518"/>
              <w:rPr>
                <w:lang w:eastAsia="zh-CN"/>
              </w:rPr>
            </w:pPr>
            <w:r>
              <w:rPr>
                <w:rFonts w:hint="eastAsia"/>
                <w:lang w:eastAsia="zh-CN"/>
              </w:rPr>
              <w:t>23.6</w:t>
            </w:r>
          </w:p>
        </w:tc>
        <w:tc>
          <w:tcPr>
            <w:tcW w:w="710" w:type="dxa"/>
            <w:tcBorders>
              <w:left w:val="single" w:color="auto" w:sz="4" w:space="0"/>
            </w:tcBorders>
            <w:vAlign w:val="center"/>
          </w:tcPr>
          <w:p w14:paraId="24067729">
            <w:pPr>
              <w:pStyle w:val="518"/>
              <w:rPr>
                <w:lang w:eastAsia="zh-CN"/>
              </w:rPr>
            </w:pPr>
            <w:r>
              <w:rPr>
                <w:rFonts w:hint="eastAsia"/>
                <w:lang w:eastAsia="zh-CN"/>
              </w:rPr>
              <w:t>0.24</w:t>
            </w:r>
          </w:p>
        </w:tc>
        <w:tc>
          <w:tcPr>
            <w:tcW w:w="850" w:type="dxa"/>
            <w:tcBorders>
              <w:right w:val="single" w:color="auto" w:sz="4" w:space="0"/>
            </w:tcBorders>
            <w:vAlign w:val="center"/>
          </w:tcPr>
          <w:p w14:paraId="60F38B46">
            <w:pPr>
              <w:pStyle w:val="518"/>
              <w:rPr>
                <w:lang w:eastAsia="zh-CN"/>
              </w:rPr>
            </w:pPr>
            <w:r>
              <w:rPr>
                <w:rFonts w:hint="eastAsia"/>
                <w:lang w:eastAsia="zh-CN"/>
              </w:rPr>
              <w:t>22.4</w:t>
            </w:r>
          </w:p>
        </w:tc>
        <w:tc>
          <w:tcPr>
            <w:tcW w:w="708" w:type="dxa"/>
            <w:tcBorders>
              <w:left w:val="single" w:color="auto" w:sz="4" w:space="0"/>
            </w:tcBorders>
            <w:vAlign w:val="center"/>
          </w:tcPr>
          <w:p w14:paraId="0C215F3C">
            <w:pPr>
              <w:pStyle w:val="518"/>
              <w:rPr>
                <w:lang w:eastAsia="zh-CN"/>
              </w:rPr>
            </w:pPr>
            <w:r>
              <w:rPr>
                <w:rFonts w:hint="eastAsia"/>
                <w:lang w:eastAsia="zh-CN"/>
              </w:rPr>
              <w:t>0.22</w:t>
            </w:r>
          </w:p>
        </w:tc>
        <w:tc>
          <w:tcPr>
            <w:tcW w:w="709" w:type="dxa"/>
            <w:vAlign w:val="center"/>
          </w:tcPr>
          <w:p w14:paraId="32406252">
            <w:pPr>
              <w:pStyle w:val="518"/>
              <w:rPr>
                <w:lang w:eastAsia="zh-CN"/>
              </w:rPr>
            </w:pPr>
            <w:r>
              <w:rPr>
                <w:rFonts w:hint="eastAsia"/>
                <w:lang w:eastAsia="zh-CN"/>
              </w:rPr>
              <w:t>23.8</w:t>
            </w:r>
          </w:p>
        </w:tc>
        <w:tc>
          <w:tcPr>
            <w:tcW w:w="709" w:type="dxa"/>
            <w:tcBorders>
              <w:right w:val="single" w:color="auto" w:sz="4" w:space="0"/>
            </w:tcBorders>
            <w:vAlign w:val="center"/>
          </w:tcPr>
          <w:p w14:paraId="6DC98F18">
            <w:pPr>
              <w:pStyle w:val="518"/>
              <w:rPr>
                <w:snapToGrid w:val="0"/>
                <w:lang w:eastAsia="zh-CN"/>
              </w:rPr>
            </w:pPr>
            <w:r>
              <w:rPr>
                <w:rFonts w:hint="eastAsia"/>
                <w:snapToGrid w:val="0"/>
                <w:lang w:eastAsia="zh-CN"/>
              </w:rPr>
              <w:t>0.24</w:t>
            </w:r>
          </w:p>
        </w:tc>
        <w:tc>
          <w:tcPr>
            <w:tcW w:w="850" w:type="dxa"/>
            <w:tcBorders>
              <w:left w:val="single" w:color="auto" w:sz="4" w:space="0"/>
              <w:right w:val="single" w:color="auto" w:sz="4" w:space="0"/>
            </w:tcBorders>
            <w:vAlign w:val="center"/>
          </w:tcPr>
          <w:p w14:paraId="5642EFCF">
            <w:pPr>
              <w:pStyle w:val="518"/>
              <w:rPr>
                <w:snapToGrid w:val="0"/>
                <w:lang w:eastAsia="zh-CN"/>
              </w:rPr>
            </w:pPr>
            <w:r>
              <w:rPr>
                <w:rFonts w:hint="eastAsia"/>
                <w:snapToGrid w:val="0"/>
                <w:lang w:eastAsia="zh-CN"/>
              </w:rPr>
              <w:t>22.7</w:t>
            </w:r>
          </w:p>
        </w:tc>
        <w:tc>
          <w:tcPr>
            <w:tcW w:w="709" w:type="dxa"/>
            <w:tcBorders>
              <w:left w:val="single" w:color="auto" w:sz="4" w:space="0"/>
              <w:right w:val="single" w:color="auto" w:sz="4" w:space="0"/>
            </w:tcBorders>
            <w:vAlign w:val="center"/>
          </w:tcPr>
          <w:p w14:paraId="392C5CBA">
            <w:pPr>
              <w:pStyle w:val="518"/>
              <w:rPr>
                <w:snapToGrid w:val="0"/>
                <w:lang w:eastAsia="zh-CN"/>
              </w:rPr>
            </w:pPr>
            <w:r>
              <w:rPr>
                <w:rFonts w:hint="eastAsia"/>
                <w:snapToGrid w:val="0"/>
                <w:lang w:eastAsia="zh-CN"/>
              </w:rPr>
              <w:t>0.23</w:t>
            </w:r>
          </w:p>
        </w:tc>
        <w:tc>
          <w:tcPr>
            <w:tcW w:w="851" w:type="dxa"/>
            <w:tcBorders>
              <w:left w:val="single" w:color="auto" w:sz="4" w:space="0"/>
              <w:right w:val="single" w:color="auto" w:sz="4" w:space="0"/>
            </w:tcBorders>
            <w:vAlign w:val="center"/>
          </w:tcPr>
          <w:p w14:paraId="123A12E6">
            <w:pPr>
              <w:pStyle w:val="518"/>
              <w:rPr>
                <w:snapToGrid w:val="0"/>
                <w:lang w:eastAsia="zh-CN"/>
              </w:rPr>
            </w:pPr>
            <w:r>
              <w:rPr>
                <w:rFonts w:hint="eastAsia"/>
                <w:snapToGrid w:val="0"/>
                <w:lang w:eastAsia="zh-CN"/>
              </w:rPr>
              <w:t>21.6</w:t>
            </w:r>
          </w:p>
        </w:tc>
        <w:tc>
          <w:tcPr>
            <w:tcW w:w="709" w:type="dxa"/>
            <w:tcBorders>
              <w:left w:val="single" w:color="auto" w:sz="4" w:space="0"/>
            </w:tcBorders>
            <w:vAlign w:val="center"/>
          </w:tcPr>
          <w:p w14:paraId="0BAB64F4">
            <w:pPr>
              <w:pStyle w:val="518"/>
              <w:rPr>
                <w:snapToGrid w:val="0"/>
                <w:lang w:eastAsia="zh-CN"/>
              </w:rPr>
            </w:pPr>
            <w:r>
              <w:rPr>
                <w:rFonts w:hint="eastAsia"/>
                <w:snapToGrid w:val="0"/>
                <w:lang w:eastAsia="zh-CN"/>
              </w:rPr>
              <w:t>0.22</w:t>
            </w:r>
          </w:p>
        </w:tc>
        <w:tc>
          <w:tcPr>
            <w:tcW w:w="846" w:type="dxa"/>
            <w:tcBorders>
              <w:right w:val="single" w:color="auto" w:sz="4" w:space="0"/>
            </w:tcBorders>
            <w:vAlign w:val="center"/>
          </w:tcPr>
          <w:p w14:paraId="77B3EE78">
            <w:pPr>
              <w:pStyle w:val="518"/>
              <w:rPr>
                <w:lang w:eastAsia="zh-CN"/>
              </w:rPr>
            </w:pPr>
            <w:r>
              <w:rPr>
                <w:rFonts w:hint="eastAsia"/>
                <w:lang w:eastAsia="zh-CN"/>
              </w:rPr>
              <w:t>25.6</w:t>
            </w:r>
          </w:p>
        </w:tc>
        <w:tc>
          <w:tcPr>
            <w:tcW w:w="714" w:type="dxa"/>
            <w:tcBorders>
              <w:left w:val="single" w:color="auto" w:sz="4" w:space="0"/>
              <w:right w:val="single" w:color="auto" w:sz="4" w:space="0"/>
            </w:tcBorders>
            <w:vAlign w:val="center"/>
          </w:tcPr>
          <w:p w14:paraId="67A66EC4">
            <w:pPr>
              <w:pStyle w:val="518"/>
              <w:rPr>
                <w:lang w:eastAsia="zh-CN"/>
              </w:rPr>
            </w:pPr>
            <w:r>
              <w:rPr>
                <w:rFonts w:hint="eastAsia"/>
                <w:lang w:eastAsia="zh-CN"/>
              </w:rPr>
              <w:t>0.26</w:t>
            </w:r>
          </w:p>
        </w:tc>
        <w:tc>
          <w:tcPr>
            <w:tcW w:w="850" w:type="dxa"/>
            <w:tcBorders>
              <w:left w:val="single" w:color="auto" w:sz="4" w:space="0"/>
              <w:right w:val="single" w:color="auto" w:sz="4" w:space="0"/>
            </w:tcBorders>
            <w:vAlign w:val="center"/>
          </w:tcPr>
          <w:p w14:paraId="4FB6AE3D">
            <w:pPr>
              <w:pStyle w:val="518"/>
              <w:rPr>
                <w:lang w:eastAsia="zh-CN"/>
              </w:rPr>
            </w:pPr>
            <w:r>
              <w:rPr>
                <w:rFonts w:hint="eastAsia"/>
                <w:lang w:eastAsia="zh-CN"/>
              </w:rPr>
              <w:t>24.1</w:t>
            </w:r>
          </w:p>
        </w:tc>
        <w:tc>
          <w:tcPr>
            <w:tcW w:w="709" w:type="dxa"/>
            <w:tcBorders>
              <w:left w:val="single" w:color="auto" w:sz="4" w:space="0"/>
            </w:tcBorders>
            <w:vAlign w:val="center"/>
          </w:tcPr>
          <w:p w14:paraId="48E86431">
            <w:pPr>
              <w:pStyle w:val="518"/>
              <w:rPr>
                <w:lang w:eastAsia="zh-CN"/>
              </w:rPr>
            </w:pPr>
            <w:r>
              <w:rPr>
                <w:rFonts w:hint="eastAsia"/>
                <w:lang w:eastAsia="zh-CN"/>
              </w:rPr>
              <w:t>0.24</w:t>
            </w:r>
          </w:p>
        </w:tc>
        <w:tc>
          <w:tcPr>
            <w:tcW w:w="850" w:type="dxa"/>
            <w:tcBorders>
              <w:right w:val="single" w:color="auto" w:sz="4" w:space="0"/>
            </w:tcBorders>
            <w:vAlign w:val="center"/>
          </w:tcPr>
          <w:p w14:paraId="374A1B7F">
            <w:pPr>
              <w:pStyle w:val="518"/>
              <w:rPr>
                <w:snapToGrid w:val="0"/>
                <w:lang w:eastAsia="zh-CN"/>
              </w:rPr>
            </w:pPr>
            <w:r>
              <w:rPr>
                <w:rFonts w:hint="eastAsia"/>
                <w:snapToGrid w:val="0"/>
                <w:lang w:eastAsia="zh-CN"/>
              </w:rPr>
              <w:t>23.6</w:t>
            </w:r>
          </w:p>
        </w:tc>
        <w:tc>
          <w:tcPr>
            <w:tcW w:w="709" w:type="dxa"/>
            <w:tcBorders>
              <w:left w:val="single" w:color="auto" w:sz="4" w:space="0"/>
            </w:tcBorders>
            <w:vAlign w:val="center"/>
          </w:tcPr>
          <w:p w14:paraId="521144C9">
            <w:pPr>
              <w:pStyle w:val="518"/>
              <w:rPr>
                <w:snapToGrid w:val="0"/>
                <w:lang w:eastAsia="zh-CN"/>
              </w:rPr>
            </w:pPr>
            <w:r>
              <w:rPr>
                <w:rFonts w:hint="eastAsia"/>
                <w:snapToGrid w:val="0"/>
                <w:lang w:eastAsia="zh-CN"/>
              </w:rPr>
              <w:t>0.24</w:t>
            </w:r>
          </w:p>
        </w:tc>
      </w:tr>
      <w:tr w14:paraId="77587B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93" w:type="dxa"/>
            <w:vAlign w:val="center"/>
          </w:tcPr>
          <w:p w14:paraId="44DFF29A">
            <w:pPr>
              <w:pStyle w:val="518"/>
              <w:rPr>
                <w:snapToGrid w:val="0"/>
                <w:lang w:eastAsia="zh-CN"/>
              </w:rPr>
            </w:pPr>
            <w:r>
              <w:rPr>
                <w:snapToGrid w:val="0"/>
                <w:lang w:eastAsia="zh-CN"/>
              </w:rPr>
              <w:t>锌</w:t>
            </w:r>
          </w:p>
        </w:tc>
        <w:tc>
          <w:tcPr>
            <w:tcW w:w="709" w:type="dxa"/>
            <w:tcBorders>
              <w:right w:val="single" w:color="auto" w:sz="4" w:space="0"/>
            </w:tcBorders>
            <w:vAlign w:val="center"/>
          </w:tcPr>
          <w:p w14:paraId="546C8F4C">
            <w:pPr>
              <w:pStyle w:val="518"/>
              <w:rPr>
                <w:lang w:eastAsia="zh-CN"/>
              </w:rPr>
            </w:pPr>
            <w:r>
              <w:rPr>
                <w:rFonts w:hint="eastAsia"/>
                <w:lang w:eastAsia="zh-CN"/>
              </w:rPr>
              <w:t>65.5</w:t>
            </w:r>
          </w:p>
        </w:tc>
        <w:tc>
          <w:tcPr>
            <w:tcW w:w="708" w:type="dxa"/>
            <w:tcBorders>
              <w:left w:val="single" w:color="auto" w:sz="4" w:space="0"/>
            </w:tcBorders>
            <w:vAlign w:val="center"/>
          </w:tcPr>
          <w:p w14:paraId="4B8DBD00">
            <w:pPr>
              <w:pStyle w:val="518"/>
              <w:rPr>
                <w:lang w:eastAsia="zh-CN"/>
              </w:rPr>
            </w:pPr>
            <w:r>
              <w:rPr>
                <w:rFonts w:hint="eastAsia"/>
                <w:lang w:eastAsia="zh-CN"/>
              </w:rPr>
              <w:t>0.22</w:t>
            </w:r>
          </w:p>
        </w:tc>
        <w:tc>
          <w:tcPr>
            <w:tcW w:w="708" w:type="dxa"/>
            <w:tcBorders>
              <w:right w:val="single" w:color="auto" w:sz="4" w:space="0"/>
            </w:tcBorders>
            <w:vAlign w:val="center"/>
          </w:tcPr>
          <w:p w14:paraId="674F701F">
            <w:pPr>
              <w:pStyle w:val="518"/>
              <w:rPr>
                <w:lang w:eastAsia="zh-CN"/>
              </w:rPr>
            </w:pPr>
            <w:r>
              <w:rPr>
                <w:rFonts w:hint="eastAsia"/>
                <w:lang w:eastAsia="zh-CN"/>
              </w:rPr>
              <w:t>59.6</w:t>
            </w:r>
          </w:p>
        </w:tc>
        <w:tc>
          <w:tcPr>
            <w:tcW w:w="710" w:type="dxa"/>
            <w:tcBorders>
              <w:left w:val="single" w:color="auto" w:sz="4" w:space="0"/>
            </w:tcBorders>
            <w:vAlign w:val="center"/>
          </w:tcPr>
          <w:p w14:paraId="3FEE82A9">
            <w:pPr>
              <w:pStyle w:val="518"/>
              <w:rPr>
                <w:lang w:eastAsia="zh-CN"/>
              </w:rPr>
            </w:pPr>
            <w:r>
              <w:rPr>
                <w:rFonts w:hint="eastAsia"/>
                <w:lang w:eastAsia="zh-CN"/>
              </w:rPr>
              <w:t>0.20</w:t>
            </w:r>
          </w:p>
        </w:tc>
        <w:tc>
          <w:tcPr>
            <w:tcW w:w="850" w:type="dxa"/>
            <w:tcBorders>
              <w:right w:val="single" w:color="auto" w:sz="4" w:space="0"/>
            </w:tcBorders>
            <w:vAlign w:val="center"/>
          </w:tcPr>
          <w:p w14:paraId="3BE1C298">
            <w:pPr>
              <w:pStyle w:val="518"/>
              <w:rPr>
                <w:lang w:eastAsia="zh-CN"/>
              </w:rPr>
            </w:pPr>
            <w:r>
              <w:rPr>
                <w:rFonts w:hint="eastAsia"/>
                <w:lang w:eastAsia="zh-CN"/>
              </w:rPr>
              <w:t>53.3</w:t>
            </w:r>
          </w:p>
        </w:tc>
        <w:tc>
          <w:tcPr>
            <w:tcW w:w="708" w:type="dxa"/>
            <w:tcBorders>
              <w:left w:val="single" w:color="auto" w:sz="4" w:space="0"/>
            </w:tcBorders>
            <w:vAlign w:val="center"/>
          </w:tcPr>
          <w:p w14:paraId="1474ED00">
            <w:pPr>
              <w:pStyle w:val="518"/>
              <w:rPr>
                <w:lang w:eastAsia="zh-CN"/>
              </w:rPr>
            </w:pPr>
            <w:r>
              <w:rPr>
                <w:rFonts w:hint="eastAsia"/>
                <w:lang w:eastAsia="zh-CN"/>
              </w:rPr>
              <w:t>0.18</w:t>
            </w:r>
          </w:p>
        </w:tc>
        <w:tc>
          <w:tcPr>
            <w:tcW w:w="709" w:type="dxa"/>
            <w:vAlign w:val="center"/>
          </w:tcPr>
          <w:p w14:paraId="19430A06">
            <w:pPr>
              <w:pStyle w:val="518"/>
              <w:rPr>
                <w:lang w:eastAsia="zh-CN"/>
              </w:rPr>
            </w:pPr>
            <w:r>
              <w:rPr>
                <w:rFonts w:hint="eastAsia"/>
                <w:lang w:eastAsia="zh-CN"/>
              </w:rPr>
              <w:t>64.3</w:t>
            </w:r>
          </w:p>
        </w:tc>
        <w:tc>
          <w:tcPr>
            <w:tcW w:w="709" w:type="dxa"/>
            <w:tcBorders>
              <w:right w:val="single" w:color="auto" w:sz="4" w:space="0"/>
            </w:tcBorders>
            <w:vAlign w:val="center"/>
          </w:tcPr>
          <w:p w14:paraId="2BA40E5A">
            <w:pPr>
              <w:pStyle w:val="518"/>
              <w:rPr>
                <w:snapToGrid w:val="0"/>
                <w:lang w:eastAsia="zh-CN"/>
              </w:rPr>
            </w:pPr>
            <w:r>
              <w:rPr>
                <w:rFonts w:hint="eastAsia"/>
                <w:snapToGrid w:val="0"/>
                <w:lang w:eastAsia="zh-CN"/>
              </w:rPr>
              <w:t>0.21</w:t>
            </w:r>
          </w:p>
        </w:tc>
        <w:tc>
          <w:tcPr>
            <w:tcW w:w="850" w:type="dxa"/>
            <w:tcBorders>
              <w:left w:val="single" w:color="auto" w:sz="4" w:space="0"/>
              <w:right w:val="single" w:color="auto" w:sz="4" w:space="0"/>
            </w:tcBorders>
            <w:vAlign w:val="center"/>
          </w:tcPr>
          <w:p w14:paraId="03C0C95C">
            <w:pPr>
              <w:pStyle w:val="518"/>
              <w:rPr>
                <w:snapToGrid w:val="0"/>
                <w:lang w:eastAsia="zh-CN"/>
              </w:rPr>
            </w:pPr>
            <w:r>
              <w:rPr>
                <w:rFonts w:hint="eastAsia"/>
                <w:snapToGrid w:val="0"/>
                <w:lang w:eastAsia="zh-CN"/>
              </w:rPr>
              <w:t>58.9</w:t>
            </w:r>
          </w:p>
        </w:tc>
        <w:tc>
          <w:tcPr>
            <w:tcW w:w="709" w:type="dxa"/>
            <w:tcBorders>
              <w:left w:val="single" w:color="auto" w:sz="4" w:space="0"/>
              <w:right w:val="single" w:color="auto" w:sz="4" w:space="0"/>
            </w:tcBorders>
            <w:vAlign w:val="center"/>
          </w:tcPr>
          <w:p w14:paraId="227CAF4F">
            <w:pPr>
              <w:pStyle w:val="518"/>
              <w:rPr>
                <w:snapToGrid w:val="0"/>
                <w:lang w:eastAsia="zh-CN"/>
              </w:rPr>
            </w:pPr>
            <w:r>
              <w:rPr>
                <w:rFonts w:hint="eastAsia"/>
                <w:snapToGrid w:val="0"/>
                <w:lang w:eastAsia="zh-CN"/>
              </w:rPr>
              <w:t>0.20</w:t>
            </w:r>
          </w:p>
        </w:tc>
        <w:tc>
          <w:tcPr>
            <w:tcW w:w="851" w:type="dxa"/>
            <w:tcBorders>
              <w:left w:val="single" w:color="auto" w:sz="4" w:space="0"/>
              <w:right w:val="single" w:color="auto" w:sz="4" w:space="0"/>
            </w:tcBorders>
            <w:vAlign w:val="center"/>
          </w:tcPr>
          <w:p w14:paraId="694257F9">
            <w:pPr>
              <w:pStyle w:val="518"/>
              <w:rPr>
                <w:snapToGrid w:val="0"/>
                <w:lang w:eastAsia="zh-CN"/>
              </w:rPr>
            </w:pPr>
            <w:r>
              <w:rPr>
                <w:rFonts w:hint="eastAsia"/>
                <w:snapToGrid w:val="0"/>
                <w:lang w:eastAsia="zh-CN"/>
              </w:rPr>
              <w:t>54.8</w:t>
            </w:r>
          </w:p>
        </w:tc>
        <w:tc>
          <w:tcPr>
            <w:tcW w:w="709" w:type="dxa"/>
            <w:tcBorders>
              <w:left w:val="single" w:color="auto" w:sz="4" w:space="0"/>
            </w:tcBorders>
            <w:vAlign w:val="center"/>
          </w:tcPr>
          <w:p w14:paraId="3C91926A">
            <w:pPr>
              <w:pStyle w:val="518"/>
              <w:rPr>
                <w:snapToGrid w:val="0"/>
                <w:lang w:eastAsia="zh-CN"/>
              </w:rPr>
            </w:pPr>
            <w:r>
              <w:rPr>
                <w:rFonts w:hint="eastAsia"/>
                <w:snapToGrid w:val="0"/>
                <w:lang w:eastAsia="zh-CN"/>
              </w:rPr>
              <w:t>0.18</w:t>
            </w:r>
          </w:p>
        </w:tc>
        <w:tc>
          <w:tcPr>
            <w:tcW w:w="846" w:type="dxa"/>
            <w:tcBorders>
              <w:right w:val="single" w:color="auto" w:sz="4" w:space="0"/>
            </w:tcBorders>
            <w:vAlign w:val="center"/>
          </w:tcPr>
          <w:p w14:paraId="5E2C2E16">
            <w:pPr>
              <w:pStyle w:val="518"/>
              <w:rPr>
                <w:lang w:eastAsia="zh-CN"/>
              </w:rPr>
            </w:pPr>
            <w:r>
              <w:rPr>
                <w:rFonts w:hint="eastAsia"/>
                <w:lang w:eastAsia="zh-CN"/>
              </w:rPr>
              <w:t>66.4</w:t>
            </w:r>
          </w:p>
        </w:tc>
        <w:tc>
          <w:tcPr>
            <w:tcW w:w="714" w:type="dxa"/>
            <w:tcBorders>
              <w:left w:val="single" w:color="auto" w:sz="4" w:space="0"/>
              <w:right w:val="single" w:color="auto" w:sz="4" w:space="0"/>
            </w:tcBorders>
            <w:vAlign w:val="center"/>
          </w:tcPr>
          <w:p w14:paraId="7454548B">
            <w:pPr>
              <w:pStyle w:val="518"/>
              <w:rPr>
                <w:lang w:eastAsia="zh-CN"/>
              </w:rPr>
            </w:pPr>
            <w:r>
              <w:rPr>
                <w:rFonts w:hint="eastAsia"/>
                <w:lang w:eastAsia="zh-CN"/>
              </w:rPr>
              <w:t>0.22</w:t>
            </w:r>
          </w:p>
        </w:tc>
        <w:tc>
          <w:tcPr>
            <w:tcW w:w="850" w:type="dxa"/>
            <w:tcBorders>
              <w:left w:val="single" w:color="auto" w:sz="4" w:space="0"/>
              <w:right w:val="single" w:color="auto" w:sz="4" w:space="0"/>
            </w:tcBorders>
            <w:vAlign w:val="center"/>
          </w:tcPr>
          <w:p w14:paraId="7FBE7F97">
            <w:pPr>
              <w:pStyle w:val="518"/>
              <w:rPr>
                <w:lang w:eastAsia="zh-CN"/>
              </w:rPr>
            </w:pPr>
            <w:r>
              <w:rPr>
                <w:rFonts w:hint="eastAsia"/>
                <w:lang w:eastAsia="zh-CN"/>
              </w:rPr>
              <w:t>63.1</w:t>
            </w:r>
          </w:p>
        </w:tc>
        <w:tc>
          <w:tcPr>
            <w:tcW w:w="709" w:type="dxa"/>
            <w:tcBorders>
              <w:left w:val="single" w:color="auto" w:sz="4" w:space="0"/>
            </w:tcBorders>
            <w:vAlign w:val="center"/>
          </w:tcPr>
          <w:p w14:paraId="2BD3B69D">
            <w:pPr>
              <w:pStyle w:val="518"/>
              <w:rPr>
                <w:lang w:eastAsia="zh-CN"/>
              </w:rPr>
            </w:pPr>
            <w:r>
              <w:rPr>
                <w:rFonts w:hint="eastAsia"/>
                <w:lang w:eastAsia="zh-CN"/>
              </w:rPr>
              <w:t>0.21</w:t>
            </w:r>
          </w:p>
        </w:tc>
        <w:tc>
          <w:tcPr>
            <w:tcW w:w="850" w:type="dxa"/>
            <w:tcBorders>
              <w:right w:val="single" w:color="auto" w:sz="4" w:space="0"/>
            </w:tcBorders>
            <w:vAlign w:val="center"/>
          </w:tcPr>
          <w:p w14:paraId="4FB3969B">
            <w:pPr>
              <w:pStyle w:val="518"/>
              <w:rPr>
                <w:snapToGrid w:val="0"/>
                <w:lang w:eastAsia="zh-CN"/>
              </w:rPr>
            </w:pPr>
            <w:r>
              <w:rPr>
                <w:rFonts w:hint="eastAsia"/>
                <w:snapToGrid w:val="0"/>
                <w:lang w:eastAsia="zh-CN"/>
              </w:rPr>
              <w:t>59.7</w:t>
            </w:r>
          </w:p>
        </w:tc>
        <w:tc>
          <w:tcPr>
            <w:tcW w:w="709" w:type="dxa"/>
            <w:tcBorders>
              <w:left w:val="single" w:color="auto" w:sz="4" w:space="0"/>
            </w:tcBorders>
            <w:vAlign w:val="center"/>
          </w:tcPr>
          <w:p w14:paraId="000342B0">
            <w:pPr>
              <w:pStyle w:val="518"/>
              <w:rPr>
                <w:snapToGrid w:val="0"/>
                <w:lang w:eastAsia="zh-CN"/>
              </w:rPr>
            </w:pPr>
            <w:r>
              <w:rPr>
                <w:rFonts w:hint="eastAsia"/>
                <w:snapToGrid w:val="0"/>
                <w:lang w:eastAsia="zh-CN"/>
              </w:rPr>
              <w:t>0.20</w:t>
            </w:r>
          </w:p>
        </w:tc>
      </w:tr>
      <w:tr w14:paraId="14B7C3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93" w:type="dxa"/>
            <w:vAlign w:val="center"/>
          </w:tcPr>
          <w:p w14:paraId="10EB69E7">
            <w:pPr>
              <w:pStyle w:val="518"/>
              <w:rPr>
                <w:snapToGrid w:val="0"/>
                <w:lang w:eastAsia="zh-CN"/>
              </w:rPr>
            </w:pPr>
            <w:r>
              <w:rPr>
                <w:snapToGrid w:val="0"/>
              </w:rPr>
              <w:t>铅</w:t>
            </w:r>
          </w:p>
        </w:tc>
        <w:tc>
          <w:tcPr>
            <w:tcW w:w="709" w:type="dxa"/>
            <w:tcBorders>
              <w:right w:val="single" w:color="auto" w:sz="4" w:space="0"/>
            </w:tcBorders>
            <w:vAlign w:val="center"/>
          </w:tcPr>
          <w:p w14:paraId="28728C67">
            <w:pPr>
              <w:pStyle w:val="518"/>
              <w:rPr>
                <w:lang w:eastAsia="zh-CN"/>
              </w:rPr>
            </w:pPr>
            <w:r>
              <w:rPr>
                <w:rFonts w:hint="eastAsia"/>
                <w:lang w:eastAsia="zh-CN"/>
              </w:rPr>
              <w:t>30.2</w:t>
            </w:r>
          </w:p>
        </w:tc>
        <w:tc>
          <w:tcPr>
            <w:tcW w:w="708" w:type="dxa"/>
            <w:tcBorders>
              <w:left w:val="single" w:color="auto" w:sz="4" w:space="0"/>
            </w:tcBorders>
            <w:vAlign w:val="center"/>
          </w:tcPr>
          <w:p w14:paraId="5B91A1EE">
            <w:pPr>
              <w:pStyle w:val="518"/>
              <w:rPr>
                <w:lang w:eastAsia="zh-CN"/>
              </w:rPr>
            </w:pPr>
            <w:r>
              <w:rPr>
                <w:rFonts w:hint="eastAsia"/>
                <w:lang w:eastAsia="zh-CN"/>
              </w:rPr>
              <w:t>0.09</w:t>
            </w:r>
          </w:p>
        </w:tc>
        <w:tc>
          <w:tcPr>
            <w:tcW w:w="708" w:type="dxa"/>
            <w:tcBorders>
              <w:right w:val="single" w:color="auto" w:sz="4" w:space="0"/>
            </w:tcBorders>
            <w:vAlign w:val="center"/>
          </w:tcPr>
          <w:p w14:paraId="4E9A9E47">
            <w:pPr>
              <w:pStyle w:val="518"/>
              <w:rPr>
                <w:lang w:eastAsia="zh-CN"/>
              </w:rPr>
            </w:pPr>
            <w:r>
              <w:rPr>
                <w:rFonts w:hint="eastAsia"/>
                <w:lang w:eastAsia="zh-CN"/>
              </w:rPr>
              <w:t>29.8</w:t>
            </w:r>
          </w:p>
        </w:tc>
        <w:tc>
          <w:tcPr>
            <w:tcW w:w="710" w:type="dxa"/>
            <w:tcBorders>
              <w:left w:val="single" w:color="auto" w:sz="4" w:space="0"/>
            </w:tcBorders>
            <w:vAlign w:val="center"/>
          </w:tcPr>
          <w:p w14:paraId="79D8A6B4">
            <w:pPr>
              <w:pStyle w:val="518"/>
              <w:rPr>
                <w:lang w:eastAsia="zh-CN"/>
              </w:rPr>
            </w:pPr>
            <w:r>
              <w:rPr>
                <w:rFonts w:hint="eastAsia"/>
                <w:lang w:eastAsia="zh-CN"/>
              </w:rPr>
              <w:t>0.09</w:t>
            </w:r>
          </w:p>
        </w:tc>
        <w:tc>
          <w:tcPr>
            <w:tcW w:w="850" w:type="dxa"/>
            <w:tcBorders>
              <w:right w:val="single" w:color="auto" w:sz="4" w:space="0"/>
            </w:tcBorders>
            <w:vAlign w:val="center"/>
          </w:tcPr>
          <w:p w14:paraId="7422BBE1">
            <w:pPr>
              <w:pStyle w:val="518"/>
              <w:rPr>
                <w:lang w:eastAsia="zh-CN"/>
              </w:rPr>
            </w:pPr>
            <w:r>
              <w:rPr>
                <w:rFonts w:hint="eastAsia"/>
                <w:lang w:eastAsia="zh-CN"/>
              </w:rPr>
              <w:t>28.6</w:t>
            </w:r>
          </w:p>
        </w:tc>
        <w:tc>
          <w:tcPr>
            <w:tcW w:w="708" w:type="dxa"/>
            <w:tcBorders>
              <w:left w:val="single" w:color="auto" w:sz="4" w:space="0"/>
            </w:tcBorders>
            <w:vAlign w:val="center"/>
          </w:tcPr>
          <w:p w14:paraId="0DAF0DEC">
            <w:pPr>
              <w:pStyle w:val="518"/>
              <w:rPr>
                <w:lang w:eastAsia="zh-CN"/>
              </w:rPr>
            </w:pPr>
            <w:r>
              <w:rPr>
                <w:rFonts w:hint="eastAsia"/>
                <w:lang w:eastAsia="zh-CN"/>
              </w:rPr>
              <w:t>0.08</w:t>
            </w:r>
          </w:p>
        </w:tc>
        <w:tc>
          <w:tcPr>
            <w:tcW w:w="709" w:type="dxa"/>
            <w:vAlign w:val="center"/>
          </w:tcPr>
          <w:p w14:paraId="3144DCAE">
            <w:pPr>
              <w:pStyle w:val="518"/>
              <w:rPr>
                <w:lang w:eastAsia="zh-CN"/>
              </w:rPr>
            </w:pPr>
            <w:r>
              <w:rPr>
                <w:rFonts w:hint="eastAsia"/>
                <w:lang w:eastAsia="zh-CN"/>
              </w:rPr>
              <w:t>29.8</w:t>
            </w:r>
          </w:p>
        </w:tc>
        <w:tc>
          <w:tcPr>
            <w:tcW w:w="709" w:type="dxa"/>
            <w:tcBorders>
              <w:right w:val="single" w:color="auto" w:sz="4" w:space="0"/>
            </w:tcBorders>
            <w:vAlign w:val="center"/>
          </w:tcPr>
          <w:p w14:paraId="56209416">
            <w:pPr>
              <w:pStyle w:val="518"/>
              <w:rPr>
                <w:snapToGrid w:val="0"/>
                <w:lang w:eastAsia="zh-CN"/>
              </w:rPr>
            </w:pPr>
            <w:r>
              <w:rPr>
                <w:rFonts w:hint="eastAsia"/>
                <w:snapToGrid w:val="0"/>
                <w:lang w:eastAsia="zh-CN"/>
              </w:rPr>
              <w:t>0.09</w:t>
            </w:r>
          </w:p>
        </w:tc>
        <w:tc>
          <w:tcPr>
            <w:tcW w:w="850" w:type="dxa"/>
            <w:tcBorders>
              <w:left w:val="single" w:color="auto" w:sz="4" w:space="0"/>
              <w:right w:val="single" w:color="auto" w:sz="4" w:space="0"/>
            </w:tcBorders>
            <w:vAlign w:val="center"/>
          </w:tcPr>
          <w:p w14:paraId="3C65583B">
            <w:pPr>
              <w:pStyle w:val="518"/>
              <w:rPr>
                <w:snapToGrid w:val="0"/>
                <w:lang w:eastAsia="zh-CN"/>
              </w:rPr>
            </w:pPr>
            <w:r>
              <w:rPr>
                <w:rFonts w:hint="eastAsia"/>
                <w:snapToGrid w:val="0"/>
                <w:lang w:eastAsia="zh-CN"/>
              </w:rPr>
              <w:t>28.7</w:t>
            </w:r>
          </w:p>
        </w:tc>
        <w:tc>
          <w:tcPr>
            <w:tcW w:w="709" w:type="dxa"/>
            <w:tcBorders>
              <w:left w:val="single" w:color="auto" w:sz="4" w:space="0"/>
              <w:right w:val="single" w:color="auto" w:sz="4" w:space="0"/>
            </w:tcBorders>
            <w:vAlign w:val="center"/>
          </w:tcPr>
          <w:p w14:paraId="753166F4">
            <w:pPr>
              <w:pStyle w:val="518"/>
              <w:rPr>
                <w:snapToGrid w:val="0"/>
                <w:lang w:eastAsia="zh-CN"/>
              </w:rPr>
            </w:pPr>
            <w:r>
              <w:rPr>
                <w:rFonts w:hint="eastAsia"/>
                <w:snapToGrid w:val="0"/>
                <w:lang w:eastAsia="zh-CN"/>
              </w:rPr>
              <w:t>0.08</w:t>
            </w:r>
          </w:p>
        </w:tc>
        <w:tc>
          <w:tcPr>
            <w:tcW w:w="851" w:type="dxa"/>
            <w:tcBorders>
              <w:left w:val="single" w:color="auto" w:sz="4" w:space="0"/>
              <w:right w:val="single" w:color="auto" w:sz="4" w:space="0"/>
            </w:tcBorders>
            <w:vAlign w:val="center"/>
          </w:tcPr>
          <w:p w14:paraId="16F3DFCF">
            <w:pPr>
              <w:pStyle w:val="518"/>
              <w:rPr>
                <w:snapToGrid w:val="0"/>
                <w:lang w:eastAsia="zh-CN"/>
              </w:rPr>
            </w:pPr>
            <w:r>
              <w:rPr>
                <w:rFonts w:hint="eastAsia"/>
                <w:snapToGrid w:val="0"/>
                <w:lang w:eastAsia="zh-CN"/>
              </w:rPr>
              <w:t>26.9</w:t>
            </w:r>
          </w:p>
        </w:tc>
        <w:tc>
          <w:tcPr>
            <w:tcW w:w="709" w:type="dxa"/>
            <w:tcBorders>
              <w:left w:val="single" w:color="auto" w:sz="4" w:space="0"/>
            </w:tcBorders>
            <w:vAlign w:val="center"/>
          </w:tcPr>
          <w:p w14:paraId="52AA9450">
            <w:pPr>
              <w:pStyle w:val="518"/>
              <w:rPr>
                <w:snapToGrid w:val="0"/>
                <w:lang w:eastAsia="zh-CN"/>
              </w:rPr>
            </w:pPr>
            <w:r>
              <w:rPr>
                <w:rFonts w:hint="eastAsia"/>
                <w:snapToGrid w:val="0"/>
                <w:lang w:eastAsia="zh-CN"/>
              </w:rPr>
              <w:t>0.08</w:t>
            </w:r>
          </w:p>
        </w:tc>
        <w:tc>
          <w:tcPr>
            <w:tcW w:w="846" w:type="dxa"/>
            <w:tcBorders>
              <w:right w:val="single" w:color="auto" w:sz="4" w:space="0"/>
            </w:tcBorders>
            <w:vAlign w:val="center"/>
          </w:tcPr>
          <w:p w14:paraId="74954864">
            <w:pPr>
              <w:pStyle w:val="518"/>
              <w:rPr>
                <w:lang w:eastAsia="zh-CN"/>
              </w:rPr>
            </w:pPr>
            <w:r>
              <w:rPr>
                <w:rFonts w:hint="eastAsia"/>
                <w:lang w:eastAsia="zh-CN"/>
              </w:rPr>
              <w:t>31.4</w:t>
            </w:r>
          </w:p>
        </w:tc>
        <w:tc>
          <w:tcPr>
            <w:tcW w:w="714" w:type="dxa"/>
            <w:tcBorders>
              <w:left w:val="single" w:color="auto" w:sz="4" w:space="0"/>
              <w:right w:val="single" w:color="auto" w:sz="4" w:space="0"/>
            </w:tcBorders>
            <w:vAlign w:val="center"/>
          </w:tcPr>
          <w:p w14:paraId="1F03F30C">
            <w:pPr>
              <w:pStyle w:val="518"/>
              <w:rPr>
                <w:lang w:eastAsia="zh-CN"/>
              </w:rPr>
            </w:pPr>
            <w:r>
              <w:rPr>
                <w:rFonts w:hint="eastAsia"/>
                <w:lang w:eastAsia="zh-CN"/>
              </w:rPr>
              <w:t>0.09</w:t>
            </w:r>
          </w:p>
        </w:tc>
        <w:tc>
          <w:tcPr>
            <w:tcW w:w="850" w:type="dxa"/>
            <w:tcBorders>
              <w:left w:val="single" w:color="auto" w:sz="4" w:space="0"/>
              <w:right w:val="single" w:color="auto" w:sz="4" w:space="0"/>
            </w:tcBorders>
            <w:vAlign w:val="center"/>
          </w:tcPr>
          <w:p w14:paraId="2E5D91AF">
            <w:pPr>
              <w:pStyle w:val="518"/>
              <w:rPr>
                <w:lang w:eastAsia="zh-CN"/>
              </w:rPr>
            </w:pPr>
            <w:r>
              <w:rPr>
                <w:rFonts w:hint="eastAsia"/>
                <w:lang w:eastAsia="zh-CN"/>
              </w:rPr>
              <w:t>30.1</w:t>
            </w:r>
          </w:p>
        </w:tc>
        <w:tc>
          <w:tcPr>
            <w:tcW w:w="709" w:type="dxa"/>
            <w:tcBorders>
              <w:left w:val="single" w:color="auto" w:sz="4" w:space="0"/>
            </w:tcBorders>
            <w:vAlign w:val="center"/>
          </w:tcPr>
          <w:p w14:paraId="79F4631B">
            <w:pPr>
              <w:pStyle w:val="518"/>
              <w:rPr>
                <w:lang w:eastAsia="zh-CN"/>
              </w:rPr>
            </w:pPr>
            <w:r>
              <w:rPr>
                <w:rFonts w:hint="eastAsia"/>
                <w:lang w:eastAsia="zh-CN"/>
              </w:rPr>
              <w:t>0.09</w:t>
            </w:r>
          </w:p>
        </w:tc>
        <w:tc>
          <w:tcPr>
            <w:tcW w:w="850" w:type="dxa"/>
            <w:tcBorders>
              <w:right w:val="single" w:color="auto" w:sz="4" w:space="0"/>
            </w:tcBorders>
            <w:vAlign w:val="center"/>
          </w:tcPr>
          <w:p w14:paraId="22547624">
            <w:pPr>
              <w:pStyle w:val="518"/>
              <w:rPr>
                <w:snapToGrid w:val="0"/>
                <w:lang w:eastAsia="zh-CN"/>
              </w:rPr>
            </w:pPr>
            <w:r>
              <w:rPr>
                <w:rFonts w:hint="eastAsia"/>
                <w:snapToGrid w:val="0"/>
                <w:lang w:eastAsia="zh-CN"/>
              </w:rPr>
              <w:t>29.3</w:t>
            </w:r>
          </w:p>
        </w:tc>
        <w:tc>
          <w:tcPr>
            <w:tcW w:w="709" w:type="dxa"/>
            <w:tcBorders>
              <w:left w:val="single" w:color="auto" w:sz="4" w:space="0"/>
            </w:tcBorders>
            <w:vAlign w:val="center"/>
          </w:tcPr>
          <w:p w14:paraId="491C5FB9">
            <w:pPr>
              <w:pStyle w:val="518"/>
              <w:rPr>
                <w:snapToGrid w:val="0"/>
                <w:lang w:eastAsia="zh-CN"/>
              </w:rPr>
            </w:pPr>
            <w:r>
              <w:rPr>
                <w:rFonts w:hint="eastAsia"/>
                <w:snapToGrid w:val="0"/>
                <w:lang w:eastAsia="zh-CN"/>
              </w:rPr>
              <w:t>0.08</w:t>
            </w:r>
          </w:p>
        </w:tc>
      </w:tr>
      <w:tr w14:paraId="30AD77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93" w:type="dxa"/>
            <w:vAlign w:val="center"/>
          </w:tcPr>
          <w:p w14:paraId="720D0C74">
            <w:pPr>
              <w:pStyle w:val="518"/>
              <w:rPr>
                <w:snapToGrid w:val="0"/>
              </w:rPr>
            </w:pPr>
            <w:r>
              <w:rPr>
                <w:snapToGrid w:val="0"/>
              </w:rPr>
              <w:t>镉</w:t>
            </w:r>
          </w:p>
        </w:tc>
        <w:tc>
          <w:tcPr>
            <w:tcW w:w="709" w:type="dxa"/>
            <w:tcBorders>
              <w:right w:val="single" w:color="auto" w:sz="4" w:space="0"/>
            </w:tcBorders>
            <w:vAlign w:val="center"/>
          </w:tcPr>
          <w:p w14:paraId="024FB95F">
            <w:pPr>
              <w:pStyle w:val="518"/>
              <w:rPr>
                <w:lang w:eastAsia="zh-CN"/>
              </w:rPr>
            </w:pPr>
            <w:r>
              <w:rPr>
                <w:rFonts w:hint="eastAsia"/>
                <w:lang w:eastAsia="zh-CN"/>
              </w:rPr>
              <w:t>0.215</w:t>
            </w:r>
          </w:p>
        </w:tc>
        <w:tc>
          <w:tcPr>
            <w:tcW w:w="708" w:type="dxa"/>
            <w:tcBorders>
              <w:left w:val="single" w:color="auto" w:sz="4" w:space="0"/>
            </w:tcBorders>
            <w:vAlign w:val="center"/>
          </w:tcPr>
          <w:p w14:paraId="39276989">
            <w:pPr>
              <w:pStyle w:val="518"/>
              <w:rPr>
                <w:lang w:eastAsia="zh-CN"/>
              </w:rPr>
            </w:pPr>
            <w:r>
              <w:rPr>
                <w:rFonts w:hint="eastAsia"/>
                <w:lang w:eastAsia="zh-CN"/>
              </w:rPr>
              <w:t>0.36</w:t>
            </w:r>
          </w:p>
        </w:tc>
        <w:tc>
          <w:tcPr>
            <w:tcW w:w="708" w:type="dxa"/>
            <w:tcBorders>
              <w:right w:val="single" w:color="auto" w:sz="4" w:space="0"/>
            </w:tcBorders>
            <w:vAlign w:val="center"/>
          </w:tcPr>
          <w:p w14:paraId="3865D893">
            <w:pPr>
              <w:pStyle w:val="518"/>
              <w:rPr>
                <w:lang w:eastAsia="zh-CN"/>
              </w:rPr>
            </w:pPr>
            <w:r>
              <w:rPr>
                <w:rFonts w:hint="eastAsia"/>
                <w:lang w:eastAsia="zh-CN"/>
              </w:rPr>
              <w:t>0.208</w:t>
            </w:r>
          </w:p>
        </w:tc>
        <w:tc>
          <w:tcPr>
            <w:tcW w:w="710" w:type="dxa"/>
            <w:tcBorders>
              <w:left w:val="single" w:color="auto" w:sz="4" w:space="0"/>
            </w:tcBorders>
            <w:vAlign w:val="center"/>
          </w:tcPr>
          <w:p w14:paraId="7DD306CD">
            <w:pPr>
              <w:pStyle w:val="518"/>
              <w:rPr>
                <w:lang w:eastAsia="zh-CN"/>
              </w:rPr>
            </w:pPr>
            <w:r>
              <w:rPr>
                <w:rFonts w:hint="eastAsia"/>
                <w:lang w:eastAsia="zh-CN"/>
              </w:rPr>
              <w:t>0.35</w:t>
            </w:r>
          </w:p>
        </w:tc>
        <w:tc>
          <w:tcPr>
            <w:tcW w:w="850" w:type="dxa"/>
            <w:tcBorders>
              <w:right w:val="single" w:color="auto" w:sz="4" w:space="0"/>
            </w:tcBorders>
            <w:vAlign w:val="center"/>
          </w:tcPr>
          <w:p w14:paraId="7C16FC02">
            <w:pPr>
              <w:pStyle w:val="518"/>
              <w:rPr>
                <w:lang w:eastAsia="zh-CN"/>
              </w:rPr>
            </w:pPr>
            <w:r>
              <w:rPr>
                <w:rFonts w:hint="eastAsia"/>
                <w:lang w:eastAsia="zh-CN"/>
              </w:rPr>
              <w:t>0.198</w:t>
            </w:r>
          </w:p>
        </w:tc>
        <w:tc>
          <w:tcPr>
            <w:tcW w:w="708" w:type="dxa"/>
            <w:tcBorders>
              <w:left w:val="single" w:color="auto" w:sz="4" w:space="0"/>
            </w:tcBorders>
            <w:vAlign w:val="center"/>
          </w:tcPr>
          <w:p w14:paraId="38F297A2">
            <w:pPr>
              <w:pStyle w:val="518"/>
              <w:rPr>
                <w:lang w:eastAsia="zh-CN"/>
              </w:rPr>
            </w:pPr>
            <w:r>
              <w:rPr>
                <w:rFonts w:hint="eastAsia"/>
                <w:lang w:eastAsia="zh-CN"/>
              </w:rPr>
              <w:t>0.33</w:t>
            </w:r>
          </w:p>
        </w:tc>
        <w:tc>
          <w:tcPr>
            <w:tcW w:w="709" w:type="dxa"/>
            <w:vAlign w:val="center"/>
          </w:tcPr>
          <w:p w14:paraId="6ACA2C10">
            <w:pPr>
              <w:pStyle w:val="518"/>
              <w:rPr>
                <w:lang w:eastAsia="zh-CN"/>
              </w:rPr>
            </w:pPr>
            <w:r>
              <w:rPr>
                <w:rFonts w:hint="eastAsia"/>
                <w:lang w:eastAsia="zh-CN"/>
              </w:rPr>
              <w:t>0.209</w:t>
            </w:r>
          </w:p>
        </w:tc>
        <w:tc>
          <w:tcPr>
            <w:tcW w:w="709" w:type="dxa"/>
            <w:tcBorders>
              <w:right w:val="single" w:color="auto" w:sz="4" w:space="0"/>
            </w:tcBorders>
            <w:vAlign w:val="center"/>
          </w:tcPr>
          <w:p w14:paraId="47DFA1AA">
            <w:pPr>
              <w:pStyle w:val="518"/>
              <w:rPr>
                <w:snapToGrid w:val="0"/>
                <w:lang w:eastAsia="zh-CN"/>
              </w:rPr>
            </w:pPr>
            <w:r>
              <w:rPr>
                <w:rFonts w:hint="eastAsia"/>
                <w:snapToGrid w:val="0"/>
                <w:lang w:eastAsia="zh-CN"/>
              </w:rPr>
              <w:t>0.35</w:t>
            </w:r>
          </w:p>
        </w:tc>
        <w:tc>
          <w:tcPr>
            <w:tcW w:w="850" w:type="dxa"/>
            <w:tcBorders>
              <w:left w:val="single" w:color="auto" w:sz="4" w:space="0"/>
              <w:right w:val="single" w:color="auto" w:sz="4" w:space="0"/>
            </w:tcBorders>
            <w:vAlign w:val="center"/>
          </w:tcPr>
          <w:p w14:paraId="2ABEF0DB">
            <w:pPr>
              <w:pStyle w:val="518"/>
              <w:rPr>
                <w:snapToGrid w:val="0"/>
                <w:lang w:eastAsia="zh-CN"/>
              </w:rPr>
            </w:pPr>
            <w:r>
              <w:rPr>
                <w:rFonts w:hint="eastAsia"/>
                <w:snapToGrid w:val="0"/>
                <w:lang w:eastAsia="zh-CN"/>
              </w:rPr>
              <w:t>0.203</w:t>
            </w:r>
          </w:p>
        </w:tc>
        <w:tc>
          <w:tcPr>
            <w:tcW w:w="709" w:type="dxa"/>
            <w:tcBorders>
              <w:left w:val="single" w:color="auto" w:sz="4" w:space="0"/>
              <w:right w:val="single" w:color="auto" w:sz="4" w:space="0"/>
            </w:tcBorders>
            <w:vAlign w:val="center"/>
          </w:tcPr>
          <w:p w14:paraId="10410B60">
            <w:pPr>
              <w:pStyle w:val="518"/>
              <w:rPr>
                <w:snapToGrid w:val="0"/>
                <w:lang w:eastAsia="zh-CN"/>
              </w:rPr>
            </w:pPr>
            <w:r>
              <w:rPr>
                <w:rFonts w:hint="eastAsia"/>
                <w:snapToGrid w:val="0"/>
                <w:lang w:eastAsia="zh-CN"/>
              </w:rPr>
              <w:t>0.34</w:t>
            </w:r>
          </w:p>
        </w:tc>
        <w:tc>
          <w:tcPr>
            <w:tcW w:w="851" w:type="dxa"/>
            <w:tcBorders>
              <w:left w:val="single" w:color="auto" w:sz="4" w:space="0"/>
              <w:right w:val="single" w:color="auto" w:sz="4" w:space="0"/>
            </w:tcBorders>
            <w:vAlign w:val="center"/>
          </w:tcPr>
          <w:p w14:paraId="5D1F15CF">
            <w:pPr>
              <w:pStyle w:val="518"/>
              <w:rPr>
                <w:snapToGrid w:val="0"/>
                <w:lang w:eastAsia="zh-CN"/>
              </w:rPr>
            </w:pPr>
            <w:r>
              <w:rPr>
                <w:rFonts w:hint="eastAsia"/>
                <w:snapToGrid w:val="0"/>
                <w:lang w:eastAsia="zh-CN"/>
              </w:rPr>
              <w:t>0.193</w:t>
            </w:r>
          </w:p>
        </w:tc>
        <w:tc>
          <w:tcPr>
            <w:tcW w:w="709" w:type="dxa"/>
            <w:tcBorders>
              <w:left w:val="single" w:color="auto" w:sz="4" w:space="0"/>
            </w:tcBorders>
            <w:vAlign w:val="center"/>
          </w:tcPr>
          <w:p w14:paraId="5DCADD52">
            <w:pPr>
              <w:pStyle w:val="518"/>
              <w:rPr>
                <w:snapToGrid w:val="0"/>
                <w:lang w:eastAsia="zh-CN"/>
              </w:rPr>
            </w:pPr>
            <w:r>
              <w:rPr>
                <w:rFonts w:hint="eastAsia"/>
                <w:snapToGrid w:val="0"/>
                <w:lang w:eastAsia="zh-CN"/>
              </w:rPr>
              <w:t>0.32</w:t>
            </w:r>
          </w:p>
        </w:tc>
        <w:tc>
          <w:tcPr>
            <w:tcW w:w="846" w:type="dxa"/>
            <w:tcBorders>
              <w:right w:val="single" w:color="auto" w:sz="4" w:space="0"/>
            </w:tcBorders>
            <w:vAlign w:val="center"/>
          </w:tcPr>
          <w:p w14:paraId="53AC48CF">
            <w:pPr>
              <w:pStyle w:val="518"/>
              <w:rPr>
                <w:lang w:eastAsia="zh-CN"/>
              </w:rPr>
            </w:pPr>
            <w:r>
              <w:rPr>
                <w:rFonts w:hint="eastAsia"/>
                <w:lang w:eastAsia="zh-CN"/>
              </w:rPr>
              <w:t>0.219</w:t>
            </w:r>
          </w:p>
        </w:tc>
        <w:tc>
          <w:tcPr>
            <w:tcW w:w="714" w:type="dxa"/>
            <w:tcBorders>
              <w:left w:val="single" w:color="auto" w:sz="4" w:space="0"/>
              <w:right w:val="single" w:color="auto" w:sz="4" w:space="0"/>
            </w:tcBorders>
            <w:vAlign w:val="center"/>
          </w:tcPr>
          <w:p w14:paraId="59090061">
            <w:pPr>
              <w:pStyle w:val="518"/>
              <w:rPr>
                <w:lang w:eastAsia="zh-CN"/>
              </w:rPr>
            </w:pPr>
            <w:r>
              <w:rPr>
                <w:rFonts w:hint="eastAsia"/>
                <w:lang w:eastAsia="zh-CN"/>
              </w:rPr>
              <w:t>0.37</w:t>
            </w:r>
          </w:p>
        </w:tc>
        <w:tc>
          <w:tcPr>
            <w:tcW w:w="850" w:type="dxa"/>
            <w:tcBorders>
              <w:left w:val="single" w:color="auto" w:sz="4" w:space="0"/>
              <w:right w:val="single" w:color="auto" w:sz="4" w:space="0"/>
            </w:tcBorders>
            <w:vAlign w:val="center"/>
          </w:tcPr>
          <w:p w14:paraId="048D439B">
            <w:pPr>
              <w:pStyle w:val="518"/>
              <w:rPr>
                <w:lang w:eastAsia="zh-CN"/>
              </w:rPr>
            </w:pPr>
            <w:r>
              <w:rPr>
                <w:rFonts w:hint="eastAsia"/>
                <w:lang w:eastAsia="zh-CN"/>
              </w:rPr>
              <w:t>0.211</w:t>
            </w:r>
          </w:p>
        </w:tc>
        <w:tc>
          <w:tcPr>
            <w:tcW w:w="709" w:type="dxa"/>
            <w:tcBorders>
              <w:left w:val="single" w:color="auto" w:sz="4" w:space="0"/>
            </w:tcBorders>
            <w:vAlign w:val="center"/>
          </w:tcPr>
          <w:p w14:paraId="2DEC6937">
            <w:pPr>
              <w:pStyle w:val="518"/>
              <w:rPr>
                <w:lang w:eastAsia="zh-CN"/>
              </w:rPr>
            </w:pPr>
            <w:r>
              <w:rPr>
                <w:rFonts w:hint="eastAsia"/>
                <w:lang w:eastAsia="zh-CN"/>
              </w:rPr>
              <w:t>0.35</w:t>
            </w:r>
          </w:p>
        </w:tc>
        <w:tc>
          <w:tcPr>
            <w:tcW w:w="850" w:type="dxa"/>
            <w:tcBorders>
              <w:right w:val="single" w:color="auto" w:sz="4" w:space="0"/>
            </w:tcBorders>
            <w:vAlign w:val="center"/>
          </w:tcPr>
          <w:p w14:paraId="37F8630A">
            <w:pPr>
              <w:pStyle w:val="518"/>
              <w:rPr>
                <w:snapToGrid w:val="0"/>
                <w:lang w:eastAsia="zh-CN"/>
              </w:rPr>
            </w:pPr>
            <w:r>
              <w:rPr>
                <w:rFonts w:hint="eastAsia"/>
                <w:snapToGrid w:val="0"/>
                <w:lang w:eastAsia="zh-CN"/>
              </w:rPr>
              <w:t>0.205</w:t>
            </w:r>
          </w:p>
        </w:tc>
        <w:tc>
          <w:tcPr>
            <w:tcW w:w="709" w:type="dxa"/>
            <w:tcBorders>
              <w:left w:val="single" w:color="auto" w:sz="4" w:space="0"/>
            </w:tcBorders>
            <w:vAlign w:val="center"/>
          </w:tcPr>
          <w:p w14:paraId="1F869B7A">
            <w:pPr>
              <w:pStyle w:val="518"/>
              <w:rPr>
                <w:snapToGrid w:val="0"/>
                <w:lang w:eastAsia="zh-CN"/>
              </w:rPr>
            </w:pPr>
            <w:r>
              <w:rPr>
                <w:rFonts w:hint="eastAsia"/>
                <w:snapToGrid w:val="0"/>
                <w:lang w:eastAsia="zh-CN"/>
              </w:rPr>
              <w:t>0.34</w:t>
            </w:r>
          </w:p>
        </w:tc>
      </w:tr>
      <w:tr w14:paraId="7E593D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93" w:type="dxa"/>
            <w:vAlign w:val="center"/>
          </w:tcPr>
          <w:p w14:paraId="0900B99C">
            <w:pPr>
              <w:pStyle w:val="518"/>
              <w:rPr>
                <w:snapToGrid w:val="0"/>
              </w:rPr>
            </w:pPr>
            <w:r>
              <w:t>镍</w:t>
            </w:r>
          </w:p>
        </w:tc>
        <w:tc>
          <w:tcPr>
            <w:tcW w:w="709" w:type="dxa"/>
            <w:tcBorders>
              <w:right w:val="single" w:color="auto" w:sz="4" w:space="0"/>
            </w:tcBorders>
            <w:vAlign w:val="center"/>
          </w:tcPr>
          <w:p w14:paraId="6950F30B">
            <w:pPr>
              <w:pStyle w:val="518"/>
              <w:rPr>
                <w:lang w:eastAsia="zh-CN"/>
              </w:rPr>
            </w:pPr>
            <w:r>
              <w:rPr>
                <w:rFonts w:hint="eastAsia"/>
                <w:lang w:eastAsia="zh-CN"/>
              </w:rPr>
              <w:t>24.6</w:t>
            </w:r>
          </w:p>
        </w:tc>
        <w:tc>
          <w:tcPr>
            <w:tcW w:w="708" w:type="dxa"/>
            <w:tcBorders>
              <w:left w:val="single" w:color="auto" w:sz="4" w:space="0"/>
            </w:tcBorders>
            <w:vAlign w:val="center"/>
          </w:tcPr>
          <w:p w14:paraId="252FDC51">
            <w:pPr>
              <w:pStyle w:val="518"/>
              <w:rPr>
                <w:lang w:eastAsia="zh-CN"/>
              </w:rPr>
            </w:pPr>
            <w:r>
              <w:rPr>
                <w:rFonts w:hint="eastAsia"/>
                <w:lang w:eastAsia="zh-CN"/>
              </w:rPr>
              <w:t>0.41</w:t>
            </w:r>
          </w:p>
        </w:tc>
        <w:tc>
          <w:tcPr>
            <w:tcW w:w="708" w:type="dxa"/>
            <w:tcBorders>
              <w:right w:val="single" w:color="auto" w:sz="4" w:space="0"/>
            </w:tcBorders>
            <w:vAlign w:val="center"/>
          </w:tcPr>
          <w:p w14:paraId="553D8429">
            <w:pPr>
              <w:pStyle w:val="518"/>
              <w:rPr>
                <w:lang w:eastAsia="zh-CN"/>
              </w:rPr>
            </w:pPr>
            <w:r>
              <w:rPr>
                <w:rFonts w:hint="eastAsia"/>
                <w:lang w:eastAsia="zh-CN"/>
              </w:rPr>
              <w:t>19.7</w:t>
            </w:r>
          </w:p>
        </w:tc>
        <w:tc>
          <w:tcPr>
            <w:tcW w:w="710" w:type="dxa"/>
            <w:tcBorders>
              <w:left w:val="single" w:color="auto" w:sz="4" w:space="0"/>
            </w:tcBorders>
            <w:vAlign w:val="center"/>
          </w:tcPr>
          <w:p w14:paraId="572D68F7">
            <w:pPr>
              <w:pStyle w:val="518"/>
              <w:rPr>
                <w:lang w:eastAsia="zh-CN"/>
              </w:rPr>
            </w:pPr>
            <w:r>
              <w:rPr>
                <w:rFonts w:hint="eastAsia"/>
                <w:lang w:eastAsia="zh-CN"/>
              </w:rPr>
              <w:t>0.33</w:t>
            </w:r>
          </w:p>
        </w:tc>
        <w:tc>
          <w:tcPr>
            <w:tcW w:w="850" w:type="dxa"/>
            <w:tcBorders>
              <w:right w:val="single" w:color="auto" w:sz="4" w:space="0"/>
            </w:tcBorders>
            <w:vAlign w:val="center"/>
          </w:tcPr>
          <w:p w14:paraId="05FFA98B">
            <w:pPr>
              <w:pStyle w:val="518"/>
              <w:rPr>
                <w:lang w:eastAsia="zh-CN"/>
              </w:rPr>
            </w:pPr>
            <w:r>
              <w:rPr>
                <w:rFonts w:hint="eastAsia"/>
                <w:lang w:eastAsia="zh-CN"/>
              </w:rPr>
              <w:t>16.6</w:t>
            </w:r>
          </w:p>
        </w:tc>
        <w:tc>
          <w:tcPr>
            <w:tcW w:w="708" w:type="dxa"/>
            <w:tcBorders>
              <w:left w:val="single" w:color="auto" w:sz="4" w:space="0"/>
            </w:tcBorders>
            <w:vAlign w:val="center"/>
          </w:tcPr>
          <w:p w14:paraId="6019D90F">
            <w:pPr>
              <w:pStyle w:val="518"/>
              <w:rPr>
                <w:lang w:eastAsia="zh-CN"/>
              </w:rPr>
            </w:pPr>
            <w:r>
              <w:rPr>
                <w:rFonts w:hint="eastAsia"/>
                <w:lang w:eastAsia="zh-CN"/>
              </w:rPr>
              <w:t>0.28</w:t>
            </w:r>
          </w:p>
        </w:tc>
        <w:tc>
          <w:tcPr>
            <w:tcW w:w="709" w:type="dxa"/>
            <w:vAlign w:val="center"/>
          </w:tcPr>
          <w:p w14:paraId="36604BF3">
            <w:pPr>
              <w:pStyle w:val="518"/>
              <w:rPr>
                <w:lang w:eastAsia="zh-CN"/>
              </w:rPr>
            </w:pPr>
            <w:r>
              <w:rPr>
                <w:rFonts w:hint="eastAsia"/>
                <w:lang w:eastAsia="zh-CN"/>
              </w:rPr>
              <w:t>22.4</w:t>
            </w:r>
          </w:p>
        </w:tc>
        <w:tc>
          <w:tcPr>
            <w:tcW w:w="709" w:type="dxa"/>
            <w:tcBorders>
              <w:right w:val="single" w:color="auto" w:sz="4" w:space="0"/>
            </w:tcBorders>
            <w:vAlign w:val="center"/>
          </w:tcPr>
          <w:p w14:paraId="4723AC37">
            <w:pPr>
              <w:pStyle w:val="518"/>
              <w:rPr>
                <w:snapToGrid w:val="0"/>
                <w:lang w:eastAsia="zh-CN"/>
              </w:rPr>
            </w:pPr>
            <w:r>
              <w:rPr>
                <w:rFonts w:hint="eastAsia"/>
                <w:snapToGrid w:val="0"/>
                <w:lang w:eastAsia="zh-CN"/>
              </w:rPr>
              <w:t>0.37</w:t>
            </w:r>
          </w:p>
        </w:tc>
        <w:tc>
          <w:tcPr>
            <w:tcW w:w="850" w:type="dxa"/>
            <w:tcBorders>
              <w:left w:val="single" w:color="auto" w:sz="4" w:space="0"/>
              <w:right w:val="single" w:color="auto" w:sz="4" w:space="0"/>
            </w:tcBorders>
            <w:vAlign w:val="center"/>
          </w:tcPr>
          <w:p w14:paraId="1A86EC9E">
            <w:pPr>
              <w:pStyle w:val="518"/>
              <w:rPr>
                <w:snapToGrid w:val="0"/>
                <w:lang w:eastAsia="zh-CN"/>
              </w:rPr>
            </w:pPr>
            <w:r>
              <w:rPr>
                <w:rFonts w:hint="eastAsia"/>
                <w:snapToGrid w:val="0"/>
                <w:lang w:eastAsia="zh-CN"/>
              </w:rPr>
              <w:t>18.6</w:t>
            </w:r>
          </w:p>
        </w:tc>
        <w:tc>
          <w:tcPr>
            <w:tcW w:w="709" w:type="dxa"/>
            <w:tcBorders>
              <w:left w:val="single" w:color="auto" w:sz="4" w:space="0"/>
              <w:right w:val="single" w:color="auto" w:sz="4" w:space="0"/>
            </w:tcBorders>
            <w:vAlign w:val="center"/>
          </w:tcPr>
          <w:p w14:paraId="6B174ADB">
            <w:pPr>
              <w:pStyle w:val="518"/>
              <w:rPr>
                <w:snapToGrid w:val="0"/>
                <w:lang w:eastAsia="zh-CN"/>
              </w:rPr>
            </w:pPr>
            <w:r>
              <w:rPr>
                <w:rFonts w:hint="eastAsia"/>
                <w:snapToGrid w:val="0"/>
                <w:lang w:eastAsia="zh-CN"/>
              </w:rPr>
              <w:t>0.31</w:t>
            </w:r>
          </w:p>
        </w:tc>
        <w:tc>
          <w:tcPr>
            <w:tcW w:w="851" w:type="dxa"/>
            <w:tcBorders>
              <w:left w:val="single" w:color="auto" w:sz="4" w:space="0"/>
              <w:right w:val="single" w:color="auto" w:sz="4" w:space="0"/>
            </w:tcBorders>
            <w:vAlign w:val="center"/>
          </w:tcPr>
          <w:p w14:paraId="2C20A69D">
            <w:pPr>
              <w:pStyle w:val="518"/>
              <w:rPr>
                <w:snapToGrid w:val="0"/>
                <w:lang w:eastAsia="zh-CN"/>
              </w:rPr>
            </w:pPr>
            <w:r>
              <w:rPr>
                <w:rFonts w:hint="eastAsia"/>
                <w:snapToGrid w:val="0"/>
                <w:lang w:eastAsia="zh-CN"/>
              </w:rPr>
              <w:t>15.9</w:t>
            </w:r>
          </w:p>
        </w:tc>
        <w:tc>
          <w:tcPr>
            <w:tcW w:w="709" w:type="dxa"/>
            <w:tcBorders>
              <w:left w:val="single" w:color="auto" w:sz="4" w:space="0"/>
            </w:tcBorders>
            <w:vAlign w:val="center"/>
          </w:tcPr>
          <w:p w14:paraId="2CB38FE4">
            <w:pPr>
              <w:pStyle w:val="518"/>
              <w:rPr>
                <w:snapToGrid w:val="0"/>
                <w:lang w:eastAsia="zh-CN"/>
              </w:rPr>
            </w:pPr>
            <w:r>
              <w:rPr>
                <w:rFonts w:hint="eastAsia"/>
                <w:snapToGrid w:val="0"/>
                <w:lang w:eastAsia="zh-CN"/>
              </w:rPr>
              <w:t>0.27</w:t>
            </w:r>
          </w:p>
        </w:tc>
        <w:tc>
          <w:tcPr>
            <w:tcW w:w="846" w:type="dxa"/>
            <w:tcBorders>
              <w:right w:val="single" w:color="auto" w:sz="4" w:space="0"/>
            </w:tcBorders>
            <w:vAlign w:val="center"/>
          </w:tcPr>
          <w:p w14:paraId="3676B1E0">
            <w:pPr>
              <w:pStyle w:val="518"/>
              <w:rPr>
                <w:lang w:eastAsia="zh-CN"/>
              </w:rPr>
            </w:pPr>
            <w:r>
              <w:rPr>
                <w:rFonts w:hint="eastAsia"/>
                <w:lang w:eastAsia="zh-CN"/>
              </w:rPr>
              <w:t>25.7</w:t>
            </w:r>
          </w:p>
        </w:tc>
        <w:tc>
          <w:tcPr>
            <w:tcW w:w="714" w:type="dxa"/>
            <w:tcBorders>
              <w:left w:val="single" w:color="auto" w:sz="4" w:space="0"/>
              <w:right w:val="single" w:color="auto" w:sz="4" w:space="0"/>
            </w:tcBorders>
            <w:vAlign w:val="center"/>
          </w:tcPr>
          <w:p w14:paraId="38406423">
            <w:pPr>
              <w:pStyle w:val="518"/>
              <w:rPr>
                <w:lang w:eastAsia="zh-CN"/>
              </w:rPr>
            </w:pPr>
            <w:r>
              <w:rPr>
                <w:rFonts w:hint="eastAsia"/>
                <w:lang w:eastAsia="zh-CN"/>
              </w:rPr>
              <w:t>0.43</w:t>
            </w:r>
          </w:p>
        </w:tc>
        <w:tc>
          <w:tcPr>
            <w:tcW w:w="850" w:type="dxa"/>
            <w:tcBorders>
              <w:left w:val="single" w:color="auto" w:sz="4" w:space="0"/>
              <w:right w:val="single" w:color="auto" w:sz="4" w:space="0"/>
            </w:tcBorders>
            <w:vAlign w:val="center"/>
          </w:tcPr>
          <w:p w14:paraId="52A10984">
            <w:pPr>
              <w:pStyle w:val="518"/>
              <w:rPr>
                <w:lang w:eastAsia="zh-CN"/>
              </w:rPr>
            </w:pPr>
            <w:r>
              <w:rPr>
                <w:rFonts w:hint="eastAsia"/>
                <w:lang w:eastAsia="zh-CN"/>
              </w:rPr>
              <w:t>23.2</w:t>
            </w:r>
          </w:p>
        </w:tc>
        <w:tc>
          <w:tcPr>
            <w:tcW w:w="709" w:type="dxa"/>
            <w:tcBorders>
              <w:left w:val="single" w:color="auto" w:sz="4" w:space="0"/>
            </w:tcBorders>
            <w:vAlign w:val="center"/>
          </w:tcPr>
          <w:p w14:paraId="500813CD">
            <w:pPr>
              <w:pStyle w:val="518"/>
              <w:rPr>
                <w:lang w:eastAsia="zh-CN"/>
              </w:rPr>
            </w:pPr>
            <w:r>
              <w:rPr>
                <w:rFonts w:hint="eastAsia"/>
                <w:lang w:eastAsia="zh-CN"/>
              </w:rPr>
              <w:t>0.39</w:t>
            </w:r>
          </w:p>
        </w:tc>
        <w:tc>
          <w:tcPr>
            <w:tcW w:w="850" w:type="dxa"/>
            <w:tcBorders>
              <w:right w:val="single" w:color="auto" w:sz="4" w:space="0"/>
            </w:tcBorders>
            <w:vAlign w:val="center"/>
          </w:tcPr>
          <w:p w14:paraId="00EDC269">
            <w:pPr>
              <w:pStyle w:val="518"/>
              <w:rPr>
                <w:snapToGrid w:val="0"/>
                <w:lang w:eastAsia="zh-CN"/>
              </w:rPr>
            </w:pPr>
            <w:r>
              <w:rPr>
                <w:rFonts w:hint="eastAsia"/>
                <w:snapToGrid w:val="0"/>
                <w:lang w:eastAsia="zh-CN"/>
              </w:rPr>
              <w:t>20.8</w:t>
            </w:r>
          </w:p>
        </w:tc>
        <w:tc>
          <w:tcPr>
            <w:tcW w:w="709" w:type="dxa"/>
            <w:tcBorders>
              <w:left w:val="single" w:color="auto" w:sz="4" w:space="0"/>
            </w:tcBorders>
            <w:vAlign w:val="center"/>
          </w:tcPr>
          <w:p w14:paraId="635ED717">
            <w:pPr>
              <w:pStyle w:val="518"/>
              <w:rPr>
                <w:snapToGrid w:val="0"/>
                <w:lang w:eastAsia="zh-CN"/>
              </w:rPr>
            </w:pPr>
            <w:r>
              <w:rPr>
                <w:rFonts w:hint="eastAsia"/>
                <w:snapToGrid w:val="0"/>
                <w:lang w:eastAsia="zh-CN"/>
              </w:rPr>
              <w:t>0.35</w:t>
            </w:r>
          </w:p>
        </w:tc>
      </w:tr>
      <w:tr w14:paraId="6B49D3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93" w:type="dxa"/>
            <w:vAlign w:val="center"/>
          </w:tcPr>
          <w:p w14:paraId="1B798B12">
            <w:pPr>
              <w:pStyle w:val="518"/>
              <w:rPr>
                <w:lang w:eastAsia="zh-CN"/>
              </w:rPr>
            </w:pPr>
            <w:r>
              <w:rPr>
                <w:rFonts w:hint="eastAsia"/>
                <w:lang w:eastAsia="zh-CN"/>
              </w:rPr>
              <w:t>石油类</w:t>
            </w:r>
          </w:p>
        </w:tc>
        <w:tc>
          <w:tcPr>
            <w:tcW w:w="709" w:type="dxa"/>
            <w:tcBorders>
              <w:right w:val="single" w:color="auto" w:sz="4" w:space="0"/>
            </w:tcBorders>
            <w:vAlign w:val="center"/>
          </w:tcPr>
          <w:p w14:paraId="12630547">
            <w:pPr>
              <w:pStyle w:val="518"/>
              <w:rPr>
                <w:snapToGrid w:val="0"/>
                <w:lang w:eastAsia="zh-CN"/>
              </w:rPr>
            </w:pPr>
            <w:r>
              <w:rPr>
                <w:rFonts w:hint="eastAsia"/>
                <w:snapToGrid w:val="0"/>
                <w:lang w:eastAsia="zh-CN"/>
              </w:rPr>
              <w:t>6.87</w:t>
            </w:r>
          </w:p>
        </w:tc>
        <w:tc>
          <w:tcPr>
            <w:tcW w:w="708" w:type="dxa"/>
            <w:tcBorders>
              <w:left w:val="single" w:color="auto" w:sz="4" w:space="0"/>
            </w:tcBorders>
            <w:vAlign w:val="center"/>
          </w:tcPr>
          <w:p w14:paraId="746DF588">
            <w:pPr>
              <w:pStyle w:val="518"/>
              <w:rPr>
                <w:snapToGrid w:val="0"/>
                <w:lang w:eastAsia="zh-CN"/>
              </w:rPr>
            </w:pPr>
            <w:r>
              <w:rPr>
                <w:rFonts w:hint="eastAsia"/>
                <w:snapToGrid w:val="0"/>
                <w:lang w:eastAsia="zh-CN"/>
              </w:rPr>
              <w:t>1.01</w:t>
            </w:r>
          </w:p>
        </w:tc>
        <w:tc>
          <w:tcPr>
            <w:tcW w:w="708" w:type="dxa"/>
            <w:tcBorders>
              <w:right w:val="single" w:color="auto" w:sz="4" w:space="0"/>
            </w:tcBorders>
            <w:vAlign w:val="center"/>
          </w:tcPr>
          <w:p w14:paraId="4C7F7C0D">
            <w:pPr>
              <w:pStyle w:val="518"/>
              <w:rPr>
                <w:lang w:eastAsia="zh-CN"/>
              </w:rPr>
            </w:pPr>
            <w:r>
              <w:rPr>
                <w:rFonts w:hint="eastAsia"/>
                <w:lang w:eastAsia="zh-CN"/>
              </w:rPr>
              <w:t>6.79</w:t>
            </w:r>
          </w:p>
        </w:tc>
        <w:tc>
          <w:tcPr>
            <w:tcW w:w="710" w:type="dxa"/>
            <w:tcBorders>
              <w:left w:val="single" w:color="auto" w:sz="4" w:space="0"/>
            </w:tcBorders>
            <w:vAlign w:val="center"/>
          </w:tcPr>
          <w:p w14:paraId="2E3E6FF1">
            <w:pPr>
              <w:pStyle w:val="518"/>
              <w:rPr>
                <w:lang w:eastAsia="zh-CN"/>
              </w:rPr>
            </w:pPr>
            <w:r>
              <w:rPr>
                <w:rFonts w:hint="eastAsia"/>
                <w:lang w:eastAsia="zh-CN"/>
              </w:rPr>
              <w:t>1.01</w:t>
            </w:r>
          </w:p>
        </w:tc>
        <w:tc>
          <w:tcPr>
            <w:tcW w:w="850" w:type="dxa"/>
            <w:tcBorders>
              <w:right w:val="single" w:color="auto" w:sz="4" w:space="0"/>
            </w:tcBorders>
            <w:vAlign w:val="center"/>
          </w:tcPr>
          <w:p w14:paraId="118AA05A">
            <w:pPr>
              <w:pStyle w:val="518"/>
              <w:rPr>
                <w:lang w:eastAsia="zh-CN"/>
              </w:rPr>
            </w:pPr>
            <w:r>
              <w:rPr>
                <w:rFonts w:hint="eastAsia"/>
                <w:lang w:eastAsia="zh-CN"/>
              </w:rPr>
              <w:t>6.42</w:t>
            </w:r>
          </w:p>
        </w:tc>
        <w:tc>
          <w:tcPr>
            <w:tcW w:w="708" w:type="dxa"/>
            <w:tcBorders>
              <w:left w:val="single" w:color="auto" w:sz="4" w:space="0"/>
            </w:tcBorders>
            <w:vAlign w:val="center"/>
          </w:tcPr>
          <w:p w14:paraId="6A305918">
            <w:pPr>
              <w:pStyle w:val="518"/>
              <w:rPr>
                <w:lang w:eastAsia="zh-CN"/>
              </w:rPr>
            </w:pPr>
            <w:r>
              <w:rPr>
                <w:rFonts w:hint="eastAsia"/>
                <w:lang w:eastAsia="zh-CN"/>
              </w:rPr>
              <w:t>0.98</w:t>
            </w:r>
          </w:p>
        </w:tc>
        <w:tc>
          <w:tcPr>
            <w:tcW w:w="709" w:type="dxa"/>
            <w:vAlign w:val="center"/>
          </w:tcPr>
          <w:p w14:paraId="3A922EE9">
            <w:pPr>
              <w:pStyle w:val="518"/>
              <w:rPr>
                <w:lang w:eastAsia="zh-CN"/>
              </w:rPr>
            </w:pPr>
            <w:r>
              <w:rPr>
                <w:rFonts w:hint="eastAsia"/>
                <w:lang w:eastAsia="zh-CN"/>
              </w:rPr>
              <w:t>6.78</w:t>
            </w:r>
          </w:p>
        </w:tc>
        <w:tc>
          <w:tcPr>
            <w:tcW w:w="709" w:type="dxa"/>
            <w:tcBorders>
              <w:right w:val="single" w:color="auto" w:sz="4" w:space="0"/>
            </w:tcBorders>
            <w:vAlign w:val="center"/>
          </w:tcPr>
          <w:p w14:paraId="648F0BB9">
            <w:pPr>
              <w:pStyle w:val="518"/>
              <w:rPr>
                <w:snapToGrid w:val="0"/>
                <w:lang w:eastAsia="zh-CN"/>
              </w:rPr>
            </w:pPr>
            <w:r>
              <w:rPr>
                <w:rFonts w:hint="eastAsia"/>
                <w:snapToGrid w:val="0"/>
                <w:lang w:eastAsia="zh-CN"/>
              </w:rPr>
              <w:t>0.99</w:t>
            </w:r>
          </w:p>
        </w:tc>
        <w:tc>
          <w:tcPr>
            <w:tcW w:w="850" w:type="dxa"/>
            <w:tcBorders>
              <w:left w:val="single" w:color="auto" w:sz="4" w:space="0"/>
              <w:right w:val="single" w:color="auto" w:sz="4" w:space="0"/>
            </w:tcBorders>
            <w:vAlign w:val="center"/>
          </w:tcPr>
          <w:p w14:paraId="4A6E7DDF">
            <w:pPr>
              <w:pStyle w:val="518"/>
              <w:rPr>
                <w:snapToGrid w:val="0"/>
                <w:lang w:eastAsia="zh-CN"/>
              </w:rPr>
            </w:pPr>
            <w:r>
              <w:rPr>
                <w:rFonts w:hint="eastAsia"/>
                <w:snapToGrid w:val="0"/>
                <w:lang w:eastAsia="zh-CN"/>
              </w:rPr>
              <w:t>6.68</w:t>
            </w:r>
          </w:p>
        </w:tc>
        <w:tc>
          <w:tcPr>
            <w:tcW w:w="709" w:type="dxa"/>
            <w:tcBorders>
              <w:left w:val="single" w:color="auto" w:sz="4" w:space="0"/>
              <w:right w:val="single" w:color="auto" w:sz="4" w:space="0"/>
            </w:tcBorders>
            <w:vAlign w:val="center"/>
          </w:tcPr>
          <w:p w14:paraId="4CD3E51E">
            <w:pPr>
              <w:pStyle w:val="518"/>
              <w:rPr>
                <w:snapToGrid w:val="0"/>
                <w:lang w:eastAsia="zh-CN"/>
              </w:rPr>
            </w:pPr>
            <w:r>
              <w:rPr>
                <w:rFonts w:hint="eastAsia"/>
                <w:snapToGrid w:val="0"/>
                <w:lang w:eastAsia="zh-CN"/>
              </w:rPr>
              <w:t>0.99</w:t>
            </w:r>
          </w:p>
        </w:tc>
        <w:tc>
          <w:tcPr>
            <w:tcW w:w="851" w:type="dxa"/>
            <w:tcBorders>
              <w:left w:val="single" w:color="auto" w:sz="4" w:space="0"/>
              <w:right w:val="single" w:color="auto" w:sz="4" w:space="0"/>
            </w:tcBorders>
            <w:vAlign w:val="center"/>
          </w:tcPr>
          <w:p w14:paraId="65DD4500">
            <w:pPr>
              <w:pStyle w:val="518"/>
              <w:rPr>
                <w:snapToGrid w:val="0"/>
                <w:lang w:eastAsia="zh-CN"/>
              </w:rPr>
            </w:pPr>
            <w:r>
              <w:rPr>
                <w:rFonts w:hint="eastAsia"/>
                <w:snapToGrid w:val="0"/>
                <w:lang w:eastAsia="zh-CN"/>
              </w:rPr>
              <w:t>6.45</w:t>
            </w:r>
          </w:p>
        </w:tc>
        <w:tc>
          <w:tcPr>
            <w:tcW w:w="709" w:type="dxa"/>
            <w:tcBorders>
              <w:left w:val="single" w:color="auto" w:sz="4" w:space="0"/>
            </w:tcBorders>
            <w:vAlign w:val="center"/>
          </w:tcPr>
          <w:p w14:paraId="502C64AB">
            <w:pPr>
              <w:pStyle w:val="518"/>
              <w:rPr>
                <w:snapToGrid w:val="0"/>
                <w:lang w:eastAsia="zh-CN"/>
              </w:rPr>
            </w:pPr>
            <w:r>
              <w:rPr>
                <w:rFonts w:hint="eastAsia"/>
                <w:snapToGrid w:val="0"/>
                <w:lang w:eastAsia="zh-CN"/>
              </w:rPr>
              <w:t>0.98</w:t>
            </w:r>
          </w:p>
        </w:tc>
        <w:tc>
          <w:tcPr>
            <w:tcW w:w="846" w:type="dxa"/>
            <w:tcBorders>
              <w:right w:val="single" w:color="auto" w:sz="4" w:space="0"/>
            </w:tcBorders>
            <w:vAlign w:val="center"/>
          </w:tcPr>
          <w:p w14:paraId="40EF2499">
            <w:pPr>
              <w:pStyle w:val="518"/>
              <w:rPr>
                <w:lang w:eastAsia="zh-CN"/>
              </w:rPr>
            </w:pPr>
            <w:r>
              <w:rPr>
                <w:rFonts w:hint="eastAsia"/>
                <w:lang w:eastAsia="zh-CN"/>
              </w:rPr>
              <w:t>6.94</w:t>
            </w:r>
          </w:p>
        </w:tc>
        <w:tc>
          <w:tcPr>
            <w:tcW w:w="714" w:type="dxa"/>
            <w:tcBorders>
              <w:left w:val="single" w:color="auto" w:sz="4" w:space="0"/>
              <w:right w:val="single" w:color="auto" w:sz="4" w:space="0"/>
            </w:tcBorders>
            <w:vAlign w:val="center"/>
          </w:tcPr>
          <w:p w14:paraId="0A03E5AF">
            <w:pPr>
              <w:pStyle w:val="518"/>
              <w:rPr>
                <w:lang w:eastAsia="zh-CN"/>
              </w:rPr>
            </w:pPr>
            <w:r>
              <w:rPr>
                <w:rFonts w:hint="eastAsia"/>
                <w:lang w:eastAsia="zh-CN"/>
              </w:rPr>
              <w:t>1.02</w:t>
            </w:r>
          </w:p>
        </w:tc>
        <w:tc>
          <w:tcPr>
            <w:tcW w:w="850" w:type="dxa"/>
            <w:tcBorders>
              <w:left w:val="single" w:color="auto" w:sz="4" w:space="0"/>
              <w:right w:val="single" w:color="auto" w:sz="4" w:space="0"/>
            </w:tcBorders>
            <w:vAlign w:val="center"/>
          </w:tcPr>
          <w:p w14:paraId="2E5A3228">
            <w:pPr>
              <w:pStyle w:val="518"/>
              <w:rPr>
                <w:lang w:eastAsia="zh-CN"/>
              </w:rPr>
            </w:pPr>
            <w:r>
              <w:rPr>
                <w:rFonts w:hint="eastAsia"/>
                <w:lang w:eastAsia="zh-CN"/>
              </w:rPr>
              <w:t>6.83</w:t>
            </w:r>
          </w:p>
        </w:tc>
        <w:tc>
          <w:tcPr>
            <w:tcW w:w="709" w:type="dxa"/>
            <w:tcBorders>
              <w:left w:val="single" w:color="auto" w:sz="4" w:space="0"/>
            </w:tcBorders>
            <w:vAlign w:val="center"/>
          </w:tcPr>
          <w:p w14:paraId="1B94B806">
            <w:pPr>
              <w:pStyle w:val="518"/>
              <w:rPr>
                <w:lang w:eastAsia="zh-CN"/>
              </w:rPr>
            </w:pPr>
            <w:r>
              <w:rPr>
                <w:rFonts w:hint="eastAsia"/>
                <w:lang w:eastAsia="zh-CN"/>
              </w:rPr>
              <w:t>1.01</w:t>
            </w:r>
          </w:p>
        </w:tc>
        <w:tc>
          <w:tcPr>
            <w:tcW w:w="850" w:type="dxa"/>
            <w:tcBorders>
              <w:right w:val="single" w:color="auto" w:sz="4" w:space="0"/>
            </w:tcBorders>
            <w:vAlign w:val="center"/>
          </w:tcPr>
          <w:p w14:paraId="67718B40">
            <w:pPr>
              <w:pStyle w:val="518"/>
              <w:rPr>
                <w:snapToGrid w:val="0"/>
                <w:lang w:eastAsia="zh-CN"/>
              </w:rPr>
            </w:pPr>
            <w:r>
              <w:rPr>
                <w:rFonts w:hint="eastAsia"/>
                <w:snapToGrid w:val="0"/>
                <w:lang w:eastAsia="zh-CN"/>
              </w:rPr>
              <w:t>6.54</w:t>
            </w:r>
          </w:p>
        </w:tc>
        <w:tc>
          <w:tcPr>
            <w:tcW w:w="709" w:type="dxa"/>
            <w:tcBorders>
              <w:left w:val="single" w:color="auto" w:sz="4" w:space="0"/>
            </w:tcBorders>
            <w:vAlign w:val="center"/>
          </w:tcPr>
          <w:p w14:paraId="5D98E379">
            <w:pPr>
              <w:pStyle w:val="518"/>
              <w:rPr>
                <w:snapToGrid w:val="0"/>
                <w:lang w:eastAsia="zh-CN"/>
              </w:rPr>
            </w:pPr>
            <w:r>
              <w:rPr>
                <w:rFonts w:hint="eastAsia"/>
                <w:snapToGrid w:val="0"/>
                <w:lang w:eastAsia="zh-CN"/>
              </w:rPr>
              <w:t>1.00</w:t>
            </w:r>
          </w:p>
        </w:tc>
      </w:tr>
      <w:tr w14:paraId="58C0EA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93" w:type="dxa"/>
            <w:vAlign w:val="center"/>
          </w:tcPr>
          <w:p w14:paraId="7DA84C1D">
            <w:pPr>
              <w:pStyle w:val="518"/>
              <w:rPr>
                <w:lang w:eastAsia="zh-CN"/>
              </w:rPr>
            </w:pPr>
            <w:r>
              <w:rPr>
                <w:lang w:eastAsia="zh-CN"/>
              </w:rPr>
              <w:t>阳离子交换量</w:t>
            </w:r>
          </w:p>
          <w:p w14:paraId="16D9A27C">
            <w:pPr>
              <w:pStyle w:val="518"/>
              <w:rPr>
                <w:lang w:eastAsia="zh-CN"/>
              </w:rPr>
            </w:pPr>
            <w:r>
              <w:rPr>
                <w:snapToGrid w:val="0"/>
                <w:lang w:eastAsia="zh-CN"/>
              </w:rPr>
              <w:t>cmol/kg</w:t>
            </w:r>
          </w:p>
        </w:tc>
        <w:tc>
          <w:tcPr>
            <w:tcW w:w="709" w:type="dxa"/>
            <w:tcBorders>
              <w:right w:val="single" w:color="auto" w:sz="4" w:space="0"/>
            </w:tcBorders>
            <w:vAlign w:val="center"/>
          </w:tcPr>
          <w:p w14:paraId="31D1F141">
            <w:pPr>
              <w:pStyle w:val="518"/>
              <w:rPr>
                <w:snapToGrid w:val="0"/>
                <w:lang w:eastAsia="zh-CN"/>
              </w:rPr>
            </w:pPr>
            <w:r>
              <w:rPr>
                <w:rFonts w:hint="eastAsia"/>
                <w:snapToGrid w:val="0"/>
                <w:lang w:eastAsia="zh-CN"/>
              </w:rPr>
              <w:t>7.10</w:t>
            </w:r>
          </w:p>
        </w:tc>
        <w:tc>
          <w:tcPr>
            <w:tcW w:w="708" w:type="dxa"/>
            <w:tcBorders>
              <w:left w:val="single" w:color="auto" w:sz="4" w:space="0"/>
            </w:tcBorders>
            <w:vAlign w:val="center"/>
          </w:tcPr>
          <w:p w14:paraId="48C8869C">
            <w:pPr>
              <w:pStyle w:val="518"/>
              <w:rPr>
                <w:snapToGrid w:val="0"/>
                <w:lang w:eastAsia="zh-CN"/>
              </w:rPr>
            </w:pPr>
            <w:r>
              <w:rPr>
                <w:rFonts w:ascii="宋体" w:hAnsi="宋体"/>
                <w:snapToGrid w:val="0"/>
                <w:szCs w:val="21"/>
              </w:rPr>
              <w:t>＞</w:t>
            </w:r>
            <w:r>
              <w:rPr>
                <w:rFonts w:hint="eastAsia" w:ascii="宋体" w:hAnsi="宋体"/>
                <w:snapToGrid w:val="0"/>
                <w:szCs w:val="21"/>
                <w:lang w:eastAsia="zh-CN"/>
              </w:rPr>
              <w:t>5.0</w:t>
            </w:r>
          </w:p>
        </w:tc>
        <w:tc>
          <w:tcPr>
            <w:tcW w:w="708" w:type="dxa"/>
            <w:tcBorders>
              <w:right w:val="single" w:color="auto" w:sz="4" w:space="0"/>
            </w:tcBorders>
            <w:vAlign w:val="center"/>
          </w:tcPr>
          <w:p w14:paraId="740512C7">
            <w:pPr>
              <w:pStyle w:val="518"/>
              <w:rPr>
                <w:lang w:eastAsia="zh-CN"/>
              </w:rPr>
            </w:pPr>
            <w:r>
              <w:rPr>
                <w:rFonts w:hint="eastAsia"/>
                <w:lang w:eastAsia="zh-CN"/>
              </w:rPr>
              <w:t>6.25</w:t>
            </w:r>
          </w:p>
        </w:tc>
        <w:tc>
          <w:tcPr>
            <w:tcW w:w="710" w:type="dxa"/>
            <w:tcBorders>
              <w:left w:val="single" w:color="auto" w:sz="4" w:space="0"/>
            </w:tcBorders>
            <w:vAlign w:val="center"/>
          </w:tcPr>
          <w:p w14:paraId="0F651FA5">
            <w:pPr>
              <w:pStyle w:val="518"/>
              <w:rPr>
                <w:lang w:eastAsia="zh-CN"/>
              </w:rPr>
            </w:pPr>
            <w:r>
              <w:rPr>
                <w:rFonts w:ascii="宋体" w:hAnsi="宋体"/>
                <w:snapToGrid w:val="0"/>
                <w:szCs w:val="21"/>
              </w:rPr>
              <w:t>＞</w:t>
            </w:r>
            <w:r>
              <w:rPr>
                <w:rFonts w:hint="eastAsia" w:ascii="宋体" w:hAnsi="宋体"/>
                <w:snapToGrid w:val="0"/>
                <w:szCs w:val="21"/>
                <w:lang w:eastAsia="zh-CN"/>
              </w:rPr>
              <w:t>5.0</w:t>
            </w:r>
          </w:p>
        </w:tc>
        <w:tc>
          <w:tcPr>
            <w:tcW w:w="850" w:type="dxa"/>
            <w:tcBorders>
              <w:right w:val="single" w:color="auto" w:sz="4" w:space="0"/>
            </w:tcBorders>
            <w:vAlign w:val="center"/>
          </w:tcPr>
          <w:p w14:paraId="32484A07">
            <w:pPr>
              <w:pStyle w:val="518"/>
              <w:rPr>
                <w:lang w:eastAsia="zh-CN"/>
              </w:rPr>
            </w:pPr>
            <w:r>
              <w:rPr>
                <w:rFonts w:hint="eastAsia"/>
                <w:lang w:eastAsia="zh-CN"/>
              </w:rPr>
              <w:t>3.45</w:t>
            </w:r>
          </w:p>
        </w:tc>
        <w:tc>
          <w:tcPr>
            <w:tcW w:w="708" w:type="dxa"/>
            <w:tcBorders>
              <w:left w:val="single" w:color="auto" w:sz="4" w:space="0"/>
            </w:tcBorders>
            <w:vAlign w:val="center"/>
          </w:tcPr>
          <w:p w14:paraId="23B346DA">
            <w:pPr>
              <w:pStyle w:val="518"/>
              <w:rPr>
                <w:lang w:eastAsia="zh-CN"/>
              </w:rPr>
            </w:pPr>
            <w:r>
              <w:rPr>
                <w:rFonts w:ascii="宋体" w:hAnsi="宋体"/>
                <w:snapToGrid w:val="0"/>
                <w:szCs w:val="21"/>
              </w:rPr>
              <w:t>＜</w:t>
            </w:r>
            <w:r>
              <w:rPr>
                <w:rFonts w:hint="eastAsia" w:ascii="宋体" w:hAnsi="宋体"/>
                <w:snapToGrid w:val="0"/>
                <w:szCs w:val="21"/>
                <w:lang w:eastAsia="zh-CN"/>
              </w:rPr>
              <w:t>5.0</w:t>
            </w:r>
          </w:p>
        </w:tc>
        <w:tc>
          <w:tcPr>
            <w:tcW w:w="709" w:type="dxa"/>
            <w:vAlign w:val="center"/>
          </w:tcPr>
          <w:p w14:paraId="1E3D93B3">
            <w:pPr>
              <w:pStyle w:val="518"/>
              <w:rPr>
                <w:lang w:eastAsia="zh-CN"/>
              </w:rPr>
            </w:pPr>
            <w:r>
              <w:rPr>
                <w:rFonts w:hint="eastAsia"/>
                <w:lang w:eastAsia="zh-CN"/>
              </w:rPr>
              <w:t>7.08</w:t>
            </w:r>
          </w:p>
        </w:tc>
        <w:tc>
          <w:tcPr>
            <w:tcW w:w="709" w:type="dxa"/>
            <w:tcBorders>
              <w:right w:val="single" w:color="auto" w:sz="4" w:space="0"/>
            </w:tcBorders>
            <w:vAlign w:val="center"/>
          </w:tcPr>
          <w:p w14:paraId="5111C8EA">
            <w:pPr>
              <w:pStyle w:val="518"/>
              <w:rPr>
                <w:lang w:eastAsia="zh-CN"/>
              </w:rPr>
            </w:pPr>
            <w:r>
              <w:rPr>
                <w:rFonts w:ascii="宋体" w:hAnsi="宋体"/>
                <w:snapToGrid w:val="0"/>
                <w:szCs w:val="21"/>
              </w:rPr>
              <w:t>＞</w:t>
            </w:r>
            <w:r>
              <w:rPr>
                <w:rFonts w:hint="eastAsia" w:ascii="宋体" w:hAnsi="宋体"/>
                <w:snapToGrid w:val="0"/>
                <w:szCs w:val="21"/>
                <w:lang w:eastAsia="zh-CN"/>
              </w:rPr>
              <w:t>5.0</w:t>
            </w:r>
          </w:p>
        </w:tc>
        <w:tc>
          <w:tcPr>
            <w:tcW w:w="850" w:type="dxa"/>
            <w:tcBorders>
              <w:left w:val="single" w:color="auto" w:sz="4" w:space="0"/>
              <w:right w:val="single" w:color="auto" w:sz="4" w:space="0"/>
            </w:tcBorders>
            <w:vAlign w:val="center"/>
          </w:tcPr>
          <w:p w14:paraId="295E311B">
            <w:pPr>
              <w:pStyle w:val="518"/>
              <w:rPr>
                <w:lang w:eastAsia="zh-CN"/>
              </w:rPr>
            </w:pPr>
            <w:r>
              <w:rPr>
                <w:rFonts w:hint="eastAsia"/>
                <w:lang w:eastAsia="zh-CN"/>
              </w:rPr>
              <w:t>6.23</w:t>
            </w:r>
          </w:p>
        </w:tc>
        <w:tc>
          <w:tcPr>
            <w:tcW w:w="709" w:type="dxa"/>
            <w:tcBorders>
              <w:left w:val="single" w:color="auto" w:sz="4" w:space="0"/>
              <w:right w:val="single" w:color="auto" w:sz="4" w:space="0"/>
            </w:tcBorders>
            <w:vAlign w:val="center"/>
          </w:tcPr>
          <w:p w14:paraId="38BFF775">
            <w:pPr>
              <w:pStyle w:val="518"/>
              <w:rPr>
                <w:lang w:eastAsia="zh-CN"/>
              </w:rPr>
            </w:pPr>
            <w:r>
              <w:rPr>
                <w:rFonts w:ascii="宋体" w:hAnsi="宋体"/>
                <w:snapToGrid w:val="0"/>
                <w:szCs w:val="21"/>
              </w:rPr>
              <w:t>＞</w:t>
            </w:r>
            <w:r>
              <w:rPr>
                <w:rFonts w:hint="eastAsia" w:ascii="宋体" w:hAnsi="宋体"/>
                <w:snapToGrid w:val="0"/>
                <w:szCs w:val="21"/>
                <w:lang w:eastAsia="zh-CN"/>
              </w:rPr>
              <w:t>5.0</w:t>
            </w:r>
          </w:p>
        </w:tc>
        <w:tc>
          <w:tcPr>
            <w:tcW w:w="851" w:type="dxa"/>
            <w:tcBorders>
              <w:left w:val="single" w:color="auto" w:sz="4" w:space="0"/>
              <w:right w:val="single" w:color="auto" w:sz="4" w:space="0"/>
            </w:tcBorders>
            <w:vAlign w:val="center"/>
          </w:tcPr>
          <w:p w14:paraId="7222C1CD">
            <w:pPr>
              <w:pStyle w:val="518"/>
              <w:rPr>
                <w:lang w:eastAsia="zh-CN"/>
              </w:rPr>
            </w:pPr>
            <w:r>
              <w:rPr>
                <w:rFonts w:hint="eastAsia"/>
                <w:lang w:eastAsia="zh-CN"/>
              </w:rPr>
              <w:t>3.42</w:t>
            </w:r>
          </w:p>
        </w:tc>
        <w:tc>
          <w:tcPr>
            <w:tcW w:w="709" w:type="dxa"/>
            <w:tcBorders>
              <w:left w:val="single" w:color="auto" w:sz="4" w:space="0"/>
            </w:tcBorders>
            <w:vAlign w:val="center"/>
          </w:tcPr>
          <w:p w14:paraId="1039AB4C">
            <w:pPr>
              <w:pStyle w:val="518"/>
              <w:rPr>
                <w:lang w:eastAsia="zh-CN"/>
              </w:rPr>
            </w:pPr>
            <w:r>
              <w:rPr>
                <w:rFonts w:ascii="宋体" w:hAnsi="宋体"/>
                <w:snapToGrid w:val="0"/>
                <w:szCs w:val="21"/>
              </w:rPr>
              <w:t>＜</w:t>
            </w:r>
            <w:r>
              <w:rPr>
                <w:rFonts w:hint="eastAsia" w:ascii="宋体" w:hAnsi="宋体"/>
                <w:snapToGrid w:val="0"/>
                <w:szCs w:val="21"/>
                <w:lang w:eastAsia="zh-CN"/>
              </w:rPr>
              <w:t>5.0</w:t>
            </w:r>
          </w:p>
        </w:tc>
        <w:tc>
          <w:tcPr>
            <w:tcW w:w="846" w:type="dxa"/>
            <w:tcBorders>
              <w:right w:val="single" w:color="auto" w:sz="4" w:space="0"/>
            </w:tcBorders>
            <w:vAlign w:val="center"/>
          </w:tcPr>
          <w:p w14:paraId="2E9CBAC3">
            <w:pPr>
              <w:pStyle w:val="518"/>
              <w:rPr>
                <w:lang w:eastAsia="zh-CN"/>
              </w:rPr>
            </w:pPr>
            <w:r>
              <w:rPr>
                <w:rFonts w:hint="eastAsia"/>
                <w:lang w:eastAsia="zh-CN"/>
              </w:rPr>
              <w:t>7.15</w:t>
            </w:r>
          </w:p>
        </w:tc>
        <w:tc>
          <w:tcPr>
            <w:tcW w:w="714" w:type="dxa"/>
            <w:tcBorders>
              <w:left w:val="single" w:color="auto" w:sz="4" w:space="0"/>
              <w:right w:val="single" w:color="auto" w:sz="4" w:space="0"/>
            </w:tcBorders>
            <w:vAlign w:val="center"/>
          </w:tcPr>
          <w:p w14:paraId="69201B26">
            <w:pPr>
              <w:pStyle w:val="518"/>
              <w:rPr>
                <w:lang w:eastAsia="zh-CN"/>
              </w:rPr>
            </w:pPr>
            <w:r>
              <w:rPr>
                <w:rFonts w:ascii="宋体" w:hAnsi="宋体"/>
                <w:snapToGrid w:val="0"/>
                <w:szCs w:val="21"/>
              </w:rPr>
              <w:t>＞</w:t>
            </w:r>
            <w:r>
              <w:rPr>
                <w:rFonts w:hint="eastAsia" w:ascii="宋体" w:hAnsi="宋体"/>
                <w:snapToGrid w:val="0"/>
                <w:szCs w:val="21"/>
                <w:lang w:eastAsia="zh-CN"/>
              </w:rPr>
              <w:t>5.0</w:t>
            </w:r>
          </w:p>
        </w:tc>
        <w:tc>
          <w:tcPr>
            <w:tcW w:w="850" w:type="dxa"/>
            <w:tcBorders>
              <w:left w:val="single" w:color="auto" w:sz="4" w:space="0"/>
              <w:right w:val="single" w:color="auto" w:sz="4" w:space="0"/>
            </w:tcBorders>
            <w:vAlign w:val="center"/>
          </w:tcPr>
          <w:p w14:paraId="04531C49">
            <w:pPr>
              <w:pStyle w:val="518"/>
              <w:rPr>
                <w:lang w:eastAsia="zh-CN"/>
              </w:rPr>
            </w:pPr>
            <w:r>
              <w:rPr>
                <w:rFonts w:hint="eastAsia"/>
                <w:lang w:eastAsia="zh-CN"/>
              </w:rPr>
              <w:t>6.30</w:t>
            </w:r>
          </w:p>
        </w:tc>
        <w:tc>
          <w:tcPr>
            <w:tcW w:w="709" w:type="dxa"/>
            <w:tcBorders>
              <w:left w:val="single" w:color="auto" w:sz="4" w:space="0"/>
            </w:tcBorders>
            <w:vAlign w:val="center"/>
          </w:tcPr>
          <w:p w14:paraId="78A6241B">
            <w:pPr>
              <w:pStyle w:val="518"/>
              <w:rPr>
                <w:lang w:eastAsia="zh-CN"/>
              </w:rPr>
            </w:pPr>
            <w:r>
              <w:rPr>
                <w:rFonts w:ascii="宋体" w:hAnsi="宋体"/>
                <w:snapToGrid w:val="0"/>
                <w:szCs w:val="21"/>
              </w:rPr>
              <w:t>＞</w:t>
            </w:r>
            <w:r>
              <w:rPr>
                <w:rFonts w:hint="eastAsia" w:ascii="宋体" w:hAnsi="宋体"/>
                <w:snapToGrid w:val="0"/>
                <w:szCs w:val="21"/>
                <w:lang w:eastAsia="zh-CN"/>
              </w:rPr>
              <w:t>5.0</w:t>
            </w:r>
          </w:p>
        </w:tc>
        <w:tc>
          <w:tcPr>
            <w:tcW w:w="850" w:type="dxa"/>
            <w:tcBorders>
              <w:right w:val="single" w:color="auto" w:sz="4" w:space="0"/>
            </w:tcBorders>
            <w:vAlign w:val="center"/>
          </w:tcPr>
          <w:p w14:paraId="6AACAC5B">
            <w:pPr>
              <w:pStyle w:val="518"/>
              <w:rPr>
                <w:lang w:eastAsia="zh-CN"/>
              </w:rPr>
            </w:pPr>
            <w:r>
              <w:rPr>
                <w:rFonts w:hint="eastAsia"/>
                <w:lang w:eastAsia="zh-CN"/>
              </w:rPr>
              <w:t>3.51</w:t>
            </w:r>
          </w:p>
        </w:tc>
        <w:tc>
          <w:tcPr>
            <w:tcW w:w="709" w:type="dxa"/>
            <w:tcBorders>
              <w:left w:val="single" w:color="auto" w:sz="4" w:space="0"/>
            </w:tcBorders>
            <w:vAlign w:val="center"/>
          </w:tcPr>
          <w:p w14:paraId="7E2531C8">
            <w:pPr>
              <w:pStyle w:val="518"/>
              <w:rPr>
                <w:lang w:eastAsia="zh-CN"/>
              </w:rPr>
            </w:pPr>
            <w:r>
              <w:rPr>
                <w:rFonts w:ascii="宋体" w:hAnsi="宋体"/>
                <w:snapToGrid w:val="0"/>
                <w:szCs w:val="21"/>
              </w:rPr>
              <w:t>＜</w:t>
            </w:r>
            <w:r>
              <w:rPr>
                <w:rFonts w:hint="eastAsia" w:ascii="宋体" w:hAnsi="宋体"/>
                <w:snapToGrid w:val="0"/>
                <w:szCs w:val="21"/>
                <w:lang w:eastAsia="zh-CN"/>
              </w:rPr>
              <w:t>5.0</w:t>
            </w:r>
          </w:p>
        </w:tc>
      </w:tr>
    </w:tbl>
    <w:p w14:paraId="1E9B0EC9">
      <w:pPr>
        <w:ind w:firstLine="480"/>
        <w:rPr>
          <w:rFonts w:asciiTheme="minorEastAsia" w:hAnsiTheme="minorEastAsia" w:eastAsiaTheme="minorEastAsia"/>
          <w:bCs/>
          <w:szCs w:val="24"/>
          <w:lang w:eastAsia="zh-CN"/>
        </w:rPr>
      </w:pPr>
    </w:p>
    <w:p w14:paraId="083A0EB8">
      <w:pPr>
        <w:ind w:firstLine="480"/>
        <w:rPr>
          <w:rFonts w:asciiTheme="minorEastAsia" w:hAnsiTheme="minorEastAsia" w:eastAsiaTheme="minorEastAsia"/>
          <w:bCs/>
          <w:szCs w:val="24"/>
          <w:lang w:eastAsia="zh-CN"/>
        </w:rPr>
      </w:pPr>
    </w:p>
    <w:p w14:paraId="715730B5">
      <w:pPr>
        <w:ind w:firstLine="480"/>
        <w:rPr>
          <w:rFonts w:asciiTheme="minorEastAsia" w:hAnsiTheme="minorEastAsia" w:eastAsiaTheme="minorEastAsia"/>
          <w:bCs/>
          <w:szCs w:val="24"/>
          <w:lang w:eastAsia="zh-CN"/>
        </w:rPr>
      </w:pPr>
    </w:p>
    <w:p w14:paraId="6709A834">
      <w:pPr>
        <w:spacing w:line="240" w:lineRule="auto"/>
        <w:ind w:firstLine="479" w:firstLineChars="199"/>
        <w:rPr>
          <w:snapToGrid w:val="0"/>
          <w:sz w:val="21"/>
          <w:szCs w:val="21"/>
          <w:lang w:eastAsia="zh-CN"/>
        </w:rPr>
      </w:pPr>
      <w:r>
        <w:rPr>
          <w:b/>
          <w:snapToGrid w:val="0"/>
          <w:lang w:eastAsia="zh-CN"/>
        </w:rPr>
        <w:t>表</w:t>
      </w:r>
      <w:r>
        <w:rPr>
          <w:rFonts w:hint="eastAsia"/>
          <w:b/>
          <w:snapToGrid w:val="0"/>
          <w:lang w:eastAsia="zh-CN"/>
        </w:rPr>
        <w:t>9</w:t>
      </w:r>
      <w:r>
        <w:rPr>
          <w:b/>
          <w:snapToGrid w:val="0"/>
          <w:lang w:eastAsia="zh-CN"/>
        </w:rPr>
        <w:t>.1-</w:t>
      </w:r>
      <w:r>
        <w:rPr>
          <w:rFonts w:hint="eastAsia"/>
          <w:b/>
          <w:snapToGrid w:val="0"/>
          <w:lang w:eastAsia="zh-CN"/>
        </w:rPr>
        <w:t>13     乌里雅斯太油田背景</w:t>
      </w:r>
      <w:r>
        <w:rPr>
          <w:b/>
          <w:snapToGrid w:val="0"/>
          <w:lang w:eastAsia="zh-CN"/>
        </w:rPr>
        <w:t>土壤</w:t>
      </w:r>
      <w:r>
        <w:rPr>
          <w:rFonts w:hint="eastAsia"/>
          <w:b/>
          <w:snapToGrid w:val="0"/>
          <w:lang w:eastAsia="zh-CN"/>
        </w:rPr>
        <w:t>评价结果</w:t>
      </w:r>
      <w:r>
        <w:rPr>
          <w:b/>
          <w:snapToGrid w:val="0"/>
          <w:lang w:eastAsia="zh-CN"/>
        </w:rPr>
        <w:t>表</w:t>
      </w:r>
      <w:r>
        <w:rPr>
          <w:rFonts w:hint="eastAsia"/>
          <w:b/>
          <w:snapToGrid w:val="0"/>
          <w:lang w:eastAsia="zh-CN"/>
        </w:rPr>
        <w:t xml:space="preserve">      </w:t>
      </w:r>
      <w:r>
        <w:rPr>
          <w:rFonts w:hint="eastAsia"/>
          <w:b/>
          <w:snapToGrid w:val="0"/>
          <w:sz w:val="21"/>
          <w:szCs w:val="21"/>
          <w:lang w:eastAsia="zh-CN"/>
        </w:rPr>
        <w:t>（单位：</w:t>
      </w:r>
      <w:r>
        <w:rPr>
          <w:b/>
          <w:snapToGrid w:val="0"/>
          <w:sz w:val="21"/>
          <w:szCs w:val="21"/>
          <w:lang w:eastAsia="zh-CN"/>
        </w:rPr>
        <w:t>mg/kg</w:t>
      </w:r>
      <w:r>
        <w:rPr>
          <w:rFonts w:hint="eastAsia"/>
          <w:b/>
          <w:snapToGrid w:val="0"/>
          <w:sz w:val="21"/>
          <w:szCs w:val="21"/>
          <w:lang w:eastAsia="zh-CN"/>
        </w:rPr>
        <w:t>，</w:t>
      </w:r>
      <w:r>
        <w:rPr>
          <w:b/>
          <w:snapToGrid w:val="0"/>
          <w:sz w:val="21"/>
          <w:szCs w:val="21"/>
          <w:lang w:eastAsia="zh-CN"/>
        </w:rPr>
        <w:t>pH</w:t>
      </w:r>
      <w:r>
        <w:rPr>
          <w:rFonts w:hint="eastAsia"/>
          <w:b/>
          <w:snapToGrid w:val="0"/>
          <w:sz w:val="21"/>
          <w:szCs w:val="21"/>
          <w:lang w:eastAsia="zh-CN"/>
        </w:rPr>
        <w:t>除外）</w:t>
      </w:r>
    </w:p>
    <w:tbl>
      <w:tblPr>
        <w:tblStyle w:val="76"/>
        <w:tblW w:w="1414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56"/>
        <w:gridCol w:w="1137"/>
        <w:gridCol w:w="992"/>
        <w:gridCol w:w="1134"/>
        <w:gridCol w:w="851"/>
        <w:gridCol w:w="1275"/>
        <w:gridCol w:w="1134"/>
        <w:gridCol w:w="1134"/>
        <w:gridCol w:w="1134"/>
        <w:gridCol w:w="1418"/>
        <w:gridCol w:w="992"/>
        <w:gridCol w:w="1134"/>
        <w:gridCol w:w="851"/>
      </w:tblGrid>
      <w:tr w14:paraId="7F3E59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6" w:type="dxa"/>
            <w:vMerge w:val="restart"/>
            <w:vAlign w:val="center"/>
          </w:tcPr>
          <w:p w14:paraId="4732625D">
            <w:pPr>
              <w:pStyle w:val="518"/>
              <w:rPr>
                <w:snapToGrid w:val="0"/>
                <w:lang w:eastAsia="zh-CN"/>
              </w:rPr>
            </w:pPr>
            <w:r>
              <w:rPr>
                <w:snapToGrid w:val="0"/>
              </w:rPr>
              <w:t>监测</w:t>
            </w:r>
          </w:p>
          <w:p w14:paraId="2A34BFA5">
            <w:pPr>
              <w:pStyle w:val="518"/>
              <w:rPr>
                <w:snapToGrid w:val="0"/>
              </w:rPr>
            </w:pPr>
            <w:r>
              <w:rPr>
                <w:snapToGrid w:val="0"/>
              </w:rPr>
              <w:t>项目</w:t>
            </w:r>
          </w:p>
        </w:tc>
        <w:tc>
          <w:tcPr>
            <w:tcW w:w="6523" w:type="dxa"/>
            <w:gridSpan w:val="6"/>
            <w:tcBorders>
              <w:bottom w:val="single" w:color="auto" w:sz="4" w:space="0"/>
            </w:tcBorders>
            <w:vAlign w:val="center"/>
          </w:tcPr>
          <w:p w14:paraId="5391FA14">
            <w:pPr>
              <w:pStyle w:val="518"/>
            </w:pPr>
            <w:r>
              <w:rPr>
                <w:rFonts w:hint="eastAsia"/>
                <w:lang w:eastAsia="zh-CN"/>
              </w:rPr>
              <w:t>1#</w:t>
            </w:r>
          </w:p>
        </w:tc>
        <w:tc>
          <w:tcPr>
            <w:tcW w:w="6663" w:type="dxa"/>
            <w:gridSpan w:val="6"/>
            <w:vAlign w:val="center"/>
          </w:tcPr>
          <w:p w14:paraId="7353F25A">
            <w:pPr>
              <w:pStyle w:val="518"/>
              <w:rPr>
                <w:lang w:eastAsia="zh-CN"/>
              </w:rPr>
            </w:pPr>
            <w:r>
              <w:rPr>
                <w:rFonts w:hint="eastAsia"/>
                <w:lang w:eastAsia="zh-CN"/>
              </w:rPr>
              <w:t>2#</w:t>
            </w:r>
          </w:p>
        </w:tc>
      </w:tr>
      <w:tr w14:paraId="593626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6" w:type="dxa"/>
            <w:vMerge w:val="continue"/>
            <w:vAlign w:val="center"/>
          </w:tcPr>
          <w:p w14:paraId="6300CD8C">
            <w:pPr>
              <w:pStyle w:val="518"/>
              <w:rPr>
                <w:snapToGrid w:val="0"/>
              </w:rPr>
            </w:pPr>
          </w:p>
        </w:tc>
        <w:tc>
          <w:tcPr>
            <w:tcW w:w="1137" w:type="dxa"/>
            <w:tcBorders>
              <w:bottom w:val="single" w:color="auto" w:sz="4" w:space="0"/>
              <w:right w:val="single" w:color="auto" w:sz="4" w:space="0"/>
            </w:tcBorders>
            <w:vAlign w:val="center"/>
          </w:tcPr>
          <w:p w14:paraId="412336EA">
            <w:pPr>
              <w:pStyle w:val="518"/>
              <w:rPr>
                <w:lang w:eastAsia="zh-CN"/>
              </w:rPr>
            </w:pPr>
            <w:r>
              <w:rPr>
                <w:rFonts w:hint="eastAsia"/>
                <w:lang w:eastAsia="zh-CN"/>
              </w:rPr>
              <w:t>监测结果</w:t>
            </w:r>
          </w:p>
        </w:tc>
        <w:tc>
          <w:tcPr>
            <w:tcW w:w="992" w:type="dxa"/>
            <w:tcBorders>
              <w:left w:val="single" w:color="auto" w:sz="4" w:space="0"/>
              <w:bottom w:val="single" w:color="auto" w:sz="4" w:space="0"/>
              <w:right w:val="single" w:color="auto" w:sz="4" w:space="0"/>
            </w:tcBorders>
            <w:vAlign w:val="center"/>
          </w:tcPr>
          <w:p w14:paraId="51D4AABA">
            <w:pPr>
              <w:pStyle w:val="518"/>
            </w:pPr>
          </w:p>
        </w:tc>
        <w:tc>
          <w:tcPr>
            <w:tcW w:w="1134" w:type="dxa"/>
            <w:tcBorders>
              <w:left w:val="single" w:color="auto" w:sz="4" w:space="0"/>
              <w:bottom w:val="single" w:color="auto" w:sz="4" w:space="0"/>
              <w:right w:val="single" w:color="auto" w:sz="4" w:space="0"/>
            </w:tcBorders>
            <w:vAlign w:val="center"/>
          </w:tcPr>
          <w:p w14:paraId="0D4BBDC4">
            <w:pPr>
              <w:pStyle w:val="518"/>
            </w:pPr>
            <w:r>
              <w:rPr>
                <w:rFonts w:hint="eastAsia"/>
                <w:lang w:eastAsia="zh-CN"/>
              </w:rPr>
              <w:t>1#</w:t>
            </w:r>
          </w:p>
        </w:tc>
        <w:tc>
          <w:tcPr>
            <w:tcW w:w="851" w:type="dxa"/>
            <w:tcBorders>
              <w:left w:val="single" w:color="auto" w:sz="4" w:space="0"/>
              <w:bottom w:val="single" w:color="auto" w:sz="4" w:space="0"/>
              <w:right w:val="single" w:color="auto" w:sz="4" w:space="0"/>
            </w:tcBorders>
            <w:vAlign w:val="center"/>
          </w:tcPr>
          <w:p w14:paraId="3AED90E2">
            <w:pPr>
              <w:pStyle w:val="518"/>
            </w:pPr>
          </w:p>
        </w:tc>
        <w:tc>
          <w:tcPr>
            <w:tcW w:w="1275" w:type="dxa"/>
            <w:tcBorders>
              <w:left w:val="single" w:color="auto" w:sz="4" w:space="0"/>
              <w:bottom w:val="single" w:color="auto" w:sz="4" w:space="0"/>
              <w:right w:val="single" w:color="auto" w:sz="4" w:space="0"/>
            </w:tcBorders>
            <w:vAlign w:val="center"/>
          </w:tcPr>
          <w:p w14:paraId="70A559FD">
            <w:pPr>
              <w:pStyle w:val="518"/>
            </w:pPr>
          </w:p>
        </w:tc>
        <w:tc>
          <w:tcPr>
            <w:tcW w:w="1134" w:type="dxa"/>
            <w:tcBorders>
              <w:left w:val="single" w:color="auto" w:sz="4" w:space="0"/>
              <w:bottom w:val="single" w:color="auto" w:sz="4" w:space="0"/>
            </w:tcBorders>
            <w:vAlign w:val="center"/>
          </w:tcPr>
          <w:p w14:paraId="383E1A15">
            <w:pPr>
              <w:pStyle w:val="518"/>
            </w:pPr>
          </w:p>
        </w:tc>
        <w:tc>
          <w:tcPr>
            <w:tcW w:w="1134" w:type="dxa"/>
            <w:tcBorders>
              <w:right w:val="single" w:color="auto" w:sz="4" w:space="0"/>
            </w:tcBorders>
            <w:vAlign w:val="center"/>
          </w:tcPr>
          <w:p w14:paraId="3DF49F53">
            <w:pPr>
              <w:pStyle w:val="518"/>
              <w:rPr>
                <w:lang w:eastAsia="zh-CN"/>
              </w:rPr>
            </w:pPr>
          </w:p>
        </w:tc>
        <w:tc>
          <w:tcPr>
            <w:tcW w:w="1134" w:type="dxa"/>
            <w:tcBorders>
              <w:left w:val="single" w:color="auto" w:sz="4" w:space="0"/>
              <w:right w:val="single" w:color="auto" w:sz="4" w:space="0"/>
            </w:tcBorders>
            <w:vAlign w:val="center"/>
          </w:tcPr>
          <w:p w14:paraId="62B2BC6B">
            <w:pPr>
              <w:pStyle w:val="518"/>
              <w:rPr>
                <w:lang w:eastAsia="zh-CN"/>
              </w:rPr>
            </w:pPr>
          </w:p>
        </w:tc>
        <w:tc>
          <w:tcPr>
            <w:tcW w:w="1418" w:type="dxa"/>
            <w:tcBorders>
              <w:left w:val="single" w:color="auto" w:sz="4" w:space="0"/>
              <w:right w:val="single" w:color="auto" w:sz="4" w:space="0"/>
            </w:tcBorders>
            <w:vAlign w:val="center"/>
          </w:tcPr>
          <w:p w14:paraId="79036878">
            <w:pPr>
              <w:pStyle w:val="518"/>
              <w:rPr>
                <w:lang w:eastAsia="zh-CN"/>
              </w:rPr>
            </w:pPr>
          </w:p>
        </w:tc>
        <w:tc>
          <w:tcPr>
            <w:tcW w:w="992" w:type="dxa"/>
            <w:tcBorders>
              <w:left w:val="single" w:color="auto" w:sz="4" w:space="0"/>
              <w:right w:val="single" w:color="auto" w:sz="4" w:space="0"/>
            </w:tcBorders>
            <w:vAlign w:val="center"/>
          </w:tcPr>
          <w:p w14:paraId="264E5CE2">
            <w:pPr>
              <w:pStyle w:val="518"/>
              <w:rPr>
                <w:lang w:eastAsia="zh-CN"/>
              </w:rPr>
            </w:pPr>
          </w:p>
        </w:tc>
        <w:tc>
          <w:tcPr>
            <w:tcW w:w="1134" w:type="dxa"/>
            <w:tcBorders>
              <w:left w:val="single" w:color="auto" w:sz="4" w:space="0"/>
              <w:right w:val="single" w:color="auto" w:sz="4" w:space="0"/>
            </w:tcBorders>
            <w:vAlign w:val="center"/>
          </w:tcPr>
          <w:p w14:paraId="56B61F37">
            <w:pPr>
              <w:pStyle w:val="518"/>
              <w:rPr>
                <w:lang w:eastAsia="zh-CN"/>
              </w:rPr>
            </w:pPr>
          </w:p>
        </w:tc>
        <w:tc>
          <w:tcPr>
            <w:tcW w:w="851" w:type="dxa"/>
            <w:tcBorders>
              <w:left w:val="single" w:color="auto" w:sz="4" w:space="0"/>
            </w:tcBorders>
            <w:vAlign w:val="center"/>
          </w:tcPr>
          <w:p w14:paraId="24B6DB87">
            <w:pPr>
              <w:pStyle w:val="518"/>
              <w:rPr>
                <w:lang w:eastAsia="zh-CN"/>
              </w:rPr>
            </w:pPr>
          </w:p>
        </w:tc>
      </w:tr>
      <w:tr w14:paraId="05C864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6" w:type="dxa"/>
            <w:vMerge w:val="continue"/>
            <w:vAlign w:val="center"/>
          </w:tcPr>
          <w:p w14:paraId="1703D786">
            <w:pPr>
              <w:pStyle w:val="518"/>
              <w:rPr>
                <w:snapToGrid w:val="0"/>
              </w:rPr>
            </w:pPr>
          </w:p>
        </w:tc>
        <w:tc>
          <w:tcPr>
            <w:tcW w:w="1137" w:type="dxa"/>
            <w:tcBorders>
              <w:top w:val="single" w:color="auto" w:sz="4" w:space="0"/>
              <w:right w:val="single" w:color="auto" w:sz="4" w:space="0"/>
            </w:tcBorders>
            <w:vAlign w:val="center"/>
          </w:tcPr>
          <w:p w14:paraId="6556DDFF">
            <w:pPr>
              <w:pStyle w:val="518"/>
              <w:rPr>
                <w:snapToGrid w:val="0"/>
                <w:lang w:eastAsia="zh-CN"/>
              </w:rPr>
            </w:pPr>
            <w:r>
              <w:rPr>
                <w:rFonts w:hint="eastAsia" w:ascii="宋体" w:hAnsi="宋体"/>
                <w:lang w:eastAsia="zh-CN"/>
              </w:rPr>
              <w:t>0-20cm</w:t>
            </w:r>
          </w:p>
        </w:tc>
        <w:tc>
          <w:tcPr>
            <w:tcW w:w="992" w:type="dxa"/>
            <w:tcBorders>
              <w:top w:val="single" w:color="auto" w:sz="4" w:space="0"/>
              <w:left w:val="single" w:color="auto" w:sz="4" w:space="0"/>
              <w:right w:val="single" w:color="auto" w:sz="4" w:space="0"/>
            </w:tcBorders>
            <w:vAlign w:val="center"/>
          </w:tcPr>
          <w:p w14:paraId="102F9B78">
            <w:pPr>
              <w:pStyle w:val="518"/>
              <w:rPr>
                <w:snapToGrid w:val="0"/>
                <w:lang w:eastAsia="zh-CN"/>
              </w:rPr>
            </w:pPr>
          </w:p>
        </w:tc>
        <w:tc>
          <w:tcPr>
            <w:tcW w:w="1134" w:type="dxa"/>
            <w:tcBorders>
              <w:left w:val="single" w:color="auto" w:sz="4" w:space="0"/>
              <w:right w:val="single" w:color="auto" w:sz="4" w:space="0"/>
            </w:tcBorders>
            <w:vAlign w:val="center"/>
          </w:tcPr>
          <w:p w14:paraId="54B6BD7B">
            <w:pPr>
              <w:pStyle w:val="518"/>
              <w:rPr>
                <w:rFonts w:ascii="宋体" w:hAnsi="宋体"/>
                <w:lang w:eastAsia="zh-CN"/>
              </w:rPr>
            </w:pPr>
            <w:r>
              <w:rPr>
                <w:rFonts w:hint="eastAsia" w:ascii="宋体" w:hAnsi="宋体"/>
                <w:lang w:eastAsia="zh-CN"/>
              </w:rPr>
              <w:t>20-</w:t>
            </w:r>
          </w:p>
          <w:p w14:paraId="09AB600C">
            <w:pPr>
              <w:pStyle w:val="518"/>
              <w:rPr>
                <w:rFonts w:ascii="宋体" w:hAnsi="宋体"/>
                <w:lang w:eastAsia="zh-CN"/>
              </w:rPr>
            </w:pPr>
            <w:r>
              <w:rPr>
                <w:rFonts w:hint="eastAsia" w:ascii="宋体" w:hAnsi="宋体"/>
                <w:lang w:eastAsia="zh-CN"/>
              </w:rPr>
              <w:t>60cm</w:t>
            </w:r>
          </w:p>
        </w:tc>
        <w:tc>
          <w:tcPr>
            <w:tcW w:w="851" w:type="dxa"/>
            <w:tcBorders>
              <w:left w:val="single" w:color="auto" w:sz="4" w:space="0"/>
              <w:right w:val="single" w:color="auto" w:sz="4" w:space="0"/>
            </w:tcBorders>
            <w:vAlign w:val="center"/>
          </w:tcPr>
          <w:p w14:paraId="1AD2EC2B">
            <w:pPr>
              <w:pStyle w:val="518"/>
              <w:rPr>
                <w:rFonts w:ascii="宋体" w:hAnsi="宋体"/>
                <w:lang w:eastAsia="zh-CN"/>
              </w:rPr>
            </w:pPr>
          </w:p>
        </w:tc>
        <w:tc>
          <w:tcPr>
            <w:tcW w:w="1275" w:type="dxa"/>
            <w:tcBorders>
              <w:left w:val="single" w:color="auto" w:sz="4" w:space="0"/>
              <w:right w:val="single" w:color="auto" w:sz="4" w:space="0"/>
            </w:tcBorders>
            <w:vAlign w:val="center"/>
          </w:tcPr>
          <w:p w14:paraId="639E897F">
            <w:pPr>
              <w:pStyle w:val="518"/>
              <w:rPr>
                <w:lang w:eastAsia="zh-CN"/>
              </w:rPr>
            </w:pPr>
            <w:r>
              <w:rPr>
                <w:rFonts w:hint="eastAsia"/>
                <w:lang w:eastAsia="zh-CN"/>
              </w:rPr>
              <w:t>60—</w:t>
            </w:r>
          </w:p>
          <w:p w14:paraId="5CCF2DE5">
            <w:pPr>
              <w:pStyle w:val="518"/>
              <w:rPr>
                <w:lang w:eastAsia="zh-CN"/>
              </w:rPr>
            </w:pPr>
            <w:r>
              <w:rPr>
                <w:rFonts w:hint="eastAsia"/>
                <w:lang w:eastAsia="zh-CN"/>
              </w:rPr>
              <w:t>100cm</w:t>
            </w:r>
          </w:p>
        </w:tc>
        <w:tc>
          <w:tcPr>
            <w:tcW w:w="1134" w:type="dxa"/>
            <w:tcBorders>
              <w:left w:val="single" w:color="auto" w:sz="4" w:space="0"/>
            </w:tcBorders>
            <w:vAlign w:val="center"/>
          </w:tcPr>
          <w:p w14:paraId="0628165E">
            <w:pPr>
              <w:pStyle w:val="518"/>
              <w:rPr>
                <w:lang w:eastAsia="zh-CN"/>
              </w:rPr>
            </w:pPr>
          </w:p>
        </w:tc>
        <w:tc>
          <w:tcPr>
            <w:tcW w:w="1134" w:type="dxa"/>
            <w:tcBorders>
              <w:right w:val="single" w:color="auto" w:sz="4" w:space="0"/>
            </w:tcBorders>
            <w:vAlign w:val="center"/>
          </w:tcPr>
          <w:p w14:paraId="6560968E">
            <w:pPr>
              <w:pStyle w:val="518"/>
              <w:rPr>
                <w:snapToGrid w:val="0"/>
                <w:lang w:eastAsia="zh-CN"/>
              </w:rPr>
            </w:pPr>
            <w:r>
              <w:rPr>
                <w:rFonts w:hint="eastAsia" w:ascii="宋体" w:hAnsi="宋体"/>
                <w:lang w:eastAsia="zh-CN"/>
              </w:rPr>
              <w:t>0-20cm</w:t>
            </w:r>
          </w:p>
        </w:tc>
        <w:tc>
          <w:tcPr>
            <w:tcW w:w="1134" w:type="dxa"/>
            <w:tcBorders>
              <w:left w:val="single" w:color="auto" w:sz="4" w:space="0"/>
              <w:right w:val="single" w:color="auto" w:sz="4" w:space="0"/>
            </w:tcBorders>
            <w:vAlign w:val="center"/>
          </w:tcPr>
          <w:p w14:paraId="499544A7">
            <w:pPr>
              <w:pStyle w:val="518"/>
              <w:rPr>
                <w:snapToGrid w:val="0"/>
                <w:lang w:eastAsia="zh-CN"/>
              </w:rPr>
            </w:pPr>
          </w:p>
        </w:tc>
        <w:tc>
          <w:tcPr>
            <w:tcW w:w="1418" w:type="dxa"/>
            <w:tcBorders>
              <w:left w:val="single" w:color="auto" w:sz="4" w:space="0"/>
              <w:right w:val="single" w:color="auto" w:sz="4" w:space="0"/>
            </w:tcBorders>
            <w:vAlign w:val="center"/>
          </w:tcPr>
          <w:p w14:paraId="4848D9EB">
            <w:pPr>
              <w:pStyle w:val="518"/>
              <w:rPr>
                <w:rFonts w:ascii="宋体" w:hAnsi="宋体"/>
                <w:lang w:eastAsia="zh-CN"/>
              </w:rPr>
            </w:pPr>
            <w:r>
              <w:rPr>
                <w:rFonts w:hint="eastAsia" w:ascii="宋体" w:hAnsi="宋体"/>
                <w:lang w:eastAsia="zh-CN"/>
              </w:rPr>
              <w:t>20-60cm</w:t>
            </w:r>
          </w:p>
        </w:tc>
        <w:tc>
          <w:tcPr>
            <w:tcW w:w="992" w:type="dxa"/>
            <w:tcBorders>
              <w:left w:val="single" w:color="auto" w:sz="4" w:space="0"/>
              <w:right w:val="single" w:color="auto" w:sz="4" w:space="0"/>
            </w:tcBorders>
            <w:vAlign w:val="center"/>
          </w:tcPr>
          <w:p w14:paraId="11286AD3">
            <w:pPr>
              <w:pStyle w:val="518"/>
              <w:rPr>
                <w:rFonts w:ascii="宋体" w:hAnsi="宋体"/>
                <w:lang w:eastAsia="zh-CN"/>
              </w:rPr>
            </w:pPr>
          </w:p>
        </w:tc>
        <w:tc>
          <w:tcPr>
            <w:tcW w:w="1134" w:type="dxa"/>
            <w:tcBorders>
              <w:left w:val="single" w:color="auto" w:sz="4" w:space="0"/>
              <w:right w:val="single" w:color="auto" w:sz="4" w:space="0"/>
            </w:tcBorders>
            <w:vAlign w:val="center"/>
          </w:tcPr>
          <w:p w14:paraId="0C1B17E0">
            <w:pPr>
              <w:pStyle w:val="518"/>
              <w:rPr>
                <w:lang w:eastAsia="zh-CN"/>
              </w:rPr>
            </w:pPr>
            <w:r>
              <w:rPr>
                <w:rFonts w:hint="eastAsia"/>
                <w:lang w:eastAsia="zh-CN"/>
              </w:rPr>
              <w:t>60-100cm</w:t>
            </w:r>
          </w:p>
        </w:tc>
        <w:tc>
          <w:tcPr>
            <w:tcW w:w="851" w:type="dxa"/>
            <w:tcBorders>
              <w:left w:val="single" w:color="auto" w:sz="4" w:space="0"/>
            </w:tcBorders>
            <w:vAlign w:val="center"/>
          </w:tcPr>
          <w:p w14:paraId="6FD449E4">
            <w:pPr>
              <w:pStyle w:val="518"/>
              <w:rPr>
                <w:lang w:eastAsia="zh-CN"/>
              </w:rPr>
            </w:pPr>
          </w:p>
        </w:tc>
      </w:tr>
      <w:tr w14:paraId="63C5C3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6" w:type="dxa"/>
            <w:vAlign w:val="center"/>
          </w:tcPr>
          <w:p w14:paraId="3829D3EA">
            <w:pPr>
              <w:pStyle w:val="518"/>
              <w:rPr>
                <w:snapToGrid w:val="0"/>
              </w:rPr>
            </w:pPr>
            <w:r>
              <w:rPr>
                <w:snapToGrid w:val="0"/>
              </w:rPr>
              <w:t>pH</w:t>
            </w:r>
          </w:p>
        </w:tc>
        <w:tc>
          <w:tcPr>
            <w:tcW w:w="1137" w:type="dxa"/>
            <w:tcBorders>
              <w:right w:val="single" w:color="auto" w:sz="4" w:space="0"/>
            </w:tcBorders>
            <w:vAlign w:val="center"/>
          </w:tcPr>
          <w:p w14:paraId="2219928E">
            <w:pPr>
              <w:pStyle w:val="518"/>
              <w:rPr>
                <w:lang w:eastAsia="zh-CN"/>
              </w:rPr>
            </w:pPr>
            <w:r>
              <w:rPr>
                <w:rFonts w:hint="eastAsia"/>
                <w:lang w:eastAsia="zh-CN"/>
              </w:rPr>
              <w:t>8.56</w:t>
            </w:r>
          </w:p>
        </w:tc>
        <w:tc>
          <w:tcPr>
            <w:tcW w:w="992" w:type="dxa"/>
            <w:tcBorders>
              <w:left w:val="single" w:color="auto" w:sz="4" w:space="0"/>
            </w:tcBorders>
            <w:vAlign w:val="center"/>
          </w:tcPr>
          <w:p w14:paraId="5C0401F5">
            <w:pPr>
              <w:pStyle w:val="518"/>
              <w:rPr>
                <w:lang w:eastAsia="zh-CN"/>
              </w:rPr>
            </w:pPr>
            <w:r>
              <w:rPr>
                <w:rFonts w:ascii="宋体" w:hAnsi="宋体"/>
                <w:snapToGrid w:val="0"/>
                <w:szCs w:val="21"/>
              </w:rPr>
              <w:t>＞7.5</w:t>
            </w:r>
          </w:p>
        </w:tc>
        <w:tc>
          <w:tcPr>
            <w:tcW w:w="1134" w:type="dxa"/>
            <w:tcBorders>
              <w:right w:val="single" w:color="auto" w:sz="4" w:space="0"/>
            </w:tcBorders>
            <w:vAlign w:val="center"/>
          </w:tcPr>
          <w:p w14:paraId="20359025">
            <w:pPr>
              <w:pStyle w:val="518"/>
              <w:rPr>
                <w:lang w:eastAsia="zh-CN"/>
              </w:rPr>
            </w:pPr>
            <w:r>
              <w:rPr>
                <w:rFonts w:hint="eastAsia"/>
                <w:lang w:eastAsia="zh-CN"/>
              </w:rPr>
              <w:t>8.62</w:t>
            </w:r>
          </w:p>
        </w:tc>
        <w:tc>
          <w:tcPr>
            <w:tcW w:w="851" w:type="dxa"/>
            <w:tcBorders>
              <w:left w:val="single" w:color="auto" w:sz="4" w:space="0"/>
            </w:tcBorders>
            <w:vAlign w:val="center"/>
          </w:tcPr>
          <w:p w14:paraId="7076AA27">
            <w:pPr>
              <w:pStyle w:val="518"/>
              <w:rPr>
                <w:lang w:eastAsia="zh-CN"/>
              </w:rPr>
            </w:pPr>
            <w:r>
              <w:rPr>
                <w:rFonts w:ascii="宋体" w:hAnsi="宋体"/>
                <w:snapToGrid w:val="0"/>
                <w:szCs w:val="21"/>
              </w:rPr>
              <w:t>＞7.5</w:t>
            </w:r>
          </w:p>
        </w:tc>
        <w:tc>
          <w:tcPr>
            <w:tcW w:w="1275" w:type="dxa"/>
            <w:tcBorders>
              <w:right w:val="single" w:color="auto" w:sz="4" w:space="0"/>
            </w:tcBorders>
            <w:vAlign w:val="center"/>
          </w:tcPr>
          <w:p w14:paraId="397217D4">
            <w:pPr>
              <w:pStyle w:val="518"/>
              <w:rPr>
                <w:lang w:eastAsia="zh-CN"/>
              </w:rPr>
            </w:pPr>
            <w:r>
              <w:rPr>
                <w:rFonts w:hint="eastAsia"/>
                <w:lang w:eastAsia="zh-CN"/>
              </w:rPr>
              <w:t>8.67</w:t>
            </w:r>
          </w:p>
        </w:tc>
        <w:tc>
          <w:tcPr>
            <w:tcW w:w="1134" w:type="dxa"/>
            <w:tcBorders>
              <w:left w:val="single" w:color="auto" w:sz="4" w:space="0"/>
            </w:tcBorders>
            <w:vAlign w:val="center"/>
          </w:tcPr>
          <w:p w14:paraId="0472E305">
            <w:pPr>
              <w:pStyle w:val="518"/>
              <w:rPr>
                <w:lang w:eastAsia="zh-CN"/>
              </w:rPr>
            </w:pPr>
            <w:r>
              <w:rPr>
                <w:rFonts w:ascii="宋体" w:hAnsi="宋体"/>
                <w:snapToGrid w:val="0"/>
                <w:szCs w:val="21"/>
              </w:rPr>
              <w:t>＞7.5</w:t>
            </w:r>
          </w:p>
        </w:tc>
        <w:tc>
          <w:tcPr>
            <w:tcW w:w="1134" w:type="dxa"/>
            <w:tcBorders>
              <w:right w:val="single" w:color="auto" w:sz="4" w:space="0"/>
            </w:tcBorders>
            <w:vAlign w:val="center"/>
          </w:tcPr>
          <w:p w14:paraId="6B27F65F">
            <w:pPr>
              <w:pStyle w:val="518"/>
              <w:rPr>
                <w:lang w:eastAsia="zh-CN"/>
              </w:rPr>
            </w:pPr>
            <w:r>
              <w:rPr>
                <w:rFonts w:hint="eastAsia"/>
                <w:lang w:eastAsia="zh-CN"/>
              </w:rPr>
              <w:t>8.57</w:t>
            </w:r>
          </w:p>
        </w:tc>
        <w:tc>
          <w:tcPr>
            <w:tcW w:w="1134" w:type="dxa"/>
            <w:tcBorders>
              <w:left w:val="single" w:color="auto" w:sz="4" w:space="0"/>
            </w:tcBorders>
            <w:vAlign w:val="center"/>
          </w:tcPr>
          <w:p w14:paraId="41026D6D">
            <w:pPr>
              <w:pStyle w:val="518"/>
              <w:rPr>
                <w:lang w:eastAsia="zh-CN"/>
              </w:rPr>
            </w:pPr>
            <w:r>
              <w:rPr>
                <w:rFonts w:ascii="宋体" w:hAnsi="宋体"/>
                <w:snapToGrid w:val="0"/>
                <w:szCs w:val="21"/>
              </w:rPr>
              <w:t>＞7.5</w:t>
            </w:r>
          </w:p>
        </w:tc>
        <w:tc>
          <w:tcPr>
            <w:tcW w:w="1418" w:type="dxa"/>
            <w:tcBorders>
              <w:right w:val="single" w:color="auto" w:sz="4" w:space="0"/>
            </w:tcBorders>
            <w:vAlign w:val="center"/>
          </w:tcPr>
          <w:p w14:paraId="53DFC821">
            <w:pPr>
              <w:pStyle w:val="518"/>
              <w:rPr>
                <w:lang w:eastAsia="zh-CN"/>
              </w:rPr>
            </w:pPr>
            <w:r>
              <w:rPr>
                <w:rFonts w:hint="eastAsia"/>
                <w:lang w:eastAsia="zh-CN"/>
              </w:rPr>
              <w:t>8.61</w:t>
            </w:r>
          </w:p>
        </w:tc>
        <w:tc>
          <w:tcPr>
            <w:tcW w:w="992" w:type="dxa"/>
            <w:tcBorders>
              <w:left w:val="single" w:color="auto" w:sz="4" w:space="0"/>
              <w:right w:val="single" w:color="auto" w:sz="4" w:space="0"/>
            </w:tcBorders>
            <w:vAlign w:val="center"/>
          </w:tcPr>
          <w:p w14:paraId="675195D9">
            <w:pPr>
              <w:pStyle w:val="518"/>
              <w:rPr>
                <w:lang w:eastAsia="zh-CN"/>
              </w:rPr>
            </w:pPr>
            <w:r>
              <w:rPr>
                <w:rFonts w:ascii="宋体" w:hAnsi="宋体"/>
                <w:snapToGrid w:val="0"/>
                <w:szCs w:val="21"/>
              </w:rPr>
              <w:t>＞7.5</w:t>
            </w:r>
          </w:p>
        </w:tc>
        <w:tc>
          <w:tcPr>
            <w:tcW w:w="1134" w:type="dxa"/>
            <w:tcBorders>
              <w:left w:val="single" w:color="auto" w:sz="4" w:space="0"/>
              <w:right w:val="single" w:color="auto" w:sz="4" w:space="0"/>
            </w:tcBorders>
            <w:vAlign w:val="center"/>
          </w:tcPr>
          <w:p w14:paraId="6AC7B86A">
            <w:pPr>
              <w:pStyle w:val="518"/>
              <w:rPr>
                <w:lang w:eastAsia="zh-CN"/>
              </w:rPr>
            </w:pPr>
            <w:r>
              <w:rPr>
                <w:rFonts w:hint="eastAsia"/>
                <w:lang w:eastAsia="zh-CN"/>
              </w:rPr>
              <w:t>8.68</w:t>
            </w:r>
          </w:p>
        </w:tc>
        <w:tc>
          <w:tcPr>
            <w:tcW w:w="851" w:type="dxa"/>
            <w:tcBorders>
              <w:left w:val="single" w:color="auto" w:sz="4" w:space="0"/>
            </w:tcBorders>
            <w:vAlign w:val="center"/>
          </w:tcPr>
          <w:p w14:paraId="361A3C93">
            <w:pPr>
              <w:pStyle w:val="518"/>
              <w:rPr>
                <w:lang w:eastAsia="zh-CN"/>
              </w:rPr>
            </w:pPr>
            <w:r>
              <w:rPr>
                <w:rFonts w:ascii="宋体" w:hAnsi="宋体"/>
                <w:snapToGrid w:val="0"/>
                <w:szCs w:val="21"/>
              </w:rPr>
              <w:t>＞7.5</w:t>
            </w:r>
          </w:p>
        </w:tc>
      </w:tr>
      <w:tr w14:paraId="53185B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6" w:type="dxa"/>
            <w:vAlign w:val="center"/>
          </w:tcPr>
          <w:p w14:paraId="75241174">
            <w:pPr>
              <w:pStyle w:val="518"/>
              <w:rPr>
                <w:snapToGrid w:val="0"/>
              </w:rPr>
            </w:pPr>
            <w:r>
              <w:rPr>
                <w:snapToGrid w:val="0"/>
              </w:rPr>
              <w:t>铬</w:t>
            </w:r>
          </w:p>
        </w:tc>
        <w:tc>
          <w:tcPr>
            <w:tcW w:w="1137" w:type="dxa"/>
            <w:tcBorders>
              <w:right w:val="single" w:color="auto" w:sz="4" w:space="0"/>
            </w:tcBorders>
            <w:vAlign w:val="center"/>
          </w:tcPr>
          <w:p w14:paraId="36576453">
            <w:pPr>
              <w:pStyle w:val="518"/>
              <w:rPr>
                <w:lang w:eastAsia="zh-CN"/>
              </w:rPr>
            </w:pPr>
            <w:r>
              <w:rPr>
                <w:rFonts w:hint="eastAsia"/>
                <w:lang w:eastAsia="zh-CN"/>
              </w:rPr>
              <w:t>40.8</w:t>
            </w:r>
          </w:p>
        </w:tc>
        <w:tc>
          <w:tcPr>
            <w:tcW w:w="992" w:type="dxa"/>
            <w:tcBorders>
              <w:left w:val="single" w:color="auto" w:sz="4" w:space="0"/>
            </w:tcBorders>
            <w:vAlign w:val="center"/>
          </w:tcPr>
          <w:p w14:paraId="12BE735A">
            <w:pPr>
              <w:pStyle w:val="518"/>
              <w:rPr>
                <w:lang w:eastAsia="zh-CN"/>
              </w:rPr>
            </w:pPr>
            <w:r>
              <w:rPr>
                <w:rFonts w:hint="eastAsia"/>
                <w:lang w:eastAsia="zh-CN"/>
              </w:rPr>
              <w:t>0.16</w:t>
            </w:r>
          </w:p>
        </w:tc>
        <w:tc>
          <w:tcPr>
            <w:tcW w:w="1134" w:type="dxa"/>
            <w:tcBorders>
              <w:right w:val="single" w:color="auto" w:sz="4" w:space="0"/>
            </w:tcBorders>
            <w:vAlign w:val="center"/>
          </w:tcPr>
          <w:p w14:paraId="1684D6DB">
            <w:pPr>
              <w:pStyle w:val="518"/>
              <w:rPr>
                <w:lang w:eastAsia="zh-CN"/>
              </w:rPr>
            </w:pPr>
            <w:r>
              <w:rPr>
                <w:rFonts w:hint="eastAsia"/>
                <w:lang w:eastAsia="zh-CN"/>
              </w:rPr>
              <w:t>31.5</w:t>
            </w:r>
          </w:p>
        </w:tc>
        <w:tc>
          <w:tcPr>
            <w:tcW w:w="851" w:type="dxa"/>
            <w:tcBorders>
              <w:left w:val="single" w:color="auto" w:sz="4" w:space="0"/>
            </w:tcBorders>
            <w:vAlign w:val="center"/>
          </w:tcPr>
          <w:p w14:paraId="19647F79">
            <w:pPr>
              <w:pStyle w:val="518"/>
              <w:rPr>
                <w:lang w:eastAsia="zh-CN"/>
              </w:rPr>
            </w:pPr>
            <w:r>
              <w:rPr>
                <w:rFonts w:hint="eastAsia"/>
                <w:lang w:eastAsia="zh-CN"/>
              </w:rPr>
              <w:t>0.13</w:t>
            </w:r>
          </w:p>
        </w:tc>
        <w:tc>
          <w:tcPr>
            <w:tcW w:w="1275" w:type="dxa"/>
            <w:tcBorders>
              <w:right w:val="single" w:color="auto" w:sz="4" w:space="0"/>
            </w:tcBorders>
            <w:vAlign w:val="center"/>
          </w:tcPr>
          <w:p w14:paraId="45841169">
            <w:pPr>
              <w:pStyle w:val="518"/>
              <w:rPr>
                <w:lang w:eastAsia="zh-CN"/>
              </w:rPr>
            </w:pPr>
            <w:r>
              <w:rPr>
                <w:rFonts w:hint="eastAsia"/>
                <w:lang w:eastAsia="zh-CN"/>
              </w:rPr>
              <w:t>38.6</w:t>
            </w:r>
          </w:p>
        </w:tc>
        <w:tc>
          <w:tcPr>
            <w:tcW w:w="1134" w:type="dxa"/>
            <w:tcBorders>
              <w:left w:val="single" w:color="auto" w:sz="4" w:space="0"/>
            </w:tcBorders>
            <w:vAlign w:val="center"/>
          </w:tcPr>
          <w:p w14:paraId="2D75ED96">
            <w:pPr>
              <w:pStyle w:val="518"/>
              <w:rPr>
                <w:lang w:eastAsia="zh-CN"/>
              </w:rPr>
            </w:pPr>
            <w:r>
              <w:rPr>
                <w:rFonts w:hint="eastAsia"/>
                <w:lang w:eastAsia="zh-CN"/>
              </w:rPr>
              <w:t>0.31</w:t>
            </w:r>
          </w:p>
        </w:tc>
        <w:tc>
          <w:tcPr>
            <w:tcW w:w="1134" w:type="dxa"/>
            <w:tcBorders>
              <w:right w:val="single" w:color="auto" w:sz="4" w:space="0"/>
            </w:tcBorders>
            <w:vAlign w:val="center"/>
          </w:tcPr>
          <w:p w14:paraId="2789AE8D">
            <w:pPr>
              <w:pStyle w:val="518"/>
              <w:rPr>
                <w:lang w:eastAsia="zh-CN"/>
              </w:rPr>
            </w:pPr>
            <w:r>
              <w:rPr>
                <w:rFonts w:hint="eastAsia"/>
                <w:lang w:eastAsia="zh-CN"/>
              </w:rPr>
              <w:t>40.7</w:t>
            </w:r>
          </w:p>
        </w:tc>
        <w:tc>
          <w:tcPr>
            <w:tcW w:w="1134" w:type="dxa"/>
            <w:tcBorders>
              <w:left w:val="single" w:color="auto" w:sz="4" w:space="0"/>
            </w:tcBorders>
            <w:vAlign w:val="center"/>
          </w:tcPr>
          <w:p w14:paraId="631C41B0">
            <w:pPr>
              <w:pStyle w:val="518"/>
              <w:rPr>
                <w:lang w:eastAsia="zh-CN"/>
              </w:rPr>
            </w:pPr>
            <w:r>
              <w:rPr>
                <w:rFonts w:hint="eastAsia"/>
                <w:lang w:eastAsia="zh-CN"/>
              </w:rPr>
              <w:t>0.16</w:t>
            </w:r>
          </w:p>
        </w:tc>
        <w:tc>
          <w:tcPr>
            <w:tcW w:w="1418" w:type="dxa"/>
            <w:tcBorders>
              <w:right w:val="single" w:color="auto" w:sz="4" w:space="0"/>
            </w:tcBorders>
            <w:vAlign w:val="center"/>
          </w:tcPr>
          <w:p w14:paraId="26E3CBEA">
            <w:pPr>
              <w:pStyle w:val="518"/>
              <w:rPr>
                <w:snapToGrid w:val="0"/>
                <w:lang w:eastAsia="zh-CN"/>
              </w:rPr>
            </w:pPr>
            <w:r>
              <w:rPr>
                <w:rFonts w:hint="eastAsia"/>
                <w:snapToGrid w:val="0"/>
                <w:lang w:eastAsia="zh-CN"/>
              </w:rPr>
              <w:t>31.6</w:t>
            </w:r>
          </w:p>
        </w:tc>
        <w:tc>
          <w:tcPr>
            <w:tcW w:w="992" w:type="dxa"/>
            <w:tcBorders>
              <w:left w:val="single" w:color="auto" w:sz="4" w:space="0"/>
              <w:right w:val="single" w:color="auto" w:sz="4" w:space="0"/>
            </w:tcBorders>
            <w:vAlign w:val="center"/>
          </w:tcPr>
          <w:p w14:paraId="322687A4">
            <w:pPr>
              <w:pStyle w:val="518"/>
              <w:rPr>
                <w:snapToGrid w:val="0"/>
                <w:lang w:eastAsia="zh-CN"/>
              </w:rPr>
            </w:pPr>
            <w:r>
              <w:rPr>
                <w:rFonts w:hint="eastAsia"/>
                <w:snapToGrid w:val="0"/>
                <w:lang w:eastAsia="zh-CN"/>
              </w:rPr>
              <w:t>0.13</w:t>
            </w:r>
          </w:p>
        </w:tc>
        <w:tc>
          <w:tcPr>
            <w:tcW w:w="1134" w:type="dxa"/>
            <w:tcBorders>
              <w:left w:val="single" w:color="auto" w:sz="4" w:space="0"/>
              <w:right w:val="single" w:color="auto" w:sz="4" w:space="0"/>
            </w:tcBorders>
            <w:vAlign w:val="center"/>
          </w:tcPr>
          <w:p w14:paraId="1245D5E1">
            <w:pPr>
              <w:pStyle w:val="518"/>
              <w:rPr>
                <w:snapToGrid w:val="0"/>
                <w:lang w:eastAsia="zh-CN"/>
              </w:rPr>
            </w:pPr>
            <w:r>
              <w:rPr>
                <w:rFonts w:hint="eastAsia"/>
                <w:snapToGrid w:val="0"/>
                <w:lang w:eastAsia="zh-CN"/>
              </w:rPr>
              <w:t>40.4</w:t>
            </w:r>
          </w:p>
        </w:tc>
        <w:tc>
          <w:tcPr>
            <w:tcW w:w="851" w:type="dxa"/>
            <w:tcBorders>
              <w:left w:val="single" w:color="auto" w:sz="4" w:space="0"/>
            </w:tcBorders>
            <w:vAlign w:val="center"/>
          </w:tcPr>
          <w:p w14:paraId="77C38165">
            <w:pPr>
              <w:pStyle w:val="518"/>
              <w:rPr>
                <w:snapToGrid w:val="0"/>
                <w:lang w:eastAsia="zh-CN"/>
              </w:rPr>
            </w:pPr>
            <w:r>
              <w:rPr>
                <w:rFonts w:hint="eastAsia"/>
                <w:snapToGrid w:val="0"/>
                <w:lang w:eastAsia="zh-CN"/>
              </w:rPr>
              <w:t>0.32</w:t>
            </w:r>
          </w:p>
        </w:tc>
      </w:tr>
      <w:tr w14:paraId="058DF0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6" w:type="dxa"/>
            <w:vAlign w:val="center"/>
          </w:tcPr>
          <w:p w14:paraId="338518B8">
            <w:pPr>
              <w:pStyle w:val="518"/>
              <w:rPr>
                <w:snapToGrid w:val="0"/>
              </w:rPr>
            </w:pPr>
            <w:r>
              <w:rPr>
                <w:snapToGrid w:val="0"/>
                <w:lang w:eastAsia="zh-CN"/>
              </w:rPr>
              <w:t>汞</w:t>
            </w:r>
          </w:p>
        </w:tc>
        <w:tc>
          <w:tcPr>
            <w:tcW w:w="1137" w:type="dxa"/>
            <w:tcBorders>
              <w:right w:val="single" w:color="auto" w:sz="4" w:space="0"/>
            </w:tcBorders>
            <w:vAlign w:val="center"/>
          </w:tcPr>
          <w:p w14:paraId="079E8472">
            <w:pPr>
              <w:pStyle w:val="518"/>
              <w:rPr>
                <w:lang w:eastAsia="zh-CN"/>
              </w:rPr>
            </w:pPr>
            <w:r>
              <w:rPr>
                <w:rFonts w:hint="eastAsia"/>
                <w:lang w:eastAsia="zh-CN"/>
              </w:rPr>
              <w:t>0.097</w:t>
            </w:r>
          </w:p>
        </w:tc>
        <w:tc>
          <w:tcPr>
            <w:tcW w:w="992" w:type="dxa"/>
            <w:tcBorders>
              <w:left w:val="single" w:color="auto" w:sz="4" w:space="0"/>
            </w:tcBorders>
            <w:vAlign w:val="center"/>
          </w:tcPr>
          <w:p w14:paraId="45AF4DCA">
            <w:pPr>
              <w:pStyle w:val="518"/>
              <w:rPr>
                <w:lang w:eastAsia="zh-CN"/>
              </w:rPr>
            </w:pPr>
            <w:r>
              <w:rPr>
                <w:rFonts w:hint="eastAsia"/>
                <w:lang w:eastAsia="zh-CN"/>
              </w:rPr>
              <w:t>0.10</w:t>
            </w:r>
          </w:p>
        </w:tc>
        <w:tc>
          <w:tcPr>
            <w:tcW w:w="1134" w:type="dxa"/>
            <w:tcBorders>
              <w:right w:val="single" w:color="auto" w:sz="4" w:space="0"/>
            </w:tcBorders>
            <w:vAlign w:val="center"/>
          </w:tcPr>
          <w:p w14:paraId="5429DA12">
            <w:pPr>
              <w:pStyle w:val="518"/>
              <w:rPr>
                <w:lang w:eastAsia="zh-CN"/>
              </w:rPr>
            </w:pPr>
            <w:r>
              <w:rPr>
                <w:rFonts w:hint="eastAsia"/>
                <w:lang w:eastAsia="zh-CN"/>
              </w:rPr>
              <w:t>0.101</w:t>
            </w:r>
          </w:p>
        </w:tc>
        <w:tc>
          <w:tcPr>
            <w:tcW w:w="851" w:type="dxa"/>
            <w:tcBorders>
              <w:left w:val="single" w:color="auto" w:sz="4" w:space="0"/>
            </w:tcBorders>
            <w:vAlign w:val="center"/>
          </w:tcPr>
          <w:p w14:paraId="71216511">
            <w:pPr>
              <w:pStyle w:val="518"/>
              <w:rPr>
                <w:lang w:eastAsia="zh-CN"/>
              </w:rPr>
            </w:pPr>
            <w:r>
              <w:rPr>
                <w:rFonts w:hint="eastAsia"/>
                <w:lang w:eastAsia="zh-CN"/>
              </w:rPr>
              <w:t>0.10</w:t>
            </w:r>
          </w:p>
        </w:tc>
        <w:tc>
          <w:tcPr>
            <w:tcW w:w="1275" w:type="dxa"/>
            <w:tcBorders>
              <w:right w:val="single" w:color="auto" w:sz="4" w:space="0"/>
            </w:tcBorders>
            <w:vAlign w:val="center"/>
          </w:tcPr>
          <w:p w14:paraId="60CCA08B">
            <w:pPr>
              <w:pStyle w:val="518"/>
              <w:rPr>
                <w:lang w:eastAsia="zh-CN"/>
              </w:rPr>
            </w:pPr>
            <w:r>
              <w:rPr>
                <w:rFonts w:hint="eastAsia"/>
                <w:lang w:eastAsia="zh-CN"/>
              </w:rPr>
              <w:t>0.263</w:t>
            </w:r>
          </w:p>
        </w:tc>
        <w:tc>
          <w:tcPr>
            <w:tcW w:w="1134" w:type="dxa"/>
            <w:tcBorders>
              <w:left w:val="single" w:color="auto" w:sz="4" w:space="0"/>
            </w:tcBorders>
            <w:vAlign w:val="center"/>
          </w:tcPr>
          <w:p w14:paraId="7D80BDF7">
            <w:pPr>
              <w:pStyle w:val="518"/>
              <w:rPr>
                <w:lang w:eastAsia="zh-CN"/>
              </w:rPr>
            </w:pPr>
            <w:r>
              <w:rPr>
                <w:rFonts w:hint="eastAsia"/>
                <w:lang w:eastAsia="zh-CN"/>
              </w:rPr>
              <w:t>0.26</w:t>
            </w:r>
          </w:p>
        </w:tc>
        <w:tc>
          <w:tcPr>
            <w:tcW w:w="1134" w:type="dxa"/>
            <w:tcBorders>
              <w:right w:val="single" w:color="auto" w:sz="4" w:space="0"/>
            </w:tcBorders>
            <w:vAlign w:val="center"/>
          </w:tcPr>
          <w:p w14:paraId="6E87018C">
            <w:pPr>
              <w:pStyle w:val="518"/>
              <w:rPr>
                <w:lang w:eastAsia="zh-CN"/>
              </w:rPr>
            </w:pPr>
            <w:r>
              <w:rPr>
                <w:rFonts w:hint="eastAsia"/>
                <w:lang w:eastAsia="zh-CN"/>
              </w:rPr>
              <w:t>0.096</w:t>
            </w:r>
          </w:p>
        </w:tc>
        <w:tc>
          <w:tcPr>
            <w:tcW w:w="1134" w:type="dxa"/>
            <w:tcBorders>
              <w:left w:val="single" w:color="auto" w:sz="4" w:space="0"/>
            </w:tcBorders>
            <w:vAlign w:val="center"/>
          </w:tcPr>
          <w:p w14:paraId="7B472786">
            <w:pPr>
              <w:pStyle w:val="518"/>
              <w:rPr>
                <w:lang w:eastAsia="zh-CN"/>
              </w:rPr>
            </w:pPr>
            <w:r>
              <w:rPr>
                <w:rFonts w:hint="eastAsia"/>
                <w:lang w:eastAsia="zh-CN"/>
              </w:rPr>
              <w:t>0.10</w:t>
            </w:r>
          </w:p>
        </w:tc>
        <w:tc>
          <w:tcPr>
            <w:tcW w:w="1418" w:type="dxa"/>
            <w:tcBorders>
              <w:right w:val="single" w:color="auto" w:sz="4" w:space="0"/>
            </w:tcBorders>
            <w:vAlign w:val="center"/>
          </w:tcPr>
          <w:p w14:paraId="169643F4">
            <w:pPr>
              <w:pStyle w:val="518"/>
              <w:rPr>
                <w:snapToGrid w:val="0"/>
                <w:lang w:eastAsia="zh-CN"/>
              </w:rPr>
            </w:pPr>
            <w:r>
              <w:rPr>
                <w:rFonts w:hint="eastAsia"/>
                <w:snapToGrid w:val="0"/>
                <w:lang w:eastAsia="zh-CN"/>
              </w:rPr>
              <w:t>0.099</w:t>
            </w:r>
          </w:p>
        </w:tc>
        <w:tc>
          <w:tcPr>
            <w:tcW w:w="992" w:type="dxa"/>
            <w:tcBorders>
              <w:left w:val="single" w:color="auto" w:sz="4" w:space="0"/>
              <w:right w:val="single" w:color="auto" w:sz="4" w:space="0"/>
            </w:tcBorders>
            <w:vAlign w:val="center"/>
          </w:tcPr>
          <w:p w14:paraId="77841775">
            <w:pPr>
              <w:pStyle w:val="518"/>
              <w:rPr>
                <w:snapToGrid w:val="0"/>
                <w:lang w:eastAsia="zh-CN"/>
              </w:rPr>
            </w:pPr>
            <w:r>
              <w:rPr>
                <w:rFonts w:hint="eastAsia"/>
                <w:snapToGrid w:val="0"/>
                <w:lang w:eastAsia="zh-CN"/>
              </w:rPr>
              <w:t>0.10</w:t>
            </w:r>
          </w:p>
        </w:tc>
        <w:tc>
          <w:tcPr>
            <w:tcW w:w="1134" w:type="dxa"/>
            <w:tcBorders>
              <w:left w:val="single" w:color="auto" w:sz="4" w:space="0"/>
              <w:right w:val="single" w:color="auto" w:sz="4" w:space="0"/>
            </w:tcBorders>
            <w:vAlign w:val="center"/>
          </w:tcPr>
          <w:p w14:paraId="227919FB">
            <w:pPr>
              <w:pStyle w:val="518"/>
              <w:rPr>
                <w:snapToGrid w:val="0"/>
                <w:lang w:eastAsia="zh-CN"/>
              </w:rPr>
            </w:pPr>
            <w:r>
              <w:rPr>
                <w:rFonts w:hint="eastAsia"/>
                <w:snapToGrid w:val="0"/>
                <w:lang w:eastAsia="zh-CN"/>
              </w:rPr>
              <w:t>0.259</w:t>
            </w:r>
          </w:p>
        </w:tc>
        <w:tc>
          <w:tcPr>
            <w:tcW w:w="851" w:type="dxa"/>
            <w:tcBorders>
              <w:left w:val="single" w:color="auto" w:sz="4" w:space="0"/>
            </w:tcBorders>
            <w:vAlign w:val="center"/>
          </w:tcPr>
          <w:p w14:paraId="2F7592DC">
            <w:pPr>
              <w:pStyle w:val="518"/>
              <w:rPr>
                <w:snapToGrid w:val="0"/>
                <w:lang w:eastAsia="zh-CN"/>
              </w:rPr>
            </w:pPr>
            <w:r>
              <w:rPr>
                <w:rFonts w:hint="eastAsia"/>
                <w:snapToGrid w:val="0"/>
                <w:lang w:eastAsia="zh-CN"/>
              </w:rPr>
              <w:t>0.26</w:t>
            </w:r>
          </w:p>
        </w:tc>
      </w:tr>
      <w:tr w14:paraId="5792D3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6" w:type="dxa"/>
            <w:vAlign w:val="center"/>
          </w:tcPr>
          <w:p w14:paraId="4ED51F74">
            <w:pPr>
              <w:pStyle w:val="518"/>
              <w:rPr>
                <w:snapToGrid w:val="0"/>
              </w:rPr>
            </w:pPr>
            <w:r>
              <w:rPr>
                <w:snapToGrid w:val="0"/>
              </w:rPr>
              <w:t>砷</w:t>
            </w:r>
          </w:p>
        </w:tc>
        <w:tc>
          <w:tcPr>
            <w:tcW w:w="1137" w:type="dxa"/>
            <w:tcBorders>
              <w:right w:val="single" w:color="auto" w:sz="4" w:space="0"/>
            </w:tcBorders>
            <w:vAlign w:val="center"/>
          </w:tcPr>
          <w:p w14:paraId="7A0A7233">
            <w:pPr>
              <w:pStyle w:val="518"/>
              <w:rPr>
                <w:lang w:eastAsia="zh-CN"/>
              </w:rPr>
            </w:pPr>
            <w:r>
              <w:rPr>
                <w:rFonts w:hint="eastAsia"/>
                <w:lang w:eastAsia="zh-CN"/>
              </w:rPr>
              <w:t>3.67</w:t>
            </w:r>
          </w:p>
        </w:tc>
        <w:tc>
          <w:tcPr>
            <w:tcW w:w="992" w:type="dxa"/>
            <w:tcBorders>
              <w:left w:val="single" w:color="auto" w:sz="4" w:space="0"/>
            </w:tcBorders>
            <w:vAlign w:val="center"/>
          </w:tcPr>
          <w:p w14:paraId="675E4260">
            <w:pPr>
              <w:pStyle w:val="518"/>
              <w:rPr>
                <w:lang w:eastAsia="zh-CN"/>
              </w:rPr>
            </w:pPr>
            <w:r>
              <w:rPr>
                <w:rFonts w:hint="eastAsia"/>
                <w:lang w:eastAsia="zh-CN"/>
              </w:rPr>
              <w:t>0.15</w:t>
            </w:r>
          </w:p>
        </w:tc>
        <w:tc>
          <w:tcPr>
            <w:tcW w:w="1134" w:type="dxa"/>
            <w:tcBorders>
              <w:right w:val="single" w:color="auto" w:sz="4" w:space="0"/>
            </w:tcBorders>
            <w:vAlign w:val="center"/>
          </w:tcPr>
          <w:p w14:paraId="4604CB5C">
            <w:pPr>
              <w:pStyle w:val="518"/>
              <w:rPr>
                <w:lang w:eastAsia="zh-CN"/>
              </w:rPr>
            </w:pPr>
            <w:r>
              <w:rPr>
                <w:rFonts w:hint="eastAsia"/>
                <w:lang w:eastAsia="zh-CN"/>
              </w:rPr>
              <w:t>3.53</w:t>
            </w:r>
          </w:p>
        </w:tc>
        <w:tc>
          <w:tcPr>
            <w:tcW w:w="851" w:type="dxa"/>
            <w:tcBorders>
              <w:left w:val="single" w:color="auto" w:sz="4" w:space="0"/>
            </w:tcBorders>
            <w:vAlign w:val="center"/>
          </w:tcPr>
          <w:p w14:paraId="692F5CAC">
            <w:pPr>
              <w:pStyle w:val="518"/>
              <w:rPr>
                <w:lang w:eastAsia="zh-CN"/>
              </w:rPr>
            </w:pPr>
            <w:r>
              <w:rPr>
                <w:rFonts w:hint="eastAsia"/>
                <w:lang w:eastAsia="zh-CN"/>
              </w:rPr>
              <w:t>0.14</w:t>
            </w:r>
          </w:p>
        </w:tc>
        <w:tc>
          <w:tcPr>
            <w:tcW w:w="1275" w:type="dxa"/>
            <w:tcBorders>
              <w:right w:val="single" w:color="auto" w:sz="4" w:space="0"/>
            </w:tcBorders>
            <w:vAlign w:val="center"/>
          </w:tcPr>
          <w:p w14:paraId="3821DBF9">
            <w:pPr>
              <w:pStyle w:val="518"/>
              <w:rPr>
                <w:lang w:eastAsia="zh-CN"/>
              </w:rPr>
            </w:pPr>
            <w:r>
              <w:rPr>
                <w:rFonts w:hint="eastAsia"/>
                <w:lang w:eastAsia="zh-CN"/>
              </w:rPr>
              <w:t>3.62</w:t>
            </w:r>
          </w:p>
        </w:tc>
        <w:tc>
          <w:tcPr>
            <w:tcW w:w="1134" w:type="dxa"/>
            <w:tcBorders>
              <w:left w:val="single" w:color="auto" w:sz="4" w:space="0"/>
            </w:tcBorders>
            <w:vAlign w:val="center"/>
          </w:tcPr>
          <w:p w14:paraId="582C9CC4">
            <w:pPr>
              <w:pStyle w:val="518"/>
              <w:rPr>
                <w:lang w:eastAsia="zh-CN"/>
              </w:rPr>
            </w:pPr>
            <w:r>
              <w:rPr>
                <w:rFonts w:hint="eastAsia"/>
                <w:lang w:eastAsia="zh-CN"/>
              </w:rPr>
              <w:t>0.29</w:t>
            </w:r>
          </w:p>
        </w:tc>
        <w:tc>
          <w:tcPr>
            <w:tcW w:w="1134" w:type="dxa"/>
            <w:tcBorders>
              <w:right w:val="single" w:color="auto" w:sz="4" w:space="0"/>
            </w:tcBorders>
            <w:vAlign w:val="center"/>
          </w:tcPr>
          <w:p w14:paraId="609D5EC4">
            <w:pPr>
              <w:pStyle w:val="518"/>
              <w:rPr>
                <w:lang w:eastAsia="zh-CN"/>
              </w:rPr>
            </w:pPr>
            <w:r>
              <w:rPr>
                <w:rFonts w:hint="eastAsia"/>
                <w:lang w:eastAsia="zh-CN"/>
              </w:rPr>
              <w:t>3.65</w:t>
            </w:r>
          </w:p>
        </w:tc>
        <w:tc>
          <w:tcPr>
            <w:tcW w:w="1134" w:type="dxa"/>
            <w:tcBorders>
              <w:left w:val="single" w:color="auto" w:sz="4" w:space="0"/>
            </w:tcBorders>
            <w:vAlign w:val="center"/>
          </w:tcPr>
          <w:p w14:paraId="756BE920">
            <w:pPr>
              <w:pStyle w:val="518"/>
              <w:rPr>
                <w:lang w:eastAsia="zh-CN"/>
              </w:rPr>
            </w:pPr>
            <w:r>
              <w:rPr>
                <w:rFonts w:hint="eastAsia"/>
                <w:lang w:eastAsia="zh-CN"/>
              </w:rPr>
              <w:t>0.15</w:t>
            </w:r>
          </w:p>
        </w:tc>
        <w:tc>
          <w:tcPr>
            <w:tcW w:w="1418" w:type="dxa"/>
            <w:tcBorders>
              <w:right w:val="single" w:color="auto" w:sz="4" w:space="0"/>
            </w:tcBorders>
            <w:vAlign w:val="center"/>
          </w:tcPr>
          <w:p w14:paraId="09752CAE">
            <w:pPr>
              <w:pStyle w:val="518"/>
              <w:rPr>
                <w:snapToGrid w:val="0"/>
                <w:lang w:eastAsia="zh-CN"/>
              </w:rPr>
            </w:pPr>
            <w:r>
              <w:rPr>
                <w:rFonts w:hint="eastAsia"/>
                <w:snapToGrid w:val="0"/>
                <w:lang w:eastAsia="zh-CN"/>
              </w:rPr>
              <w:t>3.53</w:t>
            </w:r>
          </w:p>
        </w:tc>
        <w:tc>
          <w:tcPr>
            <w:tcW w:w="992" w:type="dxa"/>
            <w:tcBorders>
              <w:left w:val="single" w:color="auto" w:sz="4" w:space="0"/>
              <w:right w:val="single" w:color="auto" w:sz="4" w:space="0"/>
            </w:tcBorders>
            <w:vAlign w:val="center"/>
          </w:tcPr>
          <w:p w14:paraId="003F5DFA">
            <w:pPr>
              <w:pStyle w:val="518"/>
              <w:rPr>
                <w:snapToGrid w:val="0"/>
                <w:lang w:eastAsia="zh-CN"/>
              </w:rPr>
            </w:pPr>
            <w:r>
              <w:rPr>
                <w:rFonts w:hint="eastAsia"/>
                <w:snapToGrid w:val="0"/>
                <w:lang w:eastAsia="zh-CN"/>
              </w:rPr>
              <w:t>0.14</w:t>
            </w:r>
          </w:p>
        </w:tc>
        <w:tc>
          <w:tcPr>
            <w:tcW w:w="1134" w:type="dxa"/>
            <w:tcBorders>
              <w:left w:val="single" w:color="auto" w:sz="4" w:space="0"/>
              <w:right w:val="single" w:color="auto" w:sz="4" w:space="0"/>
            </w:tcBorders>
            <w:vAlign w:val="center"/>
          </w:tcPr>
          <w:p w14:paraId="3D0E47B6">
            <w:pPr>
              <w:pStyle w:val="518"/>
              <w:rPr>
                <w:snapToGrid w:val="0"/>
                <w:lang w:eastAsia="zh-CN"/>
              </w:rPr>
            </w:pPr>
            <w:r>
              <w:rPr>
                <w:rFonts w:hint="eastAsia"/>
                <w:snapToGrid w:val="0"/>
                <w:lang w:eastAsia="zh-CN"/>
              </w:rPr>
              <w:t>3.61</w:t>
            </w:r>
          </w:p>
        </w:tc>
        <w:tc>
          <w:tcPr>
            <w:tcW w:w="851" w:type="dxa"/>
            <w:tcBorders>
              <w:left w:val="single" w:color="auto" w:sz="4" w:space="0"/>
            </w:tcBorders>
            <w:vAlign w:val="center"/>
          </w:tcPr>
          <w:p w14:paraId="5BB96AB0">
            <w:pPr>
              <w:pStyle w:val="518"/>
              <w:rPr>
                <w:snapToGrid w:val="0"/>
                <w:lang w:eastAsia="zh-CN"/>
              </w:rPr>
            </w:pPr>
            <w:r>
              <w:rPr>
                <w:rFonts w:hint="eastAsia"/>
                <w:snapToGrid w:val="0"/>
                <w:lang w:eastAsia="zh-CN"/>
              </w:rPr>
              <w:t>0.29</w:t>
            </w:r>
          </w:p>
        </w:tc>
      </w:tr>
      <w:tr w14:paraId="10DBAB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6" w:type="dxa"/>
            <w:vAlign w:val="center"/>
          </w:tcPr>
          <w:p w14:paraId="4FABBA9C">
            <w:pPr>
              <w:pStyle w:val="518"/>
              <w:rPr>
                <w:snapToGrid w:val="0"/>
              </w:rPr>
            </w:pPr>
            <w:r>
              <w:t>铜</w:t>
            </w:r>
          </w:p>
        </w:tc>
        <w:tc>
          <w:tcPr>
            <w:tcW w:w="1137" w:type="dxa"/>
            <w:tcBorders>
              <w:right w:val="single" w:color="auto" w:sz="4" w:space="0"/>
            </w:tcBorders>
            <w:vAlign w:val="center"/>
          </w:tcPr>
          <w:p w14:paraId="508C5162">
            <w:pPr>
              <w:pStyle w:val="518"/>
              <w:rPr>
                <w:lang w:eastAsia="zh-CN"/>
              </w:rPr>
            </w:pPr>
            <w:r>
              <w:rPr>
                <w:rFonts w:hint="eastAsia"/>
                <w:lang w:eastAsia="zh-CN"/>
              </w:rPr>
              <w:t>22.7</w:t>
            </w:r>
          </w:p>
        </w:tc>
        <w:tc>
          <w:tcPr>
            <w:tcW w:w="992" w:type="dxa"/>
            <w:tcBorders>
              <w:left w:val="single" w:color="auto" w:sz="4" w:space="0"/>
            </w:tcBorders>
            <w:vAlign w:val="center"/>
          </w:tcPr>
          <w:p w14:paraId="4EF01CE8">
            <w:pPr>
              <w:pStyle w:val="518"/>
              <w:rPr>
                <w:lang w:eastAsia="zh-CN"/>
              </w:rPr>
            </w:pPr>
            <w:r>
              <w:rPr>
                <w:rFonts w:hint="eastAsia"/>
                <w:lang w:eastAsia="zh-CN"/>
              </w:rPr>
              <w:t>0.23</w:t>
            </w:r>
          </w:p>
        </w:tc>
        <w:tc>
          <w:tcPr>
            <w:tcW w:w="1134" w:type="dxa"/>
            <w:tcBorders>
              <w:right w:val="single" w:color="auto" w:sz="4" w:space="0"/>
            </w:tcBorders>
            <w:vAlign w:val="center"/>
          </w:tcPr>
          <w:p w14:paraId="65FBA3BC">
            <w:pPr>
              <w:pStyle w:val="518"/>
              <w:rPr>
                <w:lang w:eastAsia="zh-CN"/>
              </w:rPr>
            </w:pPr>
            <w:r>
              <w:rPr>
                <w:rFonts w:hint="eastAsia"/>
                <w:lang w:eastAsia="zh-CN"/>
              </w:rPr>
              <w:t>21.6</w:t>
            </w:r>
          </w:p>
        </w:tc>
        <w:tc>
          <w:tcPr>
            <w:tcW w:w="851" w:type="dxa"/>
            <w:tcBorders>
              <w:left w:val="single" w:color="auto" w:sz="4" w:space="0"/>
            </w:tcBorders>
            <w:vAlign w:val="center"/>
          </w:tcPr>
          <w:p w14:paraId="4C1C6ABE">
            <w:pPr>
              <w:pStyle w:val="518"/>
              <w:rPr>
                <w:lang w:eastAsia="zh-CN"/>
              </w:rPr>
            </w:pPr>
            <w:r>
              <w:rPr>
                <w:rFonts w:hint="eastAsia"/>
                <w:lang w:eastAsia="zh-CN"/>
              </w:rPr>
              <w:t>0.22</w:t>
            </w:r>
          </w:p>
        </w:tc>
        <w:tc>
          <w:tcPr>
            <w:tcW w:w="1275" w:type="dxa"/>
            <w:tcBorders>
              <w:right w:val="single" w:color="auto" w:sz="4" w:space="0"/>
            </w:tcBorders>
            <w:vAlign w:val="center"/>
          </w:tcPr>
          <w:p w14:paraId="7FD79DD5">
            <w:pPr>
              <w:pStyle w:val="518"/>
              <w:rPr>
                <w:lang w:eastAsia="zh-CN"/>
              </w:rPr>
            </w:pPr>
            <w:r>
              <w:rPr>
                <w:rFonts w:hint="eastAsia"/>
                <w:lang w:eastAsia="zh-CN"/>
              </w:rPr>
              <w:t>20.9</w:t>
            </w:r>
          </w:p>
        </w:tc>
        <w:tc>
          <w:tcPr>
            <w:tcW w:w="1134" w:type="dxa"/>
            <w:tcBorders>
              <w:left w:val="single" w:color="auto" w:sz="4" w:space="0"/>
            </w:tcBorders>
            <w:vAlign w:val="center"/>
          </w:tcPr>
          <w:p w14:paraId="52A760A5">
            <w:pPr>
              <w:pStyle w:val="518"/>
              <w:rPr>
                <w:lang w:eastAsia="zh-CN"/>
              </w:rPr>
            </w:pPr>
            <w:r>
              <w:rPr>
                <w:rFonts w:hint="eastAsia"/>
                <w:lang w:eastAsia="zh-CN"/>
              </w:rPr>
              <w:t>0.21</w:t>
            </w:r>
          </w:p>
        </w:tc>
        <w:tc>
          <w:tcPr>
            <w:tcW w:w="1134" w:type="dxa"/>
            <w:tcBorders>
              <w:right w:val="single" w:color="auto" w:sz="4" w:space="0"/>
            </w:tcBorders>
            <w:vAlign w:val="center"/>
          </w:tcPr>
          <w:p w14:paraId="460B72AB">
            <w:pPr>
              <w:pStyle w:val="518"/>
              <w:rPr>
                <w:lang w:eastAsia="zh-CN"/>
              </w:rPr>
            </w:pPr>
            <w:r>
              <w:rPr>
                <w:rFonts w:hint="eastAsia"/>
                <w:lang w:eastAsia="zh-CN"/>
              </w:rPr>
              <w:t>22.5</w:t>
            </w:r>
          </w:p>
        </w:tc>
        <w:tc>
          <w:tcPr>
            <w:tcW w:w="1134" w:type="dxa"/>
            <w:tcBorders>
              <w:left w:val="single" w:color="auto" w:sz="4" w:space="0"/>
            </w:tcBorders>
            <w:vAlign w:val="center"/>
          </w:tcPr>
          <w:p w14:paraId="70DE1326">
            <w:pPr>
              <w:pStyle w:val="518"/>
              <w:rPr>
                <w:lang w:eastAsia="zh-CN"/>
              </w:rPr>
            </w:pPr>
            <w:r>
              <w:rPr>
                <w:rFonts w:hint="eastAsia"/>
                <w:lang w:eastAsia="zh-CN"/>
              </w:rPr>
              <w:t>0.23</w:t>
            </w:r>
          </w:p>
        </w:tc>
        <w:tc>
          <w:tcPr>
            <w:tcW w:w="1418" w:type="dxa"/>
            <w:tcBorders>
              <w:right w:val="single" w:color="auto" w:sz="4" w:space="0"/>
            </w:tcBorders>
            <w:vAlign w:val="center"/>
          </w:tcPr>
          <w:p w14:paraId="765916FC">
            <w:pPr>
              <w:pStyle w:val="518"/>
              <w:rPr>
                <w:snapToGrid w:val="0"/>
                <w:lang w:eastAsia="zh-CN"/>
              </w:rPr>
            </w:pPr>
            <w:r>
              <w:rPr>
                <w:rFonts w:hint="eastAsia"/>
                <w:snapToGrid w:val="0"/>
                <w:lang w:eastAsia="zh-CN"/>
              </w:rPr>
              <w:t>21.3</w:t>
            </w:r>
          </w:p>
        </w:tc>
        <w:tc>
          <w:tcPr>
            <w:tcW w:w="992" w:type="dxa"/>
            <w:tcBorders>
              <w:left w:val="single" w:color="auto" w:sz="4" w:space="0"/>
              <w:right w:val="single" w:color="auto" w:sz="4" w:space="0"/>
            </w:tcBorders>
            <w:vAlign w:val="center"/>
          </w:tcPr>
          <w:p w14:paraId="5462B83F">
            <w:pPr>
              <w:pStyle w:val="518"/>
              <w:rPr>
                <w:snapToGrid w:val="0"/>
                <w:lang w:eastAsia="zh-CN"/>
              </w:rPr>
            </w:pPr>
            <w:r>
              <w:rPr>
                <w:rFonts w:hint="eastAsia"/>
                <w:snapToGrid w:val="0"/>
                <w:lang w:eastAsia="zh-CN"/>
              </w:rPr>
              <w:t>0.21</w:t>
            </w:r>
          </w:p>
        </w:tc>
        <w:tc>
          <w:tcPr>
            <w:tcW w:w="1134" w:type="dxa"/>
            <w:tcBorders>
              <w:left w:val="single" w:color="auto" w:sz="4" w:space="0"/>
              <w:right w:val="single" w:color="auto" w:sz="4" w:space="0"/>
            </w:tcBorders>
            <w:vAlign w:val="center"/>
          </w:tcPr>
          <w:p w14:paraId="5B617897">
            <w:pPr>
              <w:pStyle w:val="518"/>
              <w:rPr>
                <w:snapToGrid w:val="0"/>
                <w:lang w:eastAsia="zh-CN"/>
              </w:rPr>
            </w:pPr>
            <w:r>
              <w:rPr>
                <w:rFonts w:hint="eastAsia"/>
                <w:snapToGrid w:val="0"/>
                <w:lang w:eastAsia="zh-CN"/>
              </w:rPr>
              <w:t>20.8</w:t>
            </w:r>
          </w:p>
        </w:tc>
        <w:tc>
          <w:tcPr>
            <w:tcW w:w="851" w:type="dxa"/>
            <w:tcBorders>
              <w:left w:val="single" w:color="auto" w:sz="4" w:space="0"/>
            </w:tcBorders>
            <w:vAlign w:val="center"/>
          </w:tcPr>
          <w:p w14:paraId="7E42B0B9">
            <w:pPr>
              <w:pStyle w:val="518"/>
              <w:rPr>
                <w:snapToGrid w:val="0"/>
                <w:lang w:eastAsia="zh-CN"/>
              </w:rPr>
            </w:pPr>
            <w:r>
              <w:rPr>
                <w:rFonts w:hint="eastAsia"/>
                <w:snapToGrid w:val="0"/>
                <w:lang w:eastAsia="zh-CN"/>
              </w:rPr>
              <w:t>0.21</w:t>
            </w:r>
          </w:p>
        </w:tc>
      </w:tr>
      <w:tr w14:paraId="2686EF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6" w:type="dxa"/>
            <w:vAlign w:val="center"/>
          </w:tcPr>
          <w:p w14:paraId="389DE2EB">
            <w:pPr>
              <w:pStyle w:val="518"/>
              <w:rPr>
                <w:snapToGrid w:val="0"/>
                <w:lang w:eastAsia="zh-CN"/>
              </w:rPr>
            </w:pPr>
            <w:r>
              <w:rPr>
                <w:snapToGrid w:val="0"/>
                <w:lang w:eastAsia="zh-CN"/>
              </w:rPr>
              <w:t>锌</w:t>
            </w:r>
          </w:p>
        </w:tc>
        <w:tc>
          <w:tcPr>
            <w:tcW w:w="1137" w:type="dxa"/>
            <w:tcBorders>
              <w:right w:val="single" w:color="auto" w:sz="4" w:space="0"/>
            </w:tcBorders>
            <w:vAlign w:val="center"/>
          </w:tcPr>
          <w:p w14:paraId="11DED052">
            <w:pPr>
              <w:pStyle w:val="518"/>
              <w:rPr>
                <w:lang w:eastAsia="zh-CN"/>
              </w:rPr>
            </w:pPr>
            <w:r>
              <w:rPr>
                <w:rFonts w:hint="eastAsia"/>
                <w:lang w:eastAsia="zh-CN"/>
              </w:rPr>
              <w:t>64.7</w:t>
            </w:r>
          </w:p>
        </w:tc>
        <w:tc>
          <w:tcPr>
            <w:tcW w:w="992" w:type="dxa"/>
            <w:tcBorders>
              <w:left w:val="single" w:color="auto" w:sz="4" w:space="0"/>
            </w:tcBorders>
            <w:vAlign w:val="center"/>
          </w:tcPr>
          <w:p w14:paraId="0151CBD1">
            <w:pPr>
              <w:pStyle w:val="518"/>
              <w:rPr>
                <w:lang w:eastAsia="zh-CN"/>
              </w:rPr>
            </w:pPr>
            <w:r>
              <w:rPr>
                <w:rFonts w:hint="eastAsia"/>
                <w:lang w:eastAsia="zh-CN"/>
              </w:rPr>
              <w:t>0.22</w:t>
            </w:r>
          </w:p>
        </w:tc>
        <w:tc>
          <w:tcPr>
            <w:tcW w:w="1134" w:type="dxa"/>
            <w:tcBorders>
              <w:right w:val="single" w:color="auto" w:sz="4" w:space="0"/>
            </w:tcBorders>
            <w:vAlign w:val="center"/>
          </w:tcPr>
          <w:p w14:paraId="39AF5083">
            <w:pPr>
              <w:pStyle w:val="518"/>
              <w:rPr>
                <w:lang w:eastAsia="zh-CN"/>
              </w:rPr>
            </w:pPr>
            <w:r>
              <w:rPr>
                <w:rFonts w:hint="eastAsia"/>
                <w:lang w:eastAsia="zh-CN"/>
              </w:rPr>
              <w:t>57.6</w:t>
            </w:r>
          </w:p>
        </w:tc>
        <w:tc>
          <w:tcPr>
            <w:tcW w:w="851" w:type="dxa"/>
            <w:tcBorders>
              <w:left w:val="single" w:color="auto" w:sz="4" w:space="0"/>
            </w:tcBorders>
            <w:vAlign w:val="center"/>
          </w:tcPr>
          <w:p w14:paraId="596A76CC">
            <w:pPr>
              <w:pStyle w:val="518"/>
              <w:rPr>
                <w:lang w:eastAsia="zh-CN"/>
              </w:rPr>
            </w:pPr>
            <w:r>
              <w:rPr>
                <w:rFonts w:hint="eastAsia"/>
                <w:lang w:eastAsia="zh-CN"/>
              </w:rPr>
              <w:t>0.19</w:t>
            </w:r>
          </w:p>
        </w:tc>
        <w:tc>
          <w:tcPr>
            <w:tcW w:w="1275" w:type="dxa"/>
            <w:tcBorders>
              <w:right w:val="single" w:color="auto" w:sz="4" w:space="0"/>
            </w:tcBorders>
            <w:vAlign w:val="center"/>
          </w:tcPr>
          <w:p w14:paraId="4B402EA1">
            <w:pPr>
              <w:pStyle w:val="518"/>
              <w:rPr>
                <w:lang w:eastAsia="zh-CN"/>
              </w:rPr>
            </w:pPr>
            <w:r>
              <w:rPr>
                <w:rFonts w:hint="eastAsia"/>
                <w:lang w:eastAsia="zh-CN"/>
              </w:rPr>
              <w:t>52.1</w:t>
            </w:r>
          </w:p>
        </w:tc>
        <w:tc>
          <w:tcPr>
            <w:tcW w:w="1134" w:type="dxa"/>
            <w:tcBorders>
              <w:left w:val="single" w:color="auto" w:sz="4" w:space="0"/>
            </w:tcBorders>
            <w:vAlign w:val="center"/>
          </w:tcPr>
          <w:p w14:paraId="5AD9BB97">
            <w:pPr>
              <w:pStyle w:val="518"/>
              <w:rPr>
                <w:lang w:eastAsia="zh-CN"/>
              </w:rPr>
            </w:pPr>
            <w:r>
              <w:rPr>
                <w:rFonts w:hint="eastAsia"/>
                <w:lang w:eastAsia="zh-CN"/>
              </w:rPr>
              <w:t>0.17</w:t>
            </w:r>
          </w:p>
        </w:tc>
        <w:tc>
          <w:tcPr>
            <w:tcW w:w="1134" w:type="dxa"/>
            <w:tcBorders>
              <w:right w:val="single" w:color="auto" w:sz="4" w:space="0"/>
            </w:tcBorders>
            <w:vAlign w:val="center"/>
          </w:tcPr>
          <w:p w14:paraId="462A5D1C">
            <w:pPr>
              <w:pStyle w:val="518"/>
              <w:rPr>
                <w:lang w:eastAsia="zh-CN"/>
              </w:rPr>
            </w:pPr>
            <w:r>
              <w:rPr>
                <w:rFonts w:hint="eastAsia"/>
                <w:lang w:eastAsia="zh-CN"/>
              </w:rPr>
              <w:t>64.2</w:t>
            </w:r>
          </w:p>
        </w:tc>
        <w:tc>
          <w:tcPr>
            <w:tcW w:w="1134" w:type="dxa"/>
            <w:tcBorders>
              <w:left w:val="single" w:color="auto" w:sz="4" w:space="0"/>
            </w:tcBorders>
            <w:vAlign w:val="center"/>
          </w:tcPr>
          <w:p w14:paraId="203297AC">
            <w:pPr>
              <w:pStyle w:val="518"/>
              <w:rPr>
                <w:lang w:eastAsia="zh-CN"/>
              </w:rPr>
            </w:pPr>
            <w:r>
              <w:rPr>
                <w:rFonts w:hint="eastAsia"/>
                <w:lang w:eastAsia="zh-CN"/>
              </w:rPr>
              <w:t>0.21</w:t>
            </w:r>
          </w:p>
        </w:tc>
        <w:tc>
          <w:tcPr>
            <w:tcW w:w="1418" w:type="dxa"/>
            <w:tcBorders>
              <w:right w:val="single" w:color="auto" w:sz="4" w:space="0"/>
            </w:tcBorders>
            <w:vAlign w:val="center"/>
          </w:tcPr>
          <w:p w14:paraId="5016F77B">
            <w:pPr>
              <w:pStyle w:val="518"/>
              <w:rPr>
                <w:snapToGrid w:val="0"/>
                <w:lang w:eastAsia="zh-CN"/>
              </w:rPr>
            </w:pPr>
            <w:r>
              <w:rPr>
                <w:rFonts w:hint="eastAsia"/>
                <w:snapToGrid w:val="0"/>
                <w:lang w:eastAsia="zh-CN"/>
              </w:rPr>
              <w:t>57.5</w:t>
            </w:r>
          </w:p>
        </w:tc>
        <w:tc>
          <w:tcPr>
            <w:tcW w:w="992" w:type="dxa"/>
            <w:tcBorders>
              <w:left w:val="single" w:color="auto" w:sz="4" w:space="0"/>
              <w:right w:val="single" w:color="auto" w:sz="4" w:space="0"/>
            </w:tcBorders>
            <w:vAlign w:val="center"/>
          </w:tcPr>
          <w:p w14:paraId="46BBA48D">
            <w:pPr>
              <w:pStyle w:val="518"/>
              <w:rPr>
                <w:snapToGrid w:val="0"/>
                <w:lang w:eastAsia="zh-CN"/>
              </w:rPr>
            </w:pPr>
            <w:r>
              <w:rPr>
                <w:rFonts w:hint="eastAsia"/>
                <w:snapToGrid w:val="0"/>
                <w:lang w:eastAsia="zh-CN"/>
              </w:rPr>
              <w:t>0.19</w:t>
            </w:r>
          </w:p>
        </w:tc>
        <w:tc>
          <w:tcPr>
            <w:tcW w:w="1134" w:type="dxa"/>
            <w:tcBorders>
              <w:left w:val="single" w:color="auto" w:sz="4" w:space="0"/>
              <w:right w:val="single" w:color="auto" w:sz="4" w:space="0"/>
            </w:tcBorders>
            <w:vAlign w:val="center"/>
          </w:tcPr>
          <w:p w14:paraId="19CDF0B8">
            <w:pPr>
              <w:pStyle w:val="518"/>
              <w:rPr>
                <w:snapToGrid w:val="0"/>
                <w:lang w:eastAsia="zh-CN"/>
              </w:rPr>
            </w:pPr>
            <w:r>
              <w:rPr>
                <w:rFonts w:hint="eastAsia"/>
                <w:snapToGrid w:val="0"/>
                <w:lang w:eastAsia="zh-CN"/>
              </w:rPr>
              <w:t>52.0</w:t>
            </w:r>
          </w:p>
        </w:tc>
        <w:tc>
          <w:tcPr>
            <w:tcW w:w="851" w:type="dxa"/>
            <w:tcBorders>
              <w:left w:val="single" w:color="auto" w:sz="4" w:space="0"/>
            </w:tcBorders>
            <w:vAlign w:val="center"/>
          </w:tcPr>
          <w:p w14:paraId="3947F453">
            <w:pPr>
              <w:pStyle w:val="518"/>
              <w:rPr>
                <w:snapToGrid w:val="0"/>
                <w:lang w:eastAsia="zh-CN"/>
              </w:rPr>
            </w:pPr>
            <w:r>
              <w:rPr>
                <w:rFonts w:hint="eastAsia"/>
                <w:snapToGrid w:val="0"/>
                <w:lang w:eastAsia="zh-CN"/>
              </w:rPr>
              <w:t>0.17</w:t>
            </w:r>
          </w:p>
        </w:tc>
      </w:tr>
      <w:tr w14:paraId="29C7A1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6" w:type="dxa"/>
            <w:vAlign w:val="center"/>
          </w:tcPr>
          <w:p w14:paraId="24E4B5B7">
            <w:pPr>
              <w:pStyle w:val="518"/>
              <w:rPr>
                <w:snapToGrid w:val="0"/>
                <w:lang w:eastAsia="zh-CN"/>
              </w:rPr>
            </w:pPr>
            <w:r>
              <w:rPr>
                <w:snapToGrid w:val="0"/>
              </w:rPr>
              <w:t>铅</w:t>
            </w:r>
          </w:p>
        </w:tc>
        <w:tc>
          <w:tcPr>
            <w:tcW w:w="1137" w:type="dxa"/>
            <w:tcBorders>
              <w:right w:val="single" w:color="auto" w:sz="4" w:space="0"/>
            </w:tcBorders>
            <w:vAlign w:val="center"/>
          </w:tcPr>
          <w:p w14:paraId="729A6C2E">
            <w:pPr>
              <w:pStyle w:val="518"/>
              <w:rPr>
                <w:lang w:eastAsia="zh-CN"/>
              </w:rPr>
            </w:pPr>
            <w:r>
              <w:rPr>
                <w:rFonts w:hint="eastAsia"/>
                <w:lang w:eastAsia="zh-CN"/>
              </w:rPr>
              <w:t>29.5</w:t>
            </w:r>
          </w:p>
        </w:tc>
        <w:tc>
          <w:tcPr>
            <w:tcW w:w="992" w:type="dxa"/>
            <w:tcBorders>
              <w:left w:val="single" w:color="auto" w:sz="4" w:space="0"/>
            </w:tcBorders>
            <w:vAlign w:val="center"/>
          </w:tcPr>
          <w:p w14:paraId="5DA62322">
            <w:pPr>
              <w:pStyle w:val="518"/>
              <w:rPr>
                <w:lang w:eastAsia="zh-CN"/>
              </w:rPr>
            </w:pPr>
            <w:r>
              <w:rPr>
                <w:rFonts w:hint="eastAsia"/>
                <w:lang w:eastAsia="zh-CN"/>
              </w:rPr>
              <w:t>0.08</w:t>
            </w:r>
          </w:p>
        </w:tc>
        <w:tc>
          <w:tcPr>
            <w:tcW w:w="1134" w:type="dxa"/>
            <w:tcBorders>
              <w:right w:val="single" w:color="auto" w:sz="4" w:space="0"/>
            </w:tcBorders>
            <w:vAlign w:val="center"/>
          </w:tcPr>
          <w:p w14:paraId="3B8CEDA9">
            <w:pPr>
              <w:pStyle w:val="518"/>
              <w:rPr>
                <w:lang w:eastAsia="zh-CN"/>
              </w:rPr>
            </w:pPr>
            <w:r>
              <w:rPr>
                <w:rFonts w:hint="eastAsia"/>
                <w:lang w:eastAsia="zh-CN"/>
              </w:rPr>
              <w:t>27.6</w:t>
            </w:r>
          </w:p>
        </w:tc>
        <w:tc>
          <w:tcPr>
            <w:tcW w:w="851" w:type="dxa"/>
            <w:tcBorders>
              <w:left w:val="single" w:color="auto" w:sz="4" w:space="0"/>
            </w:tcBorders>
            <w:vAlign w:val="center"/>
          </w:tcPr>
          <w:p w14:paraId="6899ABC0">
            <w:pPr>
              <w:pStyle w:val="518"/>
              <w:rPr>
                <w:lang w:eastAsia="zh-CN"/>
              </w:rPr>
            </w:pPr>
            <w:r>
              <w:rPr>
                <w:rFonts w:hint="eastAsia"/>
                <w:lang w:eastAsia="zh-CN"/>
              </w:rPr>
              <w:t>0.08</w:t>
            </w:r>
          </w:p>
        </w:tc>
        <w:tc>
          <w:tcPr>
            <w:tcW w:w="1275" w:type="dxa"/>
            <w:tcBorders>
              <w:right w:val="single" w:color="auto" w:sz="4" w:space="0"/>
            </w:tcBorders>
            <w:vAlign w:val="center"/>
          </w:tcPr>
          <w:p w14:paraId="21194CAF">
            <w:pPr>
              <w:pStyle w:val="518"/>
              <w:rPr>
                <w:lang w:eastAsia="zh-CN"/>
              </w:rPr>
            </w:pPr>
            <w:r>
              <w:rPr>
                <w:rFonts w:hint="eastAsia"/>
                <w:lang w:eastAsia="zh-CN"/>
              </w:rPr>
              <w:t>26.3</w:t>
            </w:r>
          </w:p>
        </w:tc>
        <w:tc>
          <w:tcPr>
            <w:tcW w:w="1134" w:type="dxa"/>
            <w:tcBorders>
              <w:left w:val="single" w:color="auto" w:sz="4" w:space="0"/>
            </w:tcBorders>
            <w:vAlign w:val="center"/>
          </w:tcPr>
          <w:p w14:paraId="4989737D">
            <w:pPr>
              <w:pStyle w:val="518"/>
              <w:rPr>
                <w:lang w:eastAsia="zh-CN"/>
              </w:rPr>
            </w:pPr>
            <w:r>
              <w:rPr>
                <w:rFonts w:hint="eastAsia"/>
                <w:lang w:eastAsia="zh-CN"/>
              </w:rPr>
              <w:t>0.08</w:t>
            </w:r>
          </w:p>
        </w:tc>
        <w:tc>
          <w:tcPr>
            <w:tcW w:w="1134" w:type="dxa"/>
            <w:tcBorders>
              <w:right w:val="single" w:color="auto" w:sz="4" w:space="0"/>
            </w:tcBorders>
            <w:vAlign w:val="center"/>
          </w:tcPr>
          <w:p w14:paraId="754536D4">
            <w:pPr>
              <w:pStyle w:val="518"/>
              <w:rPr>
                <w:lang w:eastAsia="zh-CN"/>
              </w:rPr>
            </w:pPr>
            <w:r>
              <w:rPr>
                <w:rFonts w:hint="eastAsia"/>
                <w:lang w:eastAsia="zh-CN"/>
              </w:rPr>
              <w:t>29.5</w:t>
            </w:r>
          </w:p>
        </w:tc>
        <w:tc>
          <w:tcPr>
            <w:tcW w:w="1134" w:type="dxa"/>
            <w:tcBorders>
              <w:left w:val="single" w:color="auto" w:sz="4" w:space="0"/>
            </w:tcBorders>
            <w:vAlign w:val="center"/>
          </w:tcPr>
          <w:p w14:paraId="5B3B497E">
            <w:pPr>
              <w:pStyle w:val="518"/>
              <w:rPr>
                <w:lang w:eastAsia="zh-CN"/>
              </w:rPr>
            </w:pPr>
            <w:r>
              <w:rPr>
                <w:rFonts w:hint="eastAsia"/>
                <w:lang w:eastAsia="zh-CN"/>
              </w:rPr>
              <w:t>0.08</w:t>
            </w:r>
          </w:p>
        </w:tc>
        <w:tc>
          <w:tcPr>
            <w:tcW w:w="1418" w:type="dxa"/>
            <w:tcBorders>
              <w:right w:val="single" w:color="auto" w:sz="4" w:space="0"/>
            </w:tcBorders>
            <w:vAlign w:val="center"/>
          </w:tcPr>
          <w:p w14:paraId="70055DED">
            <w:pPr>
              <w:pStyle w:val="518"/>
              <w:rPr>
                <w:snapToGrid w:val="0"/>
                <w:lang w:eastAsia="zh-CN"/>
              </w:rPr>
            </w:pPr>
            <w:r>
              <w:rPr>
                <w:rFonts w:hint="eastAsia"/>
                <w:snapToGrid w:val="0"/>
                <w:lang w:eastAsia="zh-CN"/>
              </w:rPr>
              <w:t>27.3</w:t>
            </w:r>
          </w:p>
        </w:tc>
        <w:tc>
          <w:tcPr>
            <w:tcW w:w="992" w:type="dxa"/>
            <w:tcBorders>
              <w:left w:val="single" w:color="auto" w:sz="4" w:space="0"/>
              <w:right w:val="single" w:color="auto" w:sz="4" w:space="0"/>
            </w:tcBorders>
            <w:vAlign w:val="center"/>
          </w:tcPr>
          <w:p w14:paraId="360DB18C">
            <w:pPr>
              <w:pStyle w:val="518"/>
              <w:rPr>
                <w:snapToGrid w:val="0"/>
                <w:lang w:eastAsia="zh-CN"/>
              </w:rPr>
            </w:pPr>
            <w:r>
              <w:rPr>
                <w:rFonts w:hint="eastAsia"/>
                <w:snapToGrid w:val="0"/>
                <w:lang w:eastAsia="zh-CN"/>
              </w:rPr>
              <w:t>0.08</w:t>
            </w:r>
          </w:p>
        </w:tc>
        <w:tc>
          <w:tcPr>
            <w:tcW w:w="1134" w:type="dxa"/>
            <w:tcBorders>
              <w:left w:val="single" w:color="auto" w:sz="4" w:space="0"/>
              <w:right w:val="single" w:color="auto" w:sz="4" w:space="0"/>
            </w:tcBorders>
            <w:vAlign w:val="center"/>
          </w:tcPr>
          <w:p w14:paraId="58D540C0">
            <w:pPr>
              <w:pStyle w:val="518"/>
              <w:rPr>
                <w:snapToGrid w:val="0"/>
                <w:lang w:eastAsia="zh-CN"/>
              </w:rPr>
            </w:pPr>
            <w:r>
              <w:rPr>
                <w:rFonts w:hint="eastAsia"/>
                <w:snapToGrid w:val="0"/>
                <w:lang w:eastAsia="zh-CN"/>
              </w:rPr>
              <w:t>25.9</w:t>
            </w:r>
          </w:p>
        </w:tc>
        <w:tc>
          <w:tcPr>
            <w:tcW w:w="851" w:type="dxa"/>
            <w:tcBorders>
              <w:left w:val="single" w:color="auto" w:sz="4" w:space="0"/>
            </w:tcBorders>
            <w:vAlign w:val="center"/>
          </w:tcPr>
          <w:p w14:paraId="64EE8226">
            <w:pPr>
              <w:pStyle w:val="518"/>
              <w:rPr>
                <w:snapToGrid w:val="0"/>
                <w:lang w:eastAsia="zh-CN"/>
              </w:rPr>
            </w:pPr>
            <w:r>
              <w:rPr>
                <w:rFonts w:hint="eastAsia"/>
                <w:snapToGrid w:val="0"/>
                <w:lang w:eastAsia="zh-CN"/>
              </w:rPr>
              <w:t>0.07</w:t>
            </w:r>
          </w:p>
        </w:tc>
      </w:tr>
      <w:tr w14:paraId="71CB14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6" w:type="dxa"/>
            <w:vAlign w:val="center"/>
          </w:tcPr>
          <w:p w14:paraId="5DC8A171">
            <w:pPr>
              <w:pStyle w:val="518"/>
              <w:rPr>
                <w:snapToGrid w:val="0"/>
              </w:rPr>
            </w:pPr>
            <w:r>
              <w:rPr>
                <w:snapToGrid w:val="0"/>
              </w:rPr>
              <w:t>镉</w:t>
            </w:r>
          </w:p>
        </w:tc>
        <w:tc>
          <w:tcPr>
            <w:tcW w:w="1137" w:type="dxa"/>
            <w:tcBorders>
              <w:right w:val="single" w:color="auto" w:sz="4" w:space="0"/>
            </w:tcBorders>
            <w:vAlign w:val="center"/>
          </w:tcPr>
          <w:p w14:paraId="2895084A">
            <w:pPr>
              <w:pStyle w:val="518"/>
              <w:rPr>
                <w:lang w:eastAsia="zh-CN"/>
              </w:rPr>
            </w:pPr>
            <w:r>
              <w:rPr>
                <w:rFonts w:hint="eastAsia"/>
                <w:lang w:eastAsia="zh-CN"/>
              </w:rPr>
              <w:t>0.197</w:t>
            </w:r>
          </w:p>
        </w:tc>
        <w:tc>
          <w:tcPr>
            <w:tcW w:w="992" w:type="dxa"/>
            <w:tcBorders>
              <w:left w:val="single" w:color="auto" w:sz="4" w:space="0"/>
            </w:tcBorders>
            <w:vAlign w:val="center"/>
          </w:tcPr>
          <w:p w14:paraId="77E8A43D">
            <w:pPr>
              <w:pStyle w:val="518"/>
              <w:rPr>
                <w:lang w:eastAsia="zh-CN"/>
              </w:rPr>
            </w:pPr>
            <w:r>
              <w:rPr>
                <w:rFonts w:hint="eastAsia"/>
                <w:lang w:eastAsia="zh-CN"/>
              </w:rPr>
              <w:t>0.33</w:t>
            </w:r>
          </w:p>
        </w:tc>
        <w:tc>
          <w:tcPr>
            <w:tcW w:w="1134" w:type="dxa"/>
            <w:tcBorders>
              <w:right w:val="single" w:color="auto" w:sz="4" w:space="0"/>
            </w:tcBorders>
            <w:vAlign w:val="center"/>
          </w:tcPr>
          <w:p w14:paraId="43790CE8">
            <w:pPr>
              <w:pStyle w:val="518"/>
              <w:rPr>
                <w:lang w:eastAsia="zh-CN"/>
              </w:rPr>
            </w:pPr>
            <w:r>
              <w:rPr>
                <w:rFonts w:hint="eastAsia"/>
                <w:lang w:eastAsia="zh-CN"/>
              </w:rPr>
              <w:t>0.183</w:t>
            </w:r>
          </w:p>
        </w:tc>
        <w:tc>
          <w:tcPr>
            <w:tcW w:w="851" w:type="dxa"/>
            <w:tcBorders>
              <w:left w:val="single" w:color="auto" w:sz="4" w:space="0"/>
            </w:tcBorders>
            <w:vAlign w:val="center"/>
          </w:tcPr>
          <w:p w14:paraId="009CC1FF">
            <w:pPr>
              <w:pStyle w:val="518"/>
              <w:rPr>
                <w:lang w:eastAsia="zh-CN"/>
              </w:rPr>
            </w:pPr>
            <w:r>
              <w:rPr>
                <w:rFonts w:hint="eastAsia"/>
                <w:lang w:eastAsia="zh-CN"/>
              </w:rPr>
              <w:t>0.31</w:t>
            </w:r>
          </w:p>
        </w:tc>
        <w:tc>
          <w:tcPr>
            <w:tcW w:w="1275" w:type="dxa"/>
            <w:tcBorders>
              <w:right w:val="single" w:color="auto" w:sz="4" w:space="0"/>
            </w:tcBorders>
            <w:vAlign w:val="center"/>
          </w:tcPr>
          <w:p w14:paraId="4E35F628">
            <w:pPr>
              <w:pStyle w:val="518"/>
              <w:rPr>
                <w:lang w:eastAsia="zh-CN"/>
              </w:rPr>
            </w:pPr>
            <w:r>
              <w:rPr>
                <w:rFonts w:hint="eastAsia"/>
                <w:lang w:eastAsia="zh-CN"/>
              </w:rPr>
              <w:t>0.169</w:t>
            </w:r>
          </w:p>
        </w:tc>
        <w:tc>
          <w:tcPr>
            <w:tcW w:w="1134" w:type="dxa"/>
            <w:tcBorders>
              <w:left w:val="single" w:color="auto" w:sz="4" w:space="0"/>
            </w:tcBorders>
            <w:vAlign w:val="center"/>
          </w:tcPr>
          <w:p w14:paraId="67BEE500">
            <w:pPr>
              <w:pStyle w:val="518"/>
              <w:rPr>
                <w:lang w:eastAsia="zh-CN"/>
              </w:rPr>
            </w:pPr>
            <w:r>
              <w:rPr>
                <w:rFonts w:hint="eastAsia"/>
                <w:lang w:eastAsia="zh-CN"/>
              </w:rPr>
              <w:t>0.28</w:t>
            </w:r>
          </w:p>
        </w:tc>
        <w:tc>
          <w:tcPr>
            <w:tcW w:w="1134" w:type="dxa"/>
            <w:tcBorders>
              <w:right w:val="single" w:color="auto" w:sz="4" w:space="0"/>
            </w:tcBorders>
            <w:vAlign w:val="center"/>
          </w:tcPr>
          <w:p w14:paraId="39ED5E27">
            <w:pPr>
              <w:pStyle w:val="518"/>
              <w:rPr>
                <w:lang w:eastAsia="zh-CN"/>
              </w:rPr>
            </w:pPr>
            <w:r>
              <w:rPr>
                <w:rFonts w:hint="eastAsia"/>
                <w:lang w:eastAsia="zh-CN"/>
              </w:rPr>
              <w:t>0.198</w:t>
            </w:r>
          </w:p>
        </w:tc>
        <w:tc>
          <w:tcPr>
            <w:tcW w:w="1134" w:type="dxa"/>
            <w:tcBorders>
              <w:left w:val="single" w:color="auto" w:sz="4" w:space="0"/>
            </w:tcBorders>
            <w:vAlign w:val="center"/>
          </w:tcPr>
          <w:p w14:paraId="6F3D410F">
            <w:pPr>
              <w:pStyle w:val="518"/>
              <w:rPr>
                <w:lang w:eastAsia="zh-CN"/>
              </w:rPr>
            </w:pPr>
            <w:r>
              <w:rPr>
                <w:rFonts w:hint="eastAsia"/>
                <w:lang w:eastAsia="zh-CN"/>
              </w:rPr>
              <w:t>0.33</w:t>
            </w:r>
          </w:p>
        </w:tc>
        <w:tc>
          <w:tcPr>
            <w:tcW w:w="1418" w:type="dxa"/>
            <w:tcBorders>
              <w:right w:val="single" w:color="auto" w:sz="4" w:space="0"/>
            </w:tcBorders>
            <w:vAlign w:val="center"/>
          </w:tcPr>
          <w:p w14:paraId="081CA1C7">
            <w:pPr>
              <w:pStyle w:val="518"/>
              <w:rPr>
                <w:snapToGrid w:val="0"/>
                <w:lang w:eastAsia="zh-CN"/>
              </w:rPr>
            </w:pPr>
            <w:r>
              <w:rPr>
                <w:rFonts w:hint="eastAsia"/>
                <w:snapToGrid w:val="0"/>
                <w:lang w:eastAsia="zh-CN"/>
              </w:rPr>
              <w:t>0.185</w:t>
            </w:r>
          </w:p>
        </w:tc>
        <w:tc>
          <w:tcPr>
            <w:tcW w:w="992" w:type="dxa"/>
            <w:tcBorders>
              <w:left w:val="single" w:color="auto" w:sz="4" w:space="0"/>
              <w:right w:val="single" w:color="auto" w:sz="4" w:space="0"/>
            </w:tcBorders>
            <w:vAlign w:val="center"/>
          </w:tcPr>
          <w:p w14:paraId="799C0FAA">
            <w:pPr>
              <w:pStyle w:val="518"/>
              <w:rPr>
                <w:snapToGrid w:val="0"/>
                <w:lang w:eastAsia="zh-CN"/>
              </w:rPr>
            </w:pPr>
            <w:r>
              <w:rPr>
                <w:rFonts w:hint="eastAsia"/>
                <w:snapToGrid w:val="0"/>
                <w:lang w:eastAsia="zh-CN"/>
              </w:rPr>
              <w:t>0.31</w:t>
            </w:r>
          </w:p>
        </w:tc>
        <w:tc>
          <w:tcPr>
            <w:tcW w:w="1134" w:type="dxa"/>
            <w:tcBorders>
              <w:left w:val="single" w:color="auto" w:sz="4" w:space="0"/>
              <w:right w:val="single" w:color="auto" w:sz="4" w:space="0"/>
            </w:tcBorders>
            <w:vAlign w:val="center"/>
          </w:tcPr>
          <w:p w14:paraId="7113B83A">
            <w:pPr>
              <w:pStyle w:val="518"/>
              <w:rPr>
                <w:snapToGrid w:val="0"/>
                <w:lang w:eastAsia="zh-CN"/>
              </w:rPr>
            </w:pPr>
            <w:r>
              <w:rPr>
                <w:rFonts w:hint="eastAsia"/>
                <w:snapToGrid w:val="0"/>
                <w:lang w:eastAsia="zh-CN"/>
              </w:rPr>
              <w:t>0.170</w:t>
            </w:r>
          </w:p>
        </w:tc>
        <w:tc>
          <w:tcPr>
            <w:tcW w:w="851" w:type="dxa"/>
            <w:tcBorders>
              <w:left w:val="single" w:color="auto" w:sz="4" w:space="0"/>
            </w:tcBorders>
            <w:vAlign w:val="center"/>
          </w:tcPr>
          <w:p w14:paraId="53617164">
            <w:pPr>
              <w:pStyle w:val="518"/>
              <w:rPr>
                <w:snapToGrid w:val="0"/>
                <w:lang w:eastAsia="zh-CN"/>
              </w:rPr>
            </w:pPr>
            <w:r>
              <w:rPr>
                <w:rFonts w:hint="eastAsia"/>
                <w:snapToGrid w:val="0"/>
                <w:lang w:eastAsia="zh-CN"/>
              </w:rPr>
              <w:t>0.28</w:t>
            </w:r>
          </w:p>
        </w:tc>
      </w:tr>
      <w:tr w14:paraId="677E94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6" w:type="dxa"/>
            <w:vAlign w:val="center"/>
          </w:tcPr>
          <w:p w14:paraId="4741DDEE">
            <w:pPr>
              <w:pStyle w:val="518"/>
              <w:rPr>
                <w:snapToGrid w:val="0"/>
              </w:rPr>
            </w:pPr>
            <w:r>
              <w:t>镍</w:t>
            </w:r>
          </w:p>
        </w:tc>
        <w:tc>
          <w:tcPr>
            <w:tcW w:w="1137" w:type="dxa"/>
            <w:tcBorders>
              <w:right w:val="single" w:color="auto" w:sz="4" w:space="0"/>
            </w:tcBorders>
            <w:vAlign w:val="center"/>
          </w:tcPr>
          <w:p w14:paraId="32742BAA">
            <w:pPr>
              <w:pStyle w:val="518"/>
              <w:rPr>
                <w:lang w:eastAsia="zh-CN"/>
              </w:rPr>
            </w:pPr>
            <w:r>
              <w:rPr>
                <w:rFonts w:hint="eastAsia"/>
                <w:lang w:eastAsia="zh-CN"/>
              </w:rPr>
              <w:t>23.5</w:t>
            </w:r>
          </w:p>
        </w:tc>
        <w:tc>
          <w:tcPr>
            <w:tcW w:w="992" w:type="dxa"/>
            <w:tcBorders>
              <w:left w:val="single" w:color="auto" w:sz="4" w:space="0"/>
            </w:tcBorders>
            <w:vAlign w:val="center"/>
          </w:tcPr>
          <w:p w14:paraId="7E6E6A5B">
            <w:pPr>
              <w:pStyle w:val="518"/>
              <w:rPr>
                <w:lang w:eastAsia="zh-CN"/>
              </w:rPr>
            </w:pPr>
            <w:r>
              <w:rPr>
                <w:rFonts w:hint="eastAsia"/>
                <w:lang w:eastAsia="zh-CN"/>
              </w:rPr>
              <w:t>0.39</w:t>
            </w:r>
          </w:p>
        </w:tc>
        <w:tc>
          <w:tcPr>
            <w:tcW w:w="1134" w:type="dxa"/>
            <w:tcBorders>
              <w:right w:val="single" w:color="auto" w:sz="4" w:space="0"/>
            </w:tcBorders>
            <w:vAlign w:val="center"/>
          </w:tcPr>
          <w:p w14:paraId="0184911E">
            <w:pPr>
              <w:pStyle w:val="518"/>
              <w:rPr>
                <w:lang w:eastAsia="zh-CN"/>
              </w:rPr>
            </w:pPr>
            <w:r>
              <w:rPr>
                <w:rFonts w:hint="eastAsia"/>
                <w:lang w:eastAsia="zh-CN"/>
              </w:rPr>
              <w:t>18.7</w:t>
            </w:r>
          </w:p>
        </w:tc>
        <w:tc>
          <w:tcPr>
            <w:tcW w:w="851" w:type="dxa"/>
            <w:tcBorders>
              <w:left w:val="single" w:color="auto" w:sz="4" w:space="0"/>
            </w:tcBorders>
            <w:vAlign w:val="center"/>
          </w:tcPr>
          <w:p w14:paraId="30BFCD01">
            <w:pPr>
              <w:pStyle w:val="518"/>
              <w:rPr>
                <w:lang w:eastAsia="zh-CN"/>
              </w:rPr>
            </w:pPr>
            <w:r>
              <w:rPr>
                <w:rFonts w:hint="eastAsia"/>
                <w:lang w:eastAsia="zh-CN"/>
              </w:rPr>
              <w:t>0.31</w:t>
            </w:r>
          </w:p>
        </w:tc>
        <w:tc>
          <w:tcPr>
            <w:tcW w:w="1275" w:type="dxa"/>
            <w:tcBorders>
              <w:right w:val="single" w:color="auto" w:sz="4" w:space="0"/>
            </w:tcBorders>
            <w:vAlign w:val="center"/>
          </w:tcPr>
          <w:p w14:paraId="68055162">
            <w:pPr>
              <w:pStyle w:val="518"/>
              <w:rPr>
                <w:lang w:eastAsia="zh-CN"/>
              </w:rPr>
            </w:pPr>
            <w:r>
              <w:rPr>
                <w:rFonts w:hint="eastAsia"/>
                <w:lang w:eastAsia="zh-CN"/>
              </w:rPr>
              <w:t>15.4</w:t>
            </w:r>
          </w:p>
        </w:tc>
        <w:tc>
          <w:tcPr>
            <w:tcW w:w="1134" w:type="dxa"/>
            <w:tcBorders>
              <w:left w:val="single" w:color="auto" w:sz="4" w:space="0"/>
            </w:tcBorders>
            <w:vAlign w:val="center"/>
          </w:tcPr>
          <w:p w14:paraId="358D791A">
            <w:pPr>
              <w:pStyle w:val="518"/>
              <w:rPr>
                <w:lang w:eastAsia="zh-CN"/>
              </w:rPr>
            </w:pPr>
            <w:r>
              <w:rPr>
                <w:rFonts w:hint="eastAsia"/>
                <w:lang w:eastAsia="zh-CN"/>
              </w:rPr>
              <w:t>0.26</w:t>
            </w:r>
          </w:p>
        </w:tc>
        <w:tc>
          <w:tcPr>
            <w:tcW w:w="1134" w:type="dxa"/>
            <w:tcBorders>
              <w:right w:val="single" w:color="auto" w:sz="4" w:space="0"/>
            </w:tcBorders>
            <w:vAlign w:val="center"/>
          </w:tcPr>
          <w:p w14:paraId="08D6F451">
            <w:pPr>
              <w:pStyle w:val="518"/>
              <w:rPr>
                <w:lang w:eastAsia="zh-CN"/>
              </w:rPr>
            </w:pPr>
            <w:r>
              <w:rPr>
                <w:rFonts w:hint="eastAsia"/>
                <w:lang w:eastAsia="zh-CN"/>
              </w:rPr>
              <w:t>23.6</w:t>
            </w:r>
          </w:p>
        </w:tc>
        <w:tc>
          <w:tcPr>
            <w:tcW w:w="1134" w:type="dxa"/>
            <w:tcBorders>
              <w:left w:val="single" w:color="auto" w:sz="4" w:space="0"/>
            </w:tcBorders>
            <w:vAlign w:val="center"/>
          </w:tcPr>
          <w:p w14:paraId="1FB8BA74">
            <w:pPr>
              <w:pStyle w:val="518"/>
              <w:rPr>
                <w:lang w:eastAsia="zh-CN"/>
              </w:rPr>
            </w:pPr>
            <w:r>
              <w:rPr>
                <w:rFonts w:hint="eastAsia"/>
                <w:lang w:eastAsia="zh-CN"/>
              </w:rPr>
              <w:t>0.39</w:t>
            </w:r>
          </w:p>
        </w:tc>
        <w:tc>
          <w:tcPr>
            <w:tcW w:w="1418" w:type="dxa"/>
            <w:tcBorders>
              <w:right w:val="single" w:color="auto" w:sz="4" w:space="0"/>
            </w:tcBorders>
            <w:vAlign w:val="center"/>
          </w:tcPr>
          <w:p w14:paraId="6EEA6462">
            <w:pPr>
              <w:pStyle w:val="518"/>
              <w:rPr>
                <w:snapToGrid w:val="0"/>
                <w:lang w:eastAsia="zh-CN"/>
              </w:rPr>
            </w:pPr>
            <w:r>
              <w:rPr>
                <w:rFonts w:hint="eastAsia"/>
                <w:snapToGrid w:val="0"/>
                <w:lang w:eastAsia="zh-CN"/>
              </w:rPr>
              <w:t>18.9</w:t>
            </w:r>
          </w:p>
        </w:tc>
        <w:tc>
          <w:tcPr>
            <w:tcW w:w="992" w:type="dxa"/>
            <w:tcBorders>
              <w:left w:val="single" w:color="auto" w:sz="4" w:space="0"/>
              <w:right w:val="single" w:color="auto" w:sz="4" w:space="0"/>
            </w:tcBorders>
            <w:vAlign w:val="center"/>
          </w:tcPr>
          <w:p w14:paraId="78D85B5E">
            <w:pPr>
              <w:pStyle w:val="518"/>
              <w:rPr>
                <w:snapToGrid w:val="0"/>
                <w:lang w:eastAsia="zh-CN"/>
              </w:rPr>
            </w:pPr>
            <w:r>
              <w:rPr>
                <w:rFonts w:hint="eastAsia"/>
                <w:snapToGrid w:val="0"/>
                <w:lang w:eastAsia="zh-CN"/>
              </w:rPr>
              <w:t>0.32</w:t>
            </w:r>
          </w:p>
        </w:tc>
        <w:tc>
          <w:tcPr>
            <w:tcW w:w="1134" w:type="dxa"/>
            <w:tcBorders>
              <w:left w:val="single" w:color="auto" w:sz="4" w:space="0"/>
              <w:right w:val="single" w:color="auto" w:sz="4" w:space="0"/>
            </w:tcBorders>
            <w:vAlign w:val="center"/>
          </w:tcPr>
          <w:p w14:paraId="3C6723FB">
            <w:pPr>
              <w:pStyle w:val="518"/>
              <w:rPr>
                <w:snapToGrid w:val="0"/>
                <w:lang w:eastAsia="zh-CN"/>
              </w:rPr>
            </w:pPr>
            <w:r>
              <w:rPr>
                <w:rFonts w:hint="eastAsia"/>
                <w:snapToGrid w:val="0"/>
                <w:lang w:eastAsia="zh-CN"/>
              </w:rPr>
              <w:t>15.5</w:t>
            </w:r>
          </w:p>
        </w:tc>
        <w:tc>
          <w:tcPr>
            <w:tcW w:w="851" w:type="dxa"/>
            <w:tcBorders>
              <w:left w:val="single" w:color="auto" w:sz="4" w:space="0"/>
            </w:tcBorders>
            <w:vAlign w:val="center"/>
          </w:tcPr>
          <w:p w14:paraId="69F766A1">
            <w:pPr>
              <w:pStyle w:val="518"/>
              <w:rPr>
                <w:snapToGrid w:val="0"/>
                <w:lang w:eastAsia="zh-CN"/>
              </w:rPr>
            </w:pPr>
            <w:r>
              <w:rPr>
                <w:rFonts w:hint="eastAsia"/>
                <w:snapToGrid w:val="0"/>
                <w:lang w:eastAsia="zh-CN"/>
              </w:rPr>
              <w:t>0.26</w:t>
            </w:r>
          </w:p>
        </w:tc>
      </w:tr>
      <w:tr w14:paraId="17FCD8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6" w:type="dxa"/>
            <w:vAlign w:val="center"/>
          </w:tcPr>
          <w:p w14:paraId="3795DF33">
            <w:pPr>
              <w:pStyle w:val="518"/>
              <w:rPr>
                <w:lang w:eastAsia="zh-CN"/>
              </w:rPr>
            </w:pPr>
            <w:r>
              <w:rPr>
                <w:rFonts w:hint="eastAsia"/>
                <w:lang w:eastAsia="zh-CN"/>
              </w:rPr>
              <w:t>石油类</w:t>
            </w:r>
          </w:p>
        </w:tc>
        <w:tc>
          <w:tcPr>
            <w:tcW w:w="1137" w:type="dxa"/>
            <w:tcBorders>
              <w:right w:val="single" w:color="auto" w:sz="4" w:space="0"/>
            </w:tcBorders>
            <w:vAlign w:val="center"/>
          </w:tcPr>
          <w:p w14:paraId="79A5CEAE">
            <w:pPr>
              <w:pStyle w:val="518"/>
              <w:rPr>
                <w:snapToGrid w:val="0"/>
                <w:lang w:eastAsia="zh-CN"/>
              </w:rPr>
            </w:pPr>
            <w:r>
              <w:rPr>
                <w:rFonts w:hint="eastAsia"/>
                <w:snapToGrid w:val="0"/>
                <w:lang w:eastAsia="zh-CN"/>
              </w:rPr>
              <w:t>6.79</w:t>
            </w:r>
          </w:p>
        </w:tc>
        <w:tc>
          <w:tcPr>
            <w:tcW w:w="992" w:type="dxa"/>
            <w:tcBorders>
              <w:left w:val="single" w:color="auto" w:sz="4" w:space="0"/>
            </w:tcBorders>
            <w:vAlign w:val="center"/>
          </w:tcPr>
          <w:p w14:paraId="4CEF20ED">
            <w:pPr>
              <w:pStyle w:val="518"/>
              <w:rPr>
                <w:snapToGrid w:val="0"/>
                <w:lang w:eastAsia="zh-CN"/>
              </w:rPr>
            </w:pPr>
            <w:r>
              <w:rPr>
                <w:rFonts w:hint="eastAsia"/>
                <w:snapToGrid w:val="0"/>
                <w:lang w:eastAsia="zh-CN"/>
              </w:rPr>
              <w:t>1.00</w:t>
            </w:r>
          </w:p>
        </w:tc>
        <w:tc>
          <w:tcPr>
            <w:tcW w:w="1134" w:type="dxa"/>
            <w:tcBorders>
              <w:right w:val="single" w:color="auto" w:sz="4" w:space="0"/>
            </w:tcBorders>
            <w:vAlign w:val="center"/>
          </w:tcPr>
          <w:p w14:paraId="1384EA9C">
            <w:pPr>
              <w:pStyle w:val="518"/>
              <w:rPr>
                <w:lang w:eastAsia="zh-CN"/>
              </w:rPr>
            </w:pPr>
            <w:r>
              <w:rPr>
                <w:rFonts w:hint="eastAsia"/>
                <w:lang w:eastAsia="zh-CN"/>
              </w:rPr>
              <w:t>6.71</w:t>
            </w:r>
          </w:p>
        </w:tc>
        <w:tc>
          <w:tcPr>
            <w:tcW w:w="851" w:type="dxa"/>
            <w:tcBorders>
              <w:left w:val="single" w:color="auto" w:sz="4" w:space="0"/>
            </w:tcBorders>
            <w:vAlign w:val="center"/>
          </w:tcPr>
          <w:p w14:paraId="00E8E74A">
            <w:pPr>
              <w:pStyle w:val="518"/>
              <w:rPr>
                <w:lang w:eastAsia="zh-CN"/>
              </w:rPr>
            </w:pPr>
            <w:r>
              <w:rPr>
                <w:rFonts w:hint="eastAsia"/>
                <w:lang w:eastAsia="zh-CN"/>
              </w:rPr>
              <w:t>1.00</w:t>
            </w:r>
          </w:p>
        </w:tc>
        <w:tc>
          <w:tcPr>
            <w:tcW w:w="1275" w:type="dxa"/>
            <w:tcBorders>
              <w:right w:val="single" w:color="auto" w:sz="4" w:space="0"/>
            </w:tcBorders>
            <w:vAlign w:val="center"/>
          </w:tcPr>
          <w:p w14:paraId="73A0D5E9">
            <w:pPr>
              <w:pStyle w:val="518"/>
              <w:rPr>
                <w:lang w:eastAsia="zh-CN"/>
              </w:rPr>
            </w:pPr>
            <w:r>
              <w:rPr>
                <w:rFonts w:hint="eastAsia"/>
                <w:lang w:eastAsia="zh-CN"/>
              </w:rPr>
              <w:t>6.53</w:t>
            </w:r>
          </w:p>
        </w:tc>
        <w:tc>
          <w:tcPr>
            <w:tcW w:w="1134" w:type="dxa"/>
            <w:tcBorders>
              <w:left w:val="single" w:color="auto" w:sz="4" w:space="0"/>
            </w:tcBorders>
            <w:vAlign w:val="center"/>
          </w:tcPr>
          <w:p w14:paraId="3F5FF955">
            <w:pPr>
              <w:pStyle w:val="518"/>
              <w:rPr>
                <w:lang w:eastAsia="zh-CN"/>
              </w:rPr>
            </w:pPr>
            <w:r>
              <w:rPr>
                <w:rFonts w:hint="eastAsia"/>
                <w:lang w:eastAsia="zh-CN"/>
              </w:rPr>
              <w:t>1.00</w:t>
            </w:r>
          </w:p>
        </w:tc>
        <w:tc>
          <w:tcPr>
            <w:tcW w:w="1134" w:type="dxa"/>
            <w:tcBorders>
              <w:right w:val="single" w:color="auto" w:sz="4" w:space="0"/>
            </w:tcBorders>
            <w:vAlign w:val="center"/>
          </w:tcPr>
          <w:p w14:paraId="21F879B8">
            <w:pPr>
              <w:pStyle w:val="518"/>
              <w:rPr>
                <w:lang w:eastAsia="zh-CN"/>
              </w:rPr>
            </w:pPr>
            <w:r>
              <w:rPr>
                <w:rFonts w:hint="eastAsia"/>
                <w:lang w:eastAsia="zh-CN"/>
              </w:rPr>
              <w:t>6.81</w:t>
            </w:r>
          </w:p>
        </w:tc>
        <w:tc>
          <w:tcPr>
            <w:tcW w:w="1134" w:type="dxa"/>
            <w:tcBorders>
              <w:left w:val="single" w:color="auto" w:sz="4" w:space="0"/>
            </w:tcBorders>
            <w:vAlign w:val="center"/>
          </w:tcPr>
          <w:p w14:paraId="1F68AAD8">
            <w:pPr>
              <w:pStyle w:val="518"/>
              <w:rPr>
                <w:lang w:eastAsia="zh-CN"/>
              </w:rPr>
            </w:pPr>
            <w:r>
              <w:rPr>
                <w:rFonts w:hint="eastAsia"/>
                <w:lang w:eastAsia="zh-CN"/>
              </w:rPr>
              <w:t>1.00</w:t>
            </w:r>
          </w:p>
        </w:tc>
        <w:tc>
          <w:tcPr>
            <w:tcW w:w="1418" w:type="dxa"/>
            <w:tcBorders>
              <w:right w:val="single" w:color="auto" w:sz="4" w:space="0"/>
            </w:tcBorders>
            <w:vAlign w:val="center"/>
          </w:tcPr>
          <w:p w14:paraId="70A917DB">
            <w:pPr>
              <w:pStyle w:val="518"/>
              <w:rPr>
                <w:snapToGrid w:val="0"/>
                <w:lang w:eastAsia="zh-CN"/>
              </w:rPr>
            </w:pPr>
            <w:r>
              <w:rPr>
                <w:rFonts w:hint="eastAsia"/>
                <w:snapToGrid w:val="0"/>
                <w:lang w:eastAsia="zh-CN"/>
              </w:rPr>
              <w:t>6.69</w:t>
            </w:r>
          </w:p>
        </w:tc>
        <w:tc>
          <w:tcPr>
            <w:tcW w:w="992" w:type="dxa"/>
            <w:tcBorders>
              <w:left w:val="single" w:color="auto" w:sz="4" w:space="0"/>
              <w:right w:val="single" w:color="auto" w:sz="4" w:space="0"/>
            </w:tcBorders>
            <w:vAlign w:val="center"/>
          </w:tcPr>
          <w:p w14:paraId="4E38AFBF">
            <w:pPr>
              <w:pStyle w:val="518"/>
              <w:rPr>
                <w:snapToGrid w:val="0"/>
                <w:lang w:eastAsia="zh-CN"/>
              </w:rPr>
            </w:pPr>
            <w:r>
              <w:rPr>
                <w:rFonts w:hint="eastAsia"/>
                <w:snapToGrid w:val="0"/>
                <w:lang w:eastAsia="zh-CN"/>
              </w:rPr>
              <w:t>1.00</w:t>
            </w:r>
          </w:p>
        </w:tc>
        <w:tc>
          <w:tcPr>
            <w:tcW w:w="1134" w:type="dxa"/>
            <w:tcBorders>
              <w:left w:val="single" w:color="auto" w:sz="4" w:space="0"/>
              <w:right w:val="single" w:color="auto" w:sz="4" w:space="0"/>
            </w:tcBorders>
            <w:vAlign w:val="center"/>
          </w:tcPr>
          <w:p w14:paraId="25A81C52">
            <w:pPr>
              <w:pStyle w:val="518"/>
              <w:rPr>
                <w:snapToGrid w:val="0"/>
                <w:lang w:eastAsia="zh-CN"/>
              </w:rPr>
            </w:pPr>
            <w:r>
              <w:rPr>
                <w:rFonts w:hint="eastAsia"/>
                <w:snapToGrid w:val="0"/>
                <w:lang w:eastAsia="zh-CN"/>
              </w:rPr>
              <w:t>6.52</w:t>
            </w:r>
          </w:p>
        </w:tc>
        <w:tc>
          <w:tcPr>
            <w:tcW w:w="851" w:type="dxa"/>
            <w:tcBorders>
              <w:left w:val="single" w:color="auto" w:sz="4" w:space="0"/>
            </w:tcBorders>
            <w:vAlign w:val="center"/>
          </w:tcPr>
          <w:p w14:paraId="7B3BA073">
            <w:pPr>
              <w:pStyle w:val="518"/>
              <w:rPr>
                <w:snapToGrid w:val="0"/>
                <w:lang w:eastAsia="zh-CN"/>
              </w:rPr>
            </w:pPr>
            <w:r>
              <w:rPr>
                <w:rFonts w:hint="eastAsia"/>
                <w:snapToGrid w:val="0"/>
                <w:lang w:eastAsia="zh-CN"/>
              </w:rPr>
              <w:t>1.00</w:t>
            </w:r>
          </w:p>
        </w:tc>
      </w:tr>
      <w:tr w14:paraId="78E479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6" w:type="dxa"/>
            <w:vAlign w:val="center"/>
          </w:tcPr>
          <w:p w14:paraId="32FB57AC">
            <w:pPr>
              <w:pStyle w:val="518"/>
              <w:rPr>
                <w:lang w:eastAsia="zh-CN"/>
              </w:rPr>
            </w:pPr>
            <w:r>
              <w:rPr>
                <w:lang w:eastAsia="zh-CN"/>
              </w:rPr>
              <w:t>阳离子交换量</w:t>
            </w:r>
          </w:p>
          <w:p w14:paraId="7DC147FE">
            <w:pPr>
              <w:pStyle w:val="518"/>
              <w:rPr>
                <w:lang w:eastAsia="zh-CN"/>
              </w:rPr>
            </w:pPr>
            <w:r>
              <w:rPr>
                <w:snapToGrid w:val="0"/>
                <w:lang w:eastAsia="zh-CN"/>
              </w:rPr>
              <w:t>cmol/kg</w:t>
            </w:r>
          </w:p>
        </w:tc>
        <w:tc>
          <w:tcPr>
            <w:tcW w:w="1137" w:type="dxa"/>
            <w:tcBorders>
              <w:right w:val="single" w:color="auto" w:sz="4" w:space="0"/>
            </w:tcBorders>
            <w:vAlign w:val="center"/>
          </w:tcPr>
          <w:p w14:paraId="10C98C40">
            <w:pPr>
              <w:pStyle w:val="518"/>
              <w:rPr>
                <w:snapToGrid w:val="0"/>
                <w:lang w:eastAsia="zh-CN"/>
              </w:rPr>
            </w:pPr>
            <w:r>
              <w:rPr>
                <w:rFonts w:hint="eastAsia"/>
                <w:snapToGrid w:val="0"/>
                <w:lang w:eastAsia="zh-CN"/>
              </w:rPr>
              <w:t>7.10</w:t>
            </w:r>
          </w:p>
        </w:tc>
        <w:tc>
          <w:tcPr>
            <w:tcW w:w="992" w:type="dxa"/>
            <w:tcBorders>
              <w:left w:val="single" w:color="auto" w:sz="4" w:space="0"/>
            </w:tcBorders>
            <w:vAlign w:val="center"/>
          </w:tcPr>
          <w:p w14:paraId="7AD1025D">
            <w:pPr>
              <w:pStyle w:val="518"/>
              <w:rPr>
                <w:snapToGrid w:val="0"/>
                <w:lang w:eastAsia="zh-CN"/>
              </w:rPr>
            </w:pPr>
            <w:r>
              <w:rPr>
                <w:rFonts w:ascii="宋体" w:hAnsi="宋体"/>
                <w:snapToGrid w:val="0"/>
                <w:szCs w:val="21"/>
              </w:rPr>
              <w:t>＞</w:t>
            </w:r>
            <w:r>
              <w:rPr>
                <w:rFonts w:hint="eastAsia" w:ascii="宋体" w:hAnsi="宋体"/>
                <w:snapToGrid w:val="0"/>
                <w:szCs w:val="21"/>
                <w:lang w:eastAsia="zh-CN"/>
              </w:rPr>
              <w:t>5.0</w:t>
            </w:r>
          </w:p>
        </w:tc>
        <w:tc>
          <w:tcPr>
            <w:tcW w:w="1134" w:type="dxa"/>
            <w:tcBorders>
              <w:right w:val="single" w:color="auto" w:sz="4" w:space="0"/>
            </w:tcBorders>
            <w:vAlign w:val="center"/>
          </w:tcPr>
          <w:p w14:paraId="6CE4E2E0">
            <w:pPr>
              <w:pStyle w:val="518"/>
              <w:rPr>
                <w:lang w:eastAsia="zh-CN"/>
              </w:rPr>
            </w:pPr>
            <w:r>
              <w:rPr>
                <w:rFonts w:hint="eastAsia"/>
                <w:lang w:eastAsia="zh-CN"/>
              </w:rPr>
              <w:t>6.24</w:t>
            </w:r>
          </w:p>
        </w:tc>
        <w:tc>
          <w:tcPr>
            <w:tcW w:w="851" w:type="dxa"/>
            <w:tcBorders>
              <w:left w:val="single" w:color="auto" w:sz="4" w:space="0"/>
            </w:tcBorders>
            <w:vAlign w:val="center"/>
          </w:tcPr>
          <w:p w14:paraId="57365D8C">
            <w:pPr>
              <w:pStyle w:val="518"/>
              <w:rPr>
                <w:lang w:eastAsia="zh-CN"/>
              </w:rPr>
            </w:pPr>
            <w:r>
              <w:rPr>
                <w:rFonts w:ascii="宋体" w:hAnsi="宋体"/>
                <w:snapToGrid w:val="0"/>
                <w:szCs w:val="21"/>
              </w:rPr>
              <w:t>＞</w:t>
            </w:r>
            <w:r>
              <w:rPr>
                <w:rFonts w:hint="eastAsia" w:ascii="宋体" w:hAnsi="宋体"/>
                <w:snapToGrid w:val="0"/>
                <w:szCs w:val="21"/>
                <w:lang w:eastAsia="zh-CN"/>
              </w:rPr>
              <w:t>5.0</w:t>
            </w:r>
          </w:p>
        </w:tc>
        <w:tc>
          <w:tcPr>
            <w:tcW w:w="1275" w:type="dxa"/>
            <w:tcBorders>
              <w:right w:val="single" w:color="auto" w:sz="4" w:space="0"/>
            </w:tcBorders>
            <w:vAlign w:val="center"/>
          </w:tcPr>
          <w:p w14:paraId="0D81A31A">
            <w:pPr>
              <w:pStyle w:val="518"/>
              <w:rPr>
                <w:lang w:eastAsia="zh-CN"/>
              </w:rPr>
            </w:pPr>
            <w:r>
              <w:rPr>
                <w:rFonts w:hint="eastAsia"/>
                <w:lang w:eastAsia="zh-CN"/>
              </w:rPr>
              <w:t>3.43</w:t>
            </w:r>
          </w:p>
        </w:tc>
        <w:tc>
          <w:tcPr>
            <w:tcW w:w="1134" w:type="dxa"/>
            <w:tcBorders>
              <w:left w:val="single" w:color="auto" w:sz="4" w:space="0"/>
            </w:tcBorders>
            <w:vAlign w:val="center"/>
          </w:tcPr>
          <w:p w14:paraId="2CE24ED8">
            <w:pPr>
              <w:pStyle w:val="518"/>
              <w:rPr>
                <w:lang w:eastAsia="zh-CN"/>
              </w:rPr>
            </w:pPr>
            <w:r>
              <w:rPr>
                <w:rFonts w:ascii="宋体" w:hAnsi="宋体"/>
                <w:snapToGrid w:val="0"/>
                <w:szCs w:val="21"/>
              </w:rPr>
              <w:t>＜</w:t>
            </w:r>
            <w:r>
              <w:rPr>
                <w:rFonts w:hint="eastAsia" w:ascii="宋体" w:hAnsi="宋体"/>
                <w:snapToGrid w:val="0"/>
                <w:szCs w:val="21"/>
                <w:lang w:eastAsia="zh-CN"/>
              </w:rPr>
              <w:t>5.0</w:t>
            </w:r>
          </w:p>
        </w:tc>
        <w:tc>
          <w:tcPr>
            <w:tcW w:w="1134" w:type="dxa"/>
            <w:tcBorders>
              <w:right w:val="single" w:color="auto" w:sz="4" w:space="0"/>
            </w:tcBorders>
            <w:vAlign w:val="center"/>
          </w:tcPr>
          <w:p w14:paraId="21711D70">
            <w:pPr>
              <w:pStyle w:val="518"/>
              <w:rPr>
                <w:lang w:eastAsia="zh-CN"/>
              </w:rPr>
            </w:pPr>
            <w:r>
              <w:rPr>
                <w:rFonts w:hint="eastAsia"/>
                <w:lang w:eastAsia="zh-CN"/>
              </w:rPr>
              <w:t>7.08</w:t>
            </w:r>
          </w:p>
        </w:tc>
        <w:tc>
          <w:tcPr>
            <w:tcW w:w="1134" w:type="dxa"/>
            <w:tcBorders>
              <w:left w:val="single" w:color="auto" w:sz="4" w:space="0"/>
            </w:tcBorders>
            <w:vAlign w:val="center"/>
          </w:tcPr>
          <w:p w14:paraId="28CFDBBD">
            <w:pPr>
              <w:pStyle w:val="518"/>
              <w:rPr>
                <w:lang w:eastAsia="zh-CN"/>
              </w:rPr>
            </w:pPr>
            <w:r>
              <w:rPr>
                <w:rFonts w:ascii="宋体" w:hAnsi="宋体"/>
                <w:snapToGrid w:val="0"/>
                <w:szCs w:val="21"/>
              </w:rPr>
              <w:t>＞</w:t>
            </w:r>
            <w:r>
              <w:rPr>
                <w:rFonts w:hint="eastAsia" w:ascii="宋体" w:hAnsi="宋体"/>
                <w:snapToGrid w:val="0"/>
                <w:szCs w:val="21"/>
                <w:lang w:eastAsia="zh-CN"/>
              </w:rPr>
              <w:t>5.0</w:t>
            </w:r>
          </w:p>
        </w:tc>
        <w:tc>
          <w:tcPr>
            <w:tcW w:w="1418" w:type="dxa"/>
            <w:tcBorders>
              <w:right w:val="single" w:color="auto" w:sz="4" w:space="0"/>
            </w:tcBorders>
            <w:vAlign w:val="center"/>
          </w:tcPr>
          <w:p w14:paraId="327DFA30">
            <w:pPr>
              <w:pStyle w:val="518"/>
              <w:rPr>
                <w:lang w:eastAsia="zh-CN"/>
              </w:rPr>
            </w:pPr>
            <w:r>
              <w:rPr>
                <w:rFonts w:hint="eastAsia"/>
                <w:lang w:eastAsia="zh-CN"/>
              </w:rPr>
              <w:t>6.21</w:t>
            </w:r>
          </w:p>
        </w:tc>
        <w:tc>
          <w:tcPr>
            <w:tcW w:w="992" w:type="dxa"/>
            <w:tcBorders>
              <w:left w:val="single" w:color="auto" w:sz="4" w:space="0"/>
              <w:right w:val="single" w:color="auto" w:sz="4" w:space="0"/>
            </w:tcBorders>
            <w:vAlign w:val="center"/>
          </w:tcPr>
          <w:p w14:paraId="35739066">
            <w:pPr>
              <w:pStyle w:val="518"/>
              <w:rPr>
                <w:lang w:eastAsia="zh-CN"/>
              </w:rPr>
            </w:pPr>
            <w:r>
              <w:rPr>
                <w:rFonts w:ascii="宋体" w:hAnsi="宋体"/>
                <w:snapToGrid w:val="0"/>
                <w:szCs w:val="21"/>
              </w:rPr>
              <w:t>＞</w:t>
            </w:r>
            <w:r>
              <w:rPr>
                <w:rFonts w:hint="eastAsia" w:ascii="宋体" w:hAnsi="宋体"/>
                <w:snapToGrid w:val="0"/>
                <w:szCs w:val="21"/>
                <w:lang w:eastAsia="zh-CN"/>
              </w:rPr>
              <w:t>5.0</w:t>
            </w:r>
          </w:p>
        </w:tc>
        <w:tc>
          <w:tcPr>
            <w:tcW w:w="1134" w:type="dxa"/>
            <w:tcBorders>
              <w:left w:val="single" w:color="auto" w:sz="4" w:space="0"/>
              <w:right w:val="single" w:color="auto" w:sz="4" w:space="0"/>
            </w:tcBorders>
            <w:vAlign w:val="center"/>
          </w:tcPr>
          <w:p w14:paraId="60FEC511">
            <w:pPr>
              <w:pStyle w:val="518"/>
              <w:rPr>
                <w:lang w:eastAsia="zh-CN"/>
              </w:rPr>
            </w:pPr>
            <w:r>
              <w:rPr>
                <w:rFonts w:hint="eastAsia"/>
                <w:lang w:eastAsia="zh-CN"/>
              </w:rPr>
              <w:t>3.42</w:t>
            </w:r>
          </w:p>
        </w:tc>
        <w:tc>
          <w:tcPr>
            <w:tcW w:w="851" w:type="dxa"/>
            <w:tcBorders>
              <w:left w:val="single" w:color="auto" w:sz="4" w:space="0"/>
            </w:tcBorders>
            <w:vAlign w:val="center"/>
          </w:tcPr>
          <w:p w14:paraId="0F52963C">
            <w:pPr>
              <w:pStyle w:val="518"/>
              <w:rPr>
                <w:lang w:eastAsia="zh-CN"/>
              </w:rPr>
            </w:pPr>
            <w:r>
              <w:rPr>
                <w:rFonts w:ascii="宋体" w:hAnsi="宋体"/>
                <w:snapToGrid w:val="0"/>
                <w:szCs w:val="21"/>
              </w:rPr>
              <w:t>＜</w:t>
            </w:r>
            <w:r>
              <w:rPr>
                <w:rFonts w:hint="eastAsia" w:ascii="宋体" w:hAnsi="宋体"/>
                <w:snapToGrid w:val="0"/>
                <w:szCs w:val="21"/>
                <w:lang w:eastAsia="zh-CN"/>
              </w:rPr>
              <w:t>5.0</w:t>
            </w:r>
          </w:p>
        </w:tc>
      </w:tr>
    </w:tbl>
    <w:p w14:paraId="4D572CA4">
      <w:pPr>
        <w:ind w:firstLine="480"/>
        <w:rPr>
          <w:rFonts w:asciiTheme="minorEastAsia" w:hAnsiTheme="minorEastAsia" w:eastAsiaTheme="minorEastAsia"/>
          <w:bCs/>
          <w:szCs w:val="24"/>
          <w:lang w:eastAsia="zh-CN"/>
        </w:rPr>
      </w:pPr>
    </w:p>
    <w:p w14:paraId="6C2240AA">
      <w:pPr>
        <w:ind w:firstLine="480"/>
        <w:rPr>
          <w:rFonts w:asciiTheme="minorEastAsia" w:hAnsiTheme="minorEastAsia" w:eastAsiaTheme="minorEastAsia"/>
          <w:bCs/>
          <w:szCs w:val="24"/>
          <w:lang w:eastAsia="zh-CN"/>
        </w:rPr>
      </w:pPr>
    </w:p>
    <w:p w14:paraId="37C67673">
      <w:pPr>
        <w:ind w:firstLine="480"/>
        <w:rPr>
          <w:rFonts w:asciiTheme="minorEastAsia" w:hAnsiTheme="minorEastAsia" w:eastAsiaTheme="minorEastAsia"/>
          <w:bCs/>
          <w:szCs w:val="24"/>
          <w:lang w:eastAsia="zh-CN"/>
        </w:rPr>
      </w:pPr>
    </w:p>
    <w:p w14:paraId="751E2D8B">
      <w:pPr>
        <w:ind w:firstLine="480"/>
        <w:rPr>
          <w:rFonts w:asciiTheme="minorEastAsia" w:hAnsiTheme="minorEastAsia" w:eastAsiaTheme="minorEastAsia"/>
          <w:bCs/>
          <w:szCs w:val="24"/>
          <w:lang w:eastAsia="zh-CN"/>
        </w:rPr>
      </w:pPr>
    </w:p>
    <w:p w14:paraId="2A3D6554">
      <w:pPr>
        <w:ind w:firstLine="480"/>
        <w:rPr>
          <w:rFonts w:asciiTheme="minorEastAsia" w:hAnsiTheme="minorEastAsia" w:eastAsiaTheme="minorEastAsia"/>
          <w:bCs/>
          <w:szCs w:val="24"/>
          <w:lang w:eastAsia="zh-CN"/>
        </w:rPr>
      </w:pPr>
    </w:p>
    <w:p w14:paraId="49312D08">
      <w:pPr>
        <w:ind w:firstLine="480"/>
        <w:rPr>
          <w:rFonts w:asciiTheme="minorEastAsia" w:hAnsiTheme="minorEastAsia" w:eastAsiaTheme="minorEastAsia"/>
          <w:bCs/>
          <w:szCs w:val="24"/>
          <w:lang w:eastAsia="zh-CN"/>
        </w:rPr>
        <w:sectPr>
          <w:pgSz w:w="16840" w:h="11907" w:orient="landscape"/>
          <w:pgMar w:top="1797" w:right="1440" w:bottom="1797" w:left="1440" w:header="851" w:footer="992" w:gutter="0"/>
          <w:cols w:space="720" w:num="1"/>
          <w:docGrid w:linePitch="326" w:charSpace="0"/>
        </w:sectPr>
      </w:pPr>
    </w:p>
    <w:p w14:paraId="199EE347">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2、</w:t>
      </w:r>
      <w:r>
        <w:rPr>
          <w:rFonts w:asciiTheme="minorEastAsia" w:hAnsiTheme="minorEastAsia" w:eastAsiaTheme="minorEastAsia"/>
          <w:lang w:eastAsia="zh-CN"/>
        </w:rPr>
        <w:t>土壤环境质量现状评价</w:t>
      </w:r>
    </w:p>
    <w:p w14:paraId="48672161">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（1）</w:t>
      </w:r>
      <w:r>
        <w:rPr>
          <w:rFonts w:asciiTheme="minorEastAsia" w:hAnsiTheme="minorEastAsia" w:eastAsiaTheme="minorEastAsia"/>
          <w:lang w:eastAsia="zh-CN"/>
        </w:rPr>
        <w:t>评价方法</w:t>
      </w:r>
    </w:p>
    <w:p w14:paraId="3EDFD168">
      <w:pPr>
        <w:ind w:firstLine="480"/>
        <w:rPr>
          <w:rFonts w:asciiTheme="minorEastAsia" w:hAnsiTheme="minorEastAsia" w:eastAsiaTheme="minorEastAsia"/>
          <w:lang w:eastAsia="zh-CN"/>
        </w:rPr>
      </w:pPr>
      <w:r>
        <w:rPr>
          <w:rFonts w:asciiTheme="minorEastAsia" w:hAnsiTheme="minorEastAsia" w:eastAsiaTheme="minorEastAsia"/>
          <w:lang w:eastAsia="zh-CN"/>
        </w:rPr>
        <w:t>①采用指数法进行土壤环境质量现状评价，即通过指数的大小来反映土壤环境受污染的程度，公式为：</w:t>
      </w:r>
    </w:p>
    <w:p w14:paraId="353E3F81">
      <w:pPr>
        <w:ind w:firstLine="480"/>
        <w:outlineLvl w:val="0"/>
        <w:rPr>
          <w:rFonts w:asciiTheme="minorEastAsia" w:hAnsiTheme="minorEastAsia" w:eastAsiaTheme="minorEastAsia"/>
          <w:lang w:eastAsia="zh-CN"/>
        </w:rPr>
      </w:pPr>
      <w:r>
        <w:rPr>
          <w:rFonts w:hint="eastAsia" w:asciiTheme="minorEastAsia" w:hAnsiTheme="minorEastAsia" w:eastAsiaTheme="minorEastAsia"/>
          <w:lang w:eastAsia="zh-CN"/>
        </w:rPr>
        <w:t xml:space="preserve">      </w:t>
      </w:r>
      <w:r>
        <w:rPr>
          <w:rFonts w:asciiTheme="minorEastAsia" w:hAnsiTheme="minorEastAsia" w:eastAsiaTheme="minorEastAsia"/>
          <w:lang w:eastAsia="zh-CN"/>
        </w:rPr>
        <w:t>Ki=Xi/Xoi</w:t>
      </w:r>
    </w:p>
    <w:p w14:paraId="32F5D86C">
      <w:pPr>
        <w:ind w:firstLine="480"/>
        <w:rPr>
          <w:rFonts w:asciiTheme="minorEastAsia" w:hAnsiTheme="minorEastAsia" w:eastAsiaTheme="minorEastAsia"/>
          <w:lang w:eastAsia="zh-CN"/>
        </w:rPr>
      </w:pPr>
      <w:r>
        <w:rPr>
          <w:rFonts w:asciiTheme="minorEastAsia" w:hAnsiTheme="minorEastAsia" w:eastAsiaTheme="minorEastAsia"/>
          <w:lang w:eastAsia="zh-CN"/>
        </w:rPr>
        <w:t>式中：Ki：第i项分指数；</w:t>
      </w:r>
    </w:p>
    <w:p w14:paraId="47DE9E6B">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 xml:space="preserve">      Xi：土壤中i污染物的实测含量  mg/kg；</w:t>
      </w:r>
    </w:p>
    <w:p w14:paraId="281C3F37">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 xml:space="preserve">      </w:t>
      </w:r>
      <w:r>
        <w:rPr>
          <w:rFonts w:asciiTheme="minorEastAsia" w:hAnsiTheme="minorEastAsia" w:eastAsiaTheme="minorEastAsia"/>
          <w:lang w:eastAsia="zh-CN"/>
        </w:rPr>
        <w:t>Xoi：土壤中i污染物的标准值  mg/kg。</w:t>
      </w:r>
    </w:p>
    <w:p w14:paraId="245CAC01">
      <w:pPr>
        <w:ind w:firstLine="480"/>
        <w:outlineLvl w:val="0"/>
        <w:rPr>
          <w:rFonts w:asciiTheme="minorEastAsia" w:hAnsiTheme="minorEastAsia" w:eastAsiaTheme="minorEastAsia"/>
          <w:lang w:eastAsia="zh-CN"/>
        </w:rPr>
      </w:pPr>
      <w:r>
        <w:rPr>
          <w:rFonts w:hint="eastAsia" w:asciiTheme="minorEastAsia" w:hAnsiTheme="minorEastAsia" w:eastAsiaTheme="minorEastAsia"/>
          <w:lang w:eastAsia="zh-CN"/>
        </w:rPr>
        <w:t>（2）</w:t>
      </w:r>
      <w:r>
        <w:rPr>
          <w:rFonts w:asciiTheme="minorEastAsia" w:hAnsiTheme="minorEastAsia" w:eastAsiaTheme="minorEastAsia"/>
          <w:lang w:eastAsia="zh-CN"/>
        </w:rPr>
        <w:t>评价标准</w:t>
      </w:r>
    </w:p>
    <w:p w14:paraId="513D4686">
      <w:pPr>
        <w:ind w:firstLine="480"/>
        <w:rPr>
          <w:rFonts w:asciiTheme="minorEastAsia" w:hAnsiTheme="minorEastAsia" w:eastAsiaTheme="minorEastAsia"/>
          <w:lang w:eastAsia="zh-CN"/>
        </w:rPr>
      </w:pPr>
      <w:r>
        <w:rPr>
          <w:rFonts w:asciiTheme="minorEastAsia" w:hAnsiTheme="minorEastAsia" w:eastAsiaTheme="minorEastAsia"/>
          <w:lang w:eastAsia="zh-CN"/>
        </w:rPr>
        <w:t>采用《土壤环境质量标准》(GBl5618-1995)二级标准进行评价，由于石油类无评价标准值，</w:t>
      </w:r>
      <w:r>
        <w:rPr>
          <w:rFonts w:hint="eastAsia" w:asciiTheme="minorEastAsia" w:hAnsiTheme="minorEastAsia" w:eastAsiaTheme="minorEastAsia"/>
          <w:lang w:eastAsia="zh-CN"/>
        </w:rPr>
        <w:t>以</w:t>
      </w:r>
      <w:r>
        <w:rPr>
          <w:rFonts w:asciiTheme="minorEastAsia" w:hAnsiTheme="minorEastAsia" w:eastAsiaTheme="minorEastAsia"/>
          <w:lang w:eastAsia="zh-CN"/>
        </w:rPr>
        <w:t>油田边界</w:t>
      </w:r>
      <w:r>
        <w:rPr>
          <w:rFonts w:hint="eastAsia" w:asciiTheme="minorEastAsia" w:hAnsiTheme="minorEastAsia" w:eastAsiaTheme="minorEastAsia"/>
          <w:lang w:eastAsia="zh-CN"/>
        </w:rPr>
        <w:t>外2.0</w:t>
      </w:r>
      <w:r>
        <w:rPr>
          <w:rFonts w:asciiTheme="minorEastAsia" w:hAnsiTheme="minorEastAsia" w:eastAsiaTheme="minorEastAsia"/>
          <w:lang w:eastAsia="zh-CN"/>
        </w:rPr>
        <w:t>km处作为背景值</w:t>
      </w:r>
      <w:r>
        <w:rPr>
          <w:rFonts w:hint="eastAsia" w:asciiTheme="minorEastAsia" w:hAnsiTheme="minorEastAsia" w:eastAsiaTheme="minorEastAsia"/>
          <w:lang w:eastAsia="zh-CN"/>
        </w:rPr>
        <w:t>进行比较分析</w:t>
      </w:r>
      <w:r>
        <w:rPr>
          <w:rFonts w:asciiTheme="minorEastAsia" w:hAnsiTheme="minorEastAsia" w:eastAsiaTheme="minorEastAsia"/>
          <w:lang w:eastAsia="zh-CN"/>
        </w:rPr>
        <w:t>。</w:t>
      </w:r>
    </w:p>
    <w:p w14:paraId="7D12AD02">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（3）</w:t>
      </w:r>
      <w:r>
        <w:rPr>
          <w:rFonts w:asciiTheme="minorEastAsia" w:hAnsiTheme="minorEastAsia" w:eastAsiaTheme="minorEastAsia"/>
          <w:lang w:eastAsia="zh-CN"/>
        </w:rPr>
        <w:t>现状评价结果</w:t>
      </w:r>
    </w:p>
    <w:p w14:paraId="0E308262">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评价结果见表9.1-13、表9.1-14。</w:t>
      </w:r>
    </w:p>
    <w:p w14:paraId="5E0F08A2">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表9.1-13可以看出，乌里雅斯太油田范围内的3个土壤采样点，太53断块采油井200m处、太27断块采油井200m处以及雅斯联合站外10m处，各层土壤中重金属含量均</w:t>
      </w:r>
      <w:r>
        <w:rPr>
          <w:rFonts w:asciiTheme="minorEastAsia" w:hAnsiTheme="minorEastAsia" w:eastAsiaTheme="minorEastAsia"/>
          <w:lang w:eastAsia="zh-CN"/>
        </w:rPr>
        <w:t>满足</w:t>
      </w:r>
      <w:r>
        <w:rPr>
          <w:rFonts w:hint="eastAsia" w:asciiTheme="minorEastAsia" w:hAnsiTheme="minorEastAsia" w:eastAsiaTheme="minorEastAsia"/>
          <w:lang w:eastAsia="zh-CN"/>
        </w:rPr>
        <w:t>《土壤环境质量标准》(GBl5618-1995)二级旱作标准的要求</w:t>
      </w:r>
      <w:r>
        <w:rPr>
          <w:rFonts w:asciiTheme="minorEastAsia" w:hAnsiTheme="minorEastAsia" w:eastAsiaTheme="minorEastAsia"/>
          <w:lang w:eastAsia="zh-CN"/>
        </w:rPr>
        <w:t>。</w:t>
      </w:r>
      <w:r>
        <w:rPr>
          <w:rFonts w:hint="eastAsia" w:asciiTheme="minorEastAsia" w:hAnsiTheme="minorEastAsia" w:eastAsiaTheme="minorEastAsia"/>
          <w:lang w:eastAsia="zh-CN"/>
        </w:rPr>
        <w:t>由于</w:t>
      </w:r>
      <w:r>
        <w:rPr>
          <w:rFonts w:asciiTheme="minorEastAsia" w:hAnsiTheme="minorEastAsia" w:eastAsiaTheme="minorEastAsia"/>
          <w:lang w:eastAsia="zh-CN"/>
        </w:rPr>
        <w:t>石油类无评价标准值，</w:t>
      </w:r>
      <w:r>
        <w:rPr>
          <w:rFonts w:hint="eastAsia" w:asciiTheme="minorEastAsia" w:hAnsiTheme="minorEastAsia" w:eastAsiaTheme="minorEastAsia"/>
          <w:lang w:eastAsia="zh-CN"/>
        </w:rPr>
        <w:t>以</w:t>
      </w:r>
      <w:r>
        <w:rPr>
          <w:rFonts w:asciiTheme="minorEastAsia" w:hAnsiTheme="minorEastAsia" w:eastAsiaTheme="minorEastAsia"/>
          <w:lang w:eastAsia="zh-CN"/>
        </w:rPr>
        <w:t>油田边界</w:t>
      </w:r>
      <w:r>
        <w:rPr>
          <w:rFonts w:hint="eastAsia" w:asciiTheme="minorEastAsia" w:hAnsiTheme="minorEastAsia" w:eastAsiaTheme="minorEastAsia"/>
          <w:lang w:eastAsia="zh-CN"/>
        </w:rPr>
        <w:t>外2.0</w:t>
      </w:r>
      <w:r>
        <w:rPr>
          <w:rFonts w:asciiTheme="minorEastAsia" w:hAnsiTheme="minorEastAsia" w:eastAsiaTheme="minorEastAsia"/>
          <w:lang w:eastAsia="zh-CN"/>
        </w:rPr>
        <w:t>km处作为背景值</w:t>
      </w:r>
      <w:r>
        <w:rPr>
          <w:rFonts w:hint="eastAsia" w:asciiTheme="minorEastAsia" w:hAnsiTheme="minorEastAsia" w:eastAsiaTheme="minorEastAsia"/>
          <w:lang w:eastAsia="zh-CN"/>
        </w:rPr>
        <w:t>进行比较分析，可知3个采样点各层土样中石油类含量与背景值各层土样中石油类含量比较，基本没有变化</w:t>
      </w:r>
      <w:r>
        <w:rPr>
          <w:rFonts w:asciiTheme="minorEastAsia" w:hAnsiTheme="minorEastAsia" w:eastAsiaTheme="minorEastAsia"/>
          <w:lang w:eastAsia="zh-CN"/>
        </w:rPr>
        <w:t>。</w:t>
      </w:r>
    </w:p>
    <w:p w14:paraId="098DADBB">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表9.1-14可以看出，乌里雅斯太油田范围外2.0km处2个土壤采样点，各层土壤中重金属含量均</w:t>
      </w:r>
      <w:r>
        <w:rPr>
          <w:rFonts w:asciiTheme="minorEastAsia" w:hAnsiTheme="minorEastAsia" w:eastAsiaTheme="minorEastAsia"/>
          <w:lang w:eastAsia="zh-CN"/>
        </w:rPr>
        <w:t>满足</w:t>
      </w:r>
      <w:r>
        <w:rPr>
          <w:rFonts w:hint="eastAsia" w:asciiTheme="minorEastAsia" w:hAnsiTheme="minorEastAsia" w:eastAsiaTheme="minorEastAsia"/>
          <w:lang w:eastAsia="zh-CN"/>
        </w:rPr>
        <w:t>《土壤环境质量标准》(GBl5618-1995)二级旱作标准的要求</w:t>
      </w:r>
      <w:r>
        <w:rPr>
          <w:rFonts w:asciiTheme="minorEastAsia" w:hAnsiTheme="minorEastAsia" w:eastAsiaTheme="minorEastAsia"/>
          <w:lang w:eastAsia="zh-CN"/>
        </w:rPr>
        <w:t>。</w:t>
      </w:r>
    </w:p>
    <w:p w14:paraId="7EBDE602">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根据现状监测及评价结果，该区块土壤环境质量现状满足《土壤环境质量标准》(GBl5618-1995)二级旱作标准的要求</w:t>
      </w:r>
      <w:r>
        <w:rPr>
          <w:rFonts w:asciiTheme="minorEastAsia" w:hAnsiTheme="minorEastAsia" w:eastAsiaTheme="minorEastAsia"/>
          <w:lang w:eastAsia="zh-CN"/>
        </w:rPr>
        <w:t>。</w:t>
      </w:r>
    </w:p>
    <w:bookmarkEnd w:id="439"/>
    <w:bookmarkEnd w:id="440"/>
    <w:bookmarkEnd w:id="464"/>
    <w:bookmarkEnd w:id="465"/>
    <w:bookmarkEnd w:id="466"/>
    <w:bookmarkEnd w:id="467"/>
    <w:bookmarkEnd w:id="476"/>
    <w:bookmarkEnd w:id="477"/>
    <w:p w14:paraId="2C8AFA44">
      <w:pPr>
        <w:pStyle w:val="3"/>
        <w:rPr>
          <w:lang w:eastAsia="zh-CN"/>
        </w:rPr>
      </w:pPr>
      <w:bookmarkStart w:id="478" w:name="_Toc408414013"/>
      <w:bookmarkStart w:id="479" w:name="_Toc338663513"/>
      <w:bookmarkStart w:id="480" w:name="_Toc109128037"/>
      <w:bookmarkStart w:id="481" w:name="_Toc77144394"/>
      <w:r>
        <w:rPr>
          <w:lang w:eastAsia="zh-CN"/>
        </w:rPr>
        <w:t>9.2生态环境影响分析</w:t>
      </w:r>
      <w:bookmarkEnd w:id="478"/>
      <w:bookmarkEnd w:id="479"/>
    </w:p>
    <w:p w14:paraId="2EE6D982">
      <w:pPr>
        <w:ind w:firstLine="480"/>
        <w:rPr>
          <w:rFonts w:asciiTheme="minorEastAsia" w:hAnsiTheme="minorEastAsia" w:eastAsiaTheme="minorEastAsia"/>
          <w:lang w:eastAsia="zh-CN"/>
        </w:rPr>
      </w:pPr>
      <w:r>
        <w:rPr>
          <w:rFonts w:asciiTheme="minorEastAsia" w:hAnsiTheme="minorEastAsia" w:eastAsiaTheme="minorEastAsia"/>
          <w:lang w:eastAsia="zh-CN"/>
        </w:rPr>
        <w:t>油田开发过程是一项包含有钻井工程、井下作业过程、采油过程，以及集输等多种工艺的系统工程，油田开发是网状布局，因</w:t>
      </w:r>
      <w:r>
        <w:rPr>
          <w:rFonts w:hint="eastAsia" w:asciiTheme="minorEastAsia" w:hAnsiTheme="minorEastAsia" w:eastAsiaTheme="minorEastAsia"/>
          <w:lang w:eastAsia="zh-CN"/>
        </w:rPr>
        <w:t>而</w:t>
      </w:r>
      <w:r>
        <w:rPr>
          <w:rFonts w:asciiTheme="minorEastAsia" w:hAnsiTheme="minorEastAsia" w:eastAsiaTheme="minorEastAsia"/>
          <w:lang w:eastAsia="zh-CN"/>
        </w:rPr>
        <w:t>不可避免的会对周围生态环境造成不同程度的影响和破坏，影响的范围有带状和点状。由于集输管道和钻井建设是分期施工，对所有占地来说影响时间相对短暂，对生态环境影响来说，属于</w:t>
      </w:r>
      <w:r>
        <w:rPr>
          <w:rFonts w:hint="eastAsia" w:asciiTheme="minorEastAsia" w:hAnsiTheme="minorEastAsia" w:eastAsiaTheme="minorEastAsia"/>
          <w:lang w:eastAsia="zh-CN"/>
        </w:rPr>
        <w:t>短期</w:t>
      </w:r>
      <w:r>
        <w:rPr>
          <w:rFonts w:asciiTheme="minorEastAsia" w:hAnsiTheme="minorEastAsia" w:eastAsiaTheme="minorEastAsia"/>
          <w:lang w:eastAsia="zh-CN"/>
        </w:rPr>
        <w:t>的局部性破坏。</w:t>
      </w:r>
      <w:r>
        <w:rPr>
          <w:rFonts w:hint="eastAsia" w:asciiTheme="minorEastAsia" w:hAnsiTheme="minorEastAsia" w:eastAsiaTheme="minorEastAsia"/>
          <w:lang w:eastAsia="zh-CN"/>
        </w:rPr>
        <w:t>乌里雅斯太油田地面产能开发建设项目属于改扩建项目，对生态环境的影响</w:t>
      </w:r>
      <w:r>
        <w:rPr>
          <w:rFonts w:asciiTheme="minorEastAsia" w:hAnsiTheme="minorEastAsia" w:eastAsiaTheme="minorEastAsia"/>
          <w:lang w:eastAsia="zh-CN"/>
        </w:rPr>
        <w:t>主要表现在对集输站场、井场周边和对管线及两侧</w:t>
      </w:r>
      <w:r>
        <w:rPr>
          <w:rFonts w:hint="eastAsia" w:asciiTheme="minorEastAsia" w:hAnsiTheme="minorEastAsia" w:eastAsiaTheme="minorEastAsia"/>
          <w:lang w:eastAsia="zh-CN"/>
        </w:rPr>
        <w:t>一定</w:t>
      </w:r>
      <w:r>
        <w:rPr>
          <w:rFonts w:asciiTheme="minorEastAsia" w:hAnsiTheme="minorEastAsia" w:eastAsiaTheme="minorEastAsia"/>
          <w:lang w:eastAsia="zh-CN"/>
        </w:rPr>
        <w:t>范围内土壤环境及植被的影响。</w:t>
      </w:r>
    </w:p>
    <w:p w14:paraId="751B068C">
      <w:pPr>
        <w:pStyle w:val="4"/>
        <w:rPr>
          <w:lang w:eastAsia="zh-CN"/>
        </w:rPr>
      </w:pPr>
      <w:bookmarkStart w:id="482" w:name="_Toc408414014"/>
      <w:r>
        <w:rPr>
          <w:lang w:eastAsia="zh-CN"/>
        </w:rPr>
        <w:t>9.2.</w:t>
      </w:r>
      <w:r>
        <w:rPr>
          <w:rFonts w:hint="eastAsia"/>
          <w:lang w:eastAsia="zh-CN"/>
        </w:rPr>
        <w:t>1</w:t>
      </w:r>
      <w:r>
        <w:rPr>
          <w:lang w:eastAsia="zh-CN"/>
        </w:rPr>
        <w:t>油田开发对景观影响</w:t>
      </w:r>
      <w:r>
        <w:rPr>
          <w:rFonts w:hint="eastAsia"/>
          <w:lang w:eastAsia="zh-CN"/>
        </w:rPr>
        <w:t>分析</w:t>
      </w:r>
      <w:bookmarkEnd w:id="482"/>
    </w:p>
    <w:p w14:paraId="0540865B">
      <w:pPr>
        <w:ind w:firstLine="480"/>
        <w:rPr>
          <w:rFonts w:asciiTheme="minorEastAsia" w:hAnsiTheme="minorEastAsia" w:eastAsiaTheme="minorEastAsia"/>
          <w:lang w:eastAsia="zh-CN"/>
        </w:rPr>
      </w:pPr>
      <w:r>
        <w:rPr>
          <w:rFonts w:asciiTheme="minorEastAsia" w:hAnsiTheme="minorEastAsia" w:eastAsiaTheme="minorEastAsia"/>
          <w:lang w:eastAsia="zh-CN"/>
        </w:rPr>
        <w:t>乌里雅斯太油田所在区域处于内蒙古高原典型草原地带，区域内的自然景观以草原为主。油田的开发建设改变了油田范围内的景观结构，使原有单纯的草原景观向着人工化、多样化的方向发展。</w:t>
      </w:r>
    </w:p>
    <w:p w14:paraId="76004C4E">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1、油田内联络道路对景观的影响</w:t>
      </w:r>
    </w:p>
    <w:p w14:paraId="748FD6E2">
      <w:pPr>
        <w:ind w:firstLine="480"/>
        <w:rPr>
          <w:rFonts w:asciiTheme="minorEastAsia" w:hAnsiTheme="minorEastAsia" w:eastAsiaTheme="minorEastAsia"/>
          <w:lang w:eastAsia="zh-CN"/>
        </w:rPr>
      </w:pPr>
      <w:r>
        <w:rPr>
          <w:rFonts w:asciiTheme="minorEastAsia" w:hAnsiTheme="minorEastAsia" w:eastAsiaTheme="minorEastAsia"/>
          <w:lang w:eastAsia="zh-CN"/>
        </w:rPr>
        <w:t>在油田开发建设期间，各种车辆在草原上行驶所形成的通向油井和站场的道路，使景观的基本构成要素之一廊道的数量增加，影响到草原生态系统中的能流、物流和信息流的流动，对植物物种的传播和动物的迁徙提供了有利和不利的通道。有利于物流和能流的流动，利于一些植物的传播，但对一些植物的物种传播以及基因的交流、动物的迁徙产生了阻碍作用。</w:t>
      </w:r>
    </w:p>
    <w:p w14:paraId="3F5FC3A8">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2、油井、站场等对景观的影响</w:t>
      </w:r>
    </w:p>
    <w:p w14:paraId="5CB0C7F5">
      <w:pPr>
        <w:ind w:firstLine="480"/>
        <w:rPr>
          <w:rFonts w:asciiTheme="minorEastAsia" w:hAnsiTheme="minorEastAsia" w:eastAsiaTheme="minorEastAsia"/>
          <w:lang w:eastAsia="zh-CN"/>
        </w:rPr>
      </w:pPr>
      <w:r>
        <w:rPr>
          <w:rFonts w:asciiTheme="minorEastAsia" w:hAnsiTheme="minorEastAsia" w:eastAsiaTheme="minorEastAsia"/>
          <w:lang w:eastAsia="zh-CN"/>
        </w:rPr>
        <w:t>网格状分布的油井，使油田区的斑块的类型趋于多样化，主要表现在植被斑块的破碎度增加，周长减少。井场、站场等固定建筑斑块在原来的居民点斑块类型上增加。改变了原有自然草原景观，形成了井架林立的人文景观。增加的人工景观使油田范围内的植被减少，地表的完整性与平整性变差。对油田范围内原有的景观生态类型进行切割，造成空间上的非连续性和一些人为的劣质景观，使其与周围自然生态景观不相协调。同时油田作业区是一个高度人工化的景观，井塔、井架、办公设施等，使得项目区的景观粗糙度增大，在垂直方向上也表现出异质性。</w:t>
      </w:r>
    </w:p>
    <w:p w14:paraId="254F4656">
      <w:pPr>
        <w:ind w:firstLine="480"/>
        <w:rPr>
          <w:rFonts w:asciiTheme="minorEastAsia" w:hAnsiTheme="minorEastAsia" w:eastAsiaTheme="minorEastAsia"/>
          <w:lang w:eastAsia="zh-CN"/>
        </w:rPr>
      </w:pPr>
      <w:r>
        <w:rPr>
          <w:rFonts w:asciiTheme="minorEastAsia" w:hAnsiTheme="minorEastAsia" w:eastAsiaTheme="minorEastAsia"/>
          <w:lang w:eastAsia="zh-CN"/>
        </w:rPr>
        <w:t>总之，乌里雅斯太油田范围内及周围区域景观受油田滚动开发的影响，将由现有的草原景观逐渐转化为草原与人工建构筑物并存的景观，项目区内以牧草地为主的基质比重逐渐减少，而人工景观斑块比重将逐渐增加，油田范围内景观的总体异质化程度将有较大提高。</w:t>
      </w:r>
      <w:r>
        <w:rPr>
          <w:rFonts w:hint="eastAsia" w:asciiTheme="minorEastAsia" w:hAnsiTheme="minorEastAsia" w:eastAsiaTheme="minorEastAsia"/>
          <w:lang w:eastAsia="zh-CN"/>
        </w:rPr>
        <w:t>由于本工程是改扩建工程，新部署的油水井是在现有的太53、太27断块上部署，雅斯联合站是在现有的雅—站的基础上改扩建，评价范围内的人工景观已经形成，本工程的建设不会对现有的景观格局产生新的较大的影响。油田在滚动开发建设过程中，地面所有建构筑物的建设应与周围景观相协调。</w:t>
      </w:r>
    </w:p>
    <w:p w14:paraId="2BA2FE8A">
      <w:pPr>
        <w:pStyle w:val="4"/>
        <w:rPr>
          <w:lang w:eastAsia="zh-CN"/>
        </w:rPr>
      </w:pPr>
      <w:bookmarkStart w:id="483" w:name="_Toc280020088"/>
      <w:bookmarkStart w:id="484" w:name="_Toc182140913"/>
      <w:bookmarkStart w:id="485" w:name="_Toc279676689"/>
      <w:bookmarkStart w:id="486" w:name="_Toc338663515"/>
      <w:bookmarkStart w:id="487" w:name="_Toc408414015"/>
      <w:r>
        <w:rPr>
          <w:lang w:eastAsia="zh-CN"/>
        </w:rPr>
        <w:t>9.2.</w:t>
      </w:r>
      <w:r>
        <w:rPr>
          <w:rFonts w:hint="eastAsia"/>
          <w:lang w:eastAsia="zh-CN"/>
        </w:rPr>
        <w:t>2</w:t>
      </w:r>
      <w:bookmarkStart w:id="488" w:name="_Toc166837828"/>
      <w:r>
        <w:rPr>
          <w:rFonts w:hint="eastAsia"/>
          <w:lang w:eastAsia="zh-CN"/>
        </w:rPr>
        <w:t>油田开发</w:t>
      </w:r>
      <w:r>
        <w:rPr>
          <w:lang w:eastAsia="zh-CN"/>
        </w:rPr>
        <w:t>对土地利用的影响</w:t>
      </w:r>
      <w:bookmarkEnd w:id="483"/>
      <w:bookmarkEnd w:id="484"/>
      <w:bookmarkEnd w:id="485"/>
      <w:bookmarkEnd w:id="486"/>
      <w:bookmarkEnd w:id="488"/>
      <w:r>
        <w:rPr>
          <w:rFonts w:hint="eastAsia"/>
          <w:lang w:eastAsia="zh-CN"/>
        </w:rPr>
        <w:t>分析</w:t>
      </w:r>
      <w:bookmarkEnd w:id="487"/>
    </w:p>
    <w:p w14:paraId="461F986B">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工程对生态整体性的影响主要体现在工程建设前后土地利用类型的变化。</w:t>
      </w:r>
    </w:p>
    <w:p w14:paraId="22C7839D">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1、油田工程占地情况</w:t>
      </w:r>
    </w:p>
    <w:p w14:paraId="24E23486">
      <w:pPr>
        <w:ind w:firstLine="480"/>
        <w:rPr>
          <w:rFonts w:asciiTheme="minorEastAsia" w:hAnsiTheme="minorEastAsia" w:eastAsiaTheme="minorEastAsia"/>
          <w:lang w:eastAsia="zh-CN"/>
        </w:rPr>
      </w:pPr>
      <w:r>
        <w:rPr>
          <w:rFonts w:asciiTheme="minorEastAsia" w:hAnsiTheme="minorEastAsia" w:eastAsiaTheme="minorEastAsia"/>
          <w:lang w:eastAsia="zh-CN"/>
        </w:rPr>
        <w:t>本工程占地面积</w:t>
      </w:r>
      <w:r>
        <w:rPr>
          <w:rFonts w:hint="eastAsia" w:asciiTheme="minorEastAsia" w:hAnsiTheme="minorEastAsia" w:eastAsiaTheme="minorEastAsia"/>
          <w:lang w:eastAsia="zh-CN"/>
        </w:rPr>
        <w:t>65.87</w:t>
      </w:r>
      <w:r>
        <w:rPr>
          <w:rFonts w:asciiTheme="minorEastAsia" w:hAnsiTheme="minorEastAsia" w:eastAsiaTheme="minorEastAsia"/>
          <w:lang w:eastAsia="zh-CN"/>
        </w:rPr>
        <w:t>hm2，其中永久占地</w:t>
      </w:r>
      <w:r>
        <w:rPr>
          <w:rFonts w:hint="eastAsia" w:asciiTheme="minorEastAsia" w:hAnsiTheme="minorEastAsia" w:eastAsiaTheme="minorEastAsia"/>
          <w:lang w:eastAsia="zh-CN"/>
        </w:rPr>
        <w:t>15.2</w:t>
      </w:r>
      <w:r>
        <w:rPr>
          <w:rFonts w:asciiTheme="minorEastAsia" w:hAnsiTheme="minorEastAsia" w:eastAsiaTheme="minorEastAsia"/>
          <w:lang w:eastAsia="zh-CN"/>
        </w:rPr>
        <w:t>hm2，临时占地</w:t>
      </w:r>
      <w:r>
        <w:rPr>
          <w:rFonts w:hint="eastAsia" w:asciiTheme="minorEastAsia" w:hAnsiTheme="minorEastAsia" w:eastAsiaTheme="minorEastAsia"/>
          <w:lang w:eastAsia="zh-CN"/>
        </w:rPr>
        <w:t>50.67</w:t>
      </w:r>
      <w:r>
        <w:rPr>
          <w:rFonts w:asciiTheme="minorEastAsia" w:hAnsiTheme="minorEastAsia" w:eastAsiaTheme="minorEastAsia"/>
          <w:lang w:eastAsia="zh-CN"/>
        </w:rPr>
        <w:t>hm2，油田区域范围内占地</w:t>
      </w:r>
      <w:r>
        <w:rPr>
          <w:rFonts w:hint="eastAsia" w:asciiTheme="minorEastAsia" w:hAnsiTheme="minorEastAsia" w:eastAsiaTheme="minorEastAsia"/>
          <w:lang w:eastAsia="zh-CN"/>
        </w:rPr>
        <w:t>的</w:t>
      </w:r>
      <w:r>
        <w:rPr>
          <w:rFonts w:asciiTheme="minorEastAsia" w:hAnsiTheme="minorEastAsia" w:eastAsiaTheme="minorEastAsia"/>
          <w:lang w:eastAsia="zh-CN"/>
        </w:rPr>
        <w:t>土地利用类型全部为草地。</w:t>
      </w:r>
    </w:p>
    <w:p w14:paraId="21367C4B">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2</w:t>
      </w:r>
      <w:r>
        <w:rPr>
          <w:rFonts w:asciiTheme="minorEastAsia" w:hAnsiTheme="minorEastAsia" w:eastAsiaTheme="minorEastAsia"/>
          <w:lang w:eastAsia="zh-CN"/>
        </w:rPr>
        <w:t>、对土地利用</w:t>
      </w:r>
      <w:r>
        <w:rPr>
          <w:rFonts w:hint="eastAsia" w:asciiTheme="minorEastAsia" w:hAnsiTheme="minorEastAsia" w:eastAsiaTheme="minorEastAsia"/>
          <w:lang w:eastAsia="zh-CN"/>
        </w:rPr>
        <w:t>类型</w:t>
      </w:r>
      <w:r>
        <w:rPr>
          <w:rFonts w:asciiTheme="minorEastAsia" w:hAnsiTheme="minorEastAsia" w:eastAsiaTheme="minorEastAsia"/>
          <w:lang w:eastAsia="zh-CN"/>
        </w:rPr>
        <w:t>的影响</w:t>
      </w:r>
    </w:p>
    <w:p w14:paraId="4CF99DC3">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（1）</w:t>
      </w:r>
      <w:r>
        <w:rPr>
          <w:rFonts w:asciiTheme="minorEastAsia" w:hAnsiTheme="minorEastAsia" w:eastAsiaTheme="minorEastAsia"/>
          <w:lang w:eastAsia="zh-CN"/>
        </w:rPr>
        <w:t>临时占地的影响</w:t>
      </w:r>
    </w:p>
    <w:p w14:paraId="28B75227">
      <w:pPr>
        <w:ind w:firstLine="480"/>
        <w:rPr>
          <w:rFonts w:asciiTheme="minorEastAsia" w:hAnsiTheme="minorEastAsia" w:eastAsiaTheme="minorEastAsia"/>
          <w:lang w:eastAsia="zh-CN"/>
        </w:rPr>
      </w:pPr>
      <w:r>
        <w:rPr>
          <w:rFonts w:asciiTheme="minorEastAsia" w:hAnsiTheme="minorEastAsia" w:eastAsiaTheme="minorEastAsia"/>
          <w:lang w:eastAsia="zh-CN"/>
        </w:rPr>
        <w:t>临时占地发生在施工期，主要是井场建设、敷设管道。对这些土地的临时占用，会使土地的利用形式发生临时改变，影响了这些土地的原有功能，</w:t>
      </w:r>
      <w:r>
        <w:rPr>
          <w:rFonts w:hint="eastAsia" w:asciiTheme="minorEastAsia" w:hAnsiTheme="minorEastAsia" w:eastAsiaTheme="minorEastAsia"/>
          <w:lang w:eastAsia="zh-CN"/>
        </w:rPr>
        <w:t>随着植被恢复，这种影响将会消失</w:t>
      </w:r>
      <w:r>
        <w:rPr>
          <w:rFonts w:asciiTheme="minorEastAsia" w:hAnsiTheme="minorEastAsia" w:eastAsiaTheme="minorEastAsia"/>
          <w:lang w:eastAsia="zh-CN"/>
        </w:rPr>
        <w:t>。</w:t>
      </w:r>
    </w:p>
    <w:p w14:paraId="5F9D5B49">
      <w:pPr>
        <w:ind w:firstLine="480"/>
        <w:outlineLvl w:val="0"/>
        <w:rPr>
          <w:rFonts w:asciiTheme="minorEastAsia" w:hAnsiTheme="minorEastAsia" w:eastAsiaTheme="minorEastAsia"/>
          <w:lang w:eastAsia="zh-CN"/>
        </w:rPr>
      </w:pPr>
      <w:r>
        <w:rPr>
          <w:rFonts w:hint="eastAsia" w:asciiTheme="minorEastAsia" w:hAnsiTheme="minorEastAsia" w:eastAsiaTheme="minorEastAsia"/>
          <w:lang w:eastAsia="zh-CN"/>
        </w:rPr>
        <w:t>（2）</w:t>
      </w:r>
      <w:r>
        <w:rPr>
          <w:rFonts w:asciiTheme="minorEastAsia" w:hAnsiTheme="minorEastAsia" w:eastAsiaTheme="minorEastAsia"/>
          <w:lang w:eastAsia="zh-CN"/>
        </w:rPr>
        <w:t>永久占地的影响</w:t>
      </w:r>
    </w:p>
    <w:p w14:paraId="5D3413D2">
      <w:pPr>
        <w:ind w:firstLine="480"/>
        <w:rPr>
          <w:rFonts w:asciiTheme="minorEastAsia" w:hAnsiTheme="minorEastAsia" w:eastAsiaTheme="minorEastAsia"/>
          <w:lang w:eastAsia="zh-CN"/>
        </w:rPr>
      </w:pPr>
      <w:r>
        <w:rPr>
          <w:rFonts w:asciiTheme="minorEastAsia" w:hAnsiTheme="minorEastAsia" w:eastAsiaTheme="minorEastAsia"/>
          <w:lang w:eastAsia="zh-CN"/>
        </w:rPr>
        <w:t>永久占地主要包括雅斯联合站、井场和道路工程。永久占用土地自施工期就已开始，并在整个运行期内一直持续，对土地利用的影响是</w:t>
      </w:r>
      <w:r>
        <w:rPr>
          <w:rFonts w:hint="eastAsia" w:asciiTheme="minorEastAsia" w:hAnsiTheme="minorEastAsia" w:eastAsiaTheme="minorEastAsia"/>
          <w:lang w:eastAsia="zh-CN"/>
        </w:rPr>
        <w:t>长久的</w:t>
      </w:r>
      <w:r>
        <w:rPr>
          <w:rFonts w:asciiTheme="minorEastAsia" w:hAnsiTheme="minorEastAsia" w:eastAsiaTheme="minorEastAsia"/>
          <w:lang w:eastAsia="zh-CN"/>
        </w:rPr>
        <w:t>。</w:t>
      </w:r>
    </w:p>
    <w:p w14:paraId="12DED939">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由此可见，</w:t>
      </w:r>
      <w:r>
        <w:rPr>
          <w:rFonts w:asciiTheme="minorEastAsia" w:hAnsiTheme="minorEastAsia" w:eastAsiaTheme="minorEastAsia"/>
          <w:lang w:eastAsia="zh-CN"/>
        </w:rPr>
        <w:t>油田开发后，临时占地可恢复为草地，但永久占地将占用较长时间</w:t>
      </w:r>
      <w:r>
        <w:rPr>
          <w:rFonts w:hint="eastAsia" w:asciiTheme="minorEastAsia" w:hAnsiTheme="minorEastAsia" w:eastAsiaTheme="minorEastAsia"/>
          <w:lang w:eastAsia="zh-CN"/>
        </w:rPr>
        <w:t>，由此可见油田开发后，临时占地会逐渐恢复原有的使用功能，但永久占地会在较长时间段内改变土地利用类型</w:t>
      </w:r>
      <w:r>
        <w:rPr>
          <w:rFonts w:asciiTheme="minorEastAsia" w:hAnsiTheme="minorEastAsia" w:eastAsiaTheme="minorEastAsia"/>
          <w:lang w:eastAsia="zh-CN"/>
        </w:rPr>
        <w:t>。</w:t>
      </w:r>
      <w:r>
        <w:rPr>
          <w:rFonts w:hint="eastAsia" w:asciiTheme="minorEastAsia" w:hAnsiTheme="minorEastAsia" w:eastAsiaTheme="minorEastAsia"/>
          <w:lang w:eastAsia="zh-CN"/>
        </w:rPr>
        <w:t>本项目</w:t>
      </w:r>
      <w:r>
        <w:rPr>
          <w:rFonts w:asciiTheme="minorEastAsia" w:hAnsiTheme="minorEastAsia" w:eastAsiaTheme="minorEastAsia"/>
          <w:lang w:eastAsia="zh-CN"/>
        </w:rPr>
        <w:t>永久占地</w:t>
      </w:r>
      <w:r>
        <w:rPr>
          <w:rFonts w:hint="eastAsia" w:asciiTheme="minorEastAsia" w:hAnsiTheme="minorEastAsia" w:eastAsiaTheme="minorEastAsia"/>
          <w:lang w:eastAsia="zh-CN"/>
        </w:rPr>
        <w:t>15.2</w:t>
      </w:r>
      <w:r>
        <w:rPr>
          <w:rFonts w:asciiTheme="minorEastAsia" w:hAnsiTheme="minorEastAsia" w:eastAsiaTheme="minorEastAsia"/>
          <w:lang w:eastAsia="zh-CN"/>
        </w:rPr>
        <w:t>hm</w:t>
      </w:r>
      <w:r>
        <w:rPr>
          <w:rFonts w:asciiTheme="minorEastAsia" w:hAnsiTheme="minorEastAsia" w:eastAsiaTheme="minorEastAsia"/>
          <w:vertAlign w:val="superscript"/>
          <w:lang w:eastAsia="zh-CN"/>
        </w:rPr>
        <w:t>2</w:t>
      </w:r>
      <w:r>
        <w:rPr>
          <w:rFonts w:hint="eastAsia" w:asciiTheme="minorEastAsia" w:hAnsiTheme="minorEastAsia" w:eastAsiaTheme="minorEastAsia"/>
          <w:lang w:eastAsia="zh-CN"/>
        </w:rPr>
        <w:t>，减少草地面积，变为交通工矿建设用地。</w:t>
      </w:r>
    </w:p>
    <w:p w14:paraId="0D872DBF">
      <w:pPr>
        <w:pStyle w:val="4"/>
        <w:rPr>
          <w:lang w:eastAsia="zh-CN"/>
        </w:rPr>
      </w:pPr>
      <w:bookmarkStart w:id="489" w:name="_Toc408414016"/>
      <w:r>
        <w:rPr>
          <w:lang w:eastAsia="zh-CN"/>
        </w:rPr>
        <w:t>9.2.3油田开发对动植物的影响评价</w:t>
      </w:r>
      <w:bookmarkEnd w:id="489"/>
    </w:p>
    <w:p w14:paraId="057EEB7A">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1</w:t>
      </w:r>
      <w:r>
        <w:rPr>
          <w:rFonts w:asciiTheme="minorEastAsia" w:hAnsiTheme="minorEastAsia" w:eastAsiaTheme="minorEastAsia"/>
          <w:lang w:eastAsia="zh-CN"/>
        </w:rPr>
        <w:t>、管线铺设对植物的影响</w:t>
      </w:r>
    </w:p>
    <w:p w14:paraId="36FA4456">
      <w:pPr>
        <w:ind w:firstLine="480"/>
        <w:rPr>
          <w:rFonts w:asciiTheme="minorEastAsia" w:hAnsiTheme="minorEastAsia" w:eastAsiaTheme="minorEastAsia"/>
          <w:lang w:eastAsia="zh-CN"/>
        </w:rPr>
      </w:pPr>
      <w:r>
        <w:rPr>
          <w:rFonts w:asciiTheme="minorEastAsia" w:hAnsiTheme="minorEastAsia" w:eastAsiaTheme="minorEastAsia"/>
          <w:lang w:eastAsia="zh-CN"/>
        </w:rPr>
        <w:t>本项目管线建设主要是油田范围内集输管线的铺设</w:t>
      </w:r>
      <w:r>
        <w:rPr>
          <w:rFonts w:hint="eastAsia" w:asciiTheme="minorEastAsia" w:hAnsiTheme="minorEastAsia" w:eastAsiaTheme="minorEastAsia"/>
          <w:lang w:eastAsia="zh-CN"/>
        </w:rPr>
        <w:t>，影响主要发生在施工期</w:t>
      </w:r>
      <w:r>
        <w:rPr>
          <w:rFonts w:asciiTheme="minorEastAsia" w:hAnsiTheme="minorEastAsia" w:eastAsiaTheme="minorEastAsia"/>
          <w:lang w:eastAsia="zh-CN"/>
        </w:rPr>
        <w:t>。施工基建期，在管线的铺设过程中会破坏管线压覆的地表植被，管线两侧的植被也不同程度受到影响。管线铺设对植被的破坏及影响区域一般为</w:t>
      </w:r>
      <w:r>
        <w:rPr>
          <w:rFonts w:hint="eastAsia" w:asciiTheme="minorEastAsia" w:hAnsiTheme="minorEastAsia" w:eastAsiaTheme="minorEastAsia"/>
          <w:lang w:eastAsia="zh-CN"/>
        </w:rPr>
        <w:t>2</w:t>
      </w:r>
      <w:r>
        <w:rPr>
          <w:rFonts w:asciiTheme="minorEastAsia" w:hAnsiTheme="minorEastAsia" w:eastAsiaTheme="minorEastAsia"/>
          <w:lang w:eastAsia="zh-CN"/>
        </w:rPr>
        <w:t>m范围内，管线铺设完成后应及时对影响区恢复植被。管线的铺设对植被的影响属于短期影响，施工结束后，随着植被的恢复影响将会消失。</w:t>
      </w:r>
    </w:p>
    <w:p w14:paraId="67BC2B35">
      <w:pPr>
        <w:ind w:firstLine="480"/>
        <w:outlineLvl w:val="0"/>
        <w:rPr>
          <w:rFonts w:asciiTheme="minorEastAsia" w:hAnsiTheme="minorEastAsia" w:eastAsiaTheme="minorEastAsia"/>
          <w:lang w:eastAsia="zh-CN"/>
        </w:rPr>
      </w:pPr>
      <w:r>
        <w:rPr>
          <w:rFonts w:hint="eastAsia" w:asciiTheme="minorEastAsia" w:hAnsiTheme="minorEastAsia" w:eastAsiaTheme="minorEastAsia"/>
          <w:lang w:eastAsia="zh-CN"/>
        </w:rPr>
        <w:t>2</w:t>
      </w:r>
      <w:r>
        <w:rPr>
          <w:rFonts w:asciiTheme="minorEastAsia" w:hAnsiTheme="minorEastAsia" w:eastAsiaTheme="minorEastAsia"/>
          <w:lang w:eastAsia="zh-CN"/>
        </w:rPr>
        <w:t>、落地原油对植物的影响</w:t>
      </w:r>
    </w:p>
    <w:p w14:paraId="6AAF83A3">
      <w:pPr>
        <w:ind w:firstLine="480"/>
        <w:rPr>
          <w:rFonts w:asciiTheme="minorEastAsia" w:hAnsiTheme="minorEastAsia" w:eastAsiaTheme="minorEastAsia"/>
          <w:lang w:eastAsia="zh-CN"/>
        </w:rPr>
      </w:pPr>
      <w:r>
        <w:rPr>
          <w:rFonts w:asciiTheme="minorEastAsia" w:hAnsiTheme="minorEastAsia" w:eastAsiaTheme="minorEastAsia"/>
          <w:lang w:eastAsia="zh-CN"/>
        </w:rPr>
        <w:t>自然植被群落的稳定与否，标志着是否受到外来的干扰与环境污染。石油类是油田开发的主要污染因子，单个油井即可称为一个</w:t>
      </w:r>
      <w:r>
        <w:rPr>
          <w:rFonts w:hint="eastAsia" w:asciiTheme="minorEastAsia" w:hAnsiTheme="minorEastAsia" w:eastAsiaTheme="minorEastAsia"/>
          <w:lang w:eastAsia="zh-CN"/>
        </w:rPr>
        <w:t>潜在的点</w:t>
      </w:r>
      <w:r>
        <w:rPr>
          <w:rFonts w:asciiTheme="minorEastAsia" w:hAnsiTheme="minorEastAsia" w:eastAsiaTheme="minorEastAsia"/>
          <w:lang w:eastAsia="zh-CN"/>
        </w:rPr>
        <w:t>污染源。在钻井、洗井、试井、采油和修井作业过程中，将有数量不等的落地原油及固体废物排放到环境中，由众多油井组成的油田则成为一个面污染源，使油田地区受到污染。在油田开发过程中，石油对植被的污染途径主要在钻井及生产过程中原油直接或间接地溅落在植物体上，影响其生理反应使植物生长发育受阻。</w:t>
      </w:r>
    </w:p>
    <w:p w14:paraId="513BC21A">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乌里雅斯太油田在</w:t>
      </w:r>
      <w:r>
        <w:rPr>
          <w:rFonts w:asciiTheme="minorEastAsia" w:hAnsiTheme="minorEastAsia" w:eastAsiaTheme="minorEastAsia"/>
          <w:lang w:eastAsia="zh-CN"/>
        </w:rPr>
        <w:t>钻井、洗井、试井、采油和修井作业过程中，</w:t>
      </w:r>
      <w:r>
        <w:rPr>
          <w:rFonts w:hint="eastAsia" w:asciiTheme="minorEastAsia" w:hAnsiTheme="minorEastAsia" w:eastAsiaTheme="minorEastAsia"/>
          <w:lang w:eastAsia="zh-CN"/>
        </w:rPr>
        <w:t>采取了建泥浆池、铺设防渗油布等措施，防止落地原油对外环境的影响。</w:t>
      </w:r>
      <w:r>
        <w:rPr>
          <w:rFonts w:asciiTheme="minorEastAsia" w:hAnsiTheme="minorEastAsia" w:eastAsiaTheme="minorEastAsia"/>
          <w:lang w:eastAsia="zh-CN"/>
        </w:rPr>
        <w:t>根据</w:t>
      </w:r>
      <w:r>
        <w:rPr>
          <w:rFonts w:hint="eastAsia" w:asciiTheme="minorEastAsia" w:hAnsiTheme="minorEastAsia" w:eastAsiaTheme="minorEastAsia"/>
          <w:lang w:eastAsia="zh-CN"/>
        </w:rPr>
        <w:t>类比及</w:t>
      </w:r>
      <w:r>
        <w:rPr>
          <w:rFonts w:asciiTheme="minorEastAsia" w:hAnsiTheme="minorEastAsia" w:eastAsiaTheme="minorEastAsia"/>
          <w:lang w:eastAsia="zh-CN"/>
        </w:rPr>
        <w:t>实地调查乌里雅斯太油田区域</w:t>
      </w:r>
      <w:r>
        <w:rPr>
          <w:rFonts w:hint="eastAsia" w:asciiTheme="minorEastAsia" w:hAnsiTheme="minorEastAsia" w:eastAsiaTheme="minorEastAsia"/>
          <w:lang w:eastAsia="zh-CN"/>
        </w:rPr>
        <w:t>现有的</w:t>
      </w:r>
      <w:r>
        <w:rPr>
          <w:rFonts w:asciiTheme="minorEastAsia" w:hAnsiTheme="minorEastAsia" w:eastAsiaTheme="minorEastAsia"/>
          <w:lang w:eastAsia="zh-CN"/>
        </w:rPr>
        <w:t>植被，一般在井场3～5m范围内因受施工</w:t>
      </w:r>
      <w:r>
        <w:rPr>
          <w:rFonts w:hint="eastAsia" w:asciiTheme="minorEastAsia" w:hAnsiTheme="minorEastAsia" w:eastAsiaTheme="minorEastAsia"/>
          <w:lang w:eastAsia="zh-CN"/>
        </w:rPr>
        <w:t>干扰</w:t>
      </w:r>
      <w:r>
        <w:rPr>
          <w:rFonts w:asciiTheme="minorEastAsia" w:hAnsiTheme="minorEastAsia" w:eastAsiaTheme="minorEastAsia"/>
          <w:lang w:eastAsia="zh-CN"/>
        </w:rPr>
        <w:t xml:space="preserve">的影响，植被稀疏，覆盖度相对较低，而在井场5m以外的植被基本恢复到开发前状态。所以本工程开发建设中石油类对小范围内的植被会有影响，对其它植被不会产生较大的影响。    </w:t>
      </w:r>
    </w:p>
    <w:p w14:paraId="6BA886CE">
      <w:pPr>
        <w:ind w:firstLine="480"/>
        <w:outlineLvl w:val="0"/>
        <w:rPr>
          <w:rFonts w:asciiTheme="minorEastAsia" w:hAnsiTheme="minorEastAsia" w:eastAsiaTheme="minorEastAsia"/>
          <w:lang w:eastAsia="zh-CN"/>
        </w:rPr>
      </w:pPr>
      <w:r>
        <w:rPr>
          <w:rFonts w:hint="eastAsia" w:asciiTheme="minorEastAsia" w:hAnsiTheme="minorEastAsia" w:eastAsiaTheme="minorEastAsia"/>
          <w:lang w:eastAsia="zh-CN"/>
        </w:rPr>
        <w:t>3</w:t>
      </w:r>
      <w:r>
        <w:rPr>
          <w:rFonts w:asciiTheme="minorEastAsia" w:hAnsiTheme="minorEastAsia" w:eastAsiaTheme="minorEastAsia"/>
          <w:lang w:eastAsia="zh-CN"/>
        </w:rPr>
        <w:t>、废弃钻井泥浆对植物的影响</w:t>
      </w:r>
    </w:p>
    <w:p w14:paraId="677C0F2F">
      <w:pPr>
        <w:ind w:firstLine="480"/>
        <w:rPr>
          <w:rFonts w:asciiTheme="minorEastAsia" w:hAnsiTheme="minorEastAsia" w:eastAsiaTheme="minorEastAsia"/>
          <w:lang w:eastAsia="zh-CN"/>
        </w:rPr>
      </w:pPr>
      <w:r>
        <w:rPr>
          <w:rFonts w:asciiTheme="minorEastAsia" w:hAnsiTheme="minorEastAsia" w:eastAsiaTheme="minorEastAsia"/>
          <w:lang w:eastAsia="zh-CN"/>
        </w:rPr>
        <w:t>钻井过程中产生的泥浆，存放在泥浆池，但也有部分洒落于地面。在作业区的范围内，地表散落的泥浆呈灰白色，泥浆厚3～5cm，泥浆层下的土壤板结，钻通透性很差；同时轻者导致植物生长不良，降低地上生物量，重者植物根系受到危害，以致枯死。</w:t>
      </w:r>
      <w:r>
        <w:rPr>
          <w:rFonts w:hint="eastAsia" w:asciiTheme="minorEastAsia" w:hAnsiTheme="minorEastAsia" w:eastAsiaTheme="minorEastAsia"/>
          <w:lang w:eastAsia="zh-CN"/>
        </w:rPr>
        <w:t>本工程在钻井过程中，建设泥浆池，钻井废弃泥浆排入泥浆池，</w:t>
      </w:r>
      <w:r>
        <w:rPr>
          <w:rFonts w:asciiTheme="minorEastAsia" w:hAnsiTheme="minorEastAsia" w:eastAsiaTheme="minorEastAsia"/>
          <w:lang w:eastAsia="zh-CN"/>
        </w:rPr>
        <w:t>废弃泥浆在进行无害化固化处理</w:t>
      </w:r>
      <w:r>
        <w:rPr>
          <w:rFonts w:hint="eastAsia" w:asciiTheme="minorEastAsia" w:hAnsiTheme="minorEastAsia" w:eastAsiaTheme="minorEastAsia"/>
          <w:lang w:eastAsia="zh-CN"/>
        </w:rPr>
        <w:t>，覆土恢复植被</w:t>
      </w:r>
      <w:r>
        <w:rPr>
          <w:rFonts w:asciiTheme="minorEastAsia" w:hAnsiTheme="minorEastAsia" w:eastAsiaTheme="minorEastAsia"/>
          <w:lang w:eastAsia="zh-CN"/>
        </w:rPr>
        <w:t>，对植被的影响将会随着时间的推移而逐渐降低，到3～5年后植被将会趋于稳定。</w:t>
      </w:r>
    </w:p>
    <w:p w14:paraId="52EEE7AB">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4、油田开发对野生动物的影响</w:t>
      </w:r>
    </w:p>
    <w:p w14:paraId="3EBA5DE4">
      <w:pPr>
        <w:ind w:firstLine="480"/>
        <w:rPr>
          <w:rFonts w:asciiTheme="minorEastAsia" w:hAnsiTheme="minorEastAsia" w:eastAsiaTheme="minorEastAsia"/>
          <w:lang w:eastAsia="zh-CN"/>
        </w:rPr>
      </w:pPr>
      <w:r>
        <w:rPr>
          <w:rFonts w:asciiTheme="minorEastAsia" w:hAnsiTheme="minorEastAsia" w:eastAsiaTheme="minorEastAsia"/>
          <w:lang w:eastAsia="zh-CN"/>
        </w:rPr>
        <w:t>油田在建设施工期间，将影响评价区野生动物的栖息环境，使野生动物失去部分觅食地、栖息场所和活动区域等，工程建设使野生动物的活动范围减小。施工过程中一些施工噪声、产生的废气和人为活动等，将可能惊吓和驱赶施工区及周围一定范围内的野生动物，同时减少施工区域内野生动物的分布数量，对评价区的野生动物的生存环境产生不利影响。</w:t>
      </w:r>
    </w:p>
    <w:p w14:paraId="17E508D4">
      <w:pPr>
        <w:ind w:firstLine="480"/>
        <w:rPr>
          <w:rFonts w:asciiTheme="minorEastAsia" w:hAnsiTheme="minorEastAsia" w:eastAsiaTheme="minorEastAsia"/>
          <w:lang w:eastAsia="zh-CN"/>
        </w:rPr>
      </w:pPr>
      <w:r>
        <w:rPr>
          <w:rFonts w:asciiTheme="minorEastAsia" w:hAnsiTheme="minorEastAsia" w:eastAsiaTheme="minorEastAsia"/>
          <w:lang w:eastAsia="zh-CN"/>
        </w:rPr>
        <w:t>根据现状调查，当地牧民主要以从事畜牧业为主，有一定的人为活动。该区域现分布的野生动物主要是啮齿类等小型动物及雀形目鸟类，鸟类主要有</w:t>
      </w:r>
      <w:r>
        <w:rPr>
          <w:rFonts w:hint="eastAsia" w:asciiTheme="minorEastAsia" w:hAnsiTheme="minorEastAsia" w:eastAsiaTheme="minorEastAsia"/>
          <w:lang w:eastAsia="zh-CN"/>
        </w:rPr>
        <w:t>沙半鸡</w:t>
      </w:r>
      <w:r>
        <w:rPr>
          <w:rFonts w:asciiTheme="minorEastAsia" w:hAnsiTheme="minorEastAsia" w:eastAsiaTheme="minorEastAsia"/>
          <w:lang w:eastAsia="zh-CN"/>
        </w:rPr>
        <w:t>、乌鸦等，已经很少见到。本工程的建设施工，只是影响了野生动物的活动范围，对野生动物的种类和数量不会产生明显影响。</w:t>
      </w:r>
    </w:p>
    <w:p w14:paraId="37EFB44A">
      <w:pPr>
        <w:pStyle w:val="4"/>
        <w:rPr>
          <w:lang w:eastAsia="zh-CN"/>
        </w:rPr>
      </w:pPr>
      <w:bookmarkStart w:id="490" w:name="_Toc338663516"/>
      <w:bookmarkStart w:id="491" w:name="_Toc182140914"/>
      <w:bookmarkStart w:id="492" w:name="_Toc279676690"/>
      <w:bookmarkStart w:id="493" w:name="_Toc280020089"/>
      <w:bookmarkStart w:id="494" w:name="_Toc408414017"/>
      <w:r>
        <w:rPr>
          <w:lang w:eastAsia="zh-CN"/>
        </w:rPr>
        <w:t>9.2.</w:t>
      </w:r>
      <w:r>
        <w:rPr>
          <w:rFonts w:hint="eastAsia"/>
          <w:lang w:eastAsia="zh-CN"/>
        </w:rPr>
        <w:t>4</w:t>
      </w:r>
      <w:r>
        <w:rPr>
          <w:lang w:eastAsia="zh-CN"/>
        </w:rPr>
        <w:t>油田开发对土壤环境的影响</w:t>
      </w:r>
      <w:bookmarkEnd w:id="490"/>
      <w:bookmarkEnd w:id="491"/>
      <w:bookmarkEnd w:id="492"/>
      <w:bookmarkEnd w:id="493"/>
      <w:r>
        <w:rPr>
          <w:rFonts w:hint="eastAsia"/>
          <w:lang w:eastAsia="zh-CN"/>
        </w:rPr>
        <w:t>分析</w:t>
      </w:r>
      <w:bookmarkEnd w:id="494"/>
    </w:p>
    <w:p w14:paraId="42CFA769">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1</w:t>
      </w:r>
      <w:r>
        <w:rPr>
          <w:rFonts w:asciiTheme="minorEastAsia" w:hAnsiTheme="minorEastAsia" w:eastAsiaTheme="minorEastAsia"/>
          <w:lang w:eastAsia="zh-CN"/>
        </w:rPr>
        <w:t>、</w:t>
      </w:r>
      <w:r>
        <w:rPr>
          <w:rFonts w:hint="eastAsia" w:asciiTheme="minorEastAsia" w:hAnsiTheme="minorEastAsia" w:eastAsiaTheme="minorEastAsia"/>
          <w:lang w:eastAsia="zh-CN"/>
        </w:rPr>
        <w:t>铺设集输管线等活动</w:t>
      </w:r>
      <w:r>
        <w:rPr>
          <w:rFonts w:asciiTheme="minorEastAsia" w:hAnsiTheme="minorEastAsia" w:eastAsiaTheme="minorEastAsia"/>
          <w:lang w:eastAsia="zh-CN"/>
        </w:rPr>
        <w:t>对土壤影响</w:t>
      </w:r>
      <w:r>
        <w:rPr>
          <w:rFonts w:hint="eastAsia" w:asciiTheme="minorEastAsia" w:hAnsiTheme="minorEastAsia" w:eastAsiaTheme="minorEastAsia"/>
          <w:lang w:eastAsia="zh-CN"/>
        </w:rPr>
        <w:t>分析</w:t>
      </w:r>
    </w:p>
    <w:p w14:paraId="1DF9CE09">
      <w:pPr>
        <w:ind w:firstLine="480"/>
        <w:rPr>
          <w:rFonts w:asciiTheme="minorEastAsia" w:hAnsiTheme="minorEastAsia" w:eastAsiaTheme="minorEastAsia"/>
          <w:lang w:eastAsia="zh-CN"/>
        </w:rPr>
      </w:pPr>
      <w:r>
        <w:rPr>
          <w:rFonts w:asciiTheme="minorEastAsia" w:hAnsiTheme="minorEastAsia" w:eastAsiaTheme="minorEastAsia"/>
          <w:lang w:eastAsia="zh-CN"/>
        </w:rPr>
        <w:t>本工程在施工建设中，</w:t>
      </w:r>
      <w:r>
        <w:rPr>
          <w:rFonts w:hint="eastAsia" w:asciiTheme="minorEastAsia" w:hAnsiTheme="minorEastAsia" w:eastAsiaTheme="minorEastAsia"/>
          <w:lang w:eastAsia="zh-CN"/>
        </w:rPr>
        <w:t>在</w:t>
      </w:r>
      <w:r>
        <w:rPr>
          <w:rFonts w:asciiTheme="minorEastAsia" w:hAnsiTheme="minorEastAsia" w:eastAsiaTheme="minorEastAsia"/>
          <w:lang w:eastAsia="zh-CN"/>
        </w:rPr>
        <w:t>建设井场、敷设</w:t>
      </w:r>
      <w:r>
        <w:rPr>
          <w:rFonts w:hint="eastAsia" w:asciiTheme="minorEastAsia" w:hAnsiTheme="minorEastAsia" w:eastAsiaTheme="minorEastAsia"/>
          <w:lang w:eastAsia="zh-CN"/>
        </w:rPr>
        <w:t>集输管线时</w:t>
      </w:r>
      <w:r>
        <w:rPr>
          <w:rFonts w:asciiTheme="minorEastAsia" w:hAnsiTheme="minorEastAsia" w:eastAsiaTheme="minorEastAsia"/>
          <w:lang w:eastAsia="zh-CN"/>
        </w:rPr>
        <w:t>，</w:t>
      </w:r>
      <w:r>
        <w:rPr>
          <w:rFonts w:hint="eastAsia" w:asciiTheme="minorEastAsia" w:hAnsiTheme="minorEastAsia" w:eastAsiaTheme="minorEastAsia"/>
          <w:lang w:eastAsia="zh-CN"/>
        </w:rPr>
        <w:t>会清除地表植被、开挖管沟导致</w:t>
      </w:r>
      <w:r>
        <w:rPr>
          <w:rFonts w:asciiTheme="minorEastAsia" w:hAnsiTheme="minorEastAsia" w:eastAsiaTheme="minorEastAsia"/>
          <w:lang w:eastAsia="zh-CN"/>
        </w:rPr>
        <w:t>土壤结构破坏，土壤生产力下降，</w:t>
      </w:r>
      <w:r>
        <w:rPr>
          <w:rFonts w:hint="eastAsia" w:asciiTheme="minorEastAsia" w:hAnsiTheme="minorEastAsia" w:eastAsiaTheme="minorEastAsia"/>
          <w:lang w:eastAsia="zh-CN"/>
        </w:rPr>
        <w:t>容易造成土壤侵蚀</w:t>
      </w:r>
      <w:r>
        <w:rPr>
          <w:rFonts w:asciiTheme="minorEastAsia" w:hAnsiTheme="minorEastAsia" w:eastAsiaTheme="minorEastAsia"/>
          <w:lang w:eastAsia="zh-CN"/>
        </w:rPr>
        <w:t>，从而影响土壤的发育，植被的恢复。施工期，开挖土方，会使局部地面的稳定性遭到破坏，为风蚀和水土流失提供物质基础。本工程施工过程中，</w:t>
      </w:r>
      <w:r>
        <w:rPr>
          <w:rFonts w:hint="eastAsia" w:asciiTheme="minorEastAsia" w:hAnsiTheme="minorEastAsia" w:eastAsiaTheme="minorEastAsia"/>
          <w:lang w:eastAsia="zh-CN"/>
        </w:rPr>
        <w:t>应</w:t>
      </w:r>
      <w:r>
        <w:rPr>
          <w:rFonts w:asciiTheme="minorEastAsia" w:hAnsiTheme="minorEastAsia" w:eastAsiaTheme="minorEastAsia"/>
          <w:lang w:eastAsia="zh-CN"/>
        </w:rPr>
        <w:t>避开</w:t>
      </w:r>
      <w:r>
        <w:rPr>
          <w:rFonts w:hint="eastAsia" w:asciiTheme="minorEastAsia" w:hAnsiTheme="minorEastAsia" w:eastAsiaTheme="minorEastAsia"/>
          <w:lang w:eastAsia="zh-CN"/>
        </w:rPr>
        <w:t>大风季</w:t>
      </w:r>
      <w:r>
        <w:rPr>
          <w:rFonts w:asciiTheme="minorEastAsia" w:hAnsiTheme="minorEastAsia" w:eastAsiaTheme="minorEastAsia"/>
          <w:lang w:eastAsia="zh-CN"/>
        </w:rPr>
        <w:t>和大雨期施工，</w:t>
      </w:r>
      <w:r>
        <w:rPr>
          <w:rFonts w:hint="eastAsia" w:asciiTheme="minorEastAsia" w:hAnsiTheme="minorEastAsia" w:eastAsiaTheme="minorEastAsia"/>
          <w:lang w:eastAsia="zh-CN"/>
        </w:rPr>
        <w:t>应将表土单独堆放，妥善管理，对施工开挖面及时平整覆土恢复植被，对开挖的管沟应及时回填覆土恢复植被。</w:t>
      </w:r>
      <w:r>
        <w:rPr>
          <w:rFonts w:asciiTheme="minorEastAsia" w:hAnsiTheme="minorEastAsia" w:eastAsiaTheme="minorEastAsia"/>
          <w:lang w:eastAsia="zh-CN"/>
        </w:rPr>
        <w:t>采取相应的环保措施</w:t>
      </w:r>
      <w:r>
        <w:rPr>
          <w:rFonts w:hint="eastAsia" w:asciiTheme="minorEastAsia" w:hAnsiTheme="minorEastAsia" w:eastAsiaTheme="minorEastAsia"/>
          <w:lang w:eastAsia="zh-CN"/>
        </w:rPr>
        <w:t>后</w:t>
      </w:r>
      <w:r>
        <w:rPr>
          <w:rFonts w:asciiTheme="minorEastAsia" w:hAnsiTheme="minorEastAsia" w:eastAsiaTheme="minorEastAsia"/>
          <w:lang w:eastAsia="zh-CN"/>
        </w:rPr>
        <w:t>，将</w:t>
      </w:r>
      <w:r>
        <w:rPr>
          <w:rFonts w:hint="eastAsia" w:asciiTheme="minorEastAsia" w:hAnsiTheme="minorEastAsia" w:eastAsiaTheme="minorEastAsia"/>
          <w:lang w:eastAsia="zh-CN"/>
        </w:rPr>
        <w:t>工程建设</w:t>
      </w:r>
      <w:r>
        <w:rPr>
          <w:rFonts w:asciiTheme="minorEastAsia" w:hAnsiTheme="minorEastAsia" w:eastAsiaTheme="minorEastAsia"/>
          <w:lang w:eastAsia="zh-CN"/>
        </w:rPr>
        <w:t>的不利影响降到最低程度。</w:t>
      </w:r>
    </w:p>
    <w:p w14:paraId="6E765DE3">
      <w:pPr>
        <w:ind w:firstLine="480"/>
        <w:outlineLvl w:val="0"/>
        <w:rPr>
          <w:rFonts w:asciiTheme="minorEastAsia" w:hAnsiTheme="minorEastAsia" w:eastAsiaTheme="minorEastAsia"/>
          <w:lang w:eastAsia="zh-CN"/>
        </w:rPr>
      </w:pPr>
      <w:r>
        <w:rPr>
          <w:rFonts w:hint="eastAsia" w:asciiTheme="minorEastAsia" w:hAnsiTheme="minorEastAsia" w:eastAsiaTheme="minorEastAsia"/>
          <w:lang w:eastAsia="zh-CN"/>
        </w:rPr>
        <w:t>2、油田开发对土壤质量的影响分析</w:t>
      </w:r>
    </w:p>
    <w:p w14:paraId="776A9259">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（1）本工程属于改扩建项目，</w:t>
      </w:r>
      <w:r>
        <w:rPr>
          <w:rFonts w:asciiTheme="minorEastAsia" w:hAnsiTheme="minorEastAsia" w:eastAsiaTheme="minorEastAsia"/>
          <w:lang w:eastAsia="zh-CN"/>
        </w:rPr>
        <w:t>油田</w:t>
      </w:r>
      <w:r>
        <w:rPr>
          <w:rFonts w:hint="eastAsia" w:asciiTheme="minorEastAsia" w:hAnsiTheme="minorEastAsia" w:eastAsiaTheme="minorEastAsia"/>
          <w:lang w:eastAsia="zh-CN"/>
        </w:rPr>
        <w:t>现有油井48口，开井42口，雅一站接转站，产能为油处理规模3×10</w:t>
      </w:r>
      <w:r>
        <w:rPr>
          <w:rFonts w:hint="eastAsia" w:asciiTheme="minorEastAsia" w:hAnsiTheme="minorEastAsia" w:eastAsiaTheme="minorEastAsia"/>
          <w:vertAlign w:val="superscript"/>
          <w:lang w:eastAsia="zh-CN"/>
        </w:rPr>
        <w:t>4</w:t>
      </w:r>
      <w:r>
        <w:rPr>
          <w:rFonts w:hint="eastAsia" w:asciiTheme="minorEastAsia" w:hAnsiTheme="minorEastAsia" w:eastAsiaTheme="minorEastAsia"/>
          <w:lang w:eastAsia="zh-CN"/>
        </w:rPr>
        <w:t>t/a，采出油进入雅—站后经油气分离及大罐沉降脱水合格后注入阿乌宝线，与阿尔油田原油一起输送至宝一联，通过宝蒙线、蒙阿线输送到阿赛线。本次评价为了掌握采油生产及油气集输对土壤质量产生的影响，对乌里雅斯太油田现有太53断块、太27断块采油井附近及雅斯联合站附近分别设3个采样点，分层检测铬、汞、铜、锌、铅等重金属及石油类含量，并在也莆田范围外东侧、西侧2.0km处设2个采样点，分层分层检测铬、汞、铜、锌、铅等重金属及石油类含量，将采油井附近及联合站附近采样点的监测数据与背景监测点的数据进行对比分析，并与《土壤环境质量标准》(GBl5618-1995)二级旱作标准值进行对比分析，见表9.2-1。</w:t>
      </w:r>
    </w:p>
    <w:p w14:paraId="0027371D">
      <w:pPr>
        <w:ind w:firstLine="480"/>
        <w:rPr>
          <w:rFonts w:asciiTheme="minorEastAsia" w:hAnsiTheme="minorEastAsia" w:eastAsiaTheme="minorEastAsia"/>
          <w:lang w:eastAsia="zh-CN"/>
        </w:rPr>
      </w:pPr>
      <w:r>
        <w:rPr>
          <w:rFonts w:asciiTheme="minorEastAsia" w:hAnsiTheme="minorEastAsia" w:eastAsiaTheme="minorEastAsia"/>
          <w:lang w:eastAsia="zh-CN"/>
        </w:rPr>
        <w:t>由表9.2-</w:t>
      </w:r>
      <w:r>
        <w:rPr>
          <w:rFonts w:hint="eastAsia" w:asciiTheme="minorEastAsia" w:hAnsiTheme="minorEastAsia" w:eastAsiaTheme="minorEastAsia"/>
          <w:lang w:eastAsia="zh-CN"/>
        </w:rPr>
        <w:t>1</w:t>
      </w:r>
      <w:r>
        <w:rPr>
          <w:rFonts w:asciiTheme="minorEastAsia" w:hAnsiTheme="minorEastAsia" w:eastAsiaTheme="minorEastAsia"/>
          <w:lang w:eastAsia="zh-CN"/>
        </w:rPr>
        <w:t>的</w:t>
      </w:r>
      <w:r>
        <w:rPr>
          <w:rFonts w:hint="eastAsia" w:asciiTheme="minorEastAsia" w:hAnsiTheme="minorEastAsia" w:eastAsiaTheme="minorEastAsia"/>
          <w:lang w:eastAsia="zh-CN"/>
        </w:rPr>
        <w:t>分析对比</w:t>
      </w:r>
      <w:r>
        <w:rPr>
          <w:rFonts w:asciiTheme="minorEastAsia" w:hAnsiTheme="minorEastAsia" w:eastAsiaTheme="minorEastAsia"/>
          <w:lang w:eastAsia="zh-CN"/>
        </w:rPr>
        <w:t>可知，土壤中</w:t>
      </w:r>
      <w:r>
        <w:rPr>
          <w:rFonts w:hint="eastAsia" w:asciiTheme="minorEastAsia" w:hAnsiTheme="minorEastAsia" w:eastAsiaTheme="minorEastAsia"/>
          <w:lang w:eastAsia="zh-CN"/>
        </w:rPr>
        <w:t>各层的</w:t>
      </w:r>
      <w:r>
        <w:rPr>
          <w:rFonts w:asciiTheme="minorEastAsia" w:hAnsiTheme="minorEastAsia" w:eastAsiaTheme="minorEastAsia"/>
          <w:lang w:eastAsia="zh-CN"/>
        </w:rPr>
        <w:t>重金属的含量</w:t>
      </w:r>
      <w:r>
        <w:rPr>
          <w:rFonts w:hint="eastAsia" w:asciiTheme="minorEastAsia" w:hAnsiTheme="minorEastAsia" w:eastAsiaTheme="minorEastAsia"/>
          <w:lang w:eastAsia="zh-CN"/>
        </w:rPr>
        <w:t>均符合《土壤环境质量标准》二级标准的要求，与背景点</w:t>
      </w:r>
      <w:r>
        <w:rPr>
          <w:rFonts w:asciiTheme="minorEastAsia" w:hAnsiTheme="minorEastAsia" w:eastAsiaTheme="minorEastAsia"/>
          <w:lang w:eastAsia="zh-CN"/>
        </w:rPr>
        <w:t>土壤中</w:t>
      </w:r>
      <w:r>
        <w:rPr>
          <w:rFonts w:hint="eastAsia" w:asciiTheme="minorEastAsia" w:hAnsiTheme="minorEastAsia" w:eastAsiaTheme="minorEastAsia"/>
          <w:lang w:eastAsia="zh-CN"/>
        </w:rPr>
        <w:t>各层的</w:t>
      </w:r>
      <w:r>
        <w:rPr>
          <w:rFonts w:asciiTheme="minorEastAsia" w:hAnsiTheme="minorEastAsia" w:eastAsiaTheme="minorEastAsia"/>
          <w:lang w:eastAsia="zh-CN"/>
        </w:rPr>
        <w:t>重金属的含量</w:t>
      </w:r>
      <w:r>
        <w:rPr>
          <w:rFonts w:hint="eastAsia" w:asciiTheme="minorEastAsia" w:hAnsiTheme="minorEastAsia" w:eastAsiaTheme="minorEastAsia"/>
          <w:lang w:eastAsia="zh-CN"/>
        </w:rPr>
        <w:t>变化不大，说明土壤中的重金属含量</w:t>
      </w:r>
      <w:r>
        <w:rPr>
          <w:rFonts w:asciiTheme="minorEastAsia" w:hAnsiTheme="minorEastAsia" w:eastAsiaTheme="minorEastAsia"/>
          <w:lang w:eastAsia="zh-CN"/>
        </w:rPr>
        <w:t>受落地原油的影响不大。</w:t>
      </w:r>
    </w:p>
    <w:p w14:paraId="61A99270">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油田采油及集输油过程</w:t>
      </w:r>
      <w:r>
        <w:rPr>
          <w:rFonts w:asciiTheme="minorEastAsia" w:hAnsiTheme="minorEastAsia" w:eastAsiaTheme="minorEastAsia"/>
          <w:lang w:eastAsia="zh-CN"/>
        </w:rPr>
        <w:t>对土壤的影响主要表现在石油类对土壤的污染影响上。由表9.2-</w:t>
      </w:r>
      <w:r>
        <w:rPr>
          <w:rFonts w:hint="eastAsia" w:asciiTheme="minorEastAsia" w:hAnsiTheme="minorEastAsia" w:eastAsiaTheme="minorEastAsia"/>
          <w:lang w:eastAsia="zh-CN"/>
        </w:rPr>
        <w:t>1</w:t>
      </w:r>
      <w:r>
        <w:rPr>
          <w:rFonts w:asciiTheme="minorEastAsia" w:hAnsiTheme="minorEastAsia" w:eastAsiaTheme="minorEastAsia"/>
          <w:lang w:eastAsia="zh-CN"/>
        </w:rPr>
        <w:t>的</w:t>
      </w:r>
      <w:r>
        <w:rPr>
          <w:rFonts w:hint="eastAsia" w:asciiTheme="minorEastAsia" w:hAnsiTheme="minorEastAsia" w:eastAsiaTheme="minorEastAsia"/>
          <w:lang w:eastAsia="zh-CN"/>
        </w:rPr>
        <w:t>分析对比</w:t>
      </w:r>
      <w:r>
        <w:rPr>
          <w:rFonts w:asciiTheme="minorEastAsia" w:hAnsiTheme="minorEastAsia" w:eastAsiaTheme="minorEastAsia"/>
          <w:lang w:eastAsia="zh-CN"/>
        </w:rPr>
        <w:t>可知</w:t>
      </w:r>
      <w:r>
        <w:rPr>
          <w:rFonts w:hint="eastAsia" w:asciiTheme="minorEastAsia" w:hAnsiTheme="minorEastAsia" w:eastAsiaTheme="minorEastAsia"/>
          <w:lang w:eastAsia="zh-CN"/>
        </w:rPr>
        <w:t>，油田在采油、集输过程中各层土中石油类含量与背景点各层土中石油类含量基本一致，说明油田在采油、集输过程中石油类对土壤的影响较小。</w:t>
      </w:r>
    </w:p>
    <w:p w14:paraId="1BB5B462">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（2）</w:t>
      </w:r>
      <w:r>
        <w:rPr>
          <w:rFonts w:asciiTheme="minorEastAsia" w:hAnsiTheme="minorEastAsia" w:eastAsiaTheme="minorEastAsia"/>
          <w:lang w:eastAsia="zh-CN"/>
        </w:rPr>
        <w:t>乌里雅斯太油田开发规划中规定了严格的落地原油、泥浆、岩屑回收措施，落地原油回收率达到99%以上，</w:t>
      </w:r>
      <w:r>
        <w:rPr>
          <w:rFonts w:hint="eastAsia" w:asciiTheme="minorEastAsia" w:hAnsiTheme="minorEastAsia" w:eastAsiaTheme="minorEastAsia"/>
          <w:lang w:eastAsia="zh-CN"/>
        </w:rPr>
        <w:t>在建设生产过程中，铺设防渗油布，避免落地油对外环境的影响。</w:t>
      </w:r>
    </w:p>
    <w:p w14:paraId="5B665D1F">
      <w:pPr>
        <w:ind w:firstLine="480"/>
        <w:rPr>
          <w:rFonts w:asciiTheme="minorEastAsia" w:hAnsiTheme="minorEastAsia" w:eastAsiaTheme="minorEastAsia"/>
          <w:lang w:eastAsia="zh-CN"/>
        </w:rPr>
      </w:pPr>
      <w:r>
        <w:rPr>
          <w:rFonts w:asciiTheme="minorEastAsia" w:hAnsiTheme="minorEastAsia" w:eastAsiaTheme="minorEastAsia"/>
          <w:lang w:eastAsia="zh-CN"/>
        </w:rPr>
        <w:t>由于乌里雅斯太油田含油区块内的勘探工作已完成，在今后的滚动开发过程中，根据产能及储量适量的开发新油井。对于新开发的油井应严格限制征地范围，场内设</w:t>
      </w:r>
      <w:r>
        <w:rPr>
          <w:rFonts w:hint="eastAsia" w:asciiTheme="minorEastAsia" w:hAnsiTheme="minorEastAsia" w:eastAsiaTheme="minorEastAsia"/>
          <w:lang w:eastAsia="zh-CN"/>
        </w:rPr>
        <w:t>防渗</w:t>
      </w:r>
      <w:r>
        <w:rPr>
          <w:rFonts w:asciiTheme="minorEastAsia" w:hAnsiTheme="minorEastAsia" w:eastAsiaTheme="minorEastAsia"/>
          <w:lang w:eastAsia="zh-CN"/>
        </w:rPr>
        <w:t>泥浆池，避免污染物外排。在钻井作业中，将泥浆排入泥浆池中实行回收重复利用。</w:t>
      </w:r>
      <w:r>
        <w:rPr>
          <w:rFonts w:hint="eastAsia" w:asciiTheme="minorEastAsia" w:hAnsiTheme="minorEastAsia" w:eastAsiaTheme="minorEastAsia"/>
          <w:lang w:eastAsia="zh-CN"/>
        </w:rPr>
        <w:t>钻井结束后，对泥浆池稳定固化，覆土恢复植被。在采油生产过程中要铺设防渗油布，对落地有进行回收，避免落地有对外环境的影响。</w:t>
      </w:r>
    </w:p>
    <w:p w14:paraId="5BA08532">
      <w:pPr>
        <w:ind w:firstLine="480"/>
        <w:rPr>
          <w:rFonts w:asciiTheme="minorEastAsia" w:hAnsiTheme="minorEastAsia" w:eastAsiaTheme="minorEastAsia"/>
          <w:lang w:eastAsia="zh-CN"/>
        </w:rPr>
        <w:sectPr>
          <w:pgSz w:w="11907" w:h="16840"/>
          <w:pgMar w:top="1440" w:right="1797" w:bottom="1440" w:left="1797" w:header="851" w:footer="992" w:gutter="0"/>
          <w:cols w:space="720" w:num="1"/>
          <w:docGrid w:linePitch="326" w:charSpace="0"/>
        </w:sectPr>
      </w:pPr>
    </w:p>
    <w:p w14:paraId="43CE21E4">
      <w:pPr>
        <w:ind w:firstLine="480"/>
        <w:rPr>
          <w:rFonts w:asciiTheme="minorEastAsia" w:hAnsiTheme="minorEastAsia" w:eastAsiaTheme="minorEastAsia"/>
          <w:kern w:val="2"/>
          <w:szCs w:val="24"/>
          <w:lang w:eastAsia="zh-CN" w:bidi="ar-SA"/>
        </w:rPr>
      </w:pPr>
    </w:p>
    <w:p w14:paraId="5B688D78">
      <w:pPr>
        <w:spacing w:line="240" w:lineRule="auto"/>
        <w:ind w:firstLine="361" w:firstLineChars="150"/>
        <w:rPr>
          <w:snapToGrid w:val="0"/>
          <w:sz w:val="21"/>
          <w:szCs w:val="21"/>
          <w:lang w:eastAsia="zh-CN"/>
        </w:rPr>
      </w:pPr>
      <w:r>
        <w:rPr>
          <w:b/>
          <w:snapToGrid w:val="0"/>
          <w:lang w:eastAsia="zh-CN"/>
        </w:rPr>
        <w:t>表</w:t>
      </w:r>
      <w:r>
        <w:rPr>
          <w:rFonts w:hint="eastAsia"/>
          <w:b/>
          <w:snapToGrid w:val="0"/>
          <w:lang w:eastAsia="zh-CN"/>
        </w:rPr>
        <w:t>9</w:t>
      </w:r>
      <w:r>
        <w:rPr>
          <w:b/>
          <w:snapToGrid w:val="0"/>
          <w:lang w:eastAsia="zh-CN"/>
        </w:rPr>
        <w:t>.</w:t>
      </w:r>
      <w:r>
        <w:rPr>
          <w:rFonts w:hint="eastAsia"/>
          <w:b/>
          <w:snapToGrid w:val="0"/>
          <w:lang w:eastAsia="zh-CN"/>
        </w:rPr>
        <w:t>2</w:t>
      </w:r>
      <w:r>
        <w:rPr>
          <w:b/>
          <w:snapToGrid w:val="0"/>
          <w:lang w:eastAsia="zh-CN"/>
        </w:rPr>
        <w:t>-</w:t>
      </w:r>
      <w:r>
        <w:rPr>
          <w:rFonts w:hint="eastAsia"/>
          <w:b/>
          <w:snapToGrid w:val="0"/>
          <w:lang w:eastAsia="zh-CN"/>
        </w:rPr>
        <w:t>1    乌里雅斯太油田范围</w:t>
      </w:r>
      <w:r>
        <w:rPr>
          <w:b/>
          <w:snapToGrid w:val="0"/>
          <w:lang w:eastAsia="zh-CN"/>
        </w:rPr>
        <w:t>土壤监测数据</w:t>
      </w:r>
      <w:r>
        <w:rPr>
          <w:rFonts w:hint="eastAsia"/>
          <w:b/>
          <w:snapToGrid w:val="0"/>
          <w:lang w:eastAsia="zh-CN"/>
        </w:rPr>
        <w:t>与背景点比较</w:t>
      </w:r>
      <w:r>
        <w:rPr>
          <w:rFonts w:hint="eastAsia"/>
          <w:b/>
          <w:snapToGrid w:val="0"/>
          <w:sz w:val="21"/>
          <w:szCs w:val="21"/>
          <w:lang w:eastAsia="zh-CN"/>
        </w:rPr>
        <w:t>（单位：</w:t>
      </w:r>
      <w:r>
        <w:rPr>
          <w:b/>
          <w:snapToGrid w:val="0"/>
          <w:sz w:val="21"/>
          <w:szCs w:val="21"/>
          <w:lang w:eastAsia="zh-CN"/>
        </w:rPr>
        <w:t>mg/kg</w:t>
      </w:r>
      <w:r>
        <w:rPr>
          <w:rFonts w:hint="eastAsia"/>
          <w:b/>
          <w:snapToGrid w:val="0"/>
          <w:sz w:val="21"/>
          <w:szCs w:val="21"/>
          <w:lang w:eastAsia="zh-CN"/>
        </w:rPr>
        <w:t>，</w:t>
      </w:r>
      <w:r>
        <w:rPr>
          <w:b/>
          <w:snapToGrid w:val="0"/>
          <w:sz w:val="21"/>
          <w:szCs w:val="21"/>
          <w:lang w:eastAsia="zh-CN"/>
        </w:rPr>
        <w:t>pH</w:t>
      </w:r>
      <w:r>
        <w:rPr>
          <w:rFonts w:hint="eastAsia"/>
          <w:b/>
          <w:snapToGrid w:val="0"/>
          <w:sz w:val="21"/>
          <w:szCs w:val="21"/>
          <w:lang w:eastAsia="zh-CN"/>
        </w:rPr>
        <w:t>除外）</w:t>
      </w:r>
    </w:p>
    <w:tbl>
      <w:tblPr>
        <w:tblStyle w:val="76"/>
        <w:tblW w:w="1442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59"/>
        <w:gridCol w:w="992"/>
        <w:gridCol w:w="992"/>
        <w:gridCol w:w="993"/>
        <w:gridCol w:w="992"/>
        <w:gridCol w:w="1134"/>
        <w:gridCol w:w="992"/>
        <w:gridCol w:w="992"/>
        <w:gridCol w:w="993"/>
        <w:gridCol w:w="992"/>
        <w:gridCol w:w="1134"/>
        <w:gridCol w:w="1134"/>
        <w:gridCol w:w="1134"/>
        <w:gridCol w:w="992"/>
      </w:tblGrid>
      <w:tr w14:paraId="599F6C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Merge w:val="restart"/>
            <w:vAlign w:val="center"/>
          </w:tcPr>
          <w:p w14:paraId="74DA544D">
            <w:pPr>
              <w:pStyle w:val="518"/>
              <w:rPr>
                <w:snapToGrid w:val="0"/>
                <w:lang w:eastAsia="zh-CN"/>
              </w:rPr>
            </w:pPr>
            <w:r>
              <w:rPr>
                <w:snapToGrid w:val="0"/>
              </w:rPr>
              <w:t>监测</w:t>
            </w:r>
          </w:p>
          <w:p w14:paraId="48F7FEC2">
            <w:pPr>
              <w:pStyle w:val="518"/>
              <w:rPr>
                <w:snapToGrid w:val="0"/>
              </w:rPr>
            </w:pPr>
            <w:r>
              <w:rPr>
                <w:snapToGrid w:val="0"/>
              </w:rPr>
              <w:t>项目</w:t>
            </w:r>
          </w:p>
        </w:tc>
        <w:tc>
          <w:tcPr>
            <w:tcW w:w="2977" w:type="dxa"/>
            <w:gridSpan w:val="3"/>
            <w:tcBorders>
              <w:bottom w:val="single" w:color="auto" w:sz="4" w:space="0"/>
            </w:tcBorders>
            <w:vAlign w:val="center"/>
          </w:tcPr>
          <w:p w14:paraId="4A799D63">
            <w:pPr>
              <w:pStyle w:val="518"/>
            </w:pPr>
            <w:r>
              <w:rPr>
                <w:rFonts w:hint="eastAsia"/>
                <w:lang w:eastAsia="zh-CN"/>
              </w:rPr>
              <w:t>1#</w:t>
            </w:r>
          </w:p>
        </w:tc>
        <w:tc>
          <w:tcPr>
            <w:tcW w:w="3118" w:type="dxa"/>
            <w:gridSpan w:val="3"/>
            <w:vAlign w:val="center"/>
          </w:tcPr>
          <w:p w14:paraId="4952714C">
            <w:pPr>
              <w:pStyle w:val="518"/>
              <w:rPr>
                <w:lang w:eastAsia="zh-CN"/>
              </w:rPr>
            </w:pPr>
            <w:r>
              <w:rPr>
                <w:rFonts w:hint="eastAsia"/>
                <w:lang w:eastAsia="zh-CN"/>
              </w:rPr>
              <w:t>2#</w:t>
            </w:r>
          </w:p>
        </w:tc>
        <w:tc>
          <w:tcPr>
            <w:tcW w:w="2977" w:type="dxa"/>
            <w:gridSpan w:val="3"/>
            <w:vAlign w:val="center"/>
          </w:tcPr>
          <w:p w14:paraId="0E7A4819">
            <w:pPr>
              <w:pStyle w:val="518"/>
              <w:rPr>
                <w:lang w:eastAsia="zh-CN"/>
              </w:rPr>
            </w:pPr>
            <w:r>
              <w:rPr>
                <w:rFonts w:hint="eastAsia"/>
                <w:lang w:eastAsia="zh-CN"/>
              </w:rPr>
              <w:t>3#</w:t>
            </w:r>
          </w:p>
        </w:tc>
        <w:tc>
          <w:tcPr>
            <w:tcW w:w="3402" w:type="dxa"/>
            <w:gridSpan w:val="3"/>
          </w:tcPr>
          <w:p w14:paraId="7E7AC90A">
            <w:pPr>
              <w:pStyle w:val="518"/>
              <w:rPr>
                <w:lang w:eastAsia="zh-CN"/>
              </w:rPr>
            </w:pPr>
            <w:r>
              <w:rPr>
                <w:rFonts w:hint="eastAsia"/>
                <w:lang w:eastAsia="zh-CN"/>
              </w:rPr>
              <w:t>背景点（平均）</w:t>
            </w:r>
          </w:p>
        </w:tc>
        <w:tc>
          <w:tcPr>
            <w:tcW w:w="992" w:type="dxa"/>
          </w:tcPr>
          <w:p w14:paraId="68DF37D7">
            <w:pPr>
              <w:pStyle w:val="518"/>
              <w:rPr>
                <w:lang w:eastAsia="zh-CN"/>
              </w:rPr>
            </w:pPr>
            <w:r>
              <w:rPr>
                <w:rFonts w:hint="eastAsia"/>
                <w:lang w:eastAsia="zh-CN"/>
              </w:rPr>
              <w:t>标准值</w:t>
            </w:r>
          </w:p>
        </w:tc>
      </w:tr>
      <w:tr w14:paraId="308D65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Merge w:val="continue"/>
            <w:vAlign w:val="center"/>
          </w:tcPr>
          <w:p w14:paraId="633140D6">
            <w:pPr>
              <w:pStyle w:val="518"/>
              <w:rPr>
                <w:snapToGrid w:val="0"/>
              </w:rPr>
            </w:pPr>
          </w:p>
        </w:tc>
        <w:tc>
          <w:tcPr>
            <w:tcW w:w="992" w:type="dxa"/>
            <w:tcBorders>
              <w:top w:val="single" w:color="auto" w:sz="4" w:space="0"/>
            </w:tcBorders>
            <w:vAlign w:val="center"/>
          </w:tcPr>
          <w:p w14:paraId="7806FD72">
            <w:pPr>
              <w:pStyle w:val="518"/>
              <w:rPr>
                <w:snapToGrid w:val="0"/>
                <w:lang w:eastAsia="zh-CN"/>
              </w:rPr>
            </w:pPr>
            <w:r>
              <w:rPr>
                <w:rFonts w:hint="eastAsia" w:ascii="宋体" w:hAnsi="宋体"/>
                <w:lang w:eastAsia="zh-CN"/>
              </w:rPr>
              <w:t>0-20cm</w:t>
            </w:r>
          </w:p>
        </w:tc>
        <w:tc>
          <w:tcPr>
            <w:tcW w:w="992" w:type="dxa"/>
            <w:vAlign w:val="center"/>
          </w:tcPr>
          <w:p w14:paraId="35505038">
            <w:pPr>
              <w:pStyle w:val="518"/>
              <w:rPr>
                <w:rFonts w:ascii="宋体" w:hAnsi="宋体"/>
                <w:lang w:eastAsia="zh-CN"/>
              </w:rPr>
            </w:pPr>
            <w:r>
              <w:rPr>
                <w:rFonts w:hint="eastAsia" w:ascii="宋体" w:hAnsi="宋体"/>
                <w:lang w:eastAsia="zh-CN"/>
              </w:rPr>
              <w:t>20-</w:t>
            </w:r>
          </w:p>
          <w:p w14:paraId="0D8D2BAF">
            <w:pPr>
              <w:pStyle w:val="518"/>
              <w:rPr>
                <w:lang w:eastAsia="zh-CN"/>
              </w:rPr>
            </w:pPr>
            <w:r>
              <w:rPr>
                <w:rFonts w:hint="eastAsia" w:ascii="宋体" w:hAnsi="宋体"/>
                <w:lang w:eastAsia="zh-CN"/>
              </w:rPr>
              <w:t>60cm</w:t>
            </w:r>
          </w:p>
        </w:tc>
        <w:tc>
          <w:tcPr>
            <w:tcW w:w="993" w:type="dxa"/>
            <w:vAlign w:val="center"/>
          </w:tcPr>
          <w:p w14:paraId="2F3A11CD">
            <w:pPr>
              <w:pStyle w:val="518"/>
              <w:rPr>
                <w:lang w:eastAsia="zh-CN"/>
              </w:rPr>
            </w:pPr>
            <w:r>
              <w:rPr>
                <w:rFonts w:hint="eastAsia"/>
                <w:lang w:eastAsia="zh-CN"/>
              </w:rPr>
              <w:t>60-</w:t>
            </w:r>
          </w:p>
          <w:p w14:paraId="07B762E4">
            <w:pPr>
              <w:pStyle w:val="518"/>
              <w:rPr>
                <w:lang w:eastAsia="zh-CN"/>
              </w:rPr>
            </w:pPr>
            <w:r>
              <w:rPr>
                <w:rFonts w:hint="eastAsia"/>
                <w:lang w:eastAsia="zh-CN"/>
              </w:rPr>
              <w:t>100cm</w:t>
            </w:r>
          </w:p>
        </w:tc>
        <w:tc>
          <w:tcPr>
            <w:tcW w:w="992" w:type="dxa"/>
            <w:vAlign w:val="center"/>
          </w:tcPr>
          <w:p w14:paraId="21C9C608">
            <w:pPr>
              <w:pStyle w:val="518"/>
              <w:rPr>
                <w:snapToGrid w:val="0"/>
                <w:lang w:eastAsia="zh-CN"/>
              </w:rPr>
            </w:pPr>
            <w:r>
              <w:rPr>
                <w:rFonts w:hint="eastAsia" w:ascii="宋体" w:hAnsi="宋体"/>
                <w:lang w:eastAsia="zh-CN"/>
              </w:rPr>
              <w:t>0-20cm</w:t>
            </w:r>
          </w:p>
        </w:tc>
        <w:tc>
          <w:tcPr>
            <w:tcW w:w="1134" w:type="dxa"/>
            <w:tcBorders>
              <w:right w:val="single" w:color="auto" w:sz="4" w:space="0"/>
            </w:tcBorders>
            <w:vAlign w:val="center"/>
          </w:tcPr>
          <w:p w14:paraId="123B2C44">
            <w:pPr>
              <w:pStyle w:val="518"/>
              <w:rPr>
                <w:rFonts w:ascii="宋体" w:hAnsi="宋体"/>
                <w:lang w:eastAsia="zh-CN"/>
              </w:rPr>
            </w:pPr>
            <w:r>
              <w:rPr>
                <w:rFonts w:hint="eastAsia" w:ascii="宋体" w:hAnsi="宋体"/>
                <w:lang w:eastAsia="zh-CN"/>
              </w:rPr>
              <w:t>20-</w:t>
            </w:r>
          </w:p>
          <w:p w14:paraId="00135F1A">
            <w:pPr>
              <w:pStyle w:val="518"/>
              <w:rPr>
                <w:lang w:eastAsia="zh-CN"/>
              </w:rPr>
            </w:pPr>
            <w:r>
              <w:rPr>
                <w:rFonts w:hint="eastAsia" w:ascii="宋体" w:hAnsi="宋体"/>
                <w:lang w:eastAsia="zh-CN"/>
              </w:rPr>
              <w:t>60cm</w:t>
            </w:r>
          </w:p>
        </w:tc>
        <w:tc>
          <w:tcPr>
            <w:tcW w:w="992" w:type="dxa"/>
            <w:tcBorders>
              <w:left w:val="single" w:color="auto" w:sz="4" w:space="0"/>
            </w:tcBorders>
            <w:vAlign w:val="center"/>
          </w:tcPr>
          <w:p w14:paraId="2107F50B">
            <w:pPr>
              <w:pStyle w:val="518"/>
              <w:rPr>
                <w:lang w:eastAsia="zh-CN"/>
              </w:rPr>
            </w:pPr>
            <w:r>
              <w:rPr>
                <w:rFonts w:hint="eastAsia"/>
                <w:lang w:eastAsia="zh-CN"/>
              </w:rPr>
              <w:t>60-</w:t>
            </w:r>
          </w:p>
          <w:p w14:paraId="539F238C">
            <w:pPr>
              <w:pStyle w:val="518"/>
              <w:rPr>
                <w:lang w:eastAsia="zh-CN"/>
              </w:rPr>
            </w:pPr>
            <w:r>
              <w:rPr>
                <w:rFonts w:hint="eastAsia"/>
                <w:lang w:eastAsia="zh-CN"/>
              </w:rPr>
              <w:t>100cm</w:t>
            </w:r>
          </w:p>
        </w:tc>
        <w:tc>
          <w:tcPr>
            <w:tcW w:w="992" w:type="dxa"/>
            <w:tcBorders>
              <w:right w:val="single" w:color="auto" w:sz="4" w:space="0"/>
            </w:tcBorders>
            <w:vAlign w:val="center"/>
          </w:tcPr>
          <w:p w14:paraId="67560885">
            <w:pPr>
              <w:pStyle w:val="518"/>
              <w:rPr>
                <w:snapToGrid w:val="0"/>
                <w:lang w:eastAsia="zh-CN"/>
              </w:rPr>
            </w:pPr>
            <w:r>
              <w:rPr>
                <w:rFonts w:hint="eastAsia" w:ascii="宋体" w:hAnsi="宋体"/>
                <w:lang w:eastAsia="zh-CN"/>
              </w:rPr>
              <w:t>0-20cm</w:t>
            </w:r>
          </w:p>
        </w:tc>
        <w:tc>
          <w:tcPr>
            <w:tcW w:w="993" w:type="dxa"/>
            <w:tcBorders>
              <w:left w:val="single" w:color="auto" w:sz="4" w:space="0"/>
            </w:tcBorders>
            <w:vAlign w:val="center"/>
          </w:tcPr>
          <w:p w14:paraId="10653CE0">
            <w:pPr>
              <w:pStyle w:val="518"/>
              <w:rPr>
                <w:rFonts w:ascii="宋体" w:hAnsi="宋体"/>
                <w:lang w:eastAsia="zh-CN"/>
              </w:rPr>
            </w:pPr>
            <w:r>
              <w:rPr>
                <w:rFonts w:hint="eastAsia" w:ascii="宋体" w:hAnsi="宋体"/>
                <w:lang w:eastAsia="zh-CN"/>
              </w:rPr>
              <w:t>20-</w:t>
            </w:r>
          </w:p>
          <w:p w14:paraId="2AA0136F">
            <w:pPr>
              <w:pStyle w:val="518"/>
              <w:rPr>
                <w:lang w:eastAsia="zh-CN"/>
              </w:rPr>
            </w:pPr>
            <w:r>
              <w:rPr>
                <w:rFonts w:hint="eastAsia" w:ascii="宋体" w:hAnsi="宋体"/>
                <w:lang w:eastAsia="zh-CN"/>
              </w:rPr>
              <w:t>60cm</w:t>
            </w:r>
          </w:p>
        </w:tc>
        <w:tc>
          <w:tcPr>
            <w:tcW w:w="992" w:type="dxa"/>
            <w:vAlign w:val="center"/>
          </w:tcPr>
          <w:p w14:paraId="37B6321B">
            <w:pPr>
              <w:pStyle w:val="518"/>
              <w:rPr>
                <w:lang w:eastAsia="zh-CN"/>
              </w:rPr>
            </w:pPr>
            <w:r>
              <w:rPr>
                <w:rFonts w:hint="eastAsia"/>
                <w:lang w:eastAsia="zh-CN"/>
              </w:rPr>
              <w:t>60-</w:t>
            </w:r>
          </w:p>
          <w:p w14:paraId="2DCC5712">
            <w:pPr>
              <w:pStyle w:val="518"/>
              <w:rPr>
                <w:lang w:eastAsia="zh-CN"/>
              </w:rPr>
            </w:pPr>
            <w:r>
              <w:rPr>
                <w:rFonts w:hint="eastAsia"/>
                <w:lang w:eastAsia="zh-CN"/>
              </w:rPr>
              <w:t>100cm</w:t>
            </w:r>
          </w:p>
        </w:tc>
        <w:tc>
          <w:tcPr>
            <w:tcW w:w="1134" w:type="dxa"/>
          </w:tcPr>
          <w:p w14:paraId="74F46123">
            <w:pPr>
              <w:pStyle w:val="518"/>
              <w:rPr>
                <w:lang w:eastAsia="zh-CN"/>
              </w:rPr>
            </w:pPr>
            <w:r>
              <w:rPr>
                <w:rFonts w:hint="eastAsia" w:ascii="宋体" w:hAnsi="宋体"/>
                <w:lang w:eastAsia="zh-CN"/>
              </w:rPr>
              <w:t>0-20cm</w:t>
            </w:r>
          </w:p>
        </w:tc>
        <w:tc>
          <w:tcPr>
            <w:tcW w:w="1134" w:type="dxa"/>
          </w:tcPr>
          <w:p w14:paraId="651D6B52">
            <w:pPr>
              <w:pStyle w:val="518"/>
              <w:rPr>
                <w:rFonts w:ascii="宋体" w:hAnsi="宋体"/>
                <w:lang w:eastAsia="zh-CN"/>
              </w:rPr>
            </w:pPr>
            <w:r>
              <w:rPr>
                <w:rFonts w:hint="eastAsia" w:ascii="宋体" w:hAnsi="宋体"/>
                <w:lang w:eastAsia="zh-CN"/>
              </w:rPr>
              <w:t>20-</w:t>
            </w:r>
          </w:p>
          <w:p w14:paraId="236F0F84">
            <w:pPr>
              <w:pStyle w:val="518"/>
              <w:rPr>
                <w:lang w:eastAsia="zh-CN"/>
              </w:rPr>
            </w:pPr>
            <w:r>
              <w:rPr>
                <w:rFonts w:hint="eastAsia" w:ascii="宋体" w:hAnsi="宋体"/>
                <w:lang w:eastAsia="zh-CN"/>
              </w:rPr>
              <w:t>60cm</w:t>
            </w:r>
          </w:p>
        </w:tc>
        <w:tc>
          <w:tcPr>
            <w:tcW w:w="1134" w:type="dxa"/>
          </w:tcPr>
          <w:p w14:paraId="20B64F85">
            <w:pPr>
              <w:pStyle w:val="518"/>
              <w:rPr>
                <w:lang w:eastAsia="zh-CN"/>
              </w:rPr>
            </w:pPr>
            <w:r>
              <w:rPr>
                <w:rFonts w:hint="eastAsia"/>
                <w:lang w:eastAsia="zh-CN"/>
              </w:rPr>
              <w:t>60-</w:t>
            </w:r>
          </w:p>
          <w:p w14:paraId="1566B177">
            <w:pPr>
              <w:pStyle w:val="518"/>
              <w:rPr>
                <w:lang w:eastAsia="zh-CN"/>
              </w:rPr>
            </w:pPr>
            <w:r>
              <w:rPr>
                <w:rFonts w:hint="eastAsia"/>
                <w:lang w:eastAsia="zh-CN"/>
              </w:rPr>
              <w:t>100cm</w:t>
            </w:r>
          </w:p>
        </w:tc>
        <w:tc>
          <w:tcPr>
            <w:tcW w:w="992" w:type="dxa"/>
          </w:tcPr>
          <w:p w14:paraId="649D79A9">
            <w:pPr>
              <w:pStyle w:val="518"/>
              <w:rPr>
                <w:lang w:eastAsia="zh-CN"/>
              </w:rPr>
            </w:pPr>
          </w:p>
        </w:tc>
      </w:tr>
      <w:tr w14:paraId="250AC4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Align w:val="center"/>
          </w:tcPr>
          <w:p w14:paraId="2F12549B">
            <w:pPr>
              <w:pStyle w:val="518"/>
              <w:rPr>
                <w:snapToGrid w:val="0"/>
              </w:rPr>
            </w:pPr>
            <w:r>
              <w:rPr>
                <w:snapToGrid w:val="0"/>
              </w:rPr>
              <w:t>pH</w:t>
            </w:r>
          </w:p>
        </w:tc>
        <w:tc>
          <w:tcPr>
            <w:tcW w:w="992" w:type="dxa"/>
            <w:vAlign w:val="center"/>
          </w:tcPr>
          <w:p w14:paraId="70ED7E1D">
            <w:pPr>
              <w:pStyle w:val="518"/>
              <w:rPr>
                <w:lang w:eastAsia="zh-CN"/>
              </w:rPr>
            </w:pPr>
            <w:r>
              <w:rPr>
                <w:rFonts w:hint="eastAsia"/>
                <w:lang w:eastAsia="zh-CN"/>
              </w:rPr>
              <w:t>8.62</w:t>
            </w:r>
          </w:p>
        </w:tc>
        <w:tc>
          <w:tcPr>
            <w:tcW w:w="992" w:type="dxa"/>
            <w:vAlign w:val="center"/>
          </w:tcPr>
          <w:p w14:paraId="038F924A">
            <w:pPr>
              <w:pStyle w:val="518"/>
              <w:rPr>
                <w:lang w:eastAsia="zh-CN"/>
              </w:rPr>
            </w:pPr>
            <w:r>
              <w:rPr>
                <w:rFonts w:hint="eastAsia"/>
                <w:lang w:eastAsia="zh-CN"/>
              </w:rPr>
              <w:t>8.14</w:t>
            </w:r>
          </w:p>
        </w:tc>
        <w:tc>
          <w:tcPr>
            <w:tcW w:w="993" w:type="dxa"/>
            <w:vAlign w:val="center"/>
          </w:tcPr>
          <w:p w14:paraId="3C98960D">
            <w:pPr>
              <w:pStyle w:val="518"/>
            </w:pPr>
            <w:r>
              <w:rPr>
                <w:rFonts w:hint="eastAsia"/>
                <w:lang w:eastAsia="zh-CN"/>
              </w:rPr>
              <w:t>8.76</w:t>
            </w:r>
          </w:p>
        </w:tc>
        <w:tc>
          <w:tcPr>
            <w:tcW w:w="992" w:type="dxa"/>
            <w:vAlign w:val="center"/>
          </w:tcPr>
          <w:p w14:paraId="1D638777">
            <w:pPr>
              <w:pStyle w:val="518"/>
              <w:rPr>
                <w:lang w:eastAsia="zh-CN"/>
              </w:rPr>
            </w:pPr>
            <w:r>
              <w:rPr>
                <w:rFonts w:hint="eastAsia"/>
                <w:lang w:eastAsia="zh-CN"/>
              </w:rPr>
              <w:t>8.63</w:t>
            </w:r>
          </w:p>
        </w:tc>
        <w:tc>
          <w:tcPr>
            <w:tcW w:w="1134" w:type="dxa"/>
            <w:tcBorders>
              <w:right w:val="single" w:color="auto" w:sz="4" w:space="0"/>
            </w:tcBorders>
            <w:vAlign w:val="center"/>
          </w:tcPr>
          <w:p w14:paraId="24612584">
            <w:pPr>
              <w:pStyle w:val="518"/>
            </w:pPr>
            <w:r>
              <w:rPr>
                <w:rFonts w:hint="eastAsia"/>
                <w:lang w:eastAsia="zh-CN"/>
              </w:rPr>
              <w:t>8.64</w:t>
            </w:r>
          </w:p>
        </w:tc>
        <w:tc>
          <w:tcPr>
            <w:tcW w:w="992" w:type="dxa"/>
            <w:tcBorders>
              <w:left w:val="single" w:color="auto" w:sz="4" w:space="0"/>
            </w:tcBorders>
            <w:vAlign w:val="center"/>
          </w:tcPr>
          <w:p w14:paraId="6127AF5D">
            <w:pPr>
              <w:pStyle w:val="518"/>
              <w:rPr>
                <w:lang w:eastAsia="zh-CN"/>
              </w:rPr>
            </w:pPr>
            <w:r>
              <w:rPr>
                <w:rFonts w:hint="eastAsia"/>
                <w:lang w:eastAsia="zh-CN"/>
              </w:rPr>
              <w:t>8.69</w:t>
            </w:r>
          </w:p>
        </w:tc>
        <w:tc>
          <w:tcPr>
            <w:tcW w:w="992" w:type="dxa"/>
            <w:tcBorders>
              <w:right w:val="single" w:color="auto" w:sz="4" w:space="0"/>
            </w:tcBorders>
            <w:vAlign w:val="center"/>
          </w:tcPr>
          <w:p w14:paraId="3C6F5C7F">
            <w:pPr>
              <w:pStyle w:val="518"/>
              <w:rPr>
                <w:lang w:eastAsia="zh-CN"/>
              </w:rPr>
            </w:pPr>
            <w:r>
              <w:rPr>
                <w:rFonts w:hint="eastAsia"/>
                <w:lang w:eastAsia="zh-CN"/>
              </w:rPr>
              <w:t>8.58</w:t>
            </w:r>
          </w:p>
        </w:tc>
        <w:tc>
          <w:tcPr>
            <w:tcW w:w="993" w:type="dxa"/>
            <w:tcBorders>
              <w:left w:val="single" w:color="auto" w:sz="4" w:space="0"/>
            </w:tcBorders>
            <w:vAlign w:val="center"/>
          </w:tcPr>
          <w:p w14:paraId="30CCDBED">
            <w:pPr>
              <w:pStyle w:val="518"/>
              <w:rPr>
                <w:lang w:eastAsia="zh-CN"/>
              </w:rPr>
            </w:pPr>
            <w:r>
              <w:rPr>
                <w:rFonts w:hint="eastAsia"/>
                <w:lang w:eastAsia="zh-CN"/>
              </w:rPr>
              <w:t>8.61</w:t>
            </w:r>
          </w:p>
        </w:tc>
        <w:tc>
          <w:tcPr>
            <w:tcW w:w="992" w:type="dxa"/>
            <w:vAlign w:val="center"/>
          </w:tcPr>
          <w:p w14:paraId="2F262ADE">
            <w:pPr>
              <w:pStyle w:val="518"/>
            </w:pPr>
            <w:r>
              <w:rPr>
                <w:rFonts w:hint="eastAsia"/>
                <w:lang w:eastAsia="zh-CN"/>
              </w:rPr>
              <w:t>8.62</w:t>
            </w:r>
          </w:p>
        </w:tc>
        <w:tc>
          <w:tcPr>
            <w:tcW w:w="1134" w:type="dxa"/>
          </w:tcPr>
          <w:p w14:paraId="0981FA19">
            <w:pPr>
              <w:pStyle w:val="518"/>
              <w:rPr>
                <w:lang w:eastAsia="zh-CN"/>
              </w:rPr>
            </w:pPr>
            <w:r>
              <w:rPr>
                <w:rFonts w:hint="eastAsia"/>
                <w:lang w:eastAsia="zh-CN"/>
              </w:rPr>
              <w:t>8.56-8.57</w:t>
            </w:r>
          </w:p>
        </w:tc>
        <w:tc>
          <w:tcPr>
            <w:tcW w:w="1134" w:type="dxa"/>
          </w:tcPr>
          <w:p w14:paraId="410EBDC2">
            <w:pPr>
              <w:pStyle w:val="518"/>
              <w:rPr>
                <w:lang w:eastAsia="zh-CN"/>
              </w:rPr>
            </w:pPr>
            <w:r>
              <w:rPr>
                <w:rFonts w:hint="eastAsia"/>
                <w:lang w:eastAsia="zh-CN"/>
              </w:rPr>
              <w:t>8.61-8.62</w:t>
            </w:r>
          </w:p>
        </w:tc>
        <w:tc>
          <w:tcPr>
            <w:tcW w:w="1134" w:type="dxa"/>
          </w:tcPr>
          <w:p w14:paraId="315CE21D">
            <w:pPr>
              <w:pStyle w:val="518"/>
              <w:rPr>
                <w:lang w:eastAsia="zh-CN"/>
              </w:rPr>
            </w:pPr>
            <w:r>
              <w:rPr>
                <w:rFonts w:hint="eastAsia"/>
                <w:lang w:eastAsia="zh-CN"/>
              </w:rPr>
              <w:t>8.67-8.68</w:t>
            </w:r>
          </w:p>
        </w:tc>
        <w:tc>
          <w:tcPr>
            <w:tcW w:w="992" w:type="dxa"/>
          </w:tcPr>
          <w:p w14:paraId="2C7F3DC6">
            <w:pPr>
              <w:pStyle w:val="518"/>
              <w:rPr>
                <w:lang w:eastAsia="zh-CN"/>
              </w:rPr>
            </w:pPr>
            <w:r>
              <w:rPr>
                <w:rFonts w:ascii="宋体" w:hAnsi="宋体"/>
                <w:snapToGrid w:val="0"/>
                <w:szCs w:val="21"/>
              </w:rPr>
              <w:t>＞7.5</w:t>
            </w:r>
          </w:p>
        </w:tc>
      </w:tr>
      <w:tr w14:paraId="62D2AC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Align w:val="center"/>
          </w:tcPr>
          <w:p w14:paraId="6B36BFD9">
            <w:pPr>
              <w:pStyle w:val="518"/>
              <w:rPr>
                <w:snapToGrid w:val="0"/>
              </w:rPr>
            </w:pPr>
            <w:r>
              <w:rPr>
                <w:snapToGrid w:val="0"/>
              </w:rPr>
              <w:t>铬</w:t>
            </w:r>
          </w:p>
        </w:tc>
        <w:tc>
          <w:tcPr>
            <w:tcW w:w="992" w:type="dxa"/>
            <w:vAlign w:val="center"/>
          </w:tcPr>
          <w:p w14:paraId="3D66AFC2">
            <w:pPr>
              <w:pStyle w:val="518"/>
              <w:rPr>
                <w:lang w:eastAsia="zh-CN"/>
              </w:rPr>
            </w:pPr>
            <w:r>
              <w:rPr>
                <w:rFonts w:hint="eastAsia"/>
                <w:lang w:eastAsia="zh-CN"/>
              </w:rPr>
              <w:t>41.8</w:t>
            </w:r>
          </w:p>
        </w:tc>
        <w:tc>
          <w:tcPr>
            <w:tcW w:w="992" w:type="dxa"/>
            <w:vAlign w:val="center"/>
          </w:tcPr>
          <w:p w14:paraId="71B734F3">
            <w:pPr>
              <w:pStyle w:val="518"/>
              <w:rPr>
                <w:lang w:eastAsia="zh-CN"/>
              </w:rPr>
            </w:pPr>
            <w:r>
              <w:rPr>
                <w:rFonts w:hint="eastAsia"/>
                <w:lang w:eastAsia="zh-CN"/>
              </w:rPr>
              <w:t>32.9</w:t>
            </w:r>
          </w:p>
        </w:tc>
        <w:tc>
          <w:tcPr>
            <w:tcW w:w="993" w:type="dxa"/>
            <w:vAlign w:val="center"/>
          </w:tcPr>
          <w:p w14:paraId="78F8B87E">
            <w:pPr>
              <w:pStyle w:val="518"/>
              <w:rPr>
                <w:lang w:eastAsia="zh-CN"/>
              </w:rPr>
            </w:pPr>
            <w:r>
              <w:rPr>
                <w:rFonts w:hint="eastAsia"/>
                <w:lang w:eastAsia="zh-CN"/>
              </w:rPr>
              <w:t>40.4</w:t>
            </w:r>
          </w:p>
        </w:tc>
        <w:tc>
          <w:tcPr>
            <w:tcW w:w="992" w:type="dxa"/>
            <w:vAlign w:val="center"/>
          </w:tcPr>
          <w:p w14:paraId="29C72ACC">
            <w:pPr>
              <w:pStyle w:val="518"/>
              <w:rPr>
                <w:lang w:eastAsia="zh-CN"/>
              </w:rPr>
            </w:pPr>
            <w:r>
              <w:rPr>
                <w:rFonts w:hint="eastAsia"/>
                <w:lang w:eastAsia="zh-CN"/>
              </w:rPr>
              <w:t>40.9</w:t>
            </w:r>
          </w:p>
        </w:tc>
        <w:tc>
          <w:tcPr>
            <w:tcW w:w="1134" w:type="dxa"/>
            <w:tcBorders>
              <w:right w:val="single" w:color="auto" w:sz="4" w:space="0"/>
            </w:tcBorders>
            <w:vAlign w:val="center"/>
          </w:tcPr>
          <w:p w14:paraId="2B2DC8E0">
            <w:pPr>
              <w:pStyle w:val="518"/>
              <w:rPr>
                <w:snapToGrid w:val="0"/>
                <w:lang w:eastAsia="zh-CN"/>
              </w:rPr>
            </w:pPr>
            <w:r>
              <w:rPr>
                <w:rFonts w:hint="eastAsia"/>
                <w:snapToGrid w:val="0"/>
                <w:lang w:eastAsia="zh-CN"/>
              </w:rPr>
              <w:t>32.5</w:t>
            </w:r>
          </w:p>
        </w:tc>
        <w:tc>
          <w:tcPr>
            <w:tcW w:w="992" w:type="dxa"/>
            <w:tcBorders>
              <w:left w:val="single" w:color="auto" w:sz="4" w:space="0"/>
            </w:tcBorders>
            <w:vAlign w:val="center"/>
          </w:tcPr>
          <w:p w14:paraId="406BBD6F">
            <w:pPr>
              <w:pStyle w:val="518"/>
              <w:rPr>
                <w:snapToGrid w:val="0"/>
                <w:lang w:eastAsia="zh-CN"/>
              </w:rPr>
            </w:pPr>
            <w:r>
              <w:rPr>
                <w:rFonts w:hint="eastAsia"/>
                <w:snapToGrid w:val="0"/>
                <w:lang w:eastAsia="zh-CN"/>
              </w:rPr>
              <w:t>39.3</w:t>
            </w:r>
          </w:p>
        </w:tc>
        <w:tc>
          <w:tcPr>
            <w:tcW w:w="992" w:type="dxa"/>
            <w:tcBorders>
              <w:right w:val="single" w:color="auto" w:sz="4" w:space="0"/>
            </w:tcBorders>
            <w:vAlign w:val="center"/>
          </w:tcPr>
          <w:p w14:paraId="2AB6CD3C">
            <w:pPr>
              <w:pStyle w:val="518"/>
              <w:rPr>
                <w:lang w:eastAsia="zh-CN"/>
              </w:rPr>
            </w:pPr>
            <w:r>
              <w:rPr>
                <w:rFonts w:hint="eastAsia"/>
                <w:lang w:eastAsia="zh-CN"/>
              </w:rPr>
              <w:t>42.1</w:t>
            </w:r>
          </w:p>
        </w:tc>
        <w:tc>
          <w:tcPr>
            <w:tcW w:w="993" w:type="dxa"/>
            <w:tcBorders>
              <w:left w:val="single" w:color="auto" w:sz="4" w:space="0"/>
            </w:tcBorders>
            <w:vAlign w:val="center"/>
          </w:tcPr>
          <w:p w14:paraId="057FCE11">
            <w:pPr>
              <w:pStyle w:val="518"/>
              <w:rPr>
                <w:lang w:eastAsia="zh-CN"/>
              </w:rPr>
            </w:pPr>
            <w:r>
              <w:rPr>
                <w:rFonts w:hint="eastAsia"/>
                <w:lang w:eastAsia="zh-CN"/>
              </w:rPr>
              <w:t>36.8</w:t>
            </w:r>
          </w:p>
        </w:tc>
        <w:tc>
          <w:tcPr>
            <w:tcW w:w="992" w:type="dxa"/>
            <w:vAlign w:val="center"/>
          </w:tcPr>
          <w:p w14:paraId="6A21CFD1">
            <w:pPr>
              <w:pStyle w:val="518"/>
              <w:rPr>
                <w:snapToGrid w:val="0"/>
                <w:lang w:eastAsia="zh-CN"/>
              </w:rPr>
            </w:pPr>
            <w:r>
              <w:rPr>
                <w:rFonts w:hint="eastAsia"/>
                <w:snapToGrid w:val="0"/>
                <w:lang w:eastAsia="zh-CN"/>
              </w:rPr>
              <w:t>41.8</w:t>
            </w:r>
          </w:p>
        </w:tc>
        <w:tc>
          <w:tcPr>
            <w:tcW w:w="1134" w:type="dxa"/>
          </w:tcPr>
          <w:p w14:paraId="7DE72941">
            <w:pPr>
              <w:pStyle w:val="518"/>
              <w:rPr>
                <w:snapToGrid w:val="0"/>
                <w:lang w:eastAsia="zh-CN"/>
              </w:rPr>
            </w:pPr>
            <w:r>
              <w:rPr>
                <w:rFonts w:hint="eastAsia"/>
                <w:snapToGrid w:val="0"/>
                <w:lang w:eastAsia="zh-CN"/>
              </w:rPr>
              <w:t>40.75</w:t>
            </w:r>
          </w:p>
        </w:tc>
        <w:tc>
          <w:tcPr>
            <w:tcW w:w="1134" w:type="dxa"/>
          </w:tcPr>
          <w:p w14:paraId="67B3F106">
            <w:pPr>
              <w:pStyle w:val="518"/>
              <w:rPr>
                <w:snapToGrid w:val="0"/>
                <w:lang w:eastAsia="zh-CN"/>
              </w:rPr>
            </w:pPr>
            <w:r>
              <w:rPr>
                <w:rFonts w:hint="eastAsia"/>
                <w:snapToGrid w:val="0"/>
                <w:lang w:eastAsia="zh-CN"/>
              </w:rPr>
              <w:t>31.60</w:t>
            </w:r>
          </w:p>
        </w:tc>
        <w:tc>
          <w:tcPr>
            <w:tcW w:w="1134" w:type="dxa"/>
          </w:tcPr>
          <w:p w14:paraId="61F7C095">
            <w:pPr>
              <w:pStyle w:val="518"/>
              <w:rPr>
                <w:snapToGrid w:val="0"/>
                <w:lang w:eastAsia="zh-CN"/>
              </w:rPr>
            </w:pPr>
            <w:r>
              <w:rPr>
                <w:rFonts w:hint="eastAsia"/>
                <w:snapToGrid w:val="0"/>
                <w:lang w:eastAsia="zh-CN"/>
              </w:rPr>
              <w:t>39.5</w:t>
            </w:r>
          </w:p>
        </w:tc>
        <w:tc>
          <w:tcPr>
            <w:tcW w:w="992" w:type="dxa"/>
          </w:tcPr>
          <w:p w14:paraId="47779F48">
            <w:pPr>
              <w:pStyle w:val="518"/>
              <w:rPr>
                <w:snapToGrid w:val="0"/>
                <w:lang w:eastAsia="zh-CN"/>
              </w:rPr>
            </w:pPr>
            <w:r>
              <w:rPr>
                <w:rFonts w:hint="eastAsia" w:ascii="宋体" w:hAnsi="宋体"/>
                <w:snapToGrid w:val="0"/>
                <w:lang w:eastAsia="zh-CN"/>
              </w:rPr>
              <w:t>≤250</w:t>
            </w:r>
          </w:p>
        </w:tc>
      </w:tr>
      <w:tr w14:paraId="07545E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Align w:val="center"/>
          </w:tcPr>
          <w:p w14:paraId="041E9D4F">
            <w:pPr>
              <w:pStyle w:val="518"/>
              <w:rPr>
                <w:snapToGrid w:val="0"/>
              </w:rPr>
            </w:pPr>
            <w:r>
              <w:rPr>
                <w:snapToGrid w:val="0"/>
                <w:lang w:eastAsia="zh-CN"/>
              </w:rPr>
              <w:t>汞</w:t>
            </w:r>
          </w:p>
        </w:tc>
        <w:tc>
          <w:tcPr>
            <w:tcW w:w="992" w:type="dxa"/>
            <w:vAlign w:val="center"/>
          </w:tcPr>
          <w:p w14:paraId="2E791D7E">
            <w:pPr>
              <w:pStyle w:val="518"/>
              <w:rPr>
                <w:lang w:eastAsia="zh-CN"/>
              </w:rPr>
            </w:pPr>
            <w:r>
              <w:rPr>
                <w:rFonts w:hint="eastAsia"/>
                <w:lang w:eastAsia="zh-CN"/>
              </w:rPr>
              <w:t>0.097</w:t>
            </w:r>
          </w:p>
        </w:tc>
        <w:tc>
          <w:tcPr>
            <w:tcW w:w="992" w:type="dxa"/>
            <w:vAlign w:val="center"/>
          </w:tcPr>
          <w:p w14:paraId="708DC90F">
            <w:pPr>
              <w:pStyle w:val="518"/>
              <w:rPr>
                <w:lang w:eastAsia="zh-CN"/>
              </w:rPr>
            </w:pPr>
            <w:r>
              <w:rPr>
                <w:rFonts w:hint="eastAsia"/>
                <w:lang w:eastAsia="zh-CN"/>
              </w:rPr>
              <w:t>0.100</w:t>
            </w:r>
          </w:p>
        </w:tc>
        <w:tc>
          <w:tcPr>
            <w:tcW w:w="993" w:type="dxa"/>
            <w:vAlign w:val="center"/>
          </w:tcPr>
          <w:p w14:paraId="0D0374C0">
            <w:pPr>
              <w:pStyle w:val="518"/>
              <w:rPr>
                <w:lang w:eastAsia="zh-CN"/>
              </w:rPr>
            </w:pPr>
            <w:r>
              <w:rPr>
                <w:rFonts w:hint="eastAsia"/>
                <w:lang w:eastAsia="zh-CN"/>
              </w:rPr>
              <w:t>0.264</w:t>
            </w:r>
          </w:p>
        </w:tc>
        <w:tc>
          <w:tcPr>
            <w:tcW w:w="992" w:type="dxa"/>
            <w:vAlign w:val="center"/>
          </w:tcPr>
          <w:p w14:paraId="1F1F0F4C">
            <w:pPr>
              <w:pStyle w:val="518"/>
              <w:rPr>
                <w:lang w:eastAsia="zh-CN"/>
              </w:rPr>
            </w:pPr>
            <w:r>
              <w:rPr>
                <w:rFonts w:hint="eastAsia"/>
                <w:lang w:eastAsia="zh-CN"/>
              </w:rPr>
              <w:t>0.096</w:t>
            </w:r>
          </w:p>
        </w:tc>
        <w:tc>
          <w:tcPr>
            <w:tcW w:w="1134" w:type="dxa"/>
            <w:tcBorders>
              <w:right w:val="single" w:color="auto" w:sz="4" w:space="0"/>
            </w:tcBorders>
            <w:vAlign w:val="center"/>
          </w:tcPr>
          <w:p w14:paraId="0FC2A873">
            <w:pPr>
              <w:pStyle w:val="518"/>
              <w:rPr>
                <w:snapToGrid w:val="0"/>
                <w:lang w:eastAsia="zh-CN"/>
              </w:rPr>
            </w:pPr>
            <w:r>
              <w:rPr>
                <w:rFonts w:hint="eastAsia"/>
                <w:snapToGrid w:val="0"/>
                <w:lang w:eastAsia="zh-CN"/>
              </w:rPr>
              <w:t>0.099</w:t>
            </w:r>
          </w:p>
        </w:tc>
        <w:tc>
          <w:tcPr>
            <w:tcW w:w="992" w:type="dxa"/>
            <w:tcBorders>
              <w:left w:val="single" w:color="auto" w:sz="4" w:space="0"/>
            </w:tcBorders>
            <w:vAlign w:val="center"/>
          </w:tcPr>
          <w:p w14:paraId="502E9614">
            <w:pPr>
              <w:pStyle w:val="518"/>
              <w:rPr>
                <w:snapToGrid w:val="0"/>
                <w:lang w:eastAsia="zh-CN"/>
              </w:rPr>
            </w:pPr>
            <w:r>
              <w:rPr>
                <w:rFonts w:hint="eastAsia"/>
                <w:snapToGrid w:val="0"/>
                <w:lang w:eastAsia="zh-CN"/>
              </w:rPr>
              <w:t>0.262</w:t>
            </w:r>
          </w:p>
        </w:tc>
        <w:tc>
          <w:tcPr>
            <w:tcW w:w="992" w:type="dxa"/>
            <w:tcBorders>
              <w:right w:val="single" w:color="auto" w:sz="4" w:space="0"/>
            </w:tcBorders>
            <w:vAlign w:val="center"/>
          </w:tcPr>
          <w:p w14:paraId="5E78FE4E">
            <w:pPr>
              <w:pStyle w:val="518"/>
              <w:rPr>
                <w:lang w:eastAsia="zh-CN"/>
              </w:rPr>
            </w:pPr>
            <w:r>
              <w:rPr>
                <w:rFonts w:hint="eastAsia"/>
                <w:lang w:eastAsia="zh-CN"/>
              </w:rPr>
              <w:t>0.101</w:t>
            </w:r>
          </w:p>
        </w:tc>
        <w:tc>
          <w:tcPr>
            <w:tcW w:w="993" w:type="dxa"/>
            <w:tcBorders>
              <w:left w:val="single" w:color="auto" w:sz="4" w:space="0"/>
            </w:tcBorders>
            <w:vAlign w:val="center"/>
          </w:tcPr>
          <w:p w14:paraId="7608657C">
            <w:pPr>
              <w:pStyle w:val="518"/>
              <w:rPr>
                <w:lang w:eastAsia="zh-CN"/>
              </w:rPr>
            </w:pPr>
            <w:r>
              <w:rPr>
                <w:rFonts w:hint="eastAsia"/>
                <w:lang w:eastAsia="zh-CN"/>
              </w:rPr>
              <w:t>0.103</w:t>
            </w:r>
          </w:p>
        </w:tc>
        <w:tc>
          <w:tcPr>
            <w:tcW w:w="992" w:type="dxa"/>
            <w:vAlign w:val="center"/>
          </w:tcPr>
          <w:p w14:paraId="2104D51E">
            <w:pPr>
              <w:pStyle w:val="518"/>
              <w:rPr>
                <w:snapToGrid w:val="0"/>
                <w:lang w:eastAsia="zh-CN"/>
              </w:rPr>
            </w:pPr>
            <w:r>
              <w:rPr>
                <w:rFonts w:hint="eastAsia"/>
                <w:snapToGrid w:val="0"/>
                <w:lang w:eastAsia="zh-CN"/>
              </w:rPr>
              <w:t>0.266</w:t>
            </w:r>
          </w:p>
        </w:tc>
        <w:tc>
          <w:tcPr>
            <w:tcW w:w="1134" w:type="dxa"/>
          </w:tcPr>
          <w:p w14:paraId="2FE1814B">
            <w:pPr>
              <w:pStyle w:val="518"/>
              <w:rPr>
                <w:snapToGrid w:val="0"/>
                <w:lang w:eastAsia="zh-CN"/>
              </w:rPr>
            </w:pPr>
            <w:r>
              <w:rPr>
                <w:rFonts w:hint="eastAsia"/>
                <w:snapToGrid w:val="0"/>
                <w:lang w:eastAsia="zh-CN"/>
              </w:rPr>
              <w:t>0.097</w:t>
            </w:r>
          </w:p>
        </w:tc>
        <w:tc>
          <w:tcPr>
            <w:tcW w:w="1134" w:type="dxa"/>
          </w:tcPr>
          <w:p w14:paraId="73698C0D">
            <w:pPr>
              <w:pStyle w:val="518"/>
              <w:rPr>
                <w:snapToGrid w:val="0"/>
                <w:lang w:eastAsia="zh-CN"/>
              </w:rPr>
            </w:pPr>
            <w:r>
              <w:rPr>
                <w:rFonts w:hint="eastAsia"/>
                <w:snapToGrid w:val="0"/>
                <w:lang w:eastAsia="zh-CN"/>
              </w:rPr>
              <w:t>0.10</w:t>
            </w:r>
          </w:p>
        </w:tc>
        <w:tc>
          <w:tcPr>
            <w:tcW w:w="1134" w:type="dxa"/>
          </w:tcPr>
          <w:p w14:paraId="74C2A2A1">
            <w:pPr>
              <w:pStyle w:val="518"/>
              <w:rPr>
                <w:snapToGrid w:val="0"/>
                <w:lang w:eastAsia="zh-CN"/>
              </w:rPr>
            </w:pPr>
            <w:r>
              <w:rPr>
                <w:rFonts w:hint="eastAsia"/>
                <w:snapToGrid w:val="0"/>
                <w:lang w:eastAsia="zh-CN"/>
              </w:rPr>
              <w:t>0.261</w:t>
            </w:r>
          </w:p>
        </w:tc>
        <w:tc>
          <w:tcPr>
            <w:tcW w:w="992" w:type="dxa"/>
          </w:tcPr>
          <w:p w14:paraId="7DC04AAF">
            <w:pPr>
              <w:pStyle w:val="518"/>
              <w:rPr>
                <w:snapToGrid w:val="0"/>
                <w:lang w:eastAsia="zh-CN"/>
              </w:rPr>
            </w:pPr>
            <w:r>
              <w:rPr>
                <w:rFonts w:hint="eastAsia" w:ascii="宋体" w:hAnsi="宋体"/>
                <w:snapToGrid w:val="0"/>
                <w:lang w:eastAsia="zh-CN"/>
              </w:rPr>
              <w:t>≤1.0</w:t>
            </w:r>
          </w:p>
        </w:tc>
      </w:tr>
      <w:tr w14:paraId="111941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Align w:val="center"/>
          </w:tcPr>
          <w:p w14:paraId="4C74C1B9">
            <w:pPr>
              <w:pStyle w:val="518"/>
              <w:rPr>
                <w:snapToGrid w:val="0"/>
              </w:rPr>
            </w:pPr>
            <w:r>
              <w:rPr>
                <w:snapToGrid w:val="0"/>
              </w:rPr>
              <w:t>砷</w:t>
            </w:r>
          </w:p>
        </w:tc>
        <w:tc>
          <w:tcPr>
            <w:tcW w:w="992" w:type="dxa"/>
            <w:vAlign w:val="center"/>
          </w:tcPr>
          <w:p w14:paraId="119EAD15">
            <w:pPr>
              <w:pStyle w:val="518"/>
              <w:rPr>
                <w:lang w:eastAsia="zh-CN"/>
              </w:rPr>
            </w:pPr>
            <w:r>
              <w:rPr>
                <w:rFonts w:hint="eastAsia"/>
                <w:lang w:eastAsia="zh-CN"/>
              </w:rPr>
              <w:t>3.80</w:t>
            </w:r>
          </w:p>
        </w:tc>
        <w:tc>
          <w:tcPr>
            <w:tcW w:w="992" w:type="dxa"/>
            <w:vAlign w:val="center"/>
          </w:tcPr>
          <w:p w14:paraId="2DF8C171">
            <w:pPr>
              <w:pStyle w:val="518"/>
              <w:rPr>
                <w:lang w:eastAsia="zh-CN"/>
              </w:rPr>
            </w:pPr>
            <w:r>
              <w:rPr>
                <w:rFonts w:hint="eastAsia"/>
                <w:lang w:eastAsia="zh-CN"/>
              </w:rPr>
              <w:t>3.63</w:t>
            </w:r>
          </w:p>
        </w:tc>
        <w:tc>
          <w:tcPr>
            <w:tcW w:w="993" w:type="dxa"/>
            <w:vAlign w:val="center"/>
          </w:tcPr>
          <w:p w14:paraId="3934A294">
            <w:pPr>
              <w:pStyle w:val="518"/>
              <w:rPr>
                <w:lang w:eastAsia="zh-CN"/>
              </w:rPr>
            </w:pPr>
            <w:r>
              <w:rPr>
                <w:rFonts w:hint="eastAsia"/>
                <w:lang w:eastAsia="zh-CN"/>
              </w:rPr>
              <w:t>3.74</w:t>
            </w:r>
          </w:p>
        </w:tc>
        <w:tc>
          <w:tcPr>
            <w:tcW w:w="992" w:type="dxa"/>
            <w:vAlign w:val="center"/>
          </w:tcPr>
          <w:p w14:paraId="43A588A4">
            <w:pPr>
              <w:pStyle w:val="518"/>
              <w:rPr>
                <w:lang w:eastAsia="zh-CN"/>
              </w:rPr>
            </w:pPr>
            <w:r>
              <w:rPr>
                <w:rFonts w:hint="eastAsia"/>
                <w:lang w:eastAsia="zh-CN"/>
              </w:rPr>
              <w:t>3.76</w:t>
            </w:r>
          </w:p>
        </w:tc>
        <w:tc>
          <w:tcPr>
            <w:tcW w:w="1134" w:type="dxa"/>
            <w:tcBorders>
              <w:right w:val="single" w:color="auto" w:sz="4" w:space="0"/>
            </w:tcBorders>
            <w:vAlign w:val="center"/>
          </w:tcPr>
          <w:p w14:paraId="11D2675D">
            <w:pPr>
              <w:pStyle w:val="518"/>
              <w:rPr>
                <w:snapToGrid w:val="0"/>
                <w:lang w:eastAsia="zh-CN"/>
              </w:rPr>
            </w:pPr>
            <w:r>
              <w:rPr>
                <w:rFonts w:hint="eastAsia"/>
                <w:snapToGrid w:val="0"/>
                <w:lang w:eastAsia="zh-CN"/>
              </w:rPr>
              <w:t>3.56</w:t>
            </w:r>
          </w:p>
        </w:tc>
        <w:tc>
          <w:tcPr>
            <w:tcW w:w="992" w:type="dxa"/>
            <w:tcBorders>
              <w:left w:val="single" w:color="auto" w:sz="4" w:space="0"/>
            </w:tcBorders>
            <w:vAlign w:val="center"/>
          </w:tcPr>
          <w:p w14:paraId="63DBCD80">
            <w:pPr>
              <w:pStyle w:val="518"/>
              <w:rPr>
                <w:snapToGrid w:val="0"/>
                <w:lang w:eastAsia="zh-CN"/>
              </w:rPr>
            </w:pPr>
            <w:r>
              <w:rPr>
                <w:rFonts w:hint="eastAsia"/>
                <w:snapToGrid w:val="0"/>
                <w:lang w:eastAsia="zh-CN"/>
              </w:rPr>
              <w:t>3.67</w:t>
            </w:r>
          </w:p>
        </w:tc>
        <w:tc>
          <w:tcPr>
            <w:tcW w:w="992" w:type="dxa"/>
            <w:tcBorders>
              <w:right w:val="single" w:color="auto" w:sz="4" w:space="0"/>
            </w:tcBorders>
            <w:vAlign w:val="center"/>
          </w:tcPr>
          <w:p w14:paraId="40730576">
            <w:pPr>
              <w:pStyle w:val="518"/>
              <w:rPr>
                <w:lang w:eastAsia="zh-CN"/>
              </w:rPr>
            </w:pPr>
            <w:r>
              <w:rPr>
                <w:rFonts w:hint="eastAsia"/>
                <w:lang w:eastAsia="zh-CN"/>
              </w:rPr>
              <w:t>3.83</w:t>
            </w:r>
          </w:p>
        </w:tc>
        <w:tc>
          <w:tcPr>
            <w:tcW w:w="993" w:type="dxa"/>
            <w:tcBorders>
              <w:left w:val="single" w:color="auto" w:sz="4" w:space="0"/>
            </w:tcBorders>
            <w:vAlign w:val="center"/>
          </w:tcPr>
          <w:p w14:paraId="2F4EAC1C">
            <w:pPr>
              <w:pStyle w:val="518"/>
              <w:rPr>
                <w:lang w:eastAsia="zh-CN"/>
              </w:rPr>
            </w:pPr>
            <w:r>
              <w:rPr>
                <w:rFonts w:hint="eastAsia"/>
                <w:lang w:eastAsia="zh-CN"/>
              </w:rPr>
              <w:t>3.61</w:t>
            </w:r>
          </w:p>
        </w:tc>
        <w:tc>
          <w:tcPr>
            <w:tcW w:w="992" w:type="dxa"/>
            <w:vAlign w:val="center"/>
          </w:tcPr>
          <w:p w14:paraId="53F827FC">
            <w:pPr>
              <w:pStyle w:val="518"/>
              <w:rPr>
                <w:snapToGrid w:val="0"/>
                <w:lang w:eastAsia="zh-CN"/>
              </w:rPr>
            </w:pPr>
            <w:r>
              <w:rPr>
                <w:rFonts w:hint="eastAsia"/>
                <w:snapToGrid w:val="0"/>
                <w:lang w:eastAsia="zh-CN"/>
              </w:rPr>
              <w:t>3.73</w:t>
            </w:r>
          </w:p>
        </w:tc>
        <w:tc>
          <w:tcPr>
            <w:tcW w:w="1134" w:type="dxa"/>
          </w:tcPr>
          <w:p w14:paraId="53ABB72D">
            <w:pPr>
              <w:pStyle w:val="518"/>
              <w:rPr>
                <w:snapToGrid w:val="0"/>
                <w:lang w:eastAsia="zh-CN"/>
              </w:rPr>
            </w:pPr>
            <w:r>
              <w:rPr>
                <w:rFonts w:hint="eastAsia"/>
                <w:snapToGrid w:val="0"/>
                <w:lang w:eastAsia="zh-CN"/>
              </w:rPr>
              <w:t>3.66</w:t>
            </w:r>
          </w:p>
        </w:tc>
        <w:tc>
          <w:tcPr>
            <w:tcW w:w="1134" w:type="dxa"/>
          </w:tcPr>
          <w:p w14:paraId="60C4327D">
            <w:pPr>
              <w:pStyle w:val="518"/>
              <w:rPr>
                <w:snapToGrid w:val="0"/>
                <w:lang w:eastAsia="zh-CN"/>
              </w:rPr>
            </w:pPr>
            <w:r>
              <w:rPr>
                <w:rFonts w:hint="eastAsia"/>
                <w:snapToGrid w:val="0"/>
                <w:lang w:eastAsia="zh-CN"/>
              </w:rPr>
              <w:t>3.53</w:t>
            </w:r>
          </w:p>
        </w:tc>
        <w:tc>
          <w:tcPr>
            <w:tcW w:w="1134" w:type="dxa"/>
          </w:tcPr>
          <w:p w14:paraId="23C54BD3">
            <w:pPr>
              <w:pStyle w:val="518"/>
              <w:rPr>
                <w:snapToGrid w:val="0"/>
                <w:lang w:eastAsia="zh-CN"/>
              </w:rPr>
            </w:pPr>
            <w:r>
              <w:rPr>
                <w:rFonts w:hint="eastAsia"/>
                <w:snapToGrid w:val="0"/>
                <w:lang w:eastAsia="zh-CN"/>
              </w:rPr>
              <w:t>3.62</w:t>
            </w:r>
          </w:p>
        </w:tc>
        <w:tc>
          <w:tcPr>
            <w:tcW w:w="992" w:type="dxa"/>
          </w:tcPr>
          <w:p w14:paraId="4C8CDA9E">
            <w:pPr>
              <w:pStyle w:val="518"/>
              <w:rPr>
                <w:snapToGrid w:val="0"/>
                <w:lang w:eastAsia="zh-CN"/>
              </w:rPr>
            </w:pPr>
            <w:r>
              <w:rPr>
                <w:rFonts w:hint="eastAsia" w:ascii="宋体" w:hAnsi="宋体"/>
                <w:snapToGrid w:val="0"/>
                <w:lang w:eastAsia="zh-CN"/>
              </w:rPr>
              <w:t>≤25</w:t>
            </w:r>
          </w:p>
        </w:tc>
      </w:tr>
      <w:tr w14:paraId="48FBEC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Align w:val="center"/>
          </w:tcPr>
          <w:p w14:paraId="55E8D74A">
            <w:pPr>
              <w:pStyle w:val="518"/>
              <w:rPr>
                <w:snapToGrid w:val="0"/>
              </w:rPr>
            </w:pPr>
            <w:r>
              <w:t>铜</w:t>
            </w:r>
          </w:p>
        </w:tc>
        <w:tc>
          <w:tcPr>
            <w:tcW w:w="992" w:type="dxa"/>
            <w:vAlign w:val="center"/>
          </w:tcPr>
          <w:p w14:paraId="7A044D4B">
            <w:pPr>
              <w:pStyle w:val="518"/>
              <w:rPr>
                <w:lang w:eastAsia="zh-CN"/>
              </w:rPr>
            </w:pPr>
            <w:r>
              <w:rPr>
                <w:rFonts w:hint="eastAsia"/>
                <w:lang w:eastAsia="zh-CN"/>
              </w:rPr>
              <w:t>24.2</w:t>
            </w:r>
          </w:p>
        </w:tc>
        <w:tc>
          <w:tcPr>
            <w:tcW w:w="992" w:type="dxa"/>
            <w:vAlign w:val="center"/>
          </w:tcPr>
          <w:p w14:paraId="74A7864F">
            <w:pPr>
              <w:pStyle w:val="518"/>
              <w:rPr>
                <w:lang w:eastAsia="zh-CN"/>
              </w:rPr>
            </w:pPr>
            <w:r>
              <w:rPr>
                <w:rFonts w:hint="eastAsia"/>
                <w:lang w:eastAsia="zh-CN"/>
              </w:rPr>
              <w:t>23.6</w:t>
            </w:r>
          </w:p>
        </w:tc>
        <w:tc>
          <w:tcPr>
            <w:tcW w:w="993" w:type="dxa"/>
            <w:vAlign w:val="center"/>
          </w:tcPr>
          <w:p w14:paraId="18C71839">
            <w:pPr>
              <w:pStyle w:val="518"/>
              <w:rPr>
                <w:lang w:eastAsia="zh-CN"/>
              </w:rPr>
            </w:pPr>
            <w:r>
              <w:rPr>
                <w:rFonts w:hint="eastAsia"/>
                <w:lang w:eastAsia="zh-CN"/>
              </w:rPr>
              <w:t>22.4</w:t>
            </w:r>
          </w:p>
        </w:tc>
        <w:tc>
          <w:tcPr>
            <w:tcW w:w="992" w:type="dxa"/>
            <w:vAlign w:val="center"/>
          </w:tcPr>
          <w:p w14:paraId="64F81E77">
            <w:pPr>
              <w:pStyle w:val="518"/>
              <w:rPr>
                <w:lang w:eastAsia="zh-CN"/>
              </w:rPr>
            </w:pPr>
            <w:r>
              <w:rPr>
                <w:rFonts w:hint="eastAsia"/>
                <w:lang w:eastAsia="zh-CN"/>
              </w:rPr>
              <w:t>23.8</w:t>
            </w:r>
          </w:p>
        </w:tc>
        <w:tc>
          <w:tcPr>
            <w:tcW w:w="1134" w:type="dxa"/>
            <w:tcBorders>
              <w:right w:val="single" w:color="auto" w:sz="4" w:space="0"/>
            </w:tcBorders>
            <w:vAlign w:val="center"/>
          </w:tcPr>
          <w:p w14:paraId="44D650BF">
            <w:pPr>
              <w:pStyle w:val="518"/>
              <w:rPr>
                <w:snapToGrid w:val="0"/>
                <w:lang w:eastAsia="zh-CN"/>
              </w:rPr>
            </w:pPr>
            <w:r>
              <w:rPr>
                <w:rFonts w:hint="eastAsia"/>
                <w:snapToGrid w:val="0"/>
                <w:lang w:eastAsia="zh-CN"/>
              </w:rPr>
              <w:t>22.7</w:t>
            </w:r>
          </w:p>
        </w:tc>
        <w:tc>
          <w:tcPr>
            <w:tcW w:w="992" w:type="dxa"/>
            <w:tcBorders>
              <w:left w:val="single" w:color="auto" w:sz="4" w:space="0"/>
            </w:tcBorders>
            <w:vAlign w:val="center"/>
          </w:tcPr>
          <w:p w14:paraId="3AFF0E31">
            <w:pPr>
              <w:pStyle w:val="518"/>
              <w:rPr>
                <w:snapToGrid w:val="0"/>
                <w:lang w:eastAsia="zh-CN"/>
              </w:rPr>
            </w:pPr>
            <w:r>
              <w:rPr>
                <w:rFonts w:hint="eastAsia"/>
                <w:snapToGrid w:val="0"/>
                <w:lang w:eastAsia="zh-CN"/>
              </w:rPr>
              <w:t>21.6</w:t>
            </w:r>
          </w:p>
        </w:tc>
        <w:tc>
          <w:tcPr>
            <w:tcW w:w="992" w:type="dxa"/>
            <w:tcBorders>
              <w:right w:val="single" w:color="auto" w:sz="4" w:space="0"/>
            </w:tcBorders>
            <w:vAlign w:val="center"/>
          </w:tcPr>
          <w:p w14:paraId="032ECCDC">
            <w:pPr>
              <w:pStyle w:val="518"/>
              <w:rPr>
                <w:lang w:eastAsia="zh-CN"/>
              </w:rPr>
            </w:pPr>
            <w:r>
              <w:rPr>
                <w:rFonts w:hint="eastAsia"/>
                <w:lang w:eastAsia="zh-CN"/>
              </w:rPr>
              <w:t>25.6</w:t>
            </w:r>
          </w:p>
        </w:tc>
        <w:tc>
          <w:tcPr>
            <w:tcW w:w="993" w:type="dxa"/>
            <w:tcBorders>
              <w:left w:val="single" w:color="auto" w:sz="4" w:space="0"/>
            </w:tcBorders>
            <w:vAlign w:val="center"/>
          </w:tcPr>
          <w:p w14:paraId="69766D41">
            <w:pPr>
              <w:pStyle w:val="518"/>
              <w:rPr>
                <w:lang w:eastAsia="zh-CN"/>
              </w:rPr>
            </w:pPr>
            <w:r>
              <w:rPr>
                <w:rFonts w:hint="eastAsia"/>
                <w:lang w:eastAsia="zh-CN"/>
              </w:rPr>
              <w:t>24.1</w:t>
            </w:r>
          </w:p>
        </w:tc>
        <w:tc>
          <w:tcPr>
            <w:tcW w:w="992" w:type="dxa"/>
            <w:vAlign w:val="center"/>
          </w:tcPr>
          <w:p w14:paraId="4A9DD0E6">
            <w:pPr>
              <w:pStyle w:val="518"/>
              <w:rPr>
                <w:snapToGrid w:val="0"/>
                <w:lang w:eastAsia="zh-CN"/>
              </w:rPr>
            </w:pPr>
            <w:r>
              <w:rPr>
                <w:rFonts w:hint="eastAsia"/>
                <w:snapToGrid w:val="0"/>
                <w:lang w:eastAsia="zh-CN"/>
              </w:rPr>
              <w:t>23.6</w:t>
            </w:r>
          </w:p>
        </w:tc>
        <w:tc>
          <w:tcPr>
            <w:tcW w:w="1134" w:type="dxa"/>
          </w:tcPr>
          <w:p w14:paraId="79751706">
            <w:pPr>
              <w:pStyle w:val="518"/>
              <w:rPr>
                <w:snapToGrid w:val="0"/>
                <w:lang w:eastAsia="zh-CN"/>
              </w:rPr>
            </w:pPr>
            <w:r>
              <w:rPr>
                <w:rFonts w:hint="eastAsia"/>
                <w:snapToGrid w:val="0"/>
                <w:lang w:eastAsia="zh-CN"/>
              </w:rPr>
              <w:t>22.6</w:t>
            </w:r>
          </w:p>
        </w:tc>
        <w:tc>
          <w:tcPr>
            <w:tcW w:w="1134" w:type="dxa"/>
          </w:tcPr>
          <w:p w14:paraId="77843C01">
            <w:pPr>
              <w:pStyle w:val="518"/>
              <w:rPr>
                <w:snapToGrid w:val="0"/>
                <w:lang w:eastAsia="zh-CN"/>
              </w:rPr>
            </w:pPr>
            <w:r>
              <w:rPr>
                <w:rFonts w:hint="eastAsia"/>
                <w:snapToGrid w:val="0"/>
                <w:lang w:eastAsia="zh-CN"/>
              </w:rPr>
              <w:t>21.45</w:t>
            </w:r>
          </w:p>
        </w:tc>
        <w:tc>
          <w:tcPr>
            <w:tcW w:w="1134" w:type="dxa"/>
          </w:tcPr>
          <w:p w14:paraId="3F594C35">
            <w:pPr>
              <w:pStyle w:val="518"/>
              <w:rPr>
                <w:snapToGrid w:val="0"/>
                <w:lang w:eastAsia="zh-CN"/>
              </w:rPr>
            </w:pPr>
            <w:r>
              <w:rPr>
                <w:rFonts w:hint="eastAsia"/>
                <w:snapToGrid w:val="0"/>
                <w:lang w:eastAsia="zh-CN"/>
              </w:rPr>
              <w:t>20.9</w:t>
            </w:r>
          </w:p>
        </w:tc>
        <w:tc>
          <w:tcPr>
            <w:tcW w:w="992" w:type="dxa"/>
          </w:tcPr>
          <w:p w14:paraId="0A18E084">
            <w:pPr>
              <w:pStyle w:val="518"/>
              <w:rPr>
                <w:snapToGrid w:val="0"/>
                <w:lang w:eastAsia="zh-CN"/>
              </w:rPr>
            </w:pPr>
            <w:r>
              <w:rPr>
                <w:rFonts w:hint="eastAsia" w:ascii="宋体" w:hAnsi="宋体"/>
                <w:snapToGrid w:val="0"/>
                <w:lang w:eastAsia="zh-CN"/>
              </w:rPr>
              <w:t>≤100</w:t>
            </w:r>
          </w:p>
        </w:tc>
      </w:tr>
      <w:tr w14:paraId="4D7843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Align w:val="center"/>
          </w:tcPr>
          <w:p w14:paraId="622D18BF">
            <w:pPr>
              <w:pStyle w:val="518"/>
              <w:rPr>
                <w:snapToGrid w:val="0"/>
                <w:lang w:eastAsia="zh-CN"/>
              </w:rPr>
            </w:pPr>
            <w:r>
              <w:rPr>
                <w:snapToGrid w:val="0"/>
                <w:lang w:eastAsia="zh-CN"/>
              </w:rPr>
              <w:t>锌</w:t>
            </w:r>
          </w:p>
        </w:tc>
        <w:tc>
          <w:tcPr>
            <w:tcW w:w="992" w:type="dxa"/>
            <w:vAlign w:val="center"/>
          </w:tcPr>
          <w:p w14:paraId="1A9D2280">
            <w:pPr>
              <w:pStyle w:val="518"/>
              <w:rPr>
                <w:lang w:eastAsia="zh-CN"/>
              </w:rPr>
            </w:pPr>
            <w:r>
              <w:rPr>
                <w:rFonts w:hint="eastAsia"/>
                <w:lang w:eastAsia="zh-CN"/>
              </w:rPr>
              <w:t>65.5</w:t>
            </w:r>
          </w:p>
        </w:tc>
        <w:tc>
          <w:tcPr>
            <w:tcW w:w="992" w:type="dxa"/>
            <w:vAlign w:val="center"/>
          </w:tcPr>
          <w:p w14:paraId="2D7D8405">
            <w:pPr>
              <w:pStyle w:val="518"/>
              <w:rPr>
                <w:lang w:eastAsia="zh-CN"/>
              </w:rPr>
            </w:pPr>
            <w:r>
              <w:rPr>
                <w:rFonts w:hint="eastAsia"/>
                <w:lang w:eastAsia="zh-CN"/>
              </w:rPr>
              <w:t>59.6</w:t>
            </w:r>
          </w:p>
        </w:tc>
        <w:tc>
          <w:tcPr>
            <w:tcW w:w="993" w:type="dxa"/>
            <w:vAlign w:val="center"/>
          </w:tcPr>
          <w:p w14:paraId="168F7899">
            <w:pPr>
              <w:pStyle w:val="518"/>
              <w:rPr>
                <w:lang w:eastAsia="zh-CN"/>
              </w:rPr>
            </w:pPr>
            <w:r>
              <w:rPr>
                <w:rFonts w:hint="eastAsia"/>
                <w:lang w:eastAsia="zh-CN"/>
              </w:rPr>
              <w:t>53.3</w:t>
            </w:r>
          </w:p>
        </w:tc>
        <w:tc>
          <w:tcPr>
            <w:tcW w:w="992" w:type="dxa"/>
            <w:vAlign w:val="center"/>
          </w:tcPr>
          <w:p w14:paraId="4E3F6227">
            <w:pPr>
              <w:pStyle w:val="518"/>
              <w:rPr>
                <w:lang w:eastAsia="zh-CN"/>
              </w:rPr>
            </w:pPr>
            <w:r>
              <w:rPr>
                <w:rFonts w:hint="eastAsia"/>
                <w:lang w:eastAsia="zh-CN"/>
              </w:rPr>
              <w:t>64.3</w:t>
            </w:r>
          </w:p>
        </w:tc>
        <w:tc>
          <w:tcPr>
            <w:tcW w:w="1134" w:type="dxa"/>
            <w:tcBorders>
              <w:right w:val="single" w:color="auto" w:sz="4" w:space="0"/>
            </w:tcBorders>
            <w:vAlign w:val="center"/>
          </w:tcPr>
          <w:p w14:paraId="5F2EB165">
            <w:pPr>
              <w:pStyle w:val="518"/>
              <w:rPr>
                <w:snapToGrid w:val="0"/>
                <w:lang w:eastAsia="zh-CN"/>
              </w:rPr>
            </w:pPr>
            <w:r>
              <w:rPr>
                <w:rFonts w:hint="eastAsia"/>
                <w:snapToGrid w:val="0"/>
                <w:lang w:eastAsia="zh-CN"/>
              </w:rPr>
              <w:t>58.9</w:t>
            </w:r>
          </w:p>
        </w:tc>
        <w:tc>
          <w:tcPr>
            <w:tcW w:w="992" w:type="dxa"/>
            <w:tcBorders>
              <w:left w:val="single" w:color="auto" w:sz="4" w:space="0"/>
            </w:tcBorders>
            <w:vAlign w:val="center"/>
          </w:tcPr>
          <w:p w14:paraId="445E722A">
            <w:pPr>
              <w:pStyle w:val="518"/>
              <w:rPr>
                <w:snapToGrid w:val="0"/>
                <w:lang w:eastAsia="zh-CN"/>
              </w:rPr>
            </w:pPr>
            <w:r>
              <w:rPr>
                <w:rFonts w:hint="eastAsia"/>
                <w:snapToGrid w:val="0"/>
                <w:lang w:eastAsia="zh-CN"/>
              </w:rPr>
              <w:t>54.8</w:t>
            </w:r>
          </w:p>
        </w:tc>
        <w:tc>
          <w:tcPr>
            <w:tcW w:w="992" w:type="dxa"/>
            <w:tcBorders>
              <w:right w:val="single" w:color="auto" w:sz="4" w:space="0"/>
            </w:tcBorders>
            <w:vAlign w:val="center"/>
          </w:tcPr>
          <w:p w14:paraId="7F24373A">
            <w:pPr>
              <w:pStyle w:val="518"/>
              <w:rPr>
                <w:lang w:eastAsia="zh-CN"/>
              </w:rPr>
            </w:pPr>
            <w:r>
              <w:rPr>
                <w:rFonts w:hint="eastAsia"/>
                <w:lang w:eastAsia="zh-CN"/>
              </w:rPr>
              <w:t>66.4</w:t>
            </w:r>
          </w:p>
        </w:tc>
        <w:tc>
          <w:tcPr>
            <w:tcW w:w="993" w:type="dxa"/>
            <w:tcBorders>
              <w:left w:val="single" w:color="auto" w:sz="4" w:space="0"/>
            </w:tcBorders>
            <w:vAlign w:val="center"/>
          </w:tcPr>
          <w:p w14:paraId="5F272123">
            <w:pPr>
              <w:pStyle w:val="518"/>
              <w:rPr>
                <w:lang w:eastAsia="zh-CN"/>
              </w:rPr>
            </w:pPr>
            <w:r>
              <w:rPr>
                <w:rFonts w:hint="eastAsia"/>
                <w:lang w:eastAsia="zh-CN"/>
              </w:rPr>
              <w:t>63.1</w:t>
            </w:r>
          </w:p>
        </w:tc>
        <w:tc>
          <w:tcPr>
            <w:tcW w:w="992" w:type="dxa"/>
            <w:vAlign w:val="center"/>
          </w:tcPr>
          <w:p w14:paraId="78B8AB9A">
            <w:pPr>
              <w:pStyle w:val="518"/>
              <w:rPr>
                <w:snapToGrid w:val="0"/>
                <w:lang w:eastAsia="zh-CN"/>
              </w:rPr>
            </w:pPr>
            <w:r>
              <w:rPr>
                <w:rFonts w:hint="eastAsia"/>
                <w:snapToGrid w:val="0"/>
                <w:lang w:eastAsia="zh-CN"/>
              </w:rPr>
              <w:t>59.7</w:t>
            </w:r>
          </w:p>
        </w:tc>
        <w:tc>
          <w:tcPr>
            <w:tcW w:w="1134" w:type="dxa"/>
          </w:tcPr>
          <w:p w14:paraId="5E3D0C03">
            <w:pPr>
              <w:pStyle w:val="518"/>
              <w:rPr>
                <w:snapToGrid w:val="0"/>
                <w:lang w:eastAsia="zh-CN"/>
              </w:rPr>
            </w:pPr>
            <w:r>
              <w:rPr>
                <w:rFonts w:hint="eastAsia"/>
                <w:snapToGrid w:val="0"/>
                <w:lang w:eastAsia="zh-CN"/>
              </w:rPr>
              <w:t>64.45</w:t>
            </w:r>
          </w:p>
        </w:tc>
        <w:tc>
          <w:tcPr>
            <w:tcW w:w="1134" w:type="dxa"/>
          </w:tcPr>
          <w:p w14:paraId="395B6EAA">
            <w:pPr>
              <w:pStyle w:val="518"/>
              <w:rPr>
                <w:snapToGrid w:val="0"/>
                <w:lang w:eastAsia="zh-CN"/>
              </w:rPr>
            </w:pPr>
            <w:r>
              <w:rPr>
                <w:rFonts w:hint="eastAsia"/>
                <w:snapToGrid w:val="0"/>
                <w:lang w:eastAsia="zh-CN"/>
              </w:rPr>
              <w:t>57.60</w:t>
            </w:r>
          </w:p>
        </w:tc>
        <w:tc>
          <w:tcPr>
            <w:tcW w:w="1134" w:type="dxa"/>
          </w:tcPr>
          <w:p w14:paraId="034324A0">
            <w:pPr>
              <w:pStyle w:val="518"/>
              <w:rPr>
                <w:snapToGrid w:val="0"/>
                <w:lang w:eastAsia="zh-CN"/>
              </w:rPr>
            </w:pPr>
            <w:r>
              <w:rPr>
                <w:rFonts w:hint="eastAsia"/>
                <w:snapToGrid w:val="0"/>
                <w:lang w:eastAsia="zh-CN"/>
              </w:rPr>
              <w:t>52.1</w:t>
            </w:r>
          </w:p>
        </w:tc>
        <w:tc>
          <w:tcPr>
            <w:tcW w:w="992" w:type="dxa"/>
          </w:tcPr>
          <w:p w14:paraId="39C90CE9">
            <w:pPr>
              <w:pStyle w:val="518"/>
              <w:rPr>
                <w:snapToGrid w:val="0"/>
                <w:lang w:eastAsia="zh-CN"/>
              </w:rPr>
            </w:pPr>
            <w:r>
              <w:rPr>
                <w:rFonts w:hint="eastAsia" w:ascii="宋体" w:hAnsi="宋体"/>
                <w:snapToGrid w:val="0"/>
                <w:lang w:eastAsia="zh-CN"/>
              </w:rPr>
              <w:t>≤300</w:t>
            </w:r>
          </w:p>
        </w:tc>
      </w:tr>
      <w:tr w14:paraId="464A07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Align w:val="center"/>
          </w:tcPr>
          <w:p w14:paraId="00D83812">
            <w:pPr>
              <w:pStyle w:val="518"/>
              <w:rPr>
                <w:snapToGrid w:val="0"/>
                <w:lang w:eastAsia="zh-CN"/>
              </w:rPr>
            </w:pPr>
            <w:r>
              <w:rPr>
                <w:snapToGrid w:val="0"/>
              </w:rPr>
              <w:t>铅</w:t>
            </w:r>
          </w:p>
        </w:tc>
        <w:tc>
          <w:tcPr>
            <w:tcW w:w="992" w:type="dxa"/>
            <w:vAlign w:val="center"/>
          </w:tcPr>
          <w:p w14:paraId="5144E08C">
            <w:pPr>
              <w:pStyle w:val="518"/>
              <w:rPr>
                <w:lang w:eastAsia="zh-CN"/>
              </w:rPr>
            </w:pPr>
            <w:r>
              <w:rPr>
                <w:rFonts w:hint="eastAsia"/>
                <w:lang w:eastAsia="zh-CN"/>
              </w:rPr>
              <w:t>30.2</w:t>
            </w:r>
          </w:p>
        </w:tc>
        <w:tc>
          <w:tcPr>
            <w:tcW w:w="992" w:type="dxa"/>
            <w:vAlign w:val="center"/>
          </w:tcPr>
          <w:p w14:paraId="2D523A63">
            <w:pPr>
              <w:pStyle w:val="518"/>
              <w:rPr>
                <w:lang w:eastAsia="zh-CN"/>
              </w:rPr>
            </w:pPr>
            <w:r>
              <w:rPr>
                <w:rFonts w:hint="eastAsia"/>
                <w:lang w:eastAsia="zh-CN"/>
              </w:rPr>
              <w:t>29.8</w:t>
            </w:r>
          </w:p>
        </w:tc>
        <w:tc>
          <w:tcPr>
            <w:tcW w:w="993" w:type="dxa"/>
            <w:vAlign w:val="center"/>
          </w:tcPr>
          <w:p w14:paraId="049DF4CD">
            <w:pPr>
              <w:pStyle w:val="518"/>
              <w:rPr>
                <w:lang w:eastAsia="zh-CN"/>
              </w:rPr>
            </w:pPr>
            <w:r>
              <w:rPr>
                <w:rFonts w:hint="eastAsia"/>
                <w:lang w:eastAsia="zh-CN"/>
              </w:rPr>
              <w:t>28.6</w:t>
            </w:r>
          </w:p>
        </w:tc>
        <w:tc>
          <w:tcPr>
            <w:tcW w:w="992" w:type="dxa"/>
            <w:vAlign w:val="center"/>
          </w:tcPr>
          <w:p w14:paraId="3C9A7860">
            <w:pPr>
              <w:pStyle w:val="518"/>
              <w:rPr>
                <w:lang w:eastAsia="zh-CN"/>
              </w:rPr>
            </w:pPr>
            <w:r>
              <w:rPr>
                <w:rFonts w:hint="eastAsia"/>
                <w:lang w:eastAsia="zh-CN"/>
              </w:rPr>
              <w:t>29.8</w:t>
            </w:r>
          </w:p>
        </w:tc>
        <w:tc>
          <w:tcPr>
            <w:tcW w:w="1134" w:type="dxa"/>
            <w:tcBorders>
              <w:right w:val="single" w:color="auto" w:sz="4" w:space="0"/>
            </w:tcBorders>
            <w:vAlign w:val="center"/>
          </w:tcPr>
          <w:p w14:paraId="13B603B0">
            <w:pPr>
              <w:pStyle w:val="518"/>
              <w:rPr>
                <w:snapToGrid w:val="0"/>
                <w:lang w:eastAsia="zh-CN"/>
              </w:rPr>
            </w:pPr>
            <w:r>
              <w:rPr>
                <w:rFonts w:hint="eastAsia"/>
                <w:snapToGrid w:val="0"/>
                <w:lang w:eastAsia="zh-CN"/>
              </w:rPr>
              <w:t>28.7</w:t>
            </w:r>
          </w:p>
        </w:tc>
        <w:tc>
          <w:tcPr>
            <w:tcW w:w="992" w:type="dxa"/>
            <w:tcBorders>
              <w:left w:val="single" w:color="auto" w:sz="4" w:space="0"/>
            </w:tcBorders>
            <w:vAlign w:val="center"/>
          </w:tcPr>
          <w:p w14:paraId="6B52B2FE">
            <w:pPr>
              <w:pStyle w:val="518"/>
              <w:rPr>
                <w:snapToGrid w:val="0"/>
                <w:lang w:eastAsia="zh-CN"/>
              </w:rPr>
            </w:pPr>
            <w:r>
              <w:rPr>
                <w:rFonts w:hint="eastAsia"/>
                <w:snapToGrid w:val="0"/>
                <w:lang w:eastAsia="zh-CN"/>
              </w:rPr>
              <w:t>26.9</w:t>
            </w:r>
          </w:p>
        </w:tc>
        <w:tc>
          <w:tcPr>
            <w:tcW w:w="992" w:type="dxa"/>
            <w:tcBorders>
              <w:right w:val="single" w:color="auto" w:sz="4" w:space="0"/>
            </w:tcBorders>
            <w:vAlign w:val="center"/>
          </w:tcPr>
          <w:p w14:paraId="69A20064">
            <w:pPr>
              <w:pStyle w:val="518"/>
              <w:rPr>
                <w:lang w:eastAsia="zh-CN"/>
              </w:rPr>
            </w:pPr>
            <w:r>
              <w:rPr>
                <w:rFonts w:hint="eastAsia"/>
                <w:lang w:eastAsia="zh-CN"/>
              </w:rPr>
              <w:t>31.4</w:t>
            </w:r>
          </w:p>
        </w:tc>
        <w:tc>
          <w:tcPr>
            <w:tcW w:w="993" w:type="dxa"/>
            <w:tcBorders>
              <w:left w:val="single" w:color="auto" w:sz="4" w:space="0"/>
            </w:tcBorders>
            <w:vAlign w:val="center"/>
          </w:tcPr>
          <w:p w14:paraId="6FA3B752">
            <w:pPr>
              <w:pStyle w:val="518"/>
              <w:rPr>
                <w:lang w:eastAsia="zh-CN"/>
              </w:rPr>
            </w:pPr>
            <w:r>
              <w:rPr>
                <w:rFonts w:hint="eastAsia"/>
                <w:lang w:eastAsia="zh-CN"/>
              </w:rPr>
              <w:t>30.1</w:t>
            </w:r>
          </w:p>
        </w:tc>
        <w:tc>
          <w:tcPr>
            <w:tcW w:w="992" w:type="dxa"/>
            <w:vAlign w:val="center"/>
          </w:tcPr>
          <w:p w14:paraId="7F905A5B">
            <w:pPr>
              <w:pStyle w:val="518"/>
              <w:rPr>
                <w:snapToGrid w:val="0"/>
                <w:lang w:eastAsia="zh-CN"/>
              </w:rPr>
            </w:pPr>
            <w:r>
              <w:rPr>
                <w:rFonts w:hint="eastAsia"/>
                <w:snapToGrid w:val="0"/>
                <w:lang w:eastAsia="zh-CN"/>
              </w:rPr>
              <w:t>29.3</w:t>
            </w:r>
          </w:p>
        </w:tc>
        <w:tc>
          <w:tcPr>
            <w:tcW w:w="1134" w:type="dxa"/>
          </w:tcPr>
          <w:p w14:paraId="1F8F6568">
            <w:pPr>
              <w:pStyle w:val="518"/>
              <w:rPr>
                <w:snapToGrid w:val="0"/>
                <w:lang w:eastAsia="zh-CN"/>
              </w:rPr>
            </w:pPr>
            <w:r>
              <w:rPr>
                <w:rFonts w:hint="eastAsia"/>
                <w:snapToGrid w:val="0"/>
                <w:lang w:eastAsia="zh-CN"/>
              </w:rPr>
              <w:t>29.5</w:t>
            </w:r>
          </w:p>
        </w:tc>
        <w:tc>
          <w:tcPr>
            <w:tcW w:w="1134" w:type="dxa"/>
          </w:tcPr>
          <w:p w14:paraId="6FDC9DB9">
            <w:pPr>
              <w:pStyle w:val="518"/>
              <w:rPr>
                <w:snapToGrid w:val="0"/>
                <w:lang w:eastAsia="zh-CN"/>
              </w:rPr>
            </w:pPr>
            <w:r>
              <w:rPr>
                <w:rFonts w:hint="eastAsia"/>
                <w:snapToGrid w:val="0"/>
                <w:lang w:eastAsia="zh-CN"/>
              </w:rPr>
              <w:t>27.45</w:t>
            </w:r>
          </w:p>
        </w:tc>
        <w:tc>
          <w:tcPr>
            <w:tcW w:w="1134" w:type="dxa"/>
          </w:tcPr>
          <w:p w14:paraId="361708E7">
            <w:pPr>
              <w:pStyle w:val="518"/>
              <w:rPr>
                <w:snapToGrid w:val="0"/>
                <w:lang w:eastAsia="zh-CN"/>
              </w:rPr>
            </w:pPr>
            <w:r>
              <w:rPr>
                <w:rFonts w:hint="eastAsia"/>
                <w:snapToGrid w:val="0"/>
                <w:lang w:eastAsia="zh-CN"/>
              </w:rPr>
              <w:t>26.1</w:t>
            </w:r>
          </w:p>
        </w:tc>
        <w:tc>
          <w:tcPr>
            <w:tcW w:w="992" w:type="dxa"/>
          </w:tcPr>
          <w:p w14:paraId="08055ADD">
            <w:pPr>
              <w:pStyle w:val="518"/>
              <w:rPr>
                <w:snapToGrid w:val="0"/>
                <w:lang w:eastAsia="zh-CN"/>
              </w:rPr>
            </w:pPr>
            <w:r>
              <w:rPr>
                <w:rFonts w:hint="eastAsia" w:ascii="宋体" w:hAnsi="宋体"/>
                <w:snapToGrid w:val="0"/>
                <w:lang w:eastAsia="zh-CN"/>
              </w:rPr>
              <w:t>≤350</w:t>
            </w:r>
          </w:p>
        </w:tc>
      </w:tr>
      <w:tr w14:paraId="2102AE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Align w:val="center"/>
          </w:tcPr>
          <w:p w14:paraId="729FB9C7">
            <w:pPr>
              <w:pStyle w:val="518"/>
              <w:rPr>
                <w:snapToGrid w:val="0"/>
              </w:rPr>
            </w:pPr>
            <w:r>
              <w:rPr>
                <w:snapToGrid w:val="0"/>
              </w:rPr>
              <w:t>镉</w:t>
            </w:r>
          </w:p>
        </w:tc>
        <w:tc>
          <w:tcPr>
            <w:tcW w:w="992" w:type="dxa"/>
            <w:vAlign w:val="center"/>
          </w:tcPr>
          <w:p w14:paraId="5E8377CA">
            <w:pPr>
              <w:pStyle w:val="518"/>
              <w:rPr>
                <w:lang w:eastAsia="zh-CN"/>
              </w:rPr>
            </w:pPr>
            <w:r>
              <w:rPr>
                <w:rFonts w:hint="eastAsia"/>
                <w:lang w:eastAsia="zh-CN"/>
              </w:rPr>
              <w:t>0.215</w:t>
            </w:r>
          </w:p>
        </w:tc>
        <w:tc>
          <w:tcPr>
            <w:tcW w:w="992" w:type="dxa"/>
            <w:vAlign w:val="center"/>
          </w:tcPr>
          <w:p w14:paraId="61510CD9">
            <w:pPr>
              <w:pStyle w:val="518"/>
              <w:rPr>
                <w:lang w:eastAsia="zh-CN"/>
              </w:rPr>
            </w:pPr>
            <w:r>
              <w:rPr>
                <w:rFonts w:hint="eastAsia"/>
                <w:lang w:eastAsia="zh-CN"/>
              </w:rPr>
              <w:t>0.208</w:t>
            </w:r>
          </w:p>
        </w:tc>
        <w:tc>
          <w:tcPr>
            <w:tcW w:w="993" w:type="dxa"/>
            <w:vAlign w:val="center"/>
          </w:tcPr>
          <w:p w14:paraId="14924189">
            <w:pPr>
              <w:pStyle w:val="518"/>
              <w:rPr>
                <w:lang w:eastAsia="zh-CN"/>
              </w:rPr>
            </w:pPr>
            <w:r>
              <w:rPr>
                <w:rFonts w:hint="eastAsia"/>
                <w:lang w:eastAsia="zh-CN"/>
              </w:rPr>
              <w:t>0.198</w:t>
            </w:r>
          </w:p>
        </w:tc>
        <w:tc>
          <w:tcPr>
            <w:tcW w:w="992" w:type="dxa"/>
            <w:vAlign w:val="center"/>
          </w:tcPr>
          <w:p w14:paraId="4405720D">
            <w:pPr>
              <w:pStyle w:val="518"/>
              <w:rPr>
                <w:lang w:eastAsia="zh-CN"/>
              </w:rPr>
            </w:pPr>
            <w:r>
              <w:rPr>
                <w:rFonts w:hint="eastAsia"/>
                <w:lang w:eastAsia="zh-CN"/>
              </w:rPr>
              <w:t>0.209</w:t>
            </w:r>
          </w:p>
        </w:tc>
        <w:tc>
          <w:tcPr>
            <w:tcW w:w="1134" w:type="dxa"/>
            <w:tcBorders>
              <w:right w:val="single" w:color="auto" w:sz="4" w:space="0"/>
            </w:tcBorders>
            <w:vAlign w:val="center"/>
          </w:tcPr>
          <w:p w14:paraId="37B5A086">
            <w:pPr>
              <w:pStyle w:val="518"/>
              <w:rPr>
                <w:snapToGrid w:val="0"/>
                <w:lang w:eastAsia="zh-CN"/>
              </w:rPr>
            </w:pPr>
            <w:r>
              <w:rPr>
                <w:rFonts w:hint="eastAsia"/>
                <w:snapToGrid w:val="0"/>
                <w:lang w:eastAsia="zh-CN"/>
              </w:rPr>
              <w:t>0.203</w:t>
            </w:r>
          </w:p>
        </w:tc>
        <w:tc>
          <w:tcPr>
            <w:tcW w:w="992" w:type="dxa"/>
            <w:tcBorders>
              <w:left w:val="single" w:color="auto" w:sz="4" w:space="0"/>
            </w:tcBorders>
            <w:vAlign w:val="center"/>
          </w:tcPr>
          <w:p w14:paraId="2B954139">
            <w:pPr>
              <w:pStyle w:val="518"/>
              <w:rPr>
                <w:snapToGrid w:val="0"/>
                <w:lang w:eastAsia="zh-CN"/>
              </w:rPr>
            </w:pPr>
            <w:r>
              <w:rPr>
                <w:rFonts w:hint="eastAsia"/>
                <w:snapToGrid w:val="0"/>
                <w:lang w:eastAsia="zh-CN"/>
              </w:rPr>
              <w:t>0.193</w:t>
            </w:r>
          </w:p>
        </w:tc>
        <w:tc>
          <w:tcPr>
            <w:tcW w:w="992" w:type="dxa"/>
            <w:tcBorders>
              <w:right w:val="single" w:color="auto" w:sz="4" w:space="0"/>
            </w:tcBorders>
            <w:vAlign w:val="center"/>
          </w:tcPr>
          <w:p w14:paraId="6E0ACB27">
            <w:pPr>
              <w:pStyle w:val="518"/>
              <w:rPr>
                <w:lang w:eastAsia="zh-CN"/>
              </w:rPr>
            </w:pPr>
            <w:r>
              <w:rPr>
                <w:rFonts w:hint="eastAsia"/>
                <w:lang w:eastAsia="zh-CN"/>
              </w:rPr>
              <w:t>0.219</w:t>
            </w:r>
          </w:p>
        </w:tc>
        <w:tc>
          <w:tcPr>
            <w:tcW w:w="993" w:type="dxa"/>
            <w:tcBorders>
              <w:left w:val="single" w:color="auto" w:sz="4" w:space="0"/>
            </w:tcBorders>
            <w:vAlign w:val="center"/>
          </w:tcPr>
          <w:p w14:paraId="2B162490">
            <w:pPr>
              <w:pStyle w:val="518"/>
              <w:rPr>
                <w:lang w:eastAsia="zh-CN"/>
              </w:rPr>
            </w:pPr>
            <w:r>
              <w:rPr>
                <w:rFonts w:hint="eastAsia"/>
                <w:lang w:eastAsia="zh-CN"/>
              </w:rPr>
              <w:t>0.211</w:t>
            </w:r>
          </w:p>
        </w:tc>
        <w:tc>
          <w:tcPr>
            <w:tcW w:w="992" w:type="dxa"/>
            <w:vAlign w:val="center"/>
          </w:tcPr>
          <w:p w14:paraId="0877B903">
            <w:pPr>
              <w:pStyle w:val="518"/>
              <w:rPr>
                <w:snapToGrid w:val="0"/>
                <w:lang w:eastAsia="zh-CN"/>
              </w:rPr>
            </w:pPr>
            <w:r>
              <w:rPr>
                <w:rFonts w:hint="eastAsia"/>
                <w:snapToGrid w:val="0"/>
                <w:lang w:eastAsia="zh-CN"/>
              </w:rPr>
              <w:t>0.205</w:t>
            </w:r>
          </w:p>
        </w:tc>
        <w:tc>
          <w:tcPr>
            <w:tcW w:w="1134" w:type="dxa"/>
          </w:tcPr>
          <w:p w14:paraId="6E61A4E2">
            <w:pPr>
              <w:pStyle w:val="518"/>
              <w:rPr>
                <w:snapToGrid w:val="0"/>
                <w:lang w:eastAsia="zh-CN"/>
              </w:rPr>
            </w:pPr>
            <w:r>
              <w:rPr>
                <w:rFonts w:hint="eastAsia"/>
                <w:snapToGrid w:val="0"/>
                <w:lang w:eastAsia="zh-CN"/>
              </w:rPr>
              <w:t>0.198</w:t>
            </w:r>
          </w:p>
        </w:tc>
        <w:tc>
          <w:tcPr>
            <w:tcW w:w="1134" w:type="dxa"/>
          </w:tcPr>
          <w:p w14:paraId="42B65219">
            <w:pPr>
              <w:pStyle w:val="518"/>
              <w:rPr>
                <w:snapToGrid w:val="0"/>
                <w:lang w:eastAsia="zh-CN"/>
              </w:rPr>
            </w:pPr>
            <w:r>
              <w:rPr>
                <w:rFonts w:hint="eastAsia"/>
                <w:snapToGrid w:val="0"/>
                <w:lang w:eastAsia="zh-CN"/>
              </w:rPr>
              <w:t>0.184</w:t>
            </w:r>
          </w:p>
        </w:tc>
        <w:tc>
          <w:tcPr>
            <w:tcW w:w="1134" w:type="dxa"/>
          </w:tcPr>
          <w:p w14:paraId="4AF75321">
            <w:pPr>
              <w:pStyle w:val="518"/>
              <w:rPr>
                <w:snapToGrid w:val="0"/>
                <w:lang w:eastAsia="zh-CN"/>
              </w:rPr>
            </w:pPr>
            <w:r>
              <w:rPr>
                <w:rFonts w:hint="eastAsia"/>
                <w:snapToGrid w:val="0"/>
                <w:lang w:eastAsia="zh-CN"/>
              </w:rPr>
              <w:t>0.170</w:t>
            </w:r>
          </w:p>
        </w:tc>
        <w:tc>
          <w:tcPr>
            <w:tcW w:w="992" w:type="dxa"/>
          </w:tcPr>
          <w:p w14:paraId="1DB7C3D5">
            <w:pPr>
              <w:pStyle w:val="518"/>
              <w:rPr>
                <w:snapToGrid w:val="0"/>
                <w:lang w:eastAsia="zh-CN"/>
              </w:rPr>
            </w:pPr>
            <w:r>
              <w:rPr>
                <w:rFonts w:hint="eastAsia" w:ascii="宋体" w:hAnsi="宋体"/>
                <w:snapToGrid w:val="0"/>
                <w:lang w:eastAsia="zh-CN"/>
              </w:rPr>
              <w:t>≤0.6</w:t>
            </w:r>
          </w:p>
        </w:tc>
      </w:tr>
      <w:tr w14:paraId="76CE3A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Align w:val="center"/>
          </w:tcPr>
          <w:p w14:paraId="439E70F7">
            <w:pPr>
              <w:pStyle w:val="518"/>
              <w:rPr>
                <w:snapToGrid w:val="0"/>
              </w:rPr>
            </w:pPr>
            <w:r>
              <w:t>镍</w:t>
            </w:r>
          </w:p>
        </w:tc>
        <w:tc>
          <w:tcPr>
            <w:tcW w:w="992" w:type="dxa"/>
            <w:vAlign w:val="center"/>
          </w:tcPr>
          <w:p w14:paraId="7102A0C2">
            <w:pPr>
              <w:pStyle w:val="518"/>
              <w:rPr>
                <w:lang w:eastAsia="zh-CN"/>
              </w:rPr>
            </w:pPr>
            <w:r>
              <w:rPr>
                <w:rFonts w:hint="eastAsia"/>
                <w:lang w:eastAsia="zh-CN"/>
              </w:rPr>
              <w:t>24.6</w:t>
            </w:r>
          </w:p>
        </w:tc>
        <w:tc>
          <w:tcPr>
            <w:tcW w:w="992" w:type="dxa"/>
            <w:vAlign w:val="center"/>
          </w:tcPr>
          <w:p w14:paraId="49E4A738">
            <w:pPr>
              <w:pStyle w:val="518"/>
              <w:rPr>
                <w:lang w:eastAsia="zh-CN"/>
              </w:rPr>
            </w:pPr>
            <w:r>
              <w:rPr>
                <w:rFonts w:hint="eastAsia"/>
                <w:lang w:eastAsia="zh-CN"/>
              </w:rPr>
              <w:t>19.7</w:t>
            </w:r>
          </w:p>
        </w:tc>
        <w:tc>
          <w:tcPr>
            <w:tcW w:w="993" w:type="dxa"/>
            <w:vAlign w:val="center"/>
          </w:tcPr>
          <w:p w14:paraId="1C43C96F">
            <w:pPr>
              <w:pStyle w:val="518"/>
              <w:rPr>
                <w:lang w:eastAsia="zh-CN"/>
              </w:rPr>
            </w:pPr>
            <w:r>
              <w:rPr>
                <w:rFonts w:hint="eastAsia"/>
                <w:lang w:eastAsia="zh-CN"/>
              </w:rPr>
              <w:t>16.6</w:t>
            </w:r>
          </w:p>
        </w:tc>
        <w:tc>
          <w:tcPr>
            <w:tcW w:w="992" w:type="dxa"/>
            <w:vAlign w:val="center"/>
          </w:tcPr>
          <w:p w14:paraId="7B27FEFA">
            <w:pPr>
              <w:pStyle w:val="518"/>
              <w:rPr>
                <w:lang w:eastAsia="zh-CN"/>
              </w:rPr>
            </w:pPr>
            <w:r>
              <w:rPr>
                <w:rFonts w:hint="eastAsia"/>
                <w:lang w:eastAsia="zh-CN"/>
              </w:rPr>
              <w:t>22.4</w:t>
            </w:r>
          </w:p>
        </w:tc>
        <w:tc>
          <w:tcPr>
            <w:tcW w:w="1134" w:type="dxa"/>
            <w:tcBorders>
              <w:right w:val="single" w:color="auto" w:sz="4" w:space="0"/>
            </w:tcBorders>
            <w:vAlign w:val="center"/>
          </w:tcPr>
          <w:p w14:paraId="1641F75E">
            <w:pPr>
              <w:pStyle w:val="518"/>
              <w:rPr>
                <w:snapToGrid w:val="0"/>
                <w:lang w:eastAsia="zh-CN"/>
              </w:rPr>
            </w:pPr>
            <w:r>
              <w:rPr>
                <w:rFonts w:hint="eastAsia"/>
                <w:snapToGrid w:val="0"/>
                <w:lang w:eastAsia="zh-CN"/>
              </w:rPr>
              <w:t>18.6</w:t>
            </w:r>
          </w:p>
        </w:tc>
        <w:tc>
          <w:tcPr>
            <w:tcW w:w="992" w:type="dxa"/>
            <w:tcBorders>
              <w:left w:val="single" w:color="auto" w:sz="4" w:space="0"/>
            </w:tcBorders>
            <w:vAlign w:val="center"/>
          </w:tcPr>
          <w:p w14:paraId="3C112708">
            <w:pPr>
              <w:pStyle w:val="518"/>
              <w:rPr>
                <w:snapToGrid w:val="0"/>
                <w:lang w:eastAsia="zh-CN"/>
              </w:rPr>
            </w:pPr>
            <w:r>
              <w:rPr>
                <w:rFonts w:hint="eastAsia"/>
                <w:snapToGrid w:val="0"/>
                <w:lang w:eastAsia="zh-CN"/>
              </w:rPr>
              <w:t>15.9</w:t>
            </w:r>
          </w:p>
        </w:tc>
        <w:tc>
          <w:tcPr>
            <w:tcW w:w="992" w:type="dxa"/>
            <w:tcBorders>
              <w:right w:val="single" w:color="auto" w:sz="4" w:space="0"/>
            </w:tcBorders>
            <w:vAlign w:val="center"/>
          </w:tcPr>
          <w:p w14:paraId="736ABAA2">
            <w:pPr>
              <w:pStyle w:val="518"/>
              <w:rPr>
                <w:lang w:eastAsia="zh-CN"/>
              </w:rPr>
            </w:pPr>
            <w:r>
              <w:rPr>
                <w:rFonts w:hint="eastAsia"/>
                <w:lang w:eastAsia="zh-CN"/>
              </w:rPr>
              <w:t>25.7</w:t>
            </w:r>
          </w:p>
        </w:tc>
        <w:tc>
          <w:tcPr>
            <w:tcW w:w="993" w:type="dxa"/>
            <w:tcBorders>
              <w:left w:val="single" w:color="auto" w:sz="4" w:space="0"/>
            </w:tcBorders>
            <w:vAlign w:val="center"/>
          </w:tcPr>
          <w:p w14:paraId="2719B260">
            <w:pPr>
              <w:pStyle w:val="518"/>
              <w:rPr>
                <w:lang w:eastAsia="zh-CN"/>
              </w:rPr>
            </w:pPr>
            <w:r>
              <w:rPr>
                <w:rFonts w:hint="eastAsia"/>
                <w:lang w:eastAsia="zh-CN"/>
              </w:rPr>
              <w:t>23.2</w:t>
            </w:r>
          </w:p>
        </w:tc>
        <w:tc>
          <w:tcPr>
            <w:tcW w:w="992" w:type="dxa"/>
            <w:vAlign w:val="center"/>
          </w:tcPr>
          <w:p w14:paraId="1FC0BEB0">
            <w:pPr>
              <w:pStyle w:val="518"/>
              <w:rPr>
                <w:snapToGrid w:val="0"/>
                <w:lang w:eastAsia="zh-CN"/>
              </w:rPr>
            </w:pPr>
            <w:r>
              <w:rPr>
                <w:rFonts w:hint="eastAsia"/>
                <w:snapToGrid w:val="0"/>
                <w:lang w:eastAsia="zh-CN"/>
              </w:rPr>
              <w:t>20.8</w:t>
            </w:r>
          </w:p>
        </w:tc>
        <w:tc>
          <w:tcPr>
            <w:tcW w:w="1134" w:type="dxa"/>
          </w:tcPr>
          <w:p w14:paraId="1F93E183">
            <w:pPr>
              <w:pStyle w:val="518"/>
              <w:rPr>
                <w:snapToGrid w:val="0"/>
                <w:lang w:eastAsia="zh-CN"/>
              </w:rPr>
            </w:pPr>
            <w:r>
              <w:rPr>
                <w:rFonts w:hint="eastAsia"/>
                <w:snapToGrid w:val="0"/>
                <w:lang w:eastAsia="zh-CN"/>
              </w:rPr>
              <w:t>23.6</w:t>
            </w:r>
          </w:p>
        </w:tc>
        <w:tc>
          <w:tcPr>
            <w:tcW w:w="1134" w:type="dxa"/>
          </w:tcPr>
          <w:p w14:paraId="22B9CEF6">
            <w:pPr>
              <w:pStyle w:val="518"/>
              <w:rPr>
                <w:snapToGrid w:val="0"/>
                <w:lang w:eastAsia="zh-CN"/>
              </w:rPr>
            </w:pPr>
            <w:r>
              <w:rPr>
                <w:rFonts w:hint="eastAsia"/>
                <w:snapToGrid w:val="0"/>
                <w:lang w:eastAsia="zh-CN"/>
              </w:rPr>
              <w:t>18.80</w:t>
            </w:r>
          </w:p>
        </w:tc>
        <w:tc>
          <w:tcPr>
            <w:tcW w:w="1134" w:type="dxa"/>
          </w:tcPr>
          <w:p w14:paraId="78F74EC3">
            <w:pPr>
              <w:pStyle w:val="518"/>
              <w:rPr>
                <w:snapToGrid w:val="0"/>
                <w:lang w:eastAsia="zh-CN"/>
              </w:rPr>
            </w:pPr>
            <w:r>
              <w:rPr>
                <w:rFonts w:hint="eastAsia"/>
                <w:snapToGrid w:val="0"/>
                <w:lang w:eastAsia="zh-CN"/>
              </w:rPr>
              <w:t>15.5</w:t>
            </w:r>
          </w:p>
        </w:tc>
        <w:tc>
          <w:tcPr>
            <w:tcW w:w="992" w:type="dxa"/>
          </w:tcPr>
          <w:p w14:paraId="72364E45">
            <w:pPr>
              <w:pStyle w:val="518"/>
              <w:rPr>
                <w:snapToGrid w:val="0"/>
                <w:lang w:eastAsia="zh-CN"/>
              </w:rPr>
            </w:pPr>
            <w:r>
              <w:rPr>
                <w:rFonts w:hint="eastAsia" w:ascii="宋体" w:hAnsi="宋体"/>
                <w:snapToGrid w:val="0"/>
                <w:lang w:eastAsia="zh-CN"/>
              </w:rPr>
              <w:t>≤60</w:t>
            </w:r>
          </w:p>
        </w:tc>
      </w:tr>
      <w:tr w14:paraId="37260E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59" w:type="dxa"/>
            <w:vAlign w:val="center"/>
          </w:tcPr>
          <w:p w14:paraId="570CEE96">
            <w:pPr>
              <w:pStyle w:val="518"/>
              <w:rPr>
                <w:lang w:eastAsia="zh-CN"/>
              </w:rPr>
            </w:pPr>
            <w:r>
              <w:rPr>
                <w:rFonts w:hint="eastAsia"/>
                <w:lang w:eastAsia="zh-CN"/>
              </w:rPr>
              <w:t>石油类</w:t>
            </w:r>
          </w:p>
        </w:tc>
        <w:tc>
          <w:tcPr>
            <w:tcW w:w="992" w:type="dxa"/>
            <w:vAlign w:val="center"/>
          </w:tcPr>
          <w:p w14:paraId="4E554C0F">
            <w:pPr>
              <w:pStyle w:val="518"/>
              <w:rPr>
                <w:snapToGrid w:val="0"/>
                <w:lang w:eastAsia="zh-CN"/>
              </w:rPr>
            </w:pPr>
            <w:r>
              <w:rPr>
                <w:rFonts w:hint="eastAsia"/>
                <w:snapToGrid w:val="0"/>
                <w:lang w:eastAsia="zh-CN"/>
              </w:rPr>
              <w:t>6.87</w:t>
            </w:r>
          </w:p>
        </w:tc>
        <w:tc>
          <w:tcPr>
            <w:tcW w:w="992" w:type="dxa"/>
            <w:vAlign w:val="center"/>
          </w:tcPr>
          <w:p w14:paraId="00C8EA71">
            <w:pPr>
              <w:pStyle w:val="518"/>
              <w:rPr>
                <w:lang w:eastAsia="zh-CN"/>
              </w:rPr>
            </w:pPr>
            <w:r>
              <w:rPr>
                <w:rFonts w:hint="eastAsia"/>
                <w:lang w:eastAsia="zh-CN"/>
              </w:rPr>
              <w:t>6.79</w:t>
            </w:r>
          </w:p>
        </w:tc>
        <w:tc>
          <w:tcPr>
            <w:tcW w:w="993" w:type="dxa"/>
            <w:vAlign w:val="center"/>
          </w:tcPr>
          <w:p w14:paraId="6254E5BE">
            <w:pPr>
              <w:pStyle w:val="518"/>
              <w:rPr>
                <w:lang w:eastAsia="zh-CN"/>
              </w:rPr>
            </w:pPr>
            <w:r>
              <w:rPr>
                <w:rFonts w:hint="eastAsia"/>
                <w:lang w:eastAsia="zh-CN"/>
              </w:rPr>
              <w:t>6.42</w:t>
            </w:r>
          </w:p>
        </w:tc>
        <w:tc>
          <w:tcPr>
            <w:tcW w:w="992" w:type="dxa"/>
            <w:vAlign w:val="center"/>
          </w:tcPr>
          <w:p w14:paraId="5719D77E">
            <w:pPr>
              <w:pStyle w:val="518"/>
              <w:rPr>
                <w:lang w:eastAsia="zh-CN"/>
              </w:rPr>
            </w:pPr>
            <w:r>
              <w:rPr>
                <w:rFonts w:hint="eastAsia"/>
                <w:lang w:eastAsia="zh-CN"/>
              </w:rPr>
              <w:t>6.78</w:t>
            </w:r>
          </w:p>
        </w:tc>
        <w:tc>
          <w:tcPr>
            <w:tcW w:w="1134" w:type="dxa"/>
            <w:tcBorders>
              <w:right w:val="single" w:color="auto" w:sz="4" w:space="0"/>
            </w:tcBorders>
            <w:vAlign w:val="center"/>
          </w:tcPr>
          <w:p w14:paraId="640A7EB0">
            <w:pPr>
              <w:pStyle w:val="518"/>
              <w:rPr>
                <w:snapToGrid w:val="0"/>
                <w:lang w:eastAsia="zh-CN"/>
              </w:rPr>
            </w:pPr>
            <w:r>
              <w:rPr>
                <w:rFonts w:hint="eastAsia"/>
                <w:snapToGrid w:val="0"/>
                <w:lang w:eastAsia="zh-CN"/>
              </w:rPr>
              <w:t>6.68</w:t>
            </w:r>
          </w:p>
        </w:tc>
        <w:tc>
          <w:tcPr>
            <w:tcW w:w="992" w:type="dxa"/>
            <w:tcBorders>
              <w:left w:val="single" w:color="auto" w:sz="4" w:space="0"/>
            </w:tcBorders>
            <w:vAlign w:val="center"/>
          </w:tcPr>
          <w:p w14:paraId="4CDA525B">
            <w:pPr>
              <w:pStyle w:val="518"/>
              <w:rPr>
                <w:snapToGrid w:val="0"/>
                <w:lang w:eastAsia="zh-CN"/>
              </w:rPr>
            </w:pPr>
            <w:r>
              <w:rPr>
                <w:rFonts w:hint="eastAsia"/>
                <w:snapToGrid w:val="0"/>
                <w:lang w:eastAsia="zh-CN"/>
              </w:rPr>
              <w:t>6.45</w:t>
            </w:r>
          </w:p>
        </w:tc>
        <w:tc>
          <w:tcPr>
            <w:tcW w:w="992" w:type="dxa"/>
            <w:tcBorders>
              <w:right w:val="single" w:color="auto" w:sz="4" w:space="0"/>
            </w:tcBorders>
            <w:vAlign w:val="center"/>
          </w:tcPr>
          <w:p w14:paraId="28AB564B">
            <w:pPr>
              <w:pStyle w:val="518"/>
              <w:rPr>
                <w:lang w:eastAsia="zh-CN"/>
              </w:rPr>
            </w:pPr>
            <w:r>
              <w:rPr>
                <w:rFonts w:hint="eastAsia"/>
                <w:lang w:eastAsia="zh-CN"/>
              </w:rPr>
              <w:t>6.94</w:t>
            </w:r>
          </w:p>
        </w:tc>
        <w:tc>
          <w:tcPr>
            <w:tcW w:w="993" w:type="dxa"/>
            <w:tcBorders>
              <w:left w:val="single" w:color="auto" w:sz="4" w:space="0"/>
            </w:tcBorders>
            <w:vAlign w:val="center"/>
          </w:tcPr>
          <w:p w14:paraId="79FF43D7">
            <w:pPr>
              <w:pStyle w:val="518"/>
              <w:rPr>
                <w:lang w:eastAsia="zh-CN"/>
              </w:rPr>
            </w:pPr>
            <w:r>
              <w:rPr>
                <w:rFonts w:hint="eastAsia"/>
                <w:lang w:eastAsia="zh-CN"/>
              </w:rPr>
              <w:t>6.83</w:t>
            </w:r>
          </w:p>
        </w:tc>
        <w:tc>
          <w:tcPr>
            <w:tcW w:w="992" w:type="dxa"/>
            <w:vAlign w:val="center"/>
          </w:tcPr>
          <w:p w14:paraId="38E28B6A">
            <w:pPr>
              <w:pStyle w:val="518"/>
              <w:rPr>
                <w:snapToGrid w:val="0"/>
                <w:lang w:eastAsia="zh-CN"/>
              </w:rPr>
            </w:pPr>
            <w:r>
              <w:rPr>
                <w:rFonts w:hint="eastAsia"/>
                <w:snapToGrid w:val="0"/>
                <w:lang w:eastAsia="zh-CN"/>
              </w:rPr>
              <w:t>6.54</w:t>
            </w:r>
          </w:p>
        </w:tc>
        <w:tc>
          <w:tcPr>
            <w:tcW w:w="1134" w:type="dxa"/>
          </w:tcPr>
          <w:p w14:paraId="4F287C4B">
            <w:pPr>
              <w:pStyle w:val="518"/>
              <w:rPr>
                <w:snapToGrid w:val="0"/>
                <w:lang w:eastAsia="zh-CN"/>
              </w:rPr>
            </w:pPr>
            <w:r>
              <w:rPr>
                <w:rFonts w:hint="eastAsia"/>
                <w:snapToGrid w:val="0"/>
                <w:lang w:eastAsia="zh-CN"/>
              </w:rPr>
              <w:t>6.80</w:t>
            </w:r>
          </w:p>
        </w:tc>
        <w:tc>
          <w:tcPr>
            <w:tcW w:w="1134" w:type="dxa"/>
          </w:tcPr>
          <w:p w14:paraId="354B0CF8">
            <w:pPr>
              <w:pStyle w:val="518"/>
              <w:rPr>
                <w:snapToGrid w:val="0"/>
                <w:lang w:eastAsia="zh-CN"/>
              </w:rPr>
            </w:pPr>
            <w:r>
              <w:rPr>
                <w:rFonts w:hint="eastAsia"/>
                <w:snapToGrid w:val="0"/>
                <w:lang w:eastAsia="zh-CN"/>
              </w:rPr>
              <w:t>6.70</w:t>
            </w:r>
          </w:p>
        </w:tc>
        <w:tc>
          <w:tcPr>
            <w:tcW w:w="1134" w:type="dxa"/>
          </w:tcPr>
          <w:p w14:paraId="68A5EF3F">
            <w:pPr>
              <w:pStyle w:val="518"/>
              <w:rPr>
                <w:snapToGrid w:val="0"/>
                <w:lang w:eastAsia="zh-CN"/>
              </w:rPr>
            </w:pPr>
            <w:r>
              <w:rPr>
                <w:rFonts w:hint="eastAsia"/>
                <w:snapToGrid w:val="0"/>
                <w:lang w:eastAsia="zh-CN"/>
              </w:rPr>
              <w:t>6.52</w:t>
            </w:r>
          </w:p>
        </w:tc>
        <w:tc>
          <w:tcPr>
            <w:tcW w:w="992" w:type="dxa"/>
          </w:tcPr>
          <w:p w14:paraId="42193505">
            <w:pPr>
              <w:pStyle w:val="518"/>
              <w:rPr>
                <w:snapToGrid w:val="0"/>
                <w:lang w:eastAsia="zh-CN"/>
              </w:rPr>
            </w:pPr>
            <w:r>
              <w:rPr>
                <w:rFonts w:hint="eastAsia"/>
                <w:snapToGrid w:val="0"/>
                <w:lang w:eastAsia="zh-CN"/>
              </w:rPr>
              <w:t>——</w:t>
            </w:r>
          </w:p>
        </w:tc>
      </w:tr>
    </w:tbl>
    <w:p w14:paraId="3BFC3F2C">
      <w:pPr>
        <w:ind w:firstLine="480"/>
        <w:rPr>
          <w:rFonts w:asciiTheme="minorEastAsia" w:hAnsiTheme="minorEastAsia" w:eastAsiaTheme="minorEastAsia"/>
          <w:lang w:eastAsia="zh-CN"/>
        </w:rPr>
      </w:pPr>
    </w:p>
    <w:p w14:paraId="2EA85CE1">
      <w:pPr>
        <w:ind w:firstLine="480"/>
        <w:rPr>
          <w:rFonts w:asciiTheme="minorEastAsia" w:hAnsiTheme="minorEastAsia" w:eastAsiaTheme="minorEastAsia"/>
          <w:lang w:eastAsia="zh-CN"/>
        </w:rPr>
        <w:sectPr>
          <w:pgSz w:w="16840" w:h="11907" w:orient="landscape"/>
          <w:pgMar w:top="1797" w:right="1440" w:bottom="1797" w:left="1440" w:header="851" w:footer="992" w:gutter="0"/>
          <w:cols w:space="720" w:num="1"/>
          <w:docGrid w:linePitch="326" w:charSpace="0"/>
        </w:sectPr>
      </w:pPr>
    </w:p>
    <w:p w14:paraId="463902B1">
      <w:pPr>
        <w:pStyle w:val="4"/>
        <w:rPr>
          <w:lang w:eastAsia="zh-CN"/>
        </w:rPr>
      </w:pPr>
      <w:bookmarkStart w:id="495" w:name="_Toc408414018"/>
      <w:bookmarkStart w:id="496" w:name="_Toc280020092"/>
      <w:bookmarkStart w:id="497" w:name="_Toc338663519"/>
      <w:bookmarkStart w:id="498" w:name="_Toc279676693"/>
      <w:r>
        <w:rPr>
          <w:lang w:eastAsia="zh-CN"/>
        </w:rPr>
        <w:t>9.2.5对</w:t>
      </w:r>
      <w:r>
        <w:rPr>
          <w:rFonts w:hint="eastAsia"/>
          <w:lang w:eastAsia="zh-CN"/>
        </w:rPr>
        <w:t>评价区域</w:t>
      </w:r>
      <w:r>
        <w:rPr>
          <w:lang w:eastAsia="zh-CN"/>
        </w:rPr>
        <w:t>生态系统的影响分析</w:t>
      </w:r>
      <w:bookmarkEnd w:id="495"/>
      <w:bookmarkEnd w:id="496"/>
      <w:bookmarkEnd w:id="497"/>
      <w:bookmarkEnd w:id="498"/>
    </w:p>
    <w:p w14:paraId="4C121656">
      <w:pPr>
        <w:ind w:firstLine="480"/>
        <w:rPr>
          <w:rFonts w:asciiTheme="minorEastAsia" w:hAnsiTheme="minorEastAsia" w:eastAsiaTheme="minorEastAsia"/>
          <w:lang w:eastAsia="zh-CN"/>
        </w:rPr>
      </w:pPr>
      <w:bookmarkStart w:id="499" w:name="_Toc279676694"/>
      <w:bookmarkStart w:id="500" w:name="_Toc280020093"/>
      <w:r>
        <w:rPr>
          <w:rFonts w:asciiTheme="minorEastAsia" w:hAnsiTheme="minorEastAsia" w:eastAsiaTheme="minorEastAsia"/>
          <w:lang w:eastAsia="zh-CN"/>
        </w:rPr>
        <w:t>1、对区域自然系统生产力的影响</w:t>
      </w:r>
      <w:bookmarkEnd w:id="499"/>
      <w:bookmarkEnd w:id="500"/>
    </w:p>
    <w:p w14:paraId="0A73547D">
      <w:pPr>
        <w:ind w:firstLine="480"/>
        <w:rPr>
          <w:rFonts w:asciiTheme="minorEastAsia" w:hAnsiTheme="minorEastAsia" w:eastAsiaTheme="minorEastAsia"/>
          <w:lang w:eastAsia="zh-CN"/>
        </w:rPr>
      </w:pPr>
      <w:r>
        <w:rPr>
          <w:rFonts w:asciiTheme="minorEastAsia" w:hAnsiTheme="minorEastAsia" w:eastAsiaTheme="minorEastAsia"/>
          <w:lang w:eastAsia="zh-CN"/>
        </w:rPr>
        <w:t>乌里雅斯太油田在施工期对植被的影响主要是施工期征用土地、临时用地、机械碾压及施工人员践踏等破坏施工区域内的植被，损失一定的生物量，并破坏和影响施工作业区周围环境的植被覆盖率和数量分布。</w:t>
      </w:r>
    </w:p>
    <w:p w14:paraId="091D45AC">
      <w:pPr>
        <w:ind w:firstLine="480"/>
        <w:rPr>
          <w:rFonts w:asciiTheme="minorEastAsia" w:hAnsiTheme="minorEastAsia" w:eastAsiaTheme="minorEastAsia"/>
          <w:lang w:eastAsia="zh-CN"/>
        </w:rPr>
      </w:pPr>
      <w:r>
        <w:rPr>
          <w:rFonts w:asciiTheme="minorEastAsia" w:hAnsiTheme="minorEastAsia" w:eastAsiaTheme="minorEastAsia"/>
          <w:lang w:eastAsia="zh-CN"/>
        </w:rPr>
        <w:t>运行期后，油田周边地区土地利用格局的变化，无疑会改变该区域自然系统的生产力。由于草地自然生态系统面积缩小，导致自然系统生产力降低，但通过</w:t>
      </w:r>
      <w:r>
        <w:rPr>
          <w:rFonts w:hint="eastAsia" w:asciiTheme="minorEastAsia" w:hAnsiTheme="minorEastAsia" w:eastAsiaTheme="minorEastAsia"/>
          <w:lang w:eastAsia="zh-CN"/>
        </w:rPr>
        <w:t>植被恢复</w:t>
      </w:r>
      <w:r>
        <w:rPr>
          <w:rFonts w:asciiTheme="minorEastAsia" w:hAnsiTheme="minorEastAsia" w:eastAsiaTheme="minorEastAsia"/>
          <w:lang w:eastAsia="zh-CN"/>
        </w:rPr>
        <w:t>等措施，同时大力开展水土流失防治与治理等生态工程建设，这些都会增加自然系统的生产力。</w:t>
      </w:r>
    </w:p>
    <w:p w14:paraId="46CB9796">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本工程占地65.87</w:t>
      </w:r>
      <w:r>
        <w:rPr>
          <w:rFonts w:asciiTheme="minorEastAsia" w:hAnsiTheme="minorEastAsia" w:eastAsiaTheme="minorEastAsia"/>
          <w:lang w:eastAsia="zh-CN"/>
        </w:rPr>
        <w:t xml:space="preserve"> </w:t>
      </w:r>
      <w:r>
        <w:rPr>
          <w:rFonts w:hint="eastAsia" w:asciiTheme="minorEastAsia" w:hAnsiTheme="minorEastAsia" w:eastAsiaTheme="minorEastAsia"/>
          <w:lang w:eastAsia="zh-CN"/>
        </w:rPr>
        <w:t>h</w:t>
      </w:r>
      <w:r>
        <w:rPr>
          <w:rFonts w:asciiTheme="minorEastAsia" w:hAnsiTheme="minorEastAsia" w:eastAsiaTheme="minorEastAsia"/>
          <w:lang w:eastAsia="zh-CN"/>
        </w:rPr>
        <w:t>m</w:t>
      </w:r>
      <w:r>
        <w:rPr>
          <w:rFonts w:asciiTheme="minorEastAsia" w:hAnsiTheme="minorEastAsia" w:eastAsiaTheme="minorEastAsia"/>
          <w:vertAlign w:val="superscript"/>
          <w:lang w:eastAsia="zh-CN"/>
        </w:rPr>
        <w:t>2</w:t>
      </w:r>
      <w:r>
        <w:rPr>
          <w:rFonts w:hint="eastAsia" w:asciiTheme="minorEastAsia" w:hAnsiTheme="minorEastAsia" w:eastAsiaTheme="minorEastAsia"/>
          <w:lang w:eastAsia="zh-CN"/>
        </w:rPr>
        <w:t>，其中永久占地15.2 h</w:t>
      </w:r>
      <w:r>
        <w:rPr>
          <w:rFonts w:asciiTheme="minorEastAsia" w:hAnsiTheme="minorEastAsia" w:eastAsiaTheme="minorEastAsia"/>
          <w:lang w:eastAsia="zh-CN"/>
        </w:rPr>
        <w:t>m</w:t>
      </w:r>
      <w:r>
        <w:rPr>
          <w:rFonts w:asciiTheme="minorEastAsia" w:hAnsiTheme="minorEastAsia" w:eastAsiaTheme="minorEastAsia"/>
          <w:vertAlign w:val="superscript"/>
          <w:lang w:eastAsia="zh-CN"/>
        </w:rPr>
        <w:t>2</w:t>
      </w:r>
      <w:r>
        <w:rPr>
          <w:rFonts w:hint="eastAsia" w:asciiTheme="minorEastAsia" w:hAnsiTheme="minorEastAsia" w:eastAsiaTheme="minorEastAsia"/>
          <w:lang w:eastAsia="zh-CN"/>
        </w:rPr>
        <w:t>，临时占地50.67 h</w:t>
      </w:r>
      <w:r>
        <w:rPr>
          <w:rFonts w:asciiTheme="minorEastAsia" w:hAnsiTheme="minorEastAsia" w:eastAsiaTheme="minorEastAsia"/>
          <w:lang w:eastAsia="zh-CN"/>
        </w:rPr>
        <w:t>m</w:t>
      </w:r>
      <w:r>
        <w:rPr>
          <w:rFonts w:asciiTheme="minorEastAsia" w:hAnsiTheme="minorEastAsia" w:eastAsiaTheme="minorEastAsia"/>
          <w:vertAlign w:val="superscript"/>
          <w:lang w:eastAsia="zh-CN"/>
        </w:rPr>
        <w:t>2</w:t>
      </w:r>
      <w:r>
        <w:rPr>
          <w:rFonts w:hint="eastAsia" w:asciiTheme="minorEastAsia" w:hAnsiTheme="minorEastAsia" w:eastAsiaTheme="minorEastAsia"/>
          <w:lang w:eastAsia="zh-CN"/>
        </w:rPr>
        <w:t>。工程永久占地</w:t>
      </w:r>
      <w:r>
        <w:rPr>
          <w:rFonts w:asciiTheme="minorEastAsia" w:hAnsiTheme="minorEastAsia" w:eastAsiaTheme="minorEastAsia"/>
          <w:lang w:eastAsia="zh-CN"/>
        </w:rPr>
        <w:t>将造成</w:t>
      </w:r>
      <w:r>
        <w:rPr>
          <w:rFonts w:hint="eastAsia" w:asciiTheme="minorEastAsia" w:hAnsiTheme="minorEastAsia" w:eastAsiaTheme="minorEastAsia"/>
          <w:lang w:eastAsia="zh-CN"/>
        </w:rPr>
        <w:t>15.2 h</w:t>
      </w:r>
      <w:r>
        <w:rPr>
          <w:rFonts w:asciiTheme="minorEastAsia" w:hAnsiTheme="minorEastAsia" w:eastAsiaTheme="minorEastAsia"/>
          <w:lang w:eastAsia="zh-CN"/>
        </w:rPr>
        <w:t>m</w:t>
      </w:r>
      <w:r>
        <w:rPr>
          <w:rFonts w:asciiTheme="minorEastAsia" w:hAnsiTheme="minorEastAsia" w:eastAsiaTheme="minorEastAsia"/>
          <w:vertAlign w:val="superscript"/>
          <w:lang w:eastAsia="zh-CN"/>
        </w:rPr>
        <w:t>2</w:t>
      </w:r>
      <w:r>
        <w:rPr>
          <w:rFonts w:hint="eastAsia" w:asciiTheme="minorEastAsia" w:hAnsiTheme="minorEastAsia" w:eastAsiaTheme="minorEastAsia"/>
          <w:lang w:eastAsia="zh-CN"/>
        </w:rPr>
        <w:t>的草地损失，根据植物样方调查，评价区域地上鲜生物量按照9.68t/hm</w:t>
      </w:r>
      <w:r>
        <w:rPr>
          <w:rFonts w:hint="eastAsia" w:asciiTheme="minorEastAsia" w:hAnsiTheme="minorEastAsia" w:eastAsiaTheme="minorEastAsia"/>
          <w:vertAlign w:val="superscript"/>
          <w:lang w:eastAsia="zh-CN"/>
        </w:rPr>
        <w:t>2</w:t>
      </w:r>
      <w:r>
        <w:rPr>
          <w:rFonts w:hint="eastAsia" w:asciiTheme="minorEastAsia" w:hAnsiTheme="minorEastAsia" w:eastAsiaTheme="minorEastAsia"/>
          <w:lang w:eastAsia="zh-CN"/>
        </w:rPr>
        <w:t>计算，则工程永久占地损失地上鲜生物量147.14t；工程</w:t>
      </w:r>
      <w:r>
        <w:rPr>
          <w:rFonts w:asciiTheme="minorEastAsia" w:hAnsiTheme="minorEastAsia" w:eastAsiaTheme="minorEastAsia"/>
          <w:lang w:eastAsia="zh-CN"/>
        </w:rPr>
        <w:t>临时占地将干扰和破坏影响范围内的植物生长，影响区域内的植被群落</w:t>
      </w:r>
      <w:r>
        <w:rPr>
          <w:rFonts w:hint="eastAsia" w:asciiTheme="minorEastAsia" w:hAnsiTheme="minorEastAsia" w:eastAsiaTheme="minorEastAsia"/>
          <w:lang w:eastAsia="zh-CN"/>
        </w:rPr>
        <w:t>的高度和密度</w:t>
      </w:r>
      <w:r>
        <w:rPr>
          <w:rFonts w:asciiTheme="minorEastAsia" w:hAnsiTheme="minorEastAsia" w:eastAsiaTheme="minorEastAsia"/>
          <w:lang w:eastAsia="zh-CN"/>
        </w:rPr>
        <w:t>，降低了区域植被覆盖度。</w:t>
      </w:r>
    </w:p>
    <w:p w14:paraId="2FDAD7F7">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为了减少对植被的影响破坏，</w:t>
      </w:r>
      <w:r>
        <w:rPr>
          <w:rFonts w:asciiTheme="minorEastAsia" w:hAnsiTheme="minorEastAsia" w:eastAsiaTheme="minorEastAsia"/>
          <w:lang w:eastAsia="zh-CN"/>
        </w:rPr>
        <w:t>在施工过程中要注意保护植被，减少</w:t>
      </w:r>
      <w:r>
        <w:rPr>
          <w:rFonts w:hint="eastAsia" w:asciiTheme="minorEastAsia" w:hAnsiTheme="minorEastAsia" w:eastAsiaTheme="minorEastAsia"/>
          <w:lang w:eastAsia="zh-CN"/>
        </w:rPr>
        <w:t>占地</w:t>
      </w:r>
      <w:r>
        <w:rPr>
          <w:rFonts w:asciiTheme="minorEastAsia" w:hAnsiTheme="minorEastAsia" w:eastAsiaTheme="minorEastAsia"/>
          <w:lang w:eastAsia="zh-CN"/>
        </w:rPr>
        <w:t>，同时，按照植被补偿的原则，在区域内尽快恢复同样</w:t>
      </w:r>
      <w:r>
        <w:rPr>
          <w:rFonts w:hint="eastAsia" w:asciiTheme="minorEastAsia" w:hAnsiTheme="minorEastAsia" w:eastAsiaTheme="minorEastAsia"/>
          <w:lang w:eastAsia="zh-CN"/>
        </w:rPr>
        <w:t>草地</w:t>
      </w:r>
      <w:r>
        <w:rPr>
          <w:rFonts w:asciiTheme="minorEastAsia" w:hAnsiTheme="minorEastAsia" w:eastAsiaTheme="minorEastAsia"/>
          <w:lang w:eastAsia="zh-CN"/>
        </w:rPr>
        <w:t>面积的植被。</w:t>
      </w:r>
    </w:p>
    <w:p w14:paraId="75292BA9">
      <w:pPr>
        <w:ind w:firstLine="480"/>
        <w:outlineLvl w:val="0"/>
        <w:rPr>
          <w:rFonts w:asciiTheme="minorEastAsia" w:hAnsiTheme="minorEastAsia" w:eastAsiaTheme="minorEastAsia"/>
          <w:lang w:eastAsia="zh-CN"/>
        </w:rPr>
      </w:pPr>
      <w:bookmarkStart w:id="501" w:name="_Toc279676695"/>
      <w:bookmarkStart w:id="502" w:name="_Toc280020094"/>
      <w:bookmarkStart w:id="503" w:name="_Toc279676696"/>
      <w:bookmarkStart w:id="504" w:name="_Toc338663520"/>
      <w:bookmarkStart w:id="505" w:name="_Toc280020095"/>
      <w:r>
        <w:rPr>
          <w:rFonts w:asciiTheme="minorEastAsia" w:hAnsiTheme="minorEastAsia" w:eastAsiaTheme="minorEastAsia"/>
          <w:lang w:eastAsia="zh-CN"/>
        </w:rPr>
        <w:t>2、对生态系统结构的影响</w:t>
      </w:r>
      <w:bookmarkEnd w:id="501"/>
      <w:bookmarkEnd w:id="502"/>
    </w:p>
    <w:p w14:paraId="42F52BB7">
      <w:pPr>
        <w:ind w:firstLine="480"/>
        <w:rPr>
          <w:rFonts w:asciiTheme="minorEastAsia" w:hAnsiTheme="minorEastAsia" w:eastAsiaTheme="minorEastAsia"/>
          <w:lang w:eastAsia="zh-CN"/>
        </w:rPr>
      </w:pPr>
      <w:r>
        <w:rPr>
          <w:rFonts w:asciiTheme="minorEastAsia" w:hAnsiTheme="minorEastAsia" w:eastAsiaTheme="minorEastAsia"/>
          <w:lang w:eastAsia="zh-CN"/>
        </w:rPr>
        <w:t>乌里雅斯太油田建设形成了新的人工生态系统，本项目投入建设后对生态环境的影响主要表现为开挖面未得到完全恢复，导致地表植被覆盖度降低，</w:t>
      </w:r>
      <w:r>
        <w:rPr>
          <w:rFonts w:hint="eastAsia" w:asciiTheme="minorEastAsia" w:hAnsiTheme="minorEastAsia" w:eastAsiaTheme="minorEastAsia"/>
          <w:lang w:eastAsia="zh-CN"/>
        </w:rPr>
        <w:t>植被生物量损失，</w:t>
      </w:r>
      <w:r>
        <w:rPr>
          <w:rFonts w:asciiTheme="minorEastAsia" w:hAnsiTheme="minorEastAsia" w:eastAsiaTheme="minorEastAsia"/>
          <w:lang w:eastAsia="zh-CN"/>
        </w:rPr>
        <w:t>植被结构不稳定。</w:t>
      </w:r>
    </w:p>
    <w:p w14:paraId="49EE07FA">
      <w:pPr>
        <w:ind w:firstLine="480"/>
        <w:rPr>
          <w:rFonts w:asciiTheme="minorEastAsia" w:hAnsiTheme="minorEastAsia" w:eastAsiaTheme="minorEastAsia"/>
          <w:lang w:eastAsia="zh-CN"/>
        </w:rPr>
      </w:pPr>
      <w:r>
        <w:rPr>
          <w:rFonts w:asciiTheme="minorEastAsia" w:hAnsiTheme="minorEastAsia" w:eastAsiaTheme="minorEastAsia"/>
          <w:lang w:eastAsia="zh-CN"/>
        </w:rPr>
        <w:t>恢复植被可以增加油田开采区的草地覆盖率。在种植初期进行土地平整会使土壤疏松，易于发生土壤侵蚀，但这种影响是短暂的，随着人工种植植物的发育生长和植被覆盖度的提高，会使采油区的植物生存环境逐渐变好，形成一个新的生态系统</w:t>
      </w:r>
      <w:r>
        <w:rPr>
          <w:rFonts w:hint="eastAsia" w:asciiTheme="minorEastAsia" w:hAnsiTheme="minorEastAsia" w:eastAsiaTheme="minorEastAsia"/>
          <w:lang w:eastAsia="zh-CN"/>
        </w:rPr>
        <w:t>。</w:t>
      </w:r>
    </w:p>
    <w:p w14:paraId="5DD28571">
      <w:pPr>
        <w:pStyle w:val="4"/>
        <w:rPr>
          <w:lang w:eastAsia="zh-CN"/>
        </w:rPr>
      </w:pPr>
      <w:bookmarkStart w:id="506" w:name="_Toc408414019"/>
      <w:r>
        <w:rPr>
          <w:lang w:eastAsia="zh-CN"/>
        </w:rPr>
        <w:t>9.2.6 事故状态对生态环境影响分析</w:t>
      </w:r>
      <w:bookmarkEnd w:id="503"/>
      <w:bookmarkEnd w:id="504"/>
      <w:bookmarkEnd w:id="505"/>
      <w:bookmarkEnd w:id="506"/>
    </w:p>
    <w:p w14:paraId="1A84FA9F">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（1）</w:t>
      </w:r>
      <w:r>
        <w:rPr>
          <w:rFonts w:asciiTheme="minorEastAsia" w:hAnsiTheme="minorEastAsia" w:eastAsiaTheme="minorEastAsia"/>
          <w:lang w:eastAsia="zh-CN"/>
        </w:rPr>
        <w:t>对土壤环境的影响分析</w:t>
      </w:r>
    </w:p>
    <w:p w14:paraId="787B52FF">
      <w:pPr>
        <w:ind w:firstLine="480"/>
        <w:rPr>
          <w:rFonts w:asciiTheme="minorEastAsia" w:hAnsiTheme="minorEastAsia" w:eastAsiaTheme="minorEastAsia"/>
          <w:lang w:eastAsia="zh-CN"/>
        </w:rPr>
      </w:pPr>
      <w:r>
        <w:rPr>
          <w:rFonts w:asciiTheme="minorEastAsia" w:hAnsiTheme="minorEastAsia" w:eastAsiaTheme="minorEastAsia"/>
          <w:lang w:eastAsia="zh-CN"/>
        </w:rPr>
        <w:t>油田开采事故状态下对土壤的影响主要是出现井喷或者油水集中处理站污水储存设施破裂时原油或含油污水对</w:t>
      </w:r>
      <w:r>
        <w:rPr>
          <w:rFonts w:hint="eastAsia" w:asciiTheme="minorEastAsia" w:hAnsiTheme="minorEastAsia" w:eastAsiaTheme="minorEastAsia"/>
          <w:lang w:eastAsia="zh-CN"/>
        </w:rPr>
        <w:t>植被和</w:t>
      </w:r>
      <w:r>
        <w:rPr>
          <w:rFonts w:asciiTheme="minorEastAsia" w:hAnsiTheme="minorEastAsia" w:eastAsiaTheme="minorEastAsia"/>
          <w:lang w:eastAsia="zh-CN"/>
        </w:rPr>
        <w:t>土壤造成影响。</w:t>
      </w:r>
    </w:p>
    <w:p w14:paraId="5E47264D">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根据乌里雅斯太油田的储层特性，</w:t>
      </w:r>
      <w:r>
        <w:rPr>
          <w:rFonts w:asciiTheme="minorEastAsia" w:hAnsiTheme="minorEastAsia" w:eastAsiaTheme="minorEastAsia"/>
          <w:lang w:eastAsia="zh-CN"/>
        </w:rPr>
        <w:t>油田开发区块地层压力小，钻井过程中井喷事故发生的可能性极小，只有在暴雨、洪水等自然灾害影响下，会携带井场还未回收的泥浆、污油进入周围土壤环境，致使土壤板结，理化性质发生变化，最终影响土壤生产力。由暴雨和洪水等引发事故的可能性存在，所以应加强事故状态下的应急管理，减轻事故对环境造成的影响。</w:t>
      </w:r>
    </w:p>
    <w:p w14:paraId="4C6BD8BA">
      <w:pPr>
        <w:ind w:firstLine="480"/>
        <w:rPr>
          <w:rFonts w:asciiTheme="minorEastAsia" w:hAnsiTheme="minorEastAsia" w:eastAsiaTheme="minorEastAsia"/>
          <w:lang w:eastAsia="zh-CN"/>
        </w:rPr>
      </w:pPr>
      <w:r>
        <w:rPr>
          <w:rFonts w:asciiTheme="minorEastAsia" w:hAnsiTheme="minorEastAsia" w:eastAsiaTheme="minorEastAsia"/>
          <w:lang w:eastAsia="zh-CN"/>
        </w:rPr>
        <w:t>由于人为管理的疏漏或自然因素发生原油或含油污水泄漏，污染土壤。渗入土壤孔隙，使土壤透气性和呼吸作用减弱，从而使土壤质地、结构发生改变，影响到土地功能，进而影响植被的生长，并可影响局部的生态环境。原油本身有粘性，原油泄漏事故造成的影响仅限于直接由原油覆盖地区的且主要对其表层0～20cm土层构成污染。</w:t>
      </w:r>
    </w:p>
    <w:p w14:paraId="746E8B39">
      <w:pPr>
        <w:ind w:firstLine="480"/>
        <w:rPr>
          <w:rFonts w:asciiTheme="minorEastAsia" w:hAnsiTheme="minorEastAsia" w:eastAsiaTheme="minorEastAsia"/>
          <w:lang w:eastAsia="zh-CN"/>
        </w:rPr>
      </w:pPr>
      <w:r>
        <w:rPr>
          <w:rFonts w:asciiTheme="minorEastAsia" w:hAnsiTheme="minorEastAsia" w:eastAsiaTheme="minorEastAsia"/>
          <w:lang w:eastAsia="zh-CN"/>
        </w:rPr>
        <w:t>因此，要严格执行各项规章制度，避免事故的发生，一旦发生，尽快采取措施，及时处理，减少对土壤的影响。</w:t>
      </w:r>
    </w:p>
    <w:p w14:paraId="19E014DE">
      <w:pPr>
        <w:ind w:firstLine="480"/>
        <w:outlineLvl w:val="0"/>
        <w:rPr>
          <w:rFonts w:asciiTheme="minorEastAsia" w:hAnsiTheme="minorEastAsia" w:eastAsiaTheme="minorEastAsia"/>
          <w:lang w:eastAsia="zh-CN"/>
        </w:rPr>
      </w:pPr>
      <w:r>
        <w:rPr>
          <w:rFonts w:hint="eastAsia" w:asciiTheme="minorEastAsia" w:hAnsiTheme="minorEastAsia" w:eastAsiaTheme="minorEastAsia"/>
          <w:lang w:eastAsia="zh-CN"/>
        </w:rPr>
        <w:t>（2）</w:t>
      </w:r>
      <w:r>
        <w:rPr>
          <w:rFonts w:asciiTheme="minorEastAsia" w:hAnsiTheme="minorEastAsia" w:eastAsiaTheme="minorEastAsia"/>
          <w:lang w:eastAsia="zh-CN"/>
        </w:rPr>
        <w:t>对植被的影响</w:t>
      </w:r>
    </w:p>
    <w:p w14:paraId="57D8BD9A">
      <w:pPr>
        <w:ind w:firstLine="480"/>
        <w:rPr>
          <w:rFonts w:asciiTheme="minorEastAsia" w:hAnsiTheme="minorEastAsia" w:eastAsiaTheme="minorEastAsia"/>
          <w:lang w:eastAsia="zh-CN"/>
        </w:rPr>
      </w:pPr>
      <w:r>
        <w:rPr>
          <w:rFonts w:asciiTheme="minorEastAsia" w:hAnsiTheme="minorEastAsia" w:eastAsiaTheme="minorEastAsia"/>
          <w:lang w:eastAsia="zh-CN"/>
        </w:rPr>
        <w:t>油田突发性事故主要为油水集中处理站污水储存设施破裂发生的泄漏事故。如果发生污水储存设施破裂，原油和污水将在地下土层中扩散，致使土壤被污染，生长在其中的植物根系也将被石油类附着，影响根系对水及养分的吸收，土壤污染造成的土壤理化性状变化往往也会影响植物生长，严重时可导致植物死亡。含油污水中油浓度不高时（几十毫克/升）时，对植物的影响不显著，但浓度较高时（几百毫克/升以上）可影响植物生长。</w:t>
      </w:r>
    </w:p>
    <w:p w14:paraId="73CF07D0">
      <w:pPr>
        <w:ind w:firstLine="480"/>
        <w:rPr>
          <w:rFonts w:asciiTheme="minorEastAsia" w:hAnsiTheme="minorEastAsia" w:eastAsiaTheme="minorEastAsia"/>
          <w:lang w:eastAsia="zh-CN"/>
        </w:rPr>
      </w:pPr>
      <w:r>
        <w:rPr>
          <w:rFonts w:asciiTheme="minorEastAsia" w:hAnsiTheme="minorEastAsia" w:eastAsiaTheme="minorEastAsia"/>
          <w:lang w:eastAsia="zh-CN"/>
        </w:rPr>
        <w:t>项目在建设运营过程中应加强管理，经常注意巡线，及时发现并加以处理，则不会对环境造成大的污染。</w:t>
      </w:r>
    </w:p>
    <w:p w14:paraId="743AD024">
      <w:pPr>
        <w:pStyle w:val="3"/>
        <w:rPr>
          <w:lang w:eastAsia="zh-CN"/>
        </w:rPr>
      </w:pPr>
      <w:bookmarkStart w:id="507" w:name="_Toc167013331"/>
      <w:bookmarkStart w:id="508" w:name="_Toc481547616"/>
      <w:bookmarkStart w:id="509" w:name="_Toc338663522"/>
      <w:bookmarkStart w:id="510" w:name="_Toc408414020"/>
      <w:bookmarkStart w:id="511" w:name="_Toc280020173"/>
      <w:bookmarkStart w:id="512" w:name="_Toc182141004"/>
      <w:bookmarkStart w:id="513" w:name="_Toc279676774"/>
      <w:r>
        <w:rPr>
          <w:lang w:eastAsia="zh-CN"/>
        </w:rPr>
        <w:t>9.3生态环境保护措施</w:t>
      </w:r>
      <w:bookmarkEnd w:id="507"/>
      <w:bookmarkEnd w:id="508"/>
      <w:bookmarkEnd w:id="509"/>
      <w:bookmarkEnd w:id="510"/>
      <w:bookmarkEnd w:id="511"/>
      <w:bookmarkEnd w:id="512"/>
      <w:bookmarkEnd w:id="513"/>
    </w:p>
    <w:p w14:paraId="3C3D878D">
      <w:pPr>
        <w:pStyle w:val="4"/>
        <w:rPr>
          <w:lang w:eastAsia="zh-CN"/>
        </w:rPr>
      </w:pPr>
      <w:bookmarkStart w:id="514" w:name="_Toc408414021"/>
      <w:bookmarkStart w:id="515" w:name="_Toc338663523"/>
      <w:bookmarkStart w:id="516" w:name="_Toc279676775"/>
      <w:bookmarkStart w:id="517" w:name="_Toc182141005"/>
      <w:bookmarkStart w:id="518" w:name="_Toc280020174"/>
      <w:r>
        <w:rPr>
          <w:lang w:eastAsia="zh-CN"/>
        </w:rPr>
        <w:t>9.3.1</w:t>
      </w:r>
      <w:bookmarkStart w:id="519" w:name="_Toc166837901"/>
      <w:r>
        <w:rPr>
          <w:lang w:eastAsia="zh-CN"/>
        </w:rPr>
        <w:t>施工期生态保护措施</w:t>
      </w:r>
      <w:bookmarkEnd w:id="514"/>
      <w:bookmarkEnd w:id="515"/>
      <w:bookmarkEnd w:id="516"/>
      <w:bookmarkEnd w:id="517"/>
      <w:bookmarkEnd w:id="518"/>
      <w:bookmarkEnd w:id="519"/>
    </w:p>
    <w:p w14:paraId="442BAD19">
      <w:pPr>
        <w:ind w:firstLine="480"/>
        <w:rPr>
          <w:rFonts w:asciiTheme="minorEastAsia" w:hAnsiTheme="minorEastAsia" w:eastAsiaTheme="minorEastAsia"/>
          <w:lang w:eastAsia="zh-CN"/>
        </w:rPr>
      </w:pPr>
      <w:r>
        <w:rPr>
          <w:snapToGrid w:val="0"/>
          <w:lang w:eastAsia="zh-CN"/>
        </w:rPr>
        <w:t>油田所在地属于内蒙古高原典型草原生物多样性保护生态功能区</w:t>
      </w:r>
      <w:r>
        <w:rPr>
          <w:rFonts w:hint="eastAsia"/>
          <w:snapToGrid w:val="0"/>
          <w:lang w:eastAsia="zh-CN"/>
        </w:rPr>
        <w:t>，油田在开发建设过程中，要加强合理布局井场、井位、集输管线等，减少占地，对临时占地要及时覆土恢复植被，确保油田的开发建设对生态环境的影响降到最小。</w:t>
      </w:r>
    </w:p>
    <w:p w14:paraId="58CB4C22">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（1）合理布置油水井及集输管线</w:t>
      </w:r>
      <w:r>
        <w:rPr>
          <w:rFonts w:asciiTheme="minorEastAsia" w:hAnsiTheme="minorEastAsia" w:eastAsiaTheme="minorEastAsia"/>
          <w:lang w:eastAsia="zh-CN"/>
        </w:rPr>
        <w:t>，</w:t>
      </w:r>
      <w:r>
        <w:rPr>
          <w:rFonts w:hint="eastAsia" w:asciiTheme="minorEastAsia" w:hAnsiTheme="minorEastAsia" w:eastAsiaTheme="minorEastAsia"/>
          <w:lang w:eastAsia="zh-CN"/>
        </w:rPr>
        <w:t>油田在开发建设过程中在确保油水井及集输管线正常安全的生产情况下，要尽量减少占地，且尽</w:t>
      </w:r>
      <w:r>
        <w:rPr>
          <w:rFonts w:asciiTheme="minorEastAsia" w:hAnsiTheme="minorEastAsia" w:eastAsiaTheme="minorEastAsia"/>
          <w:lang w:eastAsia="zh-CN"/>
        </w:rPr>
        <w:t>可能避开优质牧草地等，最大限度地远离牧户。</w:t>
      </w:r>
    </w:p>
    <w:p w14:paraId="2CB64104">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（2）在</w:t>
      </w:r>
      <w:r>
        <w:rPr>
          <w:rFonts w:asciiTheme="minorEastAsia" w:hAnsiTheme="minorEastAsia" w:eastAsiaTheme="minorEastAsia"/>
          <w:lang w:eastAsia="zh-CN"/>
        </w:rPr>
        <w:t>施工过程中</w:t>
      </w:r>
      <w:r>
        <w:rPr>
          <w:rFonts w:hint="eastAsia" w:asciiTheme="minorEastAsia" w:hAnsiTheme="minorEastAsia" w:eastAsiaTheme="minorEastAsia"/>
          <w:lang w:eastAsia="zh-CN"/>
        </w:rPr>
        <w:t>要将表土单独堆放，妥善管理，</w:t>
      </w:r>
      <w:r>
        <w:rPr>
          <w:rFonts w:asciiTheme="minorEastAsia" w:hAnsiTheme="minorEastAsia" w:eastAsiaTheme="minorEastAsia"/>
          <w:lang w:eastAsia="zh-CN"/>
        </w:rPr>
        <w:t>施工结束后</w:t>
      </w:r>
      <w:r>
        <w:rPr>
          <w:rFonts w:hint="eastAsia" w:asciiTheme="minorEastAsia" w:hAnsiTheme="minorEastAsia" w:eastAsiaTheme="minorEastAsia"/>
          <w:lang w:eastAsia="zh-CN"/>
        </w:rPr>
        <w:t>及时对开挖面覆土</w:t>
      </w:r>
      <w:r>
        <w:rPr>
          <w:rFonts w:asciiTheme="minorEastAsia" w:hAnsiTheme="minorEastAsia" w:eastAsiaTheme="minorEastAsia"/>
          <w:lang w:eastAsia="zh-CN"/>
        </w:rPr>
        <w:t>恢复植被。在管线施工时，要做到分层开挖，分层回填。对管沟开挖时剥离的表土在区块内单独堆放。待管线开挖结束后，将剥离的表土回填到开挖处并恢复植被。在植被恢复初期，加强人工洒水等抚育措施，确保植被恢复效果。</w:t>
      </w:r>
    </w:p>
    <w:p w14:paraId="56521418">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（3）严格规范施工线路及施工场地，</w:t>
      </w:r>
      <w:r>
        <w:rPr>
          <w:rFonts w:asciiTheme="minorEastAsia" w:hAnsiTheme="minorEastAsia" w:eastAsiaTheme="minorEastAsia"/>
          <w:lang w:eastAsia="zh-CN"/>
        </w:rPr>
        <w:t>规范运输线路，严格控制施工车辆、机械及施工人员活动范围，尽可能缩小施工作业带宽度，以减少对地表的碾压；在施工道路两侧及施工作业带周围设置网围栏，以确定行车路线及施工作业带，在施工作业带以外，禁止随意破坏植被，禁止破坏动物巢穴、捡拾鸟蛋等。</w:t>
      </w:r>
    </w:p>
    <w:p w14:paraId="74006857">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（4）</w:t>
      </w:r>
      <w:r>
        <w:rPr>
          <w:rFonts w:asciiTheme="minorEastAsia" w:hAnsiTheme="minorEastAsia" w:eastAsiaTheme="minorEastAsia"/>
          <w:lang w:eastAsia="zh-CN"/>
        </w:rPr>
        <w:t>钻井过程中严格遵守钻井生产环境保护管理规定，钻井污水、废弃泥浆进泥浆池，防止污水、污油、泥浆的随意乱排乱放。</w:t>
      </w:r>
    </w:p>
    <w:p w14:paraId="4F5310A2">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（5）对临时占地</w:t>
      </w:r>
      <w:r>
        <w:rPr>
          <w:rFonts w:asciiTheme="minorEastAsia" w:hAnsiTheme="minorEastAsia" w:eastAsiaTheme="minorEastAsia"/>
          <w:lang w:eastAsia="zh-CN"/>
        </w:rPr>
        <w:t>要及时修整，恢复原貌，植被（包括自然的、人工的）破坏应在施工结束后的当年或来年予以恢复。</w:t>
      </w:r>
    </w:p>
    <w:p w14:paraId="6B0EF2E8">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（6）</w:t>
      </w:r>
      <w:r>
        <w:rPr>
          <w:rFonts w:asciiTheme="minorEastAsia" w:hAnsiTheme="minorEastAsia" w:eastAsiaTheme="minorEastAsia"/>
          <w:lang w:eastAsia="zh-CN"/>
        </w:rPr>
        <w:t>加强施工期管理，妥善处理处置施工期间产生的各类污染物，防止其对生态环境造成污染影响。</w:t>
      </w:r>
    </w:p>
    <w:p w14:paraId="226BE147">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（7）</w:t>
      </w:r>
      <w:r>
        <w:rPr>
          <w:rFonts w:asciiTheme="minorEastAsia" w:hAnsiTheme="minorEastAsia" w:eastAsiaTheme="minorEastAsia"/>
          <w:lang w:eastAsia="zh-CN"/>
        </w:rPr>
        <w:t>对占用的</w:t>
      </w:r>
      <w:r>
        <w:rPr>
          <w:rFonts w:hint="eastAsia" w:asciiTheme="minorEastAsia" w:hAnsiTheme="minorEastAsia" w:eastAsiaTheme="minorEastAsia"/>
          <w:lang w:eastAsia="zh-CN"/>
        </w:rPr>
        <w:t>草地</w:t>
      </w:r>
      <w:r>
        <w:rPr>
          <w:rFonts w:asciiTheme="minorEastAsia" w:hAnsiTheme="minorEastAsia" w:eastAsiaTheme="minorEastAsia"/>
          <w:lang w:eastAsia="zh-CN"/>
        </w:rPr>
        <w:t>根据相关规定，进行生态补偿措施。</w:t>
      </w:r>
    </w:p>
    <w:p w14:paraId="1A3E156F">
      <w:pPr>
        <w:pStyle w:val="4"/>
        <w:rPr>
          <w:lang w:eastAsia="zh-CN"/>
        </w:rPr>
      </w:pPr>
      <w:bookmarkStart w:id="520" w:name="_Toc338663524"/>
      <w:bookmarkStart w:id="521" w:name="_Toc279676776"/>
      <w:bookmarkStart w:id="522" w:name="_Toc408414022"/>
      <w:bookmarkStart w:id="523" w:name="_Toc280020175"/>
      <w:bookmarkStart w:id="524" w:name="_Toc182141006"/>
      <w:r>
        <w:rPr>
          <w:lang w:eastAsia="zh-CN"/>
        </w:rPr>
        <w:t>9.3.2</w:t>
      </w:r>
      <w:bookmarkStart w:id="525" w:name="_Toc166837902"/>
      <w:r>
        <w:rPr>
          <w:lang w:eastAsia="zh-CN"/>
        </w:rPr>
        <w:t>运行期生态保护措施</w:t>
      </w:r>
      <w:bookmarkEnd w:id="520"/>
      <w:bookmarkEnd w:id="521"/>
      <w:bookmarkEnd w:id="522"/>
      <w:bookmarkEnd w:id="523"/>
      <w:bookmarkEnd w:id="524"/>
      <w:bookmarkEnd w:id="525"/>
    </w:p>
    <w:p w14:paraId="7D3114B4">
      <w:pPr>
        <w:ind w:firstLine="480"/>
        <w:rPr>
          <w:rFonts w:asciiTheme="minorEastAsia" w:hAnsiTheme="minorEastAsia" w:eastAsiaTheme="minorEastAsia"/>
          <w:lang w:eastAsia="zh-CN"/>
        </w:rPr>
      </w:pPr>
      <w:r>
        <w:rPr>
          <w:rFonts w:asciiTheme="minorEastAsia" w:hAnsiTheme="minorEastAsia" w:eastAsiaTheme="minorEastAsia"/>
          <w:lang w:eastAsia="zh-CN"/>
        </w:rPr>
        <w:t>乌里雅斯太油田运行期除站场正常生产以及集输管线维护外，对周边的生态环境基本无影响。因此，运行期的生态保护应注重维护，并适当加强生态修复。</w:t>
      </w:r>
    </w:p>
    <w:p w14:paraId="664D6E9C">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（1）</w:t>
      </w:r>
      <w:r>
        <w:rPr>
          <w:rFonts w:asciiTheme="minorEastAsia" w:hAnsiTheme="minorEastAsia" w:eastAsiaTheme="minorEastAsia"/>
          <w:lang w:eastAsia="zh-CN"/>
        </w:rPr>
        <w:t>加强各种防护工程的维护、保养与管理，对不足部分不断加强与完善。</w:t>
      </w:r>
    </w:p>
    <w:p w14:paraId="50B85927">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（2）</w:t>
      </w:r>
      <w:r>
        <w:rPr>
          <w:rFonts w:asciiTheme="minorEastAsia" w:hAnsiTheme="minorEastAsia" w:eastAsiaTheme="minorEastAsia"/>
          <w:lang w:eastAsia="zh-CN"/>
        </w:rPr>
        <w:t>对井场内的井排路、通井路等联络道路进行了标识规定，规范行车路线，对井场道路以外区域的草原植被不得随意碾压破坏。</w:t>
      </w:r>
    </w:p>
    <w:p w14:paraId="5001472E">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（3）</w:t>
      </w:r>
      <w:r>
        <w:rPr>
          <w:rFonts w:asciiTheme="minorEastAsia" w:hAnsiTheme="minorEastAsia" w:eastAsiaTheme="minorEastAsia"/>
          <w:lang w:eastAsia="zh-CN"/>
        </w:rPr>
        <w:t>加强油田职工及项目开发区块周围牧民的宣传教育，避免新种植被在恢复期间遭到破坏。</w:t>
      </w:r>
    </w:p>
    <w:p w14:paraId="27E6952D">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（4）</w:t>
      </w:r>
      <w:r>
        <w:rPr>
          <w:rFonts w:asciiTheme="minorEastAsia" w:hAnsiTheme="minorEastAsia" w:eastAsiaTheme="minorEastAsia"/>
          <w:lang w:eastAsia="zh-CN"/>
        </w:rPr>
        <w:t>对于作业过程中产生的各类废物和落地原油及时进行妥善的处置和处理，不得长期在环境中堆存，避免对生态环境造成影响。</w:t>
      </w:r>
    </w:p>
    <w:p w14:paraId="6B9051E6">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（5）</w:t>
      </w:r>
      <w:r>
        <w:rPr>
          <w:rFonts w:asciiTheme="minorEastAsia" w:hAnsiTheme="minorEastAsia" w:eastAsiaTheme="minorEastAsia"/>
          <w:lang w:eastAsia="zh-CN"/>
        </w:rPr>
        <w:t>对油田各区域进行适当的绿化。对施工期形成的开挖面进行平整覆土恢复植被。植物种的选择要坚持适地、适草的原则。在绿化初期加强人工抚育措施。</w:t>
      </w:r>
    </w:p>
    <w:p w14:paraId="7B5C561D">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（6）</w:t>
      </w:r>
      <w:r>
        <w:rPr>
          <w:rFonts w:asciiTheme="minorEastAsia" w:hAnsiTheme="minorEastAsia" w:eastAsiaTheme="minorEastAsia"/>
          <w:lang w:eastAsia="zh-CN"/>
        </w:rPr>
        <w:t>本工程事故条件下将对生态环境造成较大的影响，因此须对事故风险严加防范和控制。加强日常生产监督管理和安全运行检查工作，制定安全生产操作规程，加强职工安全意识教育和安全生产技术培训。一旦发生事故应及时采取相应的补救措施，尽量减小影响和损失。</w:t>
      </w:r>
    </w:p>
    <w:p w14:paraId="06C26509">
      <w:pPr>
        <w:pStyle w:val="4"/>
        <w:rPr>
          <w:lang w:eastAsia="zh-CN"/>
        </w:rPr>
      </w:pPr>
      <w:bookmarkStart w:id="526" w:name="_Toc338663525"/>
      <w:bookmarkStart w:id="527" w:name="_Toc408414023"/>
      <w:r>
        <w:rPr>
          <w:lang w:eastAsia="zh-CN"/>
        </w:rPr>
        <w:t>9.3.3</w:t>
      </w:r>
      <w:bookmarkEnd w:id="526"/>
      <w:r>
        <w:rPr>
          <w:rFonts w:hint="eastAsia"/>
          <w:lang w:eastAsia="zh-CN"/>
        </w:rPr>
        <w:t>生态恢复措施</w:t>
      </w:r>
      <w:bookmarkEnd w:id="527"/>
    </w:p>
    <w:p w14:paraId="00400C4E">
      <w:pPr>
        <w:ind w:firstLine="480"/>
        <w:rPr>
          <w:rFonts w:asciiTheme="minorEastAsia" w:hAnsiTheme="minorEastAsia" w:eastAsiaTheme="minorEastAsia"/>
          <w:lang w:eastAsia="zh-CN"/>
        </w:rPr>
      </w:pPr>
      <w:r>
        <w:rPr>
          <w:rFonts w:asciiTheme="minorEastAsia" w:hAnsiTheme="minorEastAsia" w:eastAsiaTheme="minorEastAsia"/>
          <w:lang w:eastAsia="zh-CN"/>
        </w:rPr>
        <w:t>乌里雅斯太油田</w:t>
      </w:r>
      <w:r>
        <w:rPr>
          <w:rFonts w:hint="eastAsia" w:asciiTheme="minorEastAsia" w:hAnsiTheme="minorEastAsia" w:eastAsiaTheme="minorEastAsia"/>
          <w:lang w:eastAsia="zh-CN"/>
        </w:rPr>
        <w:t>的开发建设影响</w:t>
      </w:r>
      <w:r>
        <w:rPr>
          <w:rFonts w:asciiTheme="minorEastAsia" w:hAnsiTheme="minorEastAsia" w:eastAsiaTheme="minorEastAsia"/>
          <w:lang w:eastAsia="zh-CN"/>
        </w:rPr>
        <w:t>的</w:t>
      </w:r>
      <w:r>
        <w:rPr>
          <w:rFonts w:hint="eastAsia" w:asciiTheme="minorEastAsia" w:hAnsiTheme="minorEastAsia" w:eastAsiaTheme="minorEastAsia"/>
          <w:lang w:eastAsia="zh-CN"/>
        </w:rPr>
        <w:t>主要是</w:t>
      </w:r>
      <w:r>
        <w:rPr>
          <w:rFonts w:asciiTheme="minorEastAsia" w:hAnsiTheme="minorEastAsia" w:eastAsiaTheme="minorEastAsia"/>
          <w:lang w:eastAsia="zh-CN"/>
        </w:rPr>
        <w:t>天然草地。</w:t>
      </w:r>
      <w:r>
        <w:rPr>
          <w:rFonts w:hint="eastAsia" w:asciiTheme="minorEastAsia" w:hAnsiTheme="minorEastAsia" w:eastAsiaTheme="minorEastAsia"/>
          <w:lang w:eastAsia="zh-CN"/>
        </w:rPr>
        <w:t>本工程占地65.87</w:t>
      </w:r>
      <w:r>
        <w:rPr>
          <w:rFonts w:asciiTheme="minorEastAsia" w:hAnsiTheme="minorEastAsia" w:eastAsiaTheme="minorEastAsia"/>
          <w:lang w:eastAsia="zh-CN"/>
        </w:rPr>
        <w:t xml:space="preserve"> hm</w:t>
      </w:r>
      <w:r>
        <w:rPr>
          <w:rFonts w:asciiTheme="minorEastAsia" w:hAnsiTheme="minorEastAsia" w:eastAsiaTheme="minorEastAsia"/>
          <w:vertAlign w:val="superscript"/>
          <w:lang w:eastAsia="zh-CN"/>
        </w:rPr>
        <w:t>2</w:t>
      </w:r>
      <w:r>
        <w:rPr>
          <w:rFonts w:hint="eastAsia" w:asciiTheme="minorEastAsia" w:hAnsiTheme="minorEastAsia" w:eastAsiaTheme="minorEastAsia"/>
          <w:lang w:eastAsia="zh-CN"/>
        </w:rPr>
        <w:t>，其中永久占地15.2</w:t>
      </w:r>
      <w:r>
        <w:rPr>
          <w:rFonts w:asciiTheme="minorEastAsia" w:hAnsiTheme="minorEastAsia" w:eastAsiaTheme="minorEastAsia"/>
          <w:lang w:eastAsia="zh-CN"/>
        </w:rPr>
        <w:t>hm</w:t>
      </w:r>
      <w:r>
        <w:rPr>
          <w:rFonts w:asciiTheme="minorEastAsia" w:hAnsiTheme="minorEastAsia" w:eastAsiaTheme="minorEastAsia"/>
          <w:vertAlign w:val="superscript"/>
          <w:lang w:eastAsia="zh-CN"/>
        </w:rPr>
        <w:t>2</w:t>
      </w:r>
      <w:r>
        <w:rPr>
          <w:rFonts w:hint="eastAsia" w:asciiTheme="minorEastAsia" w:hAnsiTheme="minorEastAsia" w:eastAsiaTheme="minorEastAsia"/>
          <w:lang w:eastAsia="zh-CN"/>
        </w:rPr>
        <w:t>，临时占地50.67</w:t>
      </w:r>
      <w:r>
        <w:rPr>
          <w:rFonts w:asciiTheme="minorEastAsia" w:hAnsiTheme="minorEastAsia" w:eastAsiaTheme="minorEastAsia"/>
          <w:lang w:eastAsia="zh-CN"/>
        </w:rPr>
        <w:t>hm</w:t>
      </w:r>
      <w:r>
        <w:rPr>
          <w:rFonts w:asciiTheme="minorEastAsia" w:hAnsiTheme="minorEastAsia" w:eastAsiaTheme="minorEastAsia"/>
          <w:vertAlign w:val="superscript"/>
          <w:lang w:eastAsia="zh-CN"/>
        </w:rPr>
        <w:t>2</w:t>
      </w:r>
      <w:r>
        <w:rPr>
          <w:rFonts w:hint="eastAsia" w:asciiTheme="minorEastAsia" w:hAnsiTheme="minorEastAsia" w:eastAsiaTheme="minorEastAsia"/>
          <w:lang w:eastAsia="zh-CN"/>
        </w:rPr>
        <w:t>。主要是对临时占地采取植被恢复措施，在植被恢复是要选用乡土物种，禁止引入外来物种，确保生物安全。工程临时占地主要</w:t>
      </w:r>
      <w:r>
        <w:rPr>
          <w:rFonts w:asciiTheme="minorEastAsia" w:hAnsiTheme="minorEastAsia" w:eastAsiaTheme="minorEastAsia"/>
          <w:lang w:eastAsia="zh-CN"/>
        </w:rPr>
        <w:t>包括泥浆池</w:t>
      </w:r>
      <w:r>
        <w:rPr>
          <w:rFonts w:hint="eastAsia" w:asciiTheme="minorEastAsia" w:hAnsiTheme="minorEastAsia" w:eastAsiaTheme="minorEastAsia"/>
          <w:lang w:eastAsia="zh-CN"/>
        </w:rPr>
        <w:t>0.45</w:t>
      </w:r>
      <w:r>
        <w:rPr>
          <w:rFonts w:asciiTheme="minorEastAsia" w:hAnsiTheme="minorEastAsia" w:eastAsiaTheme="minorEastAsia"/>
          <w:lang w:eastAsia="zh-CN"/>
        </w:rPr>
        <w:t>hm</w:t>
      </w:r>
      <w:r>
        <w:rPr>
          <w:rFonts w:asciiTheme="minorEastAsia" w:hAnsiTheme="minorEastAsia" w:eastAsiaTheme="minorEastAsia"/>
          <w:vertAlign w:val="superscript"/>
          <w:lang w:eastAsia="zh-CN"/>
        </w:rPr>
        <w:t>2</w:t>
      </w:r>
      <w:r>
        <w:rPr>
          <w:rFonts w:asciiTheme="minorEastAsia" w:hAnsiTheme="minorEastAsia" w:eastAsiaTheme="minorEastAsia"/>
          <w:lang w:eastAsia="zh-CN"/>
        </w:rPr>
        <w:t>、</w:t>
      </w:r>
      <w:r>
        <w:rPr>
          <w:rFonts w:hint="eastAsia" w:asciiTheme="minorEastAsia" w:hAnsiTheme="minorEastAsia" w:eastAsiaTheme="minorEastAsia"/>
          <w:lang w:eastAsia="zh-CN"/>
        </w:rPr>
        <w:t>井区施工场地29.55</w:t>
      </w:r>
      <w:r>
        <w:rPr>
          <w:rFonts w:asciiTheme="minorEastAsia" w:hAnsiTheme="minorEastAsia" w:eastAsiaTheme="minorEastAsia"/>
          <w:lang w:eastAsia="zh-CN"/>
        </w:rPr>
        <w:t>hm</w:t>
      </w:r>
      <w:r>
        <w:rPr>
          <w:rFonts w:asciiTheme="minorEastAsia" w:hAnsiTheme="minorEastAsia" w:eastAsiaTheme="minorEastAsia"/>
          <w:vertAlign w:val="superscript"/>
          <w:lang w:eastAsia="zh-CN"/>
        </w:rPr>
        <w:t>2</w:t>
      </w:r>
      <w:r>
        <w:rPr>
          <w:rFonts w:hint="eastAsia" w:asciiTheme="minorEastAsia" w:hAnsiTheme="minorEastAsia" w:eastAsiaTheme="minorEastAsia"/>
          <w:lang w:eastAsia="zh-CN"/>
        </w:rPr>
        <w:t>、油气</w:t>
      </w:r>
      <w:r>
        <w:rPr>
          <w:rFonts w:asciiTheme="minorEastAsia" w:hAnsiTheme="minorEastAsia" w:eastAsiaTheme="minorEastAsia"/>
          <w:lang w:eastAsia="zh-CN"/>
        </w:rPr>
        <w:t>集</w:t>
      </w:r>
      <w:r>
        <w:rPr>
          <w:rFonts w:hint="eastAsia" w:asciiTheme="minorEastAsia" w:hAnsiTheme="minorEastAsia" w:eastAsiaTheme="minorEastAsia"/>
          <w:lang w:eastAsia="zh-CN"/>
        </w:rPr>
        <w:t>输</w:t>
      </w:r>
      <w:r>
        <w:rPr>
          <w:rFonts w:asciiTheme="minorEastAsia" w:hAnsiTheme="minorEastAsia" w:eastAsiaTheme="minorEastAsia"/>
          <w:lang w:eastAsia="zh-CN"/>
        </w:rPr>
        <w:t>管线</w:t>
      </w:r>
      <w:r>
        <w:rPr>
          <w:rFonts w:hint="eastAsia" w:asciiTheme="minorEastAsia" w:hAnsiTheme="minorEastAsia" w:eastAsiaTheme="minorEastAsia"/>
          <w:lang w:eastAsia="zh-CN"/>
        </w:rPr>
        <w:t>4.48</w:t>
      </w:r>
      <w:r>
        <w:rPr>
          <w:rFonts w:asciiTheme="minorEastAsia" w:hAnsiTheme="minorEastAsia" w:eastAsiaTheme="minorEastAsia"/>
          <w:lang w:eastAsia="zh-CN"/>
        </w:rPr>
        <w:t>hm</w:t>
      </w:r>
      <w:r>
        <w:rPr>
          <w:rFonts w:asciiTheme="minorEastAsia" w:hAnsiTheme="minorEastAsia" w:eastAsiaTheme="minorEastAsia"/>
          <w:vertAlign w:val="superscript"/>
          <w:lang w:eastAsia="zh-CN"/>
        </w:rPr>
        <w:t>2</w:t>
      </w:r>
      <w:r>
        <w:rPr>
          <w:rFonts w:asciiTheme="minorEastAsia" w:hAnsiTheme="minorEastAsia" w:eastAsiaTheme="minorEastAsia"/>
          <w:lang w:eastAsia="zh-CN"/>
        </w:rPr>
        <w:t>、注水管线</w:t>
      </w:r>
      <w:r>
        <w:rPr>
          <w:rFonts w:hint="eastAsia" w:asciiTheme="minorEastAsia" w:hAnsiTheme="minorEastAsia" w:eastAsiaTheme="minorEastAsia"/>
          <w:lang w:eastAsia="zh-CN"/>
        </w:rPr>
        <w:t>0.84</w:t>
      </w:r>
      <w:r>
        <w:rPr>
          <w:rFonts w:asciiTheme="minorEastAsia" w:hAnsiTheme="minorEastAsia" w:eastAsiaTheme="minorEastAsia"/>
          <w:lang w:eastAsia="zh-CN"/>
        </w:rPr>
        <w:t>hm</w:t>
      </w:r>
      <w:r>
        <w:rPr>
          <w:rFonts w:asciiTheme="minorEastAsia" w:hAnsiTheme="minorEastAsia" w:eastAsiaTheme="minorEastAsia"/>
          <w:vertAlign w:val="superscript"/>
          <w:lang w:eastAsia="zh-CN"/>
        </w:rPr>
        <w:t>2</w:t>
      </w:r>
      <w:r>
        <w:rPr>
          <w:rFonts w:asciiTheme="minorEastAsia" w:hAnsiTheme="minorEastAsia" w:eastAsiaTheme="minorEastAsia"/>
          <w:lang w:eastAsia="zh-CN"/>
        </w:rPr>
        <w:t>、</w:t>
      </w:r>
      <w:r>
        <w:rPr>
          <w:rFonts w:hint="eastAsia" w:asciiTheme="minorEastAsia" w:hAnsiTheme="minorEastAsia" w:eastAsiaTheme="minorEastAsia"/>
          <w:lang w:eastAsia="zh-CN"/>
        </w:rPr>
        <w:t>扩建</w:t>
      </w:r>
      <w:r>
        <w:rPr>
          <w:rFonts w:asciiTheme="minorEastAsia" w:hAnsiTheme="minorEastAsia" w:eastAsiaTheme="minorEastAsia"/>
          <w:lang w:eastAsia="zh-CN"/>
        </w:rPr>
        <w:t>联合站</w:t>
      </w:r>
      <w:r>
        <w:rPr>
          <w:rFonts w:hint="eastAsia" w:asciiTheme="minorEastAsia" w:hAnsiTheme="minorEastAsia" w:eastAsiaTheme="minorEastAsia"/>
          <w:lang w:eastAsia="zh-CN"/>
        </w:rPr>
        <w:t>临时施工场地13.14</w:t>
      </w:r>
      <w:r>
        <w:rPr>
          <w:rFonts w:asciiTheme="minorEastAsia" w:hAnsiTheme="minorEastAsia" w:eastAsiaTheme="minorEastAsia"/>
          <w:lang w:eastAsia="zh-CN"/>
        </w:rPr>
        <w:t>hm</w:t>
      </w:r>
      <w:r>
        <w:rPr>
          <w:rFonts w:asciiTheme="minorEastAsia" w:hAnsiTheme="minorEastAsia" w:eastAsiaTheme="minorEastAsia"/>
          <w:vertAlign w:val="superscript"/>
          <w:lang w:eastAsia="zh-CN"/>
        </w:rPr>
        <w:t>2</w:t>
      </w:r>
      <w:r>
        <w:rPr>
          <w:rFonts w:asciiTheme="minorEastAsia" w:hAnsiTheme="minorEastAsia" w:eastAsiaTheme="minorEastAsia"/>
          <w:lang w:eastAsia="zh-CN"/>
        </w:rPr>
        <w:t>，</w:t>
      </w:r>
      <w:r>
        <w:rPr>
          <w:rFonts w:hint="eastAsia" w:asciiTheme="minorEastAsia" w:hAnsiTheme="minorEastAsia" w:eastAsiaTheme="minorEastAsia"/>
          <w:lang w:eastAsia="zh-CN"/>
        </w:rPr>
        <w:t>废液池、生活污水设施临时施工场地0.094</w:t>
      </w:r>
      <w:r>
        <w:rPr>
          <w:rFonts w:asciiTheme="minorEastAsia" w:hAnsiTheme="minorEastAsia" w:eastAsiaTheme="minorEastAsia"/>
          <w:lang w:eastAsia="zh-CN"/>
        </w:rPr>
        <w:t>hm</w:t>
      </w:r>
      <w:r>
        <w:rPr>
          <w:rFonts w:asciiTheme="minorEastAsia" w:hAnsiTheme="minorEastAsia" w:eastAsiaTheme="minorEastAsia"/>
          <w:vertAlign w:val="superscript"/>
          <w:lang w:eastAsia="zh-CN"/>
        </w:rPr>
        <w:t>2</w:t>
      </w:r>
      <w:r>
        <w:rPr>
          <w:rFonts w:hint="eastAsia" w:asciiTheme="minorEastAsia" w:hAnsiTheme="minorEastAsia" w:eastAsiaTheme="minorEastAsia"/>
          <w:lang w:eastAsia="zh-CN"/>
        </w:rPr>
        <w:t>，植被恢复</w:t>
      </w:r>
      <w:r>
        <w:rPr>
          <w:rFonts w:asciiTheme="minorEastAsia" w:hAnsiTheme="minorEastAsia" w:eastAsiaTheme="minorEastAsia"/>
          <w:lang w:eastAsia="zh-CN"/>
        </w:rPr>
        <w:t>总土地面积为</w:t>
      </w:r>
      <w:r>
        <w:rPr>
          <w:rFonts w:hint="eastAsia" w:asciiTheme="minorEastAsia" w:hAnsiTheme="minorEastAsia" w:eastAsiaTheme="minorEastAsia"/>
          <w:lang w:eastAsia="zh-CN"/>
        </w:rPr>
        <w:t>50.67</w:t>
      </w:r>
      <w:r>
        <w:rPr>
          <w:rFonts w:asciiTheme="minorEastAsia" w:hAnsiTheme="minorEastAsia" w:eastAsiaTheme="minorEastAsia"/>
          <w:lang w:eastAsia="zh-CN"/>
        </w:rPr>
        <w:t xml:space="preserve"> hm</w:t>
      </w:r>
      <w:r>
        <w:rPr>
          <w:rFonts w:asciiTheme="minorEastAsia" w:hAnsiTheme="minorEastAsia" w:eastAsiaTheme="minorEastAsia"/>
          <w:vertAlign w:val="superscript"/>
          <w:lang w:eastAsia="zh-CN"/>
        </w:rPr>
        <w:t>2</w:t>
      </w:r>
      <w:r>
        <w:rPr>
          <w:rFonts w:asciiTheme="minorEastAsia" w:hAnsiTheme="minorEastAsia" w:eastAsiaTheme="minorEastAsia"/>
          <w:lang w:eastAsia="zh-CN"/>
        </w:rPr>
        <w:t>，详见表9.3-1。</w:t>
      </w:r>
    </w:p>
    <w:p w14:paraId="22EDFD57">
      <w:pPr>
        <w:ind w:firstLine="480"/>
        <w:rPr>
          <w:rFonts w:asciiTheme="minorEastAsia" w:hAnsiTheme="minorEastAsia" w:eastAsiaTheme="minorEastAsia"/>
          <w:lang w:eastAsia="zh-CN"/>
        </w:rPr>
      </w:pPr>
      <w:r>
        <w:rPr>
          <w:rFonts w:asciiTheme="minorEastAsia" w:hAnsiTheme="minorEastAsia" w:eastAsiaTheme="minorEastAsia"/>
          <w:lang w:eastAsia="zh-CN"/>
        </w:rPr>
        <w:t>根据</w:t>
      </w:r>
      <w:r>
        <w:rPr>
          <w:rFonts w:hint="eastAsia" w:asciiTheme="minorEastAsia" w:hAnsiTheme="minorEastAsia" w:eastAsiaTheme="minorEastAsia"/>
          <w:lang w:eastAsia="zh-CN"/>
        </w:rPr>
        <w:t>油田开发</w:t>
      </w:r>
      <w:r>
        <w:rPr>
          <w:rFonts w:asciiTheme="minorEastAsia" w:hAnsiTheme="minorEastAsia" w:eastAsiaTheme="minorEastAsia"/>
          <w:lang w:eastAsia="zh-CN"/>
        </w:rPr>
        <w:t>建设与运行特点和评价区环境特征，</w:t>
      </w:r>
      <w:r>
        <w:rPr>
          <w:rFonts w:hint="eastAsia" w:asciiTheme="minorEastAsia" w:hAnsiTheme="minorEastAsia" w:eastAsiaTheme="minorEastAsia"/>
          <w:lang w:eastAsia="zh-CN"/>
        </w:rPr>
        <w:t>主要采取工程措施和植物措施进行生态恢复。</w:t>
      </w:r>
    </w:p>
    <w:p w14:paraId="42B345F6">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1、工程措施</w:t>
      </w:r>
    </w:p>
    <w:p w14:paraId="445052DA">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（1）</w:t>
      </w:r>
      <w:r>
        <w:rPr>
          <w:rFonts w:asciiTheme="minorEastAsia" w:hAnsiTheme="minorEastAsia" w:eastAsiaTheme="minorEastAsia"/>
          <w:lang w:eastAsia="zh-CN"/>
        </w:rPr>
        <w:t>表土剥离措施：本项目实施表土剥离，剥离厚度为0.30m。对于管线等线性工程，表土应集中堆放于线性工程两侧；对于泥浆池，应堆放于泥浆池的一侧，对于各站场建设，应单独集中堆放。表土堆放采用台体形，边坡为1：1。在土壤堆存期间，为了防止水力与风力的侵蚀，用尼龙网覆盖。</w:t>
      </w:r>
    </w:p>
    <w:p w14:paraId="39FA7237">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（2）</w:t>
      </w:r>
      <w:r>
        <w:rPr>
          <w:rFonts w:asciiTheme="minorEastAsia" w:hAnsiTheme="minorEastAsia" w:eastAsiaTheme="minorEastAsia"/>
          <w:lang w:eastAsia="zh-CN"/>
        </w:rPr>
        <w:t>场地清理：对油田开发区块内临时建筑用地铺设的碎石等进行清理。</w:t>
      </w:r>
    </w:p>
    <w:p w14:paraId="0870DF54">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（3）</w:t>
      </w:r>
      <w:r>
        <w:rPr>
          <w:rFonts w:asciiTheme="minorEastAsia" w:hAnsiTheme="minorEastAsia" w:eastAsiaTheme="minorEastAsia"/>
          <w:lang w:eastAsia="zh-CN"/>
        </w:rPr>
        <w:t xml:space="preserve">覆土工程措施：在油田开发后期使用推土机及自行式平地机对井场用地、道路用地等进行表土回覆，覆土厚度为0.30m，土源为井场和附近道路剥离的存放于井场内临时表土堆放场的表土。 </w:t>
      </w:r>
    </w:p>
    <w:p w14:paraId="771A7F76">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（4）</w:t>
      </w:r>
      <w:r>
        <w:rPr>
          <w:rFonts w:asciiTheme="minorEastAsia" w:hAnsiTheme="minorEastAsia" w:eastAsiaTheme="minorEastAsia"/>
          <w:lang w:eastAsia="zh-CN"/>
        </w:rPr>
        <w:t>平整工程措施：对管线、泥浆池等用地进行平整，本项目通过自动式平地机等机械进行土地平整，使管线、泥浆池等用地与四周用地相协调。</w:t>
      </w:r>
    </w:p>
    <w:p w14:paraId="424FD765">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2、植物措施</w:t>
      </w:r>
    </w:p>
    <w:p w14:paraId="27DDDC78">
      <w:pPr>
        <w:ind w:firstLine="480"/>
        <w:rPr>
          <w:rFonts w:asciiTheme="minorEastAsia" w:hAnsiTheme="minorEastAsia" w:eastAsiaTheme="minorEastAsia"/>
          <w:lang w:eastAsia="zh-CN"/>
        </w:rPr>
      </w:pPr>
      <w:r>
        <w:rPr>
          <w:rFonts w:asciiTheme="minorEastAsia" w:hAnsiTheme="minorEastAsia" w:eastAsiaTheme="minorEastAsia"/>
          <w:lang w:eastAsia="zh-CN"/>
        </w:rPr>
        <w:t>乌里雅斯太油田根据当地的气候、土壤等自然条件，在开发建设过程中，采取边开发、边治理的方法，每年6月初至6月末</w:t>
      </w:r>
      <w:r>
        <w:rPr>
          <w:rFonts w:hint="eastAsia" w:asciiTheme="minorEastAsia" w:hAnsiTheme="minorEastAsia" w:eastAsiaTheme="minorEastAsia"/>
          <w:lang w:eastAsia="zh-CN"/>
        </w:rPr>
        <w:t>播</w:t>
      </w:r>
      <w:r>
        <w:rPr>
          <w:rFonts w:asciiTheme="minorEastAsia" w:hAnsiTheme="minorEastAsia" w:eastAsiaTheme="minorEastAsia"/>
          <w:lang w:eastAsia="zh-CN"/>
        </w:rPr>
        <w:t>撒针茅及羊草等草籽，在7月到10月间进行养护，养护期间继续在稀疏地块撒播草籽及浇水养护。</w:t>
      </w:r>
    </w:p>
    <w:p w14:paraId="1FAEFD3B">
      <w:pPr>
        <w:ind w:firstLine="480"/>
        <w:rPr>
          <w:rFonts w:asciiTheme="minorEastAsia" w:hAnsiTheme="minorEastAsia" w:eastAsiaTheme="minorEastAsia"/>
          <w:lang w:eastAsia="zh-CN"/>
        </w:rPr>
      </w:pPr>
      <w:r>
        <w:rPr>
          <w:rFonts w:asciiTheme="minorEastAsia" w:hAnsiTheme="minorEastAsia" w:eastAsiaTheme="minorEastAsia"/>
          <w:lang w:eastAsia="zh-CN"/>
        </w:rPr>
        <w:t>3、</w:t>
      </w:r>
      <w:r>
        <w:rPr>
          <w:rFonts w:hint="eastAsia" w:asciiTheme="minorEastAsia" w:hAnsiTheme="minorEastAsia" w:eastAsiaTheme="minorEastAsia"/>
          <w:lang w:eastAsia="zh-CN"/>
        </w:rPr>
        <w:t>植被恢复</w:t>
      </w:r>
      <w:r>
        <w:rPr>
          <w:rFonts w:asciiTheme="minorEastAsia" w:hAnsiTheme="minorEastAsia" w:eastAsiaTheme="minorEastAsia"/>
          <w:lang w:eastAsia="zh-CN"/>
        </w:rPr>
        <w:t>计划</w:t>
      </w:r>
    </w:p>
    <w:p w14:paraId="0B4E9B2E">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（1）植被恢复</w:t>
      </w:r>
      <w:r>
        <w:rPr>
          <w:rFonts w:asciiTheme="minorEastAsia" w:hAnsiTheme="minorEastAsia" w:eastAsiaTheme="minorEastAsia"/>
          <w:lang w:eastAsia="zh-CN"/>
        </w:rPr>
        <w:t>年限</w:t>
      </w:r>
    </w:p>
    <w:p w14:paraId="7C7D2C85">
      <w:pPr>
        <w:ind w:firstLine="480"/>
        <w:rPr>
          <w:rFonts w:asciiTheme="minorEastAsia" w:hAnsiTheme="minorEastAsia" w:eastAsiaTheme="minorEastAsia"/>
          <w:lang w:eastAsia="zh-CN"/>
        </w:rPr>
      </w:pPr>
      <w:r>
        <w:rPr>
          <w:rFonts w:asciiTheme="minorEastAsia" w:hAnsiTheme="minorEastAsia" w:eastAsiaTheme="minorEastAsia"/>
          <w:lang w:eastAsia="zh-CN"/>
        </w:rPr>
        <w:t>根据乌里雅斯太油田滚动开发规划的特点，对于油井、注水井及非干线管线在当年或者第二年恢种植草本植物恢复植被，对于干线</w:t>
      </w:r>
      <w:r>
        <w:rPr>
          <w:rFonts w:hint="eastAsia" w:asciiTheme="minorEastAsia" w:hAnsiTheme="minorEastAsia" w:eastAsiaTheme="minorEastAsia"/>
          <w:lang w:eastAsia="zh-CN"/>
        </w:rPr>
        <w:t>管线</w:t>
      </w:r>
      <w:r>
        <w:rPr>
          <w:rFonts w:asciiTheme="minorEastAsia" w:hAnsiTheme="minorEastAsia" w:eastAsiaTheme="minorEastAsia"/>
          <w:lang w:eastAsia="zh-CN"/>
        </w:rPr>
        <w:t>及联合站第二年种植草本植物恢复植被。</w:t>
      </w:r>
    </w:p>
    <w:p w14:paraId="2997748A">
      <w:pPr>
        <w:ind w:firstLine="480"/>
        <w:outlineLvl w:val="0"/>
        <w:rPr>
          <w:rFonts w:asciiTheme="minorEastAsia" w:hAnsiTheme="minorEastAsia" w:eastAsiaTheme="minorEastAsia"/>
          <w:lang w:eastAsia="zh-CN"/>
        </w:rPr>
      </w:pPr>
      <w:r>
        <w:rPr>
          <w:rFonts w:hint="eastAsia" w:asciiTheme="minorEastAsia" w:hAnsiTheme="minorEastAsia" w:eastAsiaTheme="minorEastAsia"/>
          <w:lang w:eastAsia="zh-CN"/>
        </w:rPr>
        <w:t>（2）植被恢复</w:t>
      </w:r>
      <w:r>
        <w:rPr>
          <w:rFonts w:asciiTheme="minorEastAsia" w:hAnsiTheme="minorEastAsia" w:eastAsiaTheme="minorEastAsia"/>
          <w:lang w:eastAsia="zh-CN"/>
        </w:rPr>
        <w:t>计划安排</w:t>
      </w:r>
    </w:p>
    <w:p w14:paraId="6D60AAC3">
      <w:pPr>
        <w:ind w:firstLine="480"/>
        <w:rPr>
          <w:rFonts w:asciiTheme="minorEastAsia" w:hAnsiTheme="minorEastAsia" w:eastAsiaTheme="minorEastAsia"/>
          <w:lang w:eastAsia="zh-CN"/>
        </w:rPr>
      </w:pPr>
      <w:r>
        <w:rPr>
          <w:rFonts w:asciiTheme="minorEastAsia" w:hAnsiTheme="minorEastAsia" w:eastAsiaTheme="minorEastAsia"/>
          <w:lang w:eastAsia="zh-CN"/>
        </w:rPr>
        <w:t>根据乌里雅斯太油田项目特点，</w:t>
      </w:r>
      <w:r>
        <w:rPr>
          <w:rFonts w:hint="eastAsia" w:asciiTheme="minorEastAsia" w:hAnsiTheme="minorEastAsia" w:eastAsiaTheme="minorEastAsia"/>
          <w:lang w:eastAsia="zh-CN"/>
        </w:rPr>
        <w:t>植被恢复</w:t>
      </w:r>
      <w:r>
        <w:rPr>
          <w:rFonts w:asciiTheme="minorEastAsia" w:hAnsiTheme="minorEastAsia" w:eastAsiaTheme="minorEastAsia"/>
          <w:lang w:eastAsia="zh-CN"/>
        </w:rPr>
        <w:t>在充分考虑油田生产计划以及生产实际情况的基础上，结合工程进度安排和生产建设活动对土地破坏的阶段性或区位性特点，划分</w:t>
      </w:r>
      <w:r>
        <w:rPr>
          <w:rFonts w:hint="eastAsia" w:asciiTheme="minorEastAsia" w:hAnsiTheme="minorEastAsia" w:eastAsiaTheme="minorEastAsia"/>
          <w:lang w:eastAsia="zh-CN"/>
        </w:rPr>
        <w:t>恢复</w:t>
      </w:r>
      <w:r>
        <w:rPr>
          <w:rFonts w:asciiTheme="minorEastAsia" w:hAnsiTheme="minorEastAsia" w:eastAsiaTheme="minorEastAsia"/>
          <w:lang w:eastAsia="zh-CN"/>
        </w:rPr>
        <w:t>阶段，确定每一阶段或每一区段的</w:t>
      </w:r>
      <w:r>
        <w:rPr>
          <w:rFonts w:hint="eastAsia" w:asciiTheme="minorEastAsia" w:hAnsiTheme="minorEastAsia" w:eastAsiaTheme="minorEastAsia"/>
          <w:lang w:eastAsia="zh-CN"/>
        </w:rPr>
        <w:t>恢复</w:t>
      </w:r>
      <w:r>
        <w:rPr>
          <w:rFonts w:asciiTheme="minorEastAsia" w:hAnsiTheme="minorEastAsia" w:eastAsiaTheme="minorEastAsia"/>
          <w:lang w:eastAsia="zh-CN"/>
        </w:rPr>
        <w:t>目标、任务、计划及资金安排等，制定乌里雅斯太油田</w:t>
      </w:r>
      <w:r>
        <w:rPr>
          <w:rFonts w:hint="eastAsia" w:asciiTheme="minorEastAsia" w:hAnsiTheme="minorEastAsia" w:eastAsiaTheme="minorEastAsia"/>
          <w:lang w:eastAsia="zh-CN"/>
        </w:rPr>
        <w:t>植被恢复</w:t>
      </w:r>
      <w:r>
        <w:rPr>
          <w:rFonts w:asciiTheme="minorEastAsia" w:hAnsiTheme="minorEastAsia" w:eastAsiaTheme="minorEastAsia"/>
          <w:lang w:eastAsia="zh-CN"/>
        </w:rPr>
        <w:t>进度计划安排表。</w:t>
      </w:r>
      <w:r>
        <w:rPr>
          <w:rFonts w:hint="eastAsia" w:asciiTheme="minorEastAsia" w:hAnsiTheme="minorEastAsia" w:eastAsiaTheme="minorEastAsia"/>
          <w:lang w:eastAsia="zh-CN"/>
        </w:rPr>
        <w:t>植被恢复面积目标</w:t>
      </w:r>
      <w:r>
        <w:rPr>
          <w:rFonts w:asciiTheme="minorEastAsia" w:hAnsiTheme="minorEastAsia" w:eastAsiaTheme="minorEastAsia"/>
          <w:lang w:eastAsia="zh-CN"/>
        </w:rPr>
        <w:t>见表9.3-</w:t>
      </w:r>
      <w:r>
        <w:rPr>
          <w:rFonts w:hint="eastAsia" w:asciiTheme="minorEastAsia" w:hAnsiTheme="minorEastAsia" w:eastAsiaTheme="minorEastAsia"/>
          <w:lang w:eastAsia="zh-CN"/>
        </w:rPr>
        <w:t>1</w:t>
      </w:r>
      <w:r>
        <w:rPr>
          <w:rFonts w:asciiTheme="minorEastAsia" w:hAnsiTheme="minorEastAsia" w:eastAsiaTheme="minorEastAsia"/>
          <w:lang w:eastAsia="zh-CN"/>
        </w:rPr>
        <w:t>。</w:t>
      </w:r>
    </w:p>
    <w:p w14:paraId="5D62C55C">
      <w:pPr>
        <w:spacing w:line="240" w:lineRule="auto"/>
        <w:ind w:firstLine="590" w:firstLineChars="245"/>
        <w:rPr>
          <w:b/>
          <w:lang w:eastAsia="zh-CN"/>
        </w:rPr>
      </w:pPr>
      <w:r>
        <w:rPr>
          <w:b/>
          <w:lang w:eastAsia="zh-CN"/>
        </w:rPr>
        <w:t xml:space="preserve">表9.3-1  </w:t>
      </w:r>
      <w:r>
        <w:rPr>
          <w:rFonts w:hint="eastAsia"/>
          <w:b/>
          <w:lang w:eastAsia="zh-CN"/>
        </w:rPr>
        <w:t xml:space="preserve"> 植被恢复</w:t>
      </w:r>
      <w:r>
        <w:rPr>
          <w:b/>
          <w:szCs w:val="21"/>
          <w:lang w:eastAsia="zh-CN"/>
        </w:rPr>
        <w:t>面积</w:t>
      </w:r>
      <w:r>
        <w:rPr>
          <w:rFonts w:hint="eastAsia"/>
          <w:b/>
          <w:szCs w:val="21"/>
          <w:lang w:eastAsia="zh-CN"/>
        </w:rPr>
        <w:t xml:space="preserve">目标表     </w:t>
      </w:r>
      <w:r>
        <w:rPr>
          <w:b/>
          <w:szCs w:val="21"/>
          <w:lang w:eastAsia="zh-CN"/>
        </w:rPr>
        <w:t>单位：hm</w:t>
      </w:r>
      <w:r>
        <w:rPr>
          <w:b/>
          <w:szCs w:val="21"/>
          <w:vertAlign w:val="superscript"/>
          <w:lang w:eastAsia="zh-CN"/>
        </w:rPr>
        <w:t>2</w:t>
      </w:r>
    </w:p>
    <w:tbl>
      <w:tblPr>
        <w:tblStyle w:val="7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51"/>
        <w:gridCol w:w="1276"/>
        <w:gridCol w:w="1843"/>
        <w:gridCol w:w="2409"/>
        <w:gridCol w:w="1050"/>
      </w:tblGrid>
      <w:tr w14:paraId="050402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tcBorders>
              <w:right w:val="single" w:color="000000" w:sz="4" w:space="0"/>
            </w:tcBorders>
            <w:vAlign w:val="center"/>
          </w:tcPr>
          <w:p w14:paraId="35F8F644">
            <w:pPr>
              <w:pStyle w:val="337"/>
              <w:rPr>
                <w:color w:val="auto"/>
                <w:lang w:val="en-US" w:eastAsia="en-US" w:bidi="en-US"/>
              </w:rPr>
            </w:pPr>
            <w:r>
              <w:rPr>
                <w:color w:val="auto"/>
                <w:lang w:val="en-US" w:eastAsia="en-US" w:bidi="en-US"/>
              </w:rPr>
              <w:t>分区</w:t>
            </w:r>
          </w:p>
        </w:tc>
        <w:tc>
          <w:tcPr>
            <w:tcW w:w="1276" w:type="dxa"/>
            <w:vAlign w:val="center"/>
          </w:tcPr>
          <w:p w14:paraId="3749667F">
            <w:pPr>
              <w:pStyle w:val="337"/>
              <w:rPr>
                <w:color w:val="auto"/>
                <w:lang w:val="en-US" w:eastAsia="zh-CN" w:bidi="en-US"/>
              </w:rPr>
            </w:pPr>
            <w:r>
              <w:rPr>
                <w:color w:val="auto"/>
                <w:lang w:val="en-US" w:eastAsia="zh-CN" w:bidi="en-US"/>
              </w:rPr>
              <w:t>面积</w:t>
            </w:r>
          </w:p>
        </w:tc>
        <w:tc>
          <w:tcPr>
            <w:tcW w:w="1843" w:type="dxa"/>
            <w:vAlign w:val="center"/>
          </w:tcPr>
          <w:p w14:paraId="05AF2EE4">
            <w:pPr>
              <w:pStyle w:val="337"/>
              <w:rPr>
                <w:snapToGrid w:val="0"/>
                <w:color w:val="auto"/>
                <w:kern w:val="0"/>
                <w:lang w:val="en-US" w:eastAsia="en-US" w:bidi="en-US"/>
              </w:rPr>
            </w:pPr>
            <w:r>
              <w:rPr>
                <w:snapToGrid w:val="0"/>
                <w:color w:val="auto"/>
                <w:kern w:val="0"/>
                <w:lang w:val="en-US" w:eastAsia="en-US" w:bidi="en-US"/>
              </w:rPr>
              <w:t>措施</w:t>
            </w:r>
          </w:p>
        </w:tc>
        <w:tc>
          <w:tcPr>
            <w:tcW w:w="2409" w:type="dxa"/>
            <w:vAlign w:val="center"/>
          </w:tcPr>
          <w:p w14:paraId="3B9D55B7">
            <w:pPr>
              <w:pStyle w:val="337"/>
              <w:rPr>
                <w:snapToGrid w:val="0"/>
                <w:color w:val="auto"/>
                <w:kern w:val="0"/>
                <w:lang w:val="en-US" w:eastAsia="zh-CN" w:bidi="en-US"/>
              </w:rPr>
            </w:pPr>
            <w:r>
              <w:rPr>
                <w:rFonts w:hint="eastAsia"/>
                <w:snapToGrid w:val="0"/>
                <w:color w:val="auto"/>
                <w:kern w:val="0"/>
                <w:lang w:val="en-US" w:eastAsia="zh-CN" w:bidi="en-US"/>
              </w:rPr>
              <w:t>时限</w:t>
            </w:r>
          </w:p>
        </w:tc>
        <w:tc>
          <w:tcPr>
            <w:tcW w:w="1050" w:type="dxa"/>
            <w:vAlign w:val="center"/>
          </w:tcPr>
          <w:p w14:paraId="58ECDAC2">
            <w:pPr>
              <w:pStyle w:val="337"/>
              <w:rPr>
                <w:snapToGrid w:val="0"/>
                <w:color w:val="auto"/>
                <w:kern w:val="0"/>
                <w:lang w:val="en-US" w:eastAsia="zh-CN" w:bidi="en-US"/>
              </w:rPr>
            </w:pPr>
            <w:r>
              <w:rPr>
                <w:rFonts w:hint="eastAsia"/>
                <w:snapToGrid w:val="0"/>
                <w:color w:val="auto"/>
                <w:kern w:val="0"/>
                <w:lang w:val="en-US" w:eastAsia="zh-CN" w:bidi="en-US"/>
              </w:rPr>
              <w:t>备注</w:t>
            </w:r>
          </w:p>
        </w:tc>
      </w:tr>
      <w:tr w14:paraId="2EF03B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tcBorders>
              <w:bottom w:val="single" w:color="000000" w:sz="4" w:space="0"/>
              <w:right w:val="single" w:color="000000" w:sz="4" w:space="0"/>
            </w:tcBorders>
            <w:vAlign w:val="center"/>
          </w:tcPr>
          <w:p w14:paraId="2C2E0879">
            <w:pPr>
              <w:pStyle w:val="337"/>
              <w:rPr>
                <w:color w:val="auto"/>
                <w:lang w:val="en-US" w:eastAsia="zh-CN" w:bidi="en-US"/>
              </w:rPr>
            </w:pPr>
            <w:r>
              <w:rPr>
                <w:color w:val="auto"/>
                <w:lang w:val="en-US" w:eastAsia="en-US" w:bidi="en-US"/>
              </w:rPr>
              <w:t>泥浆池</w:t>
            </w:r>
          </w:p>
        </w:tc>
        <w:tc>
          <w:tcPr>
            <w:tcW w:w="1276" w:type="dxa"/>
            <w:vAlign w:val="center"/>
          </w:tcPr>
          <w:p w14:paraId="01D19664">
            <w:pPr>
              <w:pStyle w:val="337"/>
              <w:rPr>
                <w:color w:val="auto"/>
                <w:lang w:val="en-US" w:eastAsia="zh-CN" w:bidi="en-US"/>
              </w:rPr>
            </w:pPr>
            <w:r>
              <w:rPr>
                <w:rFonts w:hint="eastAsia"/>
                <w:color w:val="auto"/>
                <w:lang w:val="en-US" w:eastAsia="zh-CN" w:bidi="en-US"/>
              </w:rPr>
              <w:t>0.45</w:t>
            </w:r>
          </w:p>
        </w:tc>
        <w:tc>
          <w:tcPr>
            <w:tcW w:w="1843" w:type="dxa"/>
            <w:vAlign w:val="center"/>
          </w:tcPr>
          <w:p w14:paraId="3BB8578B">
            <w:pPr>
              <w:pStyle w:val="337"/>
              <w:rPr>
                <w:snapToGrid w:val="0"/>
                <w:color w:val="auto"/>
                <w:kern w:val="0"/>
                <w:lang w:val="en-US" w:eastAsia="zh-CN" w:bidi="en-US"/>
              </w:rPr>
            </w:pPr>
            <w:r>
              <w:rPr>
                <w:snapToGrid w:val="0"/>
                <w:color w:val="auto"/>
                <w:kern w:val="0"/>
                <w:lang w:val="en-US" w:eastAsia="en-US" w:bidi="en-US"/>
              </w:rPr>
              <w:t>覆土、</w:t>
            </w:r>
            <w:r>
              <w:rPr>
                <w:rFonts w:hint="eastAsia"/>
                <w:snapToGrid w:val="0"/>
                <w:color w:val="auto"/>
                <w:kern w:val="0"/>
                <w:lang w:val="en-US" w:eastAsia="zh-CN" w:bidi="en-US"/>
              </w:rPr>
              <w:t>播撒草籽</w:t>
            </w:r>
          </w:p>
        </w:tc>
        <w:tc>
          <w:tcPr>
            <w:tcW w:w="2409" w:type="dxa"/>
            <w:vAlign w:val="center"/>
          </w:tcPr>
          <w:p w14:paraId="639888FC">
            <w:pPr>
              <w:pStyle w:val="337"/>
              <w:rPr>
                <w:snapToGrid w:val="0"/>
                <w:color w:val="auto"/>
                <w:kern w:val="0"/>
                <w:lang w:val="en-US" w:eastAsia="zh-CN" w:bidi="en-US"/>
              </w:rPr>
            </w:pPr>
            <w:r>
              <w:rPr>
                <w:rFonts w:hint="eastAsia"/>
                <w:snapToGrid w:val="0"/>
                <w:color w:val="auto"/>
                <w:kern w:val="0"/>
                <w:lang w:val="en-US" w:eastAsia="zh-CN" w:bidi="en-US"/>
              </w:rPr>
              <w:t>2015</w:t>
            </w:r>
            <w:r>
              <w:rPr>
                <w:rFonts w:hint="eastAsia" w:ascii="宋体" w:hAnsi="宋体"/>
                <w:snapToGrid w:val="0"/>
                <w:color w:val="auto"/>
                <w:kern w:val="0"/>
                <w:lang w:val="en-US" w:eastAsia="zh-CN" w:bidi="en-US"/>
              </w:rPr>
              <w:t>～2016年</w:t>
            </w:r>
          </w:p>
        </w:tc>
        <w:tc>
          <w:tcPr>
            <w:tcW w:w="1050" w:type="dxa"/>
            <w:vAlign w:val="center"/>
          </w:tcPr>
          <w:p w14:paraId="4B47A40C">
            <w:pPr>
              <w:pStyle w:val="337"/>
              <w:rPr>
                <w:color w:val="auto"/>
                <w:lang w:val="en-US" w:eastAsia="en-US" w:bidi="en-US"/>
              </w:rPr>
            </w:pPr>
            <w:r>
              <w:rPr>
                <w:rFonts w:hint="eastAsia"/>
                <w:color w:val="auto"/>
                <w:lang w:val="en-US" w:eastAsia="zh-CN" w:bidi="en-US"/>
              </w:rPr>
              <w:t>草地</w:t>
            </w:r>
          </w:p>
        </w:tc>
      </w:tr>
      <w:tr w14:paraId="132D4A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tcBorders>
              <w:bottom w:val="single" w:color="000000" w:sz="4" w:space="0"/>
              <w:right w:val="single" w:color="000000" w:sz="4" w:space="0"/>
            </w:tcBorders>
            <w:vAlign w:val="center"/>
          </w:tcPr>
          <w:p w14:paraId="37B9D932">
            <w:pPr>
              <w:pStyle w:val="337"/>
              <w:rPr>
                <w:color w:val="auto"/>
                <w:lang w:val="en-US" w:eastAsia="zh-CN" w:bidi="en-US"/>
              </w:rPr>
            </w:pPr>
            <w:r>
              <w:rPr>
                <w:rFonts w:hint="eastAsia"/>
                <w:color w:val="auto"/>
                <w:lang w:val="en-US" w:eastAsia="en-US" w:bidi="en-US"/>
              </w:rPr>
              <w:t>井区临时</w:t>
            </w:r>
            <w:r>
              <w:rPr>
                <w:rFonts w:hint="eastAsia"/>
                <w:color w:val="auto"/>
                <w:lang w:val="en-US" w:eastAsia="zh-CN" w:bidi="en-US"/>
              </w:rPr>
              <w:t>施工</w:t>
            </w:r>
            <w:r>
              <w:rPr>
                <w:rFonts w:hint="eastAsia"/>
                <w:color w:val="auto"/>
                <w:lang w:val="en-US" w:eastAsia="en-US" w:bidi="en-US"/>
              </w:rPr>
              <w:t>场</w:t>
            </w:r>
            <w:r>
              <w:rPr>
                <w:rFonts w:hint="eastAsia"/>
                <w:color w:val="auto"/>
                <w:lang w:val="en-US" w:eastAsia="zh-CN" w:bidi="en-US"/>
              </w:rPr>
              <w:t>地</w:t>
            </w:r>
          </w:p>
        </w:tc>
        <w:tc>
          <w:tcPr>
            <w:tcW w:w="1276" w:type="dxa"/>
            <w:vAlign w:val="center"/>
          </w:tcPr>
          <w:p w14:paraId="2D47254D">
            <w:pPr>
              <w:pStyle w:val="337"/>
              <w:rPr>
                <w:color w:val="auto"/>
                <w:lang w:val="en-US" w:eastAsia="zh-CN" w:bidi="en-US"/>
              </w:rPr>
            </w:pPr>
            <w:r>
              <w:rPr>
                <w:rFonts w:hint="eastAsia"/>
                <w:color w:val="auto"/>
                <w:lang w:val="en-US" w:eastAsia="zh-CN" w:bidi="en-US"/>
              </w:rPr>
              <w:t>29.55</w:t>
            </w:r>
          </w:p>
        </w:tc>
        <w:tc>
          <w:tcPr>
            <w:tcW w:w="1843" w:type="dxa"/>
            <w:vAlign w:val="center"/>
          </w:tcPr>
          <w:p w14:paraId="7A895F6E">
            <w:pPr>
              <w:pStyle w:val="337"/>
              <w:rPr>
                <w:snapToGrid w:val="0"/>
                <w:color w:val="auto"/>
                <w:kern w:val="0"/>
                <w:lang w:val="en-US" w:eastAsia="en-US" w:bidi="en-US"/>
              </w:rPr>
            </w:pPr>
            <w:r>
              <w:rPr>
                <w:rFonts w:hint="eastAsia"/>
                <w:snapToGrid w:val="0"/>
                <w:color w:val="auto"/>
                <w:kern w:val="0"/>
                <w:lang w:val="en-US" w:eastAsia="en-US" w:bidi="en-US"/>
              </w:rPr>
              <w:t>覆土、</w:t>
            </w:r>
            <w:r>
              <w:rPr>
                <w:rFonts w:hint="eastAsia"/>
                <w:snapToGrid w:val="0"/>
                <w:color w:val="auto"/>
                <w:kern w:val="0"/>
                <w:lang w:val="en-US" w:eastAsia="zh-CN" w:bidi="en-US"/>
              </w:rPr>
              <w:t>播撒草籽</w:t>
            </w:r>
          </w:p>
        </w:tc>
        <w:tc>
          <w:tcPr>
            <w:tcW w:w="2409" w:type="dxa"/>
            <w:vAlign w:val="center"/>
          </w:tcPr>
          <w:p w14:paraId="1B7E389C">
            <w:pPr>
              <w:pStyle w:val="337"/>
              <w:rPr>
                <w:snapToGrid w:val="0"/>
                <w:color w:val="auto"/>
                <w:kern w:val="0"/>
                <w:lang w:val="en-US" w:eastAsia="en-US" w:bidi="en-US"/>
              </w:rPr>
            </w:pPr>
            <w:r>
              <w:rPr>
                <w:rFonts w:hint="eastAsia"/>
                <w:snapToGrid w:val="0"/>
                <w:color w:val="auto"/>
                <w:kern w:val="0"/>
                <w:lang w:val="en-US" w:eastAsia="zh-CN" w:bidi="en-US"/>
              </w:rPr>
              <w:t>钻采完成后的1</w:t>
            </w:r>
            <w:r>
              <w:rPr>
                <w:rFonts w:hint="eastAsia" w:ascii="宋体" w:hAnsi="宋体"/>
                <w:snapToGrid w:val="0"/>
                <w:color w:val="auto"/>
                <w:kern w:val="0"/>
                <w:lang w:val="en-US" w:eastAsia="zh-CN" w:bidi="en-US"/>
              </w:rPr>
              <w:t>～2年内</w:t>
            </w:r>
          </w:p>
        </w:tc>
        <w:tc>
          <w:tcPr>
            <w:tcW w:w="1050" w:type="dxa"/>
            <w:vAlign w:val="center"/>
          </w:tcPr>
          <w:p w14:paraId="6B22AC4E">
            <w:pPr>
              <w:pStyle w:val="337"/>
              <w:rPr>
                <w:snapToGrid w:val="0"/>
                <w:color w:val="auto"/>
                <w:kern w:val="0"/>
                <w:lang w:val="en-US" w:eastAsia="en-US" w:bidi="en-US"/>
              </w:rPr>
            </w:pPr>
            <w:r>
              <w:rPr>
                <w:rFonts w:hint="eastAsia"/>
                <w:color w:val="auto"/>
                <w:lang w:val="en-US" w:eastAsia="zh-CN" w:bidi="en-US"/>
              </w:rPr>
              <w:t>草地</w:t>
            </w:r>
          </w:p>
        </w:tc>
      </w:tr>
      <w:tr w14:paraId="7F6B96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tcBorders>
              <w:top w:val="single" w:color="000000" w:sz="4" w:space="0"/>
            </w:tcBorders>
            <w:vAlign w:val="center"/>
          </w:tcPr>
          <w:p w14:paraId="549C47CF">
            <w:pPr>
              <w:pStyle w:val="337"/>
              <w:rPr>
                <w:color w:val="auto"/>
                <w:lang w:val="en-US" w:eastAsia="zh-CN" w:bidi="en-US"/>
              </w:rPr>
            </w:pPr>
            <w:r>
              <w:rPr>
                <w:rFonts w:hint="eastAsia"/>
                <w:color w:val="auto"/>
                <w:lang w:val="en-US" w:eastAsia="zh-CN" w:bidi="en-US"/>
              </w:rPr>
              <w:t>油气集输管线</w:t>
            </w:r>
          </w:p>
        </w:tc>
        <w:tc>
          <w:tcPr>
            <w:tcW w:w="1276" w:type="dxa"/>
            <w:vAlign w:val="center"/>
          </w:tcPr>
          <w:p w14:paraId="4C878C59">
            <w:pPr>
              <w:pStyle w:val="337"/>
              <w:rPr>
                <w:snapToGrid w:val="0"/>
                <w:color w:val="auto"/>
                <w:kern w:val="0"/>
                <w:lang w:val="en-US" w:eastAsia="en-US" w:bidi="en-US"/>
              </w:rPr>
            </w:pPr>
            <w:r>
              <w:rPr>
                <w:rFonts w:hint="eastAsia"/>
                <w:snapToGrid w:val="0"/>
                <w:color w:val="auto"/>
                <w:kern w:val="0"/>
                <w:lang w:val="en-US" w:eastAsia="zh-CN" w:bidi="en-US"/>
              </w:rPr>
              <w:t>3.48</w:t>
            </w:r>
          </w:p>
        </w:tc>
        <w:tc>
          <w:tcPr>
            <w:tcW w:w="1843" w:type="dxa"/>
            <w:vAlign w:val="center"/>
          </w:tcPr>
          <w:p w14:paraId="59BF2727">
            <w:pPr>
              <w:pStyle w:val="337"/>
              <w:rPr>
                <w:snapToGrid w:val="0"/>
                <w:color w:val="auto"/>
                <w:kern w:val="0"/>
                <w:lang w:val="en-US" w:eastAsia="en-US" w:bidi="en-US"/>
              </w:rPr>
            </w:pPr>
            <w:r>
              <w:rPr>
                <w:snapToGrid w:val="0"/>
                <w:color w:val="auto"/>
                <w:kern w:val="0"/>
                <w:lang w:val="en-US" w:eastAsia="en-US" w:bidi="en-US"/>
              </w:rPr>
              <w:t>覆土、</w:t>
            </w:r>
            <w:r>
              <w:rPr>
                <w:rFonts w:hint="eastAsia"/>
                <w:snapToGrid w:val="0"/>
                <w:color w:val="auto"/>
                <w:kern w:val="0"/>
                <w:lang w:val="en-US" w:eastAsia="zh-CN" w:bidi="en-US"/>
              </w:rPr>
              <w:t>播撒草籽</w:t>
            </w:r>
          </w:p>
        </w:tc>
        <w:tc>
          <w:tcPr>
            <w:tcW w:w="2409" w:type="dxa"/>
            <w:vAlign w:val="center"/>
          </w:tcPr>
          <w:p w14:paraId="43EB47D5">
            <w:pPr>
              <w:pStyle w:val="337"/>
              <w:rPr>
                <w:snapToGrid w:val="0"/>
                <w:color w:val="auto"/>
                <w:kern w:val="0"/>
                <w:lang w:val="en-US" w:eastAsia="en-US" w:bidi="en-US"/>
              </w:rPr>
            </w:pPr>
            <w:r>
              <w:rPr>
                <w:rFonts w:hint="eastAsia"/>
                <w:snapToGrid w:val="0"/>
                <w:color w:val="auto"/>
                <w:kern w:val="0"/>
                <w:lang w:val="en-US" w:eastAsia="zh-CN" w:bidi="en-US"/>
              </w:rPr>
              <w:t>2015</w:t>
            </w:r>
            <w:r>
              <w:rPr>
                <w:rFonts w:hint="eastAsia" w:ascii="宋体" w:hAnsi="宋体"/>
                <w:snapToGrid w:val="0"/>
                <w:color w:val="auto"/>
                <w:kern w:val="0"/>
                <w:lang w:val="en-US" w:eastAsia="zh-CN" w:bidi="en-US"/>
              </w:rPr>
              <w:t>～2016年</w:t>
            </w:r>
          </w:p>
        </w:tc>
        <w:tc>
          <w:tcPr>
            <w:tcW w:w="1050" w:type="dxa"/>
            <w:vAlign w:val="center"/>
          </w:tcPr>
          <w:p w14:paraId="3A69191A">
            <w:pPr>
              <w:pStyle w:val="337"/>
              <w:rPr>
                <w:snapToGrid w:val="0"/>
                <w:color w:val="auto"/>
                <w:kern w:val="0"/>
                <w:lang w:val="en-US" w:eastAsia="en-US" w:bidi="en-US"/>
              </w:rPr>
            </w:pPr>
            <w:r>
              <w:rPr>
                <w:rFonts w:hint="eastAsia"/>
                <w:color w:val="auto"/>
                <w:lang w:val="en-US" w:eastAsia="zh-CN" w:bidi="en-US"/>
              </w:rPr>
              <w:t>草地</w:t>
            </w:r>
          </w:p>
        </w:tc>
      </w:tr>
      <w:tr w14:paraId="0F7497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vAlign w:val="center"/>
          </w:tcPr>
          <w:p w14:paraId="2899BB79">
            <w:pPr>
              <w:pStyle w:val="337"/>
              <w:rPr>
                <w:color w:val="auto"/>
                <w:lang w:val="en-US" w:eastAsia="en-US" w:bidi="en-US"/>
              </w:rPr>
            </w:pPr>
            <w:r>
              <w:rPr>
                <w:color w:val="auto"/>
                <w:lang w:val="en-US" w:eastAsia="en-US" w:bidi="en-US"/>
              </w:rPr>
              <w:t>注水管线</w:t>
            </w:r>
          </w:p>
        </w:tc>
        <w:tc>
          <w:tcPr>
            <w:tcW w:w="1276" w:type="dxa"/>
            <w:vAlign w:val="center"/>
          </w:tcPr>
          <w:p w14:paraId="395377A3">
            <w:pPr>
              <w:pStyle w:val="337"/>
              <w:rPr>
                <w:snapToGrid w:val="0"/>
                <w:color w:val="auto"/>
                <w:kern w:val="0"/>
                <w:lang w:val="en-US" w:eastAsia="zh-CN" w:bidi="en-US"/>
              </w:rPr>
            </w:pPr>
            <w:r>
              <w:rPr>
                <w:rFonts w:hint="eastAsia"/>
                <w:snapToGrid w:val="0"/>
                <w:color w:val="auto"/>
                <w:kern w:val="0"/>
                <w:lang w:val="en-US" w:eastAsia="zh-CN" w:bidi="en-US"/>
              </w:rPr>
              <w:t>0.84</w:t>
            </w:r>
          </w:p>
        </w:tc>
        <w:tc>
          <w:tcPr>
            <w:tcW w:w="1843" w:type="dxa"/>
            <w:vAlign w:val="center"/>
          </w:tcPr>
          <w:p w14:paraId="11333CEC">
            <w:pPr>
              <w:pStyle w:val="337"/>
              <w:rPr>
                <w:snapToGrid w:val="0"/>
                <w:color w:val="auto"/>
                <w:kern w:val="0"/>
                <w:lang w:val="en-US" w:eastAsia="en-US" w:bidi="en-US"/>
              </w:rPr>
            </w:pPr>
            <w:r>
              <w:rPr>
                <w:snapToGrid w:val="0"/>
                <w:color w:val="auto"/>
                <w:kern w:val="0"/>
                <w:lang w:val="en-US" w:eastAsia="en-US" w:bidi="en-US"/>
              </w:rPr>
              <w:t>覆土、</w:t>
            </w:r>
            <w:r>
              <w:rPr>
                <w:rFonts w:hint="eastAsia"/>
                <w:snapToGrid w:val="0"/>
                <w:color w:val="auto"/>
                <w:kern w:val="0"/>
                <w:lang w:val="en-US" w:eastAsia="zh-CN" w:bidi="en-US"/>
              </w:rPr>
              <w:t>播撒草籽</w:t>
            </w:r>
          </w:p>
        </w:tc>
        <w:tc>
          <w:tcPr>
            <w:tcW w:w="2409" w:type="dxa"/>
            <w:vAlign w:val="center"/>
          </w:tcPr>
          <w:p w14:paraId="5C12CDD2">
            <w:pPr>
              <w:pStyle w:val="337"/>
              <w:rPr>
                <w:snapToGrid w:val="0"/>
                <w:color w:val="auto"/>
                <w:kern w:val="0"/>
                <w:lang w:val="en-US" w:eastAsia="en-US" w:bidi="en-US"/>
              </w:rPr>
            </w:pPr>
            <w:r>
              <w:rPr>
                <w:rFonts w:hint="eastAsia"/>
                <w:snapToGrid w:val="0"/>
                <w:color w:val="auto"/>
                <w:kern w:val="0"/>
                <w:lang w:val="en-US" w:eastAsia="zh-CN" w:bidi="en-US"/>
              </w:rPr>
              <w:t>2015</w:t>
            </w:r>
            <w:r>
              <w:rPr>
                <w:rFonts w:hint="eastAsia" w:ascii="宋体" w:hAnsi="宋体"/>
                <w:snapToGrid w:val="0"/>
                <w:color w:val="auto"/>
                <w:kern w:val="0"/>
                <w:lang w:val="en-US" w:eastAsia="zh-CN" w:bidi="en-US"/>
              </w:rPr>
              <w:t>～2016年</w:t>
            </w:r>
          </w:p>
        </w:tc>
        <w:tc>
          <w:tcPr>
            <w:tcW w:w="1050" w:type="dxa"/>
            <w:vAlign w:val="center"/>
          </w:tcPr>
          <w:p w14:paraId="426AE62E">
            <w:pPr>
              <w:pStyle w:val="337"/>
              <w:rPr>
                <w:snapToGrid w:val="0"/>
                <w:color w:val="auto"/>
                <w:kern w:val="0"/>
                <w:lang w:val="en-US" w:eastAsia="en-US" w:bidi="en-US"/>
              </w:rPr>
            </w:pPr>
            <w:r>
              <w:rPr>
                <w:rFonts w:hint="eastAsia"/>
                <w:color w:val="auto"/>
                <w:lang w:val="en-US" w:eastAsia="zh-CN" w:bidi="en-US"/>
              </w:rPr>
              <w:t>草地</w:t>
            </w:r>
          </w:p>
        </w:tc>
      </w:tr>
      <w:tr w14:paraId="7311A8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tcBorders>
              <w:top w:val="single" w:color="000000" w:sz="4" w:space="0"/>
            </w:tcBorders>
            <w:vAlign w:val="center"/>
          </w:tcPr>
          <w:p w14:paraId="3BA7EA6E">
            <w:pPr>
              <w:pStyle w:val="337"/>
              <w:rPr>
                <w:color w:val="auto"/>
                <w:lang w:val="en-US" w:eastAsia="en-US" w:bidi="en-US"/>
              </w:rPr>
            </w:pPr>
            <w:r>
              <w:rPr>
                <w:color w:val="auto"/>
                <w:lang w:val="en-US" w:eastAsia="zh-CN" w:bidi="en-US"/>
              </w:rPr>
              <w:t>联合站</w:t>
            </w:r>
            <w:r>
              <w:rPr>
                <w:rFonts w:hint="eastAsia"/>
                <w:color w:val="auto"/>
                <w:lang w:val="en-US" w:eastAsia="zh-CN" w:bidi="en-US"/>
              </w:rPr>
              <w:t>临时占地</w:t>
            </w:r>
          </w:p>
        </w:tc>
        <w:tc>
          <w:tcPr>
            <w:tcW w:w="1276" w:type="dxa"/>
            <w:vAlign w:val="center"/>
          </w:tcPr>
          <w:p w14:paraId="073D2703">
            <w:pPr>
              <w:pStyle w:val="337"/>
              <w:rPr>
                <w:color w:val="auto"/>
                <w:lang w:val="en-US" w:eastAsia="zh-CN" w:bidi="en-US"/>
              </w:rPr>
            </w:pPr>
            <w:r>
              <w:rPr>
                <w:rFonts w:hint="eastAsia"/>
                <w:color w:val="auto"/>
                <w:lang w:val="en-US" w:eastAsia="zh-CN" w:bidi="en-US"/>
              </w:rPr>
              <w:t>13.14</w:t>
            </w:r>
          </w:p>
        </w:tc>
        <w:tc>
          <w:tcPr>
            <w:tcW w:w="1843" w:type="dxa"/>
            <w:vAlign w:val="center"/>
          </w:tcPr>
          <w:p w14:paraId="32FA1E92">
            <w:pPr>
              <w:pStyle w:val="337"/>
              <w:rPr>
                <w:snapToGrid w:val="0"/>
                <w:color w:val="auto"/>
                <w:kern w:val="0"/>
                <w:lang w:val="en-US" w:eastAsia="en-US" w:bidi="en-US"/>
              </w:rPr>
            </w:pPr>
            <w:r>
              <w:rPr>
                <w:snapToGrid w:val="0"/>
                <w:color w:val="auto"/>
                <w:kern w:val="0"/>
                <w:lang w:val="en-US" w:eastAsia="en-US" w:bidi="en-US"/>
              </w:rPr>
              <w:t>覆土、</w:t>
            </w:r>
            <w:r>
              <w:rPr>
                <w:rFonts w:hint="eastAsia"/>
                <w:snapToGrid w:val="0"/>
                <w:color w:val="auto"/>
                <w:kern w:val="0"/>
                <w:lang w:val="en-US" w:eastAsia="zh-CN" w:bidi="en-US"/>
              </w:rPr>
              <w:t>播撒草籽</w:t>
            </w:r>
          </w:p>
        </w:tc>
        <w:tc>
          <w:tcPr>
            <w:tcW w:w="2409" w:type="dxa"/>
            <w:vAlign w:val="center"/>
          </w:tcPr>
          <w:p w14:paraId="59607003">
            <w:pPr>
              <w:pStyle w:val="337"/>
              <w:rPr>
                <w:snapToGrid w:val="0"/>
                <w:color w:val="auto"/>
                <w:kern w:val="0"/>
                <w:lang w:val="en-US" w:eastAsia="en-US" w:bidi="en-US"/>
              </w:rPr>
            </w:pPr>
            <w:r>
              <w:rPr>
                <w:rFonts w:hint="eastAsia"/>
                <w:snapToGrid w:val="0"/>
                <w:color w:val="auto"/>
                <w:kern w:val="0"/>
                <w:lang w:val="en-US" w:eastAsia="zh-CN" w:bidi="en-US"/>
              </w:rPr>
              <w:t>2015</w:t>
            </w:r>
            <w:r>
              <w:rPr>
                <w:rFonts w:hint="eastAsia" w:ascii="宋体" w:hAnsi="宋体"/>
                <w:snapToGrid w:val="0"/>
                <w:color w:val="auto"/>
                <w:kern w:val="0"/>
                <w:lang w:val="en-US" w:eastAsia="zh-CN" w:bidi="en-US"/>
              </w:rPr>
              <w:t>～2016年</w:t>
            </w:r>
          </w:p>
        </w:tc>
        <w:tc>
          <w:tcPr>
            <w:tcW w:w="1050" w:type="dxa"/>
            <w:vAlign w:val="center"/>
          </w:tcPr>
          <w:p w14:paraId="09CA66C1">
            <w:pPr>
              <w:pStyle w:val="337"/>
              <w:rPr>
                <w:snapToGrid w:val="0"/>
                <w:color w:val="auto"/>
                <w:kern w:val="0"/>
                <w:lang w:val="en-US" w:eastAsia="en-US" w:bidi="en-US"/>
              </w:rPr>
            </w:pPr>
            <w:r>
              <w:rPr>
                <w:rFonts w:hint="eastAsia"/>
                <w:color w:val="auto"/>
                <w:lang w:val="en-US" w:eastAsia="zh-CN" w:bidi="en-US"/>
              </w:rPr>
              <w:t>草地</w:t>
            </w:r>
          </w:p>
        </w:tc>
      </w:tr>
      <w:tr w14:paraId="4F2411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tcBorders>
              <w:top w:val="single" w:color="000000" w:sz="4" w:space="0"/>
            </w:tcBorders>
            <w:vAlign w:val="center"/>
          </w:tcPr>
          <w:p w14:paraId="594CA64E">
            <w:pPr>
              <w:pStyle w:val="337"/>
              <w:rPr>
                <w:color w:val="auto"/>
                <w:lang w:val="en-US" w:eastAsia="zh-CN" w:bidi="en-US"/>
              </w:rPr>
            </w:pPr>
            <w:r>
              <w:rPr>
                <w:rFonts w:hint="eastAsia"/>
                <w:color w:val="auto"/>
                <w:lang w:val="en-US" w:eastAsia="zh-CN" w:bidi="en-US"/>
              </w:rPr>
              <w:t>废液池、污水处理设施等临时占地</w:t>
            </w:r>
          </w:p>
        </w:tc>
        <w:tc>
          <w:tcPr>
            <w:tcW w:w="1276" w:type="dxa"/>
            <w:vAlign w:val="center"/>
          </w:tcPr>
          <w:p w14:paraId="10689C15">
            <w:pPr>
              <w:pStyle w:val="337"/>
              <w:rPr>
                <w:color w:val="auto"/>
                <w:lang w:val="en-US" w:eastAsia="zh-CN" w:bidi="en-US"/>
              </w:rPr>
            </w:pPr>
            <w:r>
              <w:rPr>
                <w:rFonts w:hint="eastAsia"/>
                <w:color w:val="auto"/>
                <w:lang w:val="en-US" w:eastAsia="zh-CN" w:bidi="en-US"/>
              </w:rPr>
              <w:t>0.094</w:t>
            </w:r>
          </w:p>
        </w:tc>
        <w:tc>
          <w:tcPr>
            <w:tcW w:w="1843" w:type="dxa"/>
            <w:vAlign w:val="center"/>
          </w:tcPr>
          <w:p w14:paraId="0F5A48D2">
            <w:pPr>
              <w:pStyle w:val="337"/>
              <w:rPr>
                <w:snapToGrid w:val="0"/>
                <w:color w:val="auto"/>
                <w:kern w:val="0"/>
                <w:lang w:val="en-US" w:eastAsia="en-US" w:bidi="en-US"/>
              </w:rPr>
            </w:pPr>
            <w:r>
              <w:rPr>
                <w:rFonts w:hint="eastAsia"/>
                <w:snapToGrid w:val="0"/>
                <w:color w:val="auto"/>
                <w:kern w:val="0"/>
                <w:lang w:val="en-US" w:eastAsia="en-US" w:bidi="en-US"/>
              </w:rPr>
              <w:t>覆土、</w:t>
            </w:r>
            <w:r>
              <w:rPr>
                <w:rFonts w:hint="eastAsia"/>
                <w:snapToGrid w:val="0"/>
                <w:color w:val="auto"/>
                <w:kern w:val="0"/>
                <w:lang w:val="en-US" w:eastAsia="zh-CN" w:bidi="en-US"/>
              </w:rPr>
              <w:t>播撒草籽</w:t>
            </w:r>
          </w:p>
        </w:tc>
        <w:tc>
          <w:tcPr>
            <w:tcW w:w="2409" w:type="dxa"/>
            <w:vAlign w:val="center"/>
          </w:tcPr>
          <w:p w14:paraId="4F65CF9C">
            <w:pPr>
              <w:pStyle w:val="337"/>
              <w:rPr>
                <w:snapToGrid w:val="0"/>
                <w:color w:val="auto"/>
                <w:kern w:val="0"/>
                <w:lang w:val="en-US" w:eastAsia="en-US" w:bidi="en-US"/>
              </w:rPr>
            </w:pPr>
            <w:r>
              <w:rPr>
                <w:rFonts w:hint="eastAsia"/>
                <w:snapToGrid w:val="0"/>
                <w:color w:val="auto"/>
                <w:kern w:val="0"/>
                <w:lang w:val="en-US" w:eastAsia="zh-CN" w:bidi="en-US"/>
              </w:rPr>
              <w:t>2015</w:t>
            </w:r>
            <w:r>
              <w:rPr>
                <w:rFonts w:hint="eastAsia" w:ascii="宋体" w:hAnsi="宋体"/>
                <w:snapToGrid w:val="0"/>
                <w:color w:val="auto"/>
                <w:kern w:val="0"/>
                <w:lang w:val="en-US" w:eastAsia="zh-CN" w:bidi="en-US"/>
              </w:rPr>
              <w:t>～2016年</w:t>
            </w:r>
          </w:p>
        </w:tc>
        <w:tc>
          <w:tcPr>
            <w:tcW w:w="1050" w:type="dxa"/>
            <w:vAlign w:val="center"/>
          </w:tcPr>
          <w:p w14:paraId="7D044CEF">
            <w:pPr>
              <w:pStyle w:val="337"/>
              <w:rPr>
                <w:snapToGrid w:val="0"/>
                <w:color w:val="auto"/>
                <w:kern w:val="0"/>
                <w:lang w:val="en-US" w:eastAsia="en-US" w:bidi="en-US"/>
              </w:rPr>
            </w:pPr>
            <w:r>
              <w:rPr>
                <w:rFonts w:hint="eastAsia"/>
                <w:color w:val="auto"/>
                <w:lang w:val="en-US" w:eastAsia="zh-CN" w:bidi="en-US"/>
              </w:rPr>
              <w:t>草地</w:t>
            </w:r>
          </w:p>
        </w:tc>
      </w:tr>
      <w:tr w14:paraId="16B4B6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tcBorders>
              <w:top w:val="single" w:color="000000" w:sz="4" w:space="0"/>
            </w:tcBorders>
            <w:vAlign w:val="center"/>
          </w:tcPr>
          <w:p w14:paraId="559B0C4D">
            <w:pPr>
              <w:pStyle w:val="337"/>
              <w:rPr>
                <w:color w:val="auto"/>
                <w:lang w:val="en-US" w:eastAsia="zh-CN" w:bidi="en-US"/>
              </w:rPr>
            </w:pPr>
            <w:r>
              <w:rPr>
                <w:rFonts w:hint="eastAsia"/>
                <w:color w:val="auto"/>
                <w:lang w:val="en-US" w:eastAsia="zh-CN" w:bidi="en-US"/>
              </w:rPr>
              <w:t>内部联络道路</w:t>
            </w:r>
          </w:p>
          <w:p w14:paraId="5FABFBB8">
            <w:pPr>
              <w:pStyle w:val="337"/>
              <w:rPr>
                <w:color w:val="auto"/>
                <w:lang w:val="en-US" w:eastAsia="zh-CN" w:bidi="en-US"/>
              </w:rPr>
            </w:pPr>
            <w:r>
              <w:rPr>
                <w:rFonts w:hint="eastAsia"/>
                <w:color w:val="auto"/>
                <w:lang w:val="en-US" w:eastAsia="zh-CN" w:bidi="en-US"/>
              </w:rPr>
              <w:t>临时占地</w:t>
            </w:r>
          </w:p>
        </w:tc>
        <w:tc>
          <w:tcPr>
            <w:tcW w:w="1276" w:type="dxa"/>
            <w:vAlign w:val="center"/>
          </w:tcPr>
          <w:p w14:paraId="739A0E94">
            <w:pPr>
              <w:pStyle w:val="337"/>
              <w:rPr>
                <w:color w:val="auto"/>
                <w:lang w:val="en-US" w:eastAsia="zh-CN" w:bidi="en-US"/>
              </w:rPr>
            </w:pPr>
            <w:r>
              <w:rPr>
                <w:rFonts w:hint="eastAsia"/>
                <w:color w:val="auto"/>
                <w:lang w:val="en-US" w:eastAsia="zh-CN" w:bidi="en-US"/>
              </w:rPr>
              <w:t>3.12</w:t>
            </w:r>
          </w:p>
        </w:tc>
        <w:tc>
          <w:tcPr>
            <w:tcW w:w="1843" w:type="dxa"/>
            <w:vAlign w:val="center"/>
          </w:tcPr>
          <w:p w14:paraId="67E36249">
            <w:pPr>
              <w:pStyle w:val="337"/>
              <w:rPr>
                <w:snapToGrid w:val="0"/>
                <w:color w:val="auto"/>
                <w:kern w:val="0"/>
                <w:lang w:val="en-US" w:eastAsia="zh-CN" w:bidi="en-US"/>
              </w:rPr>
            </w:pPr>
            <w:r>
              <w:rPr>
                <w:rFonts w:hint="eastAsia"/>
                <w:snapToGrid w:val="0"/>
                <w:color w:val="auto"/>
                <w:kern w:val="0"/>
                <w:lang w:val="en-US" w:eastAsia="en-US" w:bidi="en-US"/>
              </w:rPr>
              <w:t>覆土、</w:t>
            </w:r>
            <w:r>
              <w:rPr>
                <w:rFonts w:hint="eastAsia"/>
                <w:snapToGrid w:val="0"/>
                <w:color w:val="auto"/>
                <w:kern w:val="0"/>
                <w:lang w:val="en-US" w:eastAsia="zh-CN" w:bidi="en-US"/>
              </w:rPr>
              <w:t>播撒草籽</w:t>
            </w:r>
          </w:p>
        </w:tc>
        <w:tc>
          <w:tcPr>
            <w:tcW w:w="2409" w:type="dxa"/>
            <w:vAlign w:val="center"/>
          </w:tcPr>
          <w:p w14:paraId="6FD8E272">
            <w:pPr>
              <w:pStyle w:val="337"/>
              <w:rPr>
                <w:snapToGrid w:val="0"/>
                <w:color w:val="auto"/>
                <w:kern w:val="0"/>
                <w:lang w:val="en-US" w:eastAsia="zh-CN" w:bidi="en-US"/>
              </w:rPr>
            </w:pPr>
            <w:r>
              <w:rPr>
                <w:rFonts w:hint="eastAsia"/>
                <w:snapToGrid w:val="0"/>
                <w:color w:val="auto"/>
                <w:kern w:val="0"/>
                <w:lang w:val="en-US" w:eastAsia="zh-CN" w:bidi="en-US"/>
              </w:rPr>
              <w:t>2015</w:t>
            </w:r>
            <w:r>
              <w:rPr>
                <w:rFonts w:hint="eastAsia" w:ascii="宋体" w:hAnsi="宋体"/>
                <w:snapToGrid w:val="0"/>
                <w:color w:val="auto"/>
                <w:kern w:val="0"/>
                <w:lang w:val="en-US" w:eastAsia="zh-CN" w:bidi="en-US"/>
              </w:rPr>
              <w:t>～2016年</w:t>
            </w:r>
          </w:p>
        </w:tc>
        <w:tc>
          <w:tcPr>
            <w:tcW w:w="1050" w:type="dxa"/>
            <w:vAlign w:val="center"/>
          </w:tcPr>
          <w:p w14:paraId="4621CEAF">
            <w:pPr>
              <w:pStyle w:val="337"/>
              <w:rPr>
                <w:snapToGrid w:val="0"/>
                <w:color w:val="auto"/>
                <w:kern w:val="0"/>
                <w:lang w:val="en-US" w:eastAsia="zh-CN" w:bidi="en-US"/>
              </w:rPr>
            </w:pPr>
            <w:r>
              <w:rPr>
                <w:rFonts w:hint="eastAsia"/>
                <w:color w:val="auto"/>
                <w:lang w:val="en-US" w:eastAsia="zh-CN" w:bidi="en-US"/>
              </w:rPr>
              <w:t>草地</w:t>
            </w:r>
          </w:p>
        </w:tc>
      </w:tr>
      <w:tr w14:paraId="356034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951" w:type="dxa"/>
            <w:vAlign w:val="center"/>
          </w:tcPr>
          <w:p w14:paraId="6D5BBCA5">
            <w:pPr>
              <w:pStyle w:val="337"/>
              <w:rPr>
                <w:color w:val="auto"/>
                <w:lang w:val="en-US" w:eastAsia="zh-CN" w:bidi="en-US"/>
              </w:rPr>
            </w:pPr>
            <w:r>
              <w:rPr>
                <w:color w:val="auto"/>
                <w:lang w:val="en-US" w:eastAsia="zh-CN" w:bidi="en-US"/>
              </w:rPr>
              <w:t>合计</w:t>
            </w:r>
          </w:p>
        </w:tc>
        <w:tc>
          <w:tcPr>
            <w:tcW w:w="6578" w:type="dxa"/>
            <w:gridSpan w:val="4"/>
            <w:vAlign w:val="center"/>
          </w:tcPr>
          <w:p w14:paraId="6F20D041">
            <w:pPr>
              <w:pStyle w:val="337"/>
              <w:rPr>
                <w:color w:val="auto"/>
                <w:lang w:val="en-US" w:eastAsia="zh-CN" w:bidi="en-US"/>
              </w:rPr>
            </w:pPr>
            <w:r>
              <w:rPr>
                <w:rFonts w:hint="eastAsia"/>
                <w:color w:val="auto"/>
                <w:lang w:val="en-US" w:eastAsia="zh-CN" w:bidi="en-US"/>
              </w:rPr>
              <w:t>50.67</w:t>
            </w:r>
          </w:p>
        </w:tc>
      </w:tr>
    </w:tbl>
    <w:p w14:paraId="296E09D9">
      <w:pPr>
        <w:pStyle w:val="4"/>
        <w:rPr>
          <w:lang w:eastAsia="zh-CN"/>
        </w:rPr>
      </w:pPr>
      <w:bookmarkStart w:id="528" w:name="_Toc408414024"/>
      <w:bookmarkStart w:id="529" w:name="_Toc338663526"/>
      <w:bookmarkStart w:id="530" w:name="_Toc338663527"/>
      <w:r>
        <w:rPr>
          <w:lang w:eastAsia="zh-CN"/>
        </w:rPr>
        <w:t>9.3.</w:t>
      </w:r>
      <w:r>
        <w:rPr>
          <w:rFonts w:hint="eastAsia"/>
          <w:lang w:eastAsia="zh-CN"/>
        </w:rPr>
        <w:t>4</w:t>
      </w:r>
      <w:r>
        <w:rPr>
          <w:lang w:eastAsia="zh-CN"/>
        </w:rPr>
        <w:t>闭井期的环境保护措施</w:t>
      </w:r>
      <w:bookmarkEnd w:id="528"/>
      <w:bookmarkEnd w:id="529"/>
    </w:p>
    <w:p w14:paraId="155136EA">
      <w:pPr>
        <w:ind w:firstLine="480"/>
        <w:rPr>
          <w:rFonts w:asciiTheme="minorEastAsia" w:hAnsiTheme="minorEastAsia" w:eastAsiaTheme="minorEastAsia"/>
          <w:lang w:eastAsia="zh-CN"/>
        </w:rPr>
      </w:pPr>
      <w:r>
        <w:rPr>
          <w:rFonts w:asciiTheme="minorEastAsia" w:hAnsiTheme="minorEastAsia" w:eastAsiaTheme="minorEastAsia"/>
          <w:lang w:eastAsia="zh-CN"/>
        </w:rPr>
        <w:t>油田闭井期并非所有油井都同时关闭，而是将那些产能太低或者无续采价值的油井陆续关闭，直到将所有油井关闭结束。服役后期，需要弃井时，对于地质报废井，在井下油层井段打水泥塞进行封堵；对于工程报废井，在井底用阀门和钢板焊接封死，以待将来开发；在地面井口设置护墩。同时将地面部分如井架、水泥台、电线杆等拆除，井间支路废弃等。对废弃的井场、道路应采取生态恢复措施，使开发区块恢复到原来的自然景观。</w:t>
      </w:r>
    </w:p>
    <w:bookmarkEnd w:id="530"/>
    <w:p w14:paraId="4599E27C">
      <w:pPr>
        <w:ind w:firstLine="480"/>
        <w:rPr>
          <w:snapToGrid w:val="0"/>
          <w:lang w:eastAsia="zh-CN"/>
        </w:rPr>
        <w:sectPr>
          <w:pgSz w:w="11907" w:h="16840"/>
          <w:pgMar w:top="1440" w:right="1797" w:bottom="1440" w:left="1797" w:header="851" w:footer="992" w:gutter="0"/>
          <w:cols w:space="720" w:num="1"/>
          <w:docGrid w:linePitch="326" w:charSpace="0"/>
        </w:sectPr>
      </w:pPr>
    </w:p>
    <w:p w14:paraId="1D4928FB">
      <w:pPr>
        <w:pStyle w:val="380"/>
        <w:spacing w:before="0" w:after="0"/>
        <w:rPr>
          <w:rFonts w:cs="Times New Roman"/>
          <w:lang w:eastAsia="zh-CN"/>
        </w:rPr>
      </w:pPr>
      <w:bookmarkStart w:id="531" w:name="_Toc408414025"/>
      <w:bookmarkStart w:id="532" w:name="_Toc248649470"/>
      <w:bookmarkStart w:id="533" w:name="_Toc201540741"/>
      <w:bookmarkStart w:id="534" w:name="_Toc151275782"/>
      <w:bookmarkStart w:id="535" w:name="_Toc187844856"/>
      <w:r>
        <w:rPr>
          <w:rFonts w:cs="Times New Roman"/>
          <w:lang w:eastAsia="zh-CN"/>
        </w:rPr>
        <w:t>10水土保持方案</w:t>
      </w:r>
      <w:bookmarkEnd w:id="531"/>
      <w:bookmarkEnd w:id="532"/>
      <w:bookmarkEnd w:id="533"/>
    </w:p>
    <w:bookmarkEnd w:id="534"/>
    <w:bookmarkEnd w:id="535"/>
    <w:p w14:paraId="400CA980">
      <w:pPr>
        <w:ind w:firstLine="480"/>
        <w:rPr>
          <w:rFonts w:asciiTheme="minorEastAsia" w:hAnsiTheme="minorEastAsia" w:eastAsiaTheme="minorEastAsia"/>
          <w:lang w:eastAsia="zh-CN"/>
        </w:rPr>
      </w:pPr>
      <w:bookmarkStart w:id="536" w:name="_Toc29171512"/>
      <w:bookmarkStart w:id="537" w:name="_Toc154113753"/>
      <w:bookmarkStart w:id="538" w:name="_Toc253358719"/>
      <w:bookmarkStart w:id="539" w:name="_Toc154297348"/>
      <w:bookmarkStart w:id="540" w:name="_Toc29168889"/>
      <w:bookmarkStart w:id="541" w:name="_Toc152924562"/>
      <w:bookmarkStart w:id="542" w:name="_Toc154298005"/>
      <w:bookmarkStart w:id="543" w:name="_Toc208830190"/>
      <w:bookmarkStart w:id="544" w:name="_Toc208827820"/>
      <w:bookmarkStart w:id="545" w:name="_Toc226349918"/>
      <w:bookmarkStart w:id="546" w:name="_Toc208825940"/>
      <w:bookmarkStart w:id="547" w:name="_Toc206995809"/>
      <w:bookmarkStart w:id="548" w:name="_Toc208826818"/>
      <w:bookmarkStart w:id="549" w:name="_Toc153387952"/>
      <w:bookmarkStart w:id="550" w:name="_Toc122719196"/>
      <w:bookmarkStart w:id="551" w:name="_Toc208829920"/>
      <w:bookmarkStart w:id="552" w:name="_Toc208824077"/>
      <w:bookmarkStart w:id="553" w:name="_Toc208826532"/>
      <w:bookmarkStart w:id="554" w:name="_Toc208828094"/>
      <w:bookmarkStart w:id="555" w:name="_Toc226348437"/>
      <w:bookmarkStart w:id="556" w:name="_Toc208825490"/>
      <w:bookmarkStart w:id="557" w:name="_Toc203878092"/>
      <w:bookmarkStart w:id="558" w:name="_Toc116514710"/>
      <w:bookmarkStart w:id="559" w:name="_Toc209538743"/>
      <w:bookmarkStart w:id="560" w:name="_Toc208829650"/>
      <w:r>
        <w:rPr>
          <w:rFonts w:asciiTheme="minorEastAsia" w:hAnsiTheme="minorEastAsia" w:eastAsiaTheme="minorEastAsia"/>
          <w:lang w:eastAsia="zh-CN"/>
        </w:rPr>
        <w:t>根据《建设项目环境保护管理条例》的有关规定，本项目的水土保持方案于20</w:t>
      </w:r>
      <w:r>
        <w:rPr>
          <w:rFonts w:hint="eastAsia" w:asciiTheme="minorEastAsia" w:hAnsiTheme="minorEastAsia" w:eastAsiaTheme="minorEastAsia"/>
          <w:lang w:eastAsia="zh-CN"/>
        </w:rPr>
        <w:t>11</w:t>
      </w:r>
      <w:r>
        <w:rPr>
          <w:rFonts w:asciiTheme="minorEastAsia" w:hAnsiTheme="minorEastAsia" w:eastAsiaTheme="minorEastAsia"/>
          <w:lang w:eastAsia="zh-CN"/>
        </w:rPr>
        <w:t>年</w:t>
      </w:r>
      <w:r>
        <w:rPr>
          <w:rFonts w:hint="eastAsia" w:asciiTheme="minorEastAsia" w:hAnsiTheme="minorEastAsia" w:eastAsiaTheme="minorEastAsia"/>
          <w:lang w:eastAsia="zh-CN"/>
        </w:rPr>
        <w:t>11</w:t>
      </w:r>
      <w:r>
        <w:rPr>
          <w:rFonts w:asciiTheme="minorEastAsia" w:hAnsiTheme="minorEastAsia" w:eastAsiaTheme="minorEastAsia"/>
          <w:lang w:eastAsia="zh-CN"/>
        </w:rPr>
        <w:t>月由内蒙古自治区</w:t>
      </w:r>
      <w:r>
        <w:rPr>
          <w:rFonts w:hint="eastAsia" w:asciiTheme="minorEastAsia" w:hAnsiTheme="minorEastAsia" w:eastAsiaTheme="minorEastAsia"/>
          <w:lang w:eastAsia="zh-CN"/>
        </w:rPr>
        <w:t>水利科学院</w:t>
      </w:r>
      <w:r>
        <w:rPr>
          <w:rFonts w:asciiTheme="minorEastAsia" w:hAnsiTheme="minorEastAsia" w:eastAsiaTheme="minorEastAsia"/>
          <w:lang w:eastAsia="zh-CN"/>
        </w:rPr>
        <w:t>编制完成。本章内容在满足环评需要的前提下，</w:t>
      </w:r>
      <w:r>
        <w:rPr>
          <w:rFonts w:hint="eastAsia" w:asciiTheme="minorEastAsia" w:hAnsiTheme="minorEastAsia" w:eastAsiaTheme="minorEastAsia"/>
          <w:lang w:eastAsia="zh-CN"/>
        </w:rPr>
        <w:t>还结合了</w:t>
      </w:r>
      <w:r>
        <w:rPr>
          <w:rFonts w:asciiTheme="minorEastAsia" w:hAnsiTheme="minorEastAsia" w:eastAsiaTheme="minorEastAsia"/>
          <w:lang w:eastAsia="zh-CN"/>
        </w:rPr>
        <w:t>《华北油田二连分公司石油开发建设项目水土保持方案报告书》</w:t>
      </w:r>
      <w:r>
        <w:rPr>
          <w:rFonts w:hint="eastAsia" w:asciiTheme="minorEastAsia" w:hAnsiTheme="minorEastAsia" w:eastAsiaTheme="minorEastAsia"/>
          <w:lang w:eastAsia="zh-CN"/>
        </w:rPr>
        <w:t>及其批复和</w:t>
      </w:r>
      <w:r>
        <w:rPr>
          <w:rFonts w:asciiTheme="minorEastAsia" w:hAnsiTheme="minorEastAsia" w:eastAsiaTheme="minorEastAsia"/>
          <w:lang w:eastAsia="zh-CN"/>
        </w:rPr>
        <w:t>《</w:t>
      </w:r>
      <w:r>
        <w:rPr>
          <w:rFonts w:hint="eastAsia" w:asciiTheme="minorEastAsia" w:hAnsiTheme="minorEastAsia" w:eastAsiaTheme="minorEastAsia"/>
          <w:lang w:eastAsia="zh-CN"/>
        </w:rPr>
        <w:t>阿尔、乌里雅斯太油田原油外输系统及配套工程</w:t>
      </w:r>
      <w:r>
        <w:rPr>
          <w:rFonts w:asciiTheme="minorEastAsia" w:hAnsiTheme="minorEastAsia" w:eastAsiaTheme="minorEastAsia"/>
          <w:lang w:eastAsia="zh-CN"/>
        </w:rPr>
        <w:t>水土保持方案报告书》</w:t>
      </w:r>
      <w:r>
        <w:rPr>
          <w:rFonts w:hint="eastAsia" w:asciiTheme="minorEastAsia" w:hAnsiTheme="minorEastAsia" w:eastAsiaTheme="minorEastAsia"/>
          <w:lang w:eastAsia="zh-CN"/>
        </w:rPr>
        <w:t>的部分内容。</w:t>
      </w:r>
      <w:r>
        <w:rPr>
          <w:rFonts w:asciiTheme="minorEastAsia" w:hAnsiTheme="minorEastAsia" w:eastAsiaTheme="minorEastAsia"/>
          <w:lang w:eastAsia="zh-CN"/>
        </w:rPr>
        <w:t>《华北油田二连分公司石油开发建设项目水土保持方案报告书》</w:t>
      </w:r>
      <w:r>
        <w:rPr>
          <w:rFonts w:hint="eastAsia" w:asciiTheme="minorEastAsia" w:hAnsiTheme="minorEastAsia" w:eastAsiaTheme="minorEastAsia"/>
          <w:lang w:eastAsia="zh-CN"/>
        </w:rPr>
        <w:t>由内蒙古水文总局编制，该水土保持方案包括本油田开发建设（雅-站油田），设计服务期为10年，设计水平年为2009年，锡盟水利局以锡水发</w:t>
      </w:r>
      <w:r>
        <w:rPr>
          <w:rFonts w:asciiTheme="minorEastAsia" w:hAnsiTheme="minorEastAsia" w:eastAsiaTheme="minorEastAsia"/>
          <w:lang w:eastAsia="zh-CN"/>
        </w:rPr>
        <w:t>[2008]542号</w:t>
      </w:r>
      <w:r>
        <w:rPr>
          <w:rFonts w:hint="eastAsia" w:asciiTheme="minorEastAsia" w:hAnsiTheme="minorEastAsia" w:eastAsiaTheme="minorEastAsia"/>
          <w:lang w:eastAsia="zh-CN"/>
        </w:rPr>
        <w:t>批复</w:t>
      </w:r>
      <w:r>
        <w:rPr>
          <w:rFonts w:asciiTheme="minorEastAsia" w:hAnsiTheme="minorEastAsia" w:eastAsiaTheme="minorEastAsia"/>
          <w:lang w:eastAsia="zh-CN"/>
        </w:rPr>
        <w:t>。《</w:t>
      </w:r>
      <w:r>
        <w:rPr>
          <w:rFonts w:hint="eastAsia" w:asciiTheme="minorEastAsia" w:hAnsiTheme="minorEastAsia" w:eastAsiaTheme="minorEastAsia"/>
          <w:lang w:eastAsia="zh-CN"/>
        </w:rPr>
        <w:t>阿尔、乌里雅斯太油田原油外输系统及配套工程</w:t>
      </w:r>
      <w:r>
        <w:rPr>
          <w:rFonts w:asciiTheme="minorEastAsia" w:hAnsiTheme="minorEastAsia" w:eastAsiaTheme="minorEastAsia"/>
          <w:lang w:eastAsia="zh-CN"/>
        </w:rPr>
        <w:t>水土保持方案报告书》</w:t>
      </w:r>
      <w:r>
        <w:rPr>
          <w:rFonts w:hint="eastAsia" w:asciiTheme="minorEastAsia" w:hAnsiTheme="minorEastAsia" w:eastAsiaTheme="minorEastAsia"/>
          <w:lang w:eastAsia="zh-CN"/>
        </w:rPr>
        <w:t>是2011年由内蒙古自治区水利科学院编制完成，主其中包括乌里雅斯太油田的油气集输工程。</w:t>
      </w:r>
    </w:p>
    <w:p w14:paraId="3D008099">
      <w:pPr>
        <w:pStyle w:val="3"/>
        <w:rPr>
          <w:lang w:eastAsia="zh-CN"/>
        </w:rPr>
      </w:pPr>
      <w:bookmarkStart w:id="561" w:name="_Toc277931040"/>
      <w:bookmarkStart w:id="562" w:name="_Toc306547466"/>
      <w:bookmarkStart w:id="563" w:name="_Toc408414026"/>
      <w:bookmarkStart w:id="564" w:name="_Toc293873703"/>
      <w:bookmarkStart w:id="565" w:name="_Toc309208234"/>
      <w:r>
        <w:rPr>
          <w:lang w:eastAsia="zh-CN"/>
        </w:rPr>
        <w:t>10.</w:t>
      </w:r>
      <w:bookmarkStart w:id="566" w:name="_Toc101963189"/>
      <w:bookmarkStart w:id="567" w:name="_Toc118563349"/>
      <w:bookmarkStart w:id="568" w:name="_Toc107310839"/>
      <w:bookmarkStart w:id="569" w:name="_Toc113821216"/>
      <w:bookmarkStart w:id="570" w:name="_Toc107171824"/>
      <w:bookmarkStart w:id="571" w:name="_Toc107312982"/>
      <w:bookmarkStart w:id="572" w:name="_Toc105925380"/>
      <w:bookmarkStart w:id="573" w:name="_Toc107170920"/>
      <w:bookmarkStart w:id="574" w:name="_Toc99073463"/>
      <w:bookmarkStart w:id="575" w:name="_Toc108804922"/>
      <w:bookmarkStart w:id="576" w:name="_Toc107310005"/>
      <w:bookmarkStart w:id="577" w:name="_Toc99709810"/>
      <w:bookmarkStart w:id="578" w:name="_Toc106418889"/>
      <w:bookmarkStart w:id="579" w:name="_Toc113730981"/>
      <w:bookmarkStart w:id="580" w:name="_Toc99073398"/>
      <w:bookmarkStart w:id="581" w:name="_Toc105821038"/>
      <w:r>
        <w:rPr>
          <w:lang w:eastAsia="zh-CN"/>
        </w:rPr>
        <w:t>1防治责任范围及防治目标</w:t>
      </w:r>
      <w:bookmarkEnd w:id="536"/>
      <w:bookmarkEnd w:id="537"/>
      <w:bookmarkEnd w:id="538"/>
      <w:bookmarkEnd w:id="539"/>
      <w:bookmarkEnd w:id="540"/>
      <w:bookmarkEnd w:id="541"/>
      <w:bookmarkEnd w:id="542"/>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14:paraId="6DBE7738">
      <w:pPr>
        <w:pStyle w:val="4"/>
        <w:rPr>
          <w:lang w:eastAsia="zh-CN"/>
        </w:rPr>
      </w:pPr>
      <w:bookmarkStart w:id="582" w:name="_Toc106418890"/>
      <w:bookmarkStart w:id="583" w:name="_Toc29168890"/>
      <w:bookmarkStart w:id="584" w:name="_Toc113730982"/>
      <w:bookmarkStart w:id="585" w:name="_Toc105925381"/>
      <w:bookmarkStart w:id="586" w:name="_Toc29171513"/>
      <w:bookmarkStart w:id="587" w:name="_Toc107310840"/>
      <w:bookmarkStart w:id="588" w:name="_Toc253358720"/>
      <w:bookmarkStart w:id="589" w:name="_Toc107171825"/>
      <w:bookmarkStart w:id="590" w:name="_Toc154298006"/>
      <w:bookmarkStart w:id="591" w:name="_Toc408414027"/>
      <w:bookmarkStart w:id="592" w:name="_Toc277931041"/>
      <w:bookmarkStart w:id="593" w:name="_Toc154113754"/>
      <w:bookmarkStart w:id="594" w:name="_Toc107310006"/>
      <w:bookmarkStart w:id="595" w:name="_Toc306547467"/>
      <w:bookmarkStart w:id="596" w:name="_Toc293873704"/>
      <w:bookmarkStart w:id="597" w:name="_Toc154297349"/>
      <w:bookmarkStart w:id="598" w:name="_Toc152924563"/>
      <w:bookmarkStart w:id="599" w:name="_Toc107170921"/>
      <w:bookmarkStart w:id="600" w:name="_Toc108804923"/>
      <w:bookmarkStart w:id="601" w:name="_Toc118563350"/>
      <w:bookmarkStart w:id="602" w:name="_Toc309208235"/>
      <w:bookmarkStart w:id="603" w:name="_Toc105821039"/>
      <w:bookmarkStart w:id="604" w:name="_Toc113821217"/>
      <w:bookmarkStart w:id="605" w:name="_Toc107312983"/>
      <w:r>
        <w:rPr>
          <w:lang w:eastAsia="zh-CN"/>
        </w:rPr>
        <w:t>10.1.1水土流失防治责任范围</w:t>
      </w:r>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p>
    <w:p w14:paraId="01F6DF33">
      <w:pPr>
        <w:ind w:firstLine="480"/>
        <w:rPr>
          <w:rFonts w:asciiTheme="minorEastAsia" w:hAnsiTheme="minorEastAsia" w:eastAsiaTheme="minorEastAsia"/>
          <w:lang w:eastAsia="zh-CN"/>
        </w:rPr>
      </w:pPr>
      <w:r>
        <w:rPr>
          <w:rFonts w:asciiTheme="minorEastAsia" w:hAnsiTheme="minorEastAsia" w:eastAsiaTheme="minorEastAsia"/>
          <w:lang w:eastAsia="zh-CN"/>
        </w:rPr>
        <w:t>根据水土保持法律和法规规定的</w:t>
      </w:r>
      <w:r>
        <w:rPr>
          <w:rFonts w:hint="eastAsia" w:asciiTheme="minorEastAsia" w:hAnsiTheme="minorEastAsia" w:eastAsiaTheme="minorEastAsia"/>
          <w:lang w:eastAsia="zh-CN"/>
        </w:rPr>
        <w:t>“</w:t>
      </w:r>
      <w:r>
        <w:rPr>
          <w:rFonts w:asciiTheme="minorEastAsia" w:hAnsiTheme="minorEastAsia" w:eastAsiaTheme="minorEastAsia"/>
          <w:lang w:eastAsia="zh-CN"/>
        </w:rPr>
        <w:t>谁开发谁保护，谁造成水土流失谁负责治理</w:t>
      </w:r>
      <w:r>
        <w:rPr>
          <w:rFonts w:hint="eastAsia" w:asciiTheme="minorEastAsia" w:hAnsiTheme="minorEastAsia" w:eastAsiaTheme="minorEastAsia"/>
          <w:lang w:eastAsia="zh-CN"/>
        </w:rPr>
        <w:t>”</w:t>
      </w:r>
      <w:r>
        <w:rPr>
          <w:rFonts w:asciiTheme="minorEastAsia" w:hAnsiTheme="minorEastAsia" w:eastAsiaTheme="minorEastAsia"/>
          <w:lang w:eastAsia="zh-CN"/>
        </w:rPr>
        <w:t>的原则，按照《开发建设项目水土保持方案技术规范》（SL204-98）的规定，将本工程水土流失防治责任范围划分为项目建设区和直接影响区。根据工程的建设特点，以及对周围水土流失的影响和征用土地情况，经沿线实地调查，确定本项目在服务期内的水土流失防治责任范围为</w:t>
      </w:r>
      <w:r>
        <w:rPr>
          <w:rFonts w:hint="eastAsia" w:asciiTheme="minorEastAsia" w:hAnsiTheme="minorEastAsia" w:eastAsiaTheme="minorEastAsia"/>
          <w:lang w:eastAsia="zh-CN"/>
        </w:rPr>
        <w:t>65.87</w:t>
      </w:r>
      <w:r>
        <w:rPr>
          <w:rFonts w:asciiTheme="minorEastAsia" w:hAnsiTheme="minorEastAsia" w:eastAsiaTheme="minorEastAsia"/>
          <w:lang w:eastAsia="zh-CN"/>
        </w:rPr>
        <w:t>hm</w:t>
      </w:r>
      <w:r>
        <w:rPr>
          <w:rFonts w:asciiTheme="minorEastAsia" w:hAnsiTheme="minorEastAsia" w:eastAsiaTheme="minorEastAsia"/>
          <w:vertAlign w:val="superscript"/>
          <w:lang w:eastAsia="zh-CN"/>
        </w:rPr>
        <w:t>2</w:t>
      </w:r>
      <w:r>
        <w:rPr>
          <w:rFonts w:asciiTheme="minorEastAsia" w:hAnsiTheme="minorEastAsia" w:eastAsiaTheme="minorEastAsia"/>
          <w:lang w:eastAsia="zh-CN"/>
        </w:rPr>
        <w:t>，其中项目建设区</w:t>
      </w:r>
      <w:r>
        <w:rPr>
          <w:rFonts w:hint="eastAsia" w:asciiTheme="minorEastAsia" w:hAnsiTheme="minorEastAsia" w:eastAsiaTheme="minorEastAsia"/>
          <w:lang w:eastAsia="zh-CN"/>
        </w:rPr>
        <w:t>15.2</w:t>
      </w:r>
      <w:r>
        <w:rPr>
          <w:rFonts w:asciiTheme="minorEastAsia" w:hAnsiTheme="minorEastAsia" w:eastAsiaTheme="minorEastAsia"/>
          <w:lang w:eastAsia="zh-CN"/>
        </w:rPr>
        <w:t>hm</w:t>
      </w:r>
      <w:r>
        <w:rPr>
          <w:rFonts w:asciiTheme="minorEastAsia" w:hAnsiTheme="minorEastAsia" w:eastAsiaTheme="minorEastAsia"/>
          <w:vertAlign w:val="superscript"/>
          <w:lang w:eastAsia="zh-CN"/>
        </w:rPr>
        <w:t>2</w:t>
      </w:r>
      <w:bookmarkStart w:id="606" w:name="_Toc306547468"/>
      <w:bookmarkStart w:id="607" w:name="_Toc309208236"/>
      <w:bookmarkStart w:id="608" w:name="_Toc293873705"/>
      <w:r>
        <w:rPr>
          <w:rFonts w:asciiTheme="minorEastAsia" w:hAnsiTheme="minorEastAsia" w:eastAsiaTheme="minorEastAsia"/>
          <w:lang w:eastAsia="zh-CN"/>
        </w:rPr>
        <w:t>，直接影响区的防治责任范围</w:t>
      </w:r>
      <w:r>
        <w:rPr>
          <w:rFonts w:hint="eastAsia" w:asciiTheme="minorEastAsia" w:hAnsiTheme="minorEastAsia" w:eastAsiaTheme="minorEastAsia"/>
          <w:lang w:eastAsia="zh-CN"/>
        </w:rPr>
        <w:t>50.67</w:t>
      </w:r>
      <w:r>
        <w:rPr>
          <w:rFonts w:asciiTheme="minorEastAsia" w:hAnsiTheme="minorEastAsia" w:eastAsiaTheme="minorEastAsia"/>
          <w:lang w:eastAsia="zh-CN"/>
        </w:rPr>
        <w:t>hm</w:t>
      </w:r>
      <w:r>
        <w:rPr>
          <w:rFonts w:asciiTheme="minorEastAsia" w:hAnsiTheme="minorEastAsia" w:eastAsiaTheme="minorEastAsia"/>
          <w:vertAlign w:val="superscript"/>
          <w:lang w:eastAsia="zh-CN"/>
        </w:rPr>
        <w:t>2</w:t>
      </w:r>
      <w:r>
        <w:rPr>
          <w:rFonts w:hint="eastAsia" w:asciiTheme="minorEastAsia" w:hAnsiTheme="minorEastAsia" w:eastAsiaTheme="minorEastAsia"/>
          <w:lang w:eastAsia="zh-CN"/>
        </w:rPr>
        <w:t>。</w:t>
      </w:r>
    </w:p>
    <w:p w14:paraId="33FDEA55">
      <w:pPr>
        <w:pStyle w:val="4"/>
        <w:rPr>
          <w:lang w:eastAsia="zh-CN"/>
        </w:rPr>
      </w:pPr>
      <w:bookmarkStart w:id="609" w:name="_Toc408414028"/>
      <w:r>
        <w:rPr>
          <w:lang w:eastAsia="zh-CN"/>
        </w:rPr>
        <w:t>10.1.2水土流失防治分区</w:t>
      </w:r>
      <w:bookmarkEnd w:id="606"/>
      <w:bookmarkEnd w:id="607"/>
      <w:bookmarkEnd w:id="608"/>
      <w:bookmarkEnd w:id="609"/>
    </w:p>
    <w:p w14:paraId="14685A96">
      <w:pPr>
        <w:ind w:firstLine="480"/>
        <w:rPr>
          <w:lang w:eastAsia="zh-CN"/>
        </w:rPr>
      </w:pPr>
      <w:r>
        <w:rPr>
          <w:lang w:eastAsia="zh-CN"/>
        </w:rPr>
        <w:t>根据分区原则与依据，</w:t>
      </w:r>
      <w:bookmarkStart w:id="610" w:name="_Toc277931042"/>
      <w:bookmarkStart w:id="611" w:name="_Toc293873706"/>
      <w:bookmarkStart w:id="612" w:name="_Toc309208237"/>
      <w:bookmarkStart w:id="613" w:name="_Toc306547469"/>
      <w:r>
        <w:rPr>
          <w:lang w:eastAsia="zh-CN"/>
        </w:rPr>
        <w:t>按照水土流失形式及治理的一致性进行分区，结合本项目的特点，把工程水土流失防治区划分为共4个防治区，分别为</w:t>
      </w:r>
      <w:r>
        <w:rPr>
          <w:rFonts w:hint="eastAsia"/>
          <w:lang w:eastAsia="zh-CN"/>
        </w:rPr>
        <w:t>采井</w:t>
      </w:r>
      <w:r>
        <w:rPr>
          <w:lang w:eastAsia="zh-CN"/>
        </w:rPr>
        <w:t>工程防治区</w:t>
      </w:r>
      <w:r>
        <w:rPr>
          <w:rFonts w:hint="eastAsia"/>
          <w:lang w:eastAsia="zh-CN"/>
        </w:rPr>
        <w:t>、</w:t>
      </w:r>
      <w:r>
        <w:rPr>
          <w:lang w:eastAsia="zh-CN"/>
        </w:rPr>
        <w:t>油气集输工程防治区、道路工程防治区和</w:t>
      </w:r>
      <w:r>
        <w:rPr>
          <w:rFonts w:hint="eastAsia"/>
          <w:lang w:eastAsia="zh-CN"/>
        </w:rPr>
        <w:t>站场工程</w:t>
      </w:r>
      <w:r>
        <w:rPr>
          <w:lang w:eastAsia="zh-CN"/>
        </w:rPr>
        <w:t>防治区。</w:t>
      </w:r>
    </w:p>
    <w:p w14:paraId="34740FF1">
      <w:pPr>
        <w:pStyle w:val="4"/>
        <w:rPr>
          <w:lang w:eastAsia="zh-CN"/>
        </w:rPr>
      </w:pPr>
      <w:bookmarkStart w:id="614" w:name="_Toc408414029"/>
      <w:r>
        <w:rPr>
          <w:lang w:eastAsia="zh-CN"/>
        </w:rPr>
        <w:t>10.1.3水土保持</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Start w:id="615" w:name="_Toc122719197"/>
      <w:bookmarkStart w:id="616" w:name="_Toc226348438"/>
      <w:bookmarkStart w:id="617" w:name="_Toc208825491"/>
      <w:bookmarkStart w:id="618" w:name="_Toc209538744"/>
      <w:bookmarkStart w:id="619" w:name="_Toc208829651"/>
      <w:bookmarkStart w:id="620" w:name="_Toc208827821"/>
      <w:bookmarkStart w:id="621" w:name="_Toc208830191"/>
      <w:bookmarkStart w:id="622" w:name="_Toc208828095"/>
      <w:bookmarkStart w:id="623" w:name="_Toc116514711"/>
      <w:bookmarkStart w:id="624" w:name="_Toc208826533"/>
      <w:bookmarkStart w:id="625" w:name="_Toc203878093"/>
      <w:bookmarkStart w:id="626" w:name="_Toc208826819"/>
      <w:bookmarkStart w:id="627" w:name="_Toc208829921"/>
      <w:bookmarkStart w:id="628" w:name="_Toc226349919"/>
      <w:bookmarkStart w:id="629" w:name="_Toc153387953"/>
      <w:bookmarkStart w:id="630" w:name="_Toc208825941"/>
      <w:bookmarkStart w:id="631" w:name="_Toc208824078"/>
      <w:bookmarkStart w:id="632" w:name="_Toc206995810"/>
      <w:r>
        <w:rPr>
          <w:lang w:eastAsia="zh-CN"/>
        </w:rPr>
        <w:t>防治目</w:t>
      </w:r>
      <w:bookmarkEnd w:id="610"/>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r>
        <w:rPr>
          <w:lang w:eastAsia="zh-CN"/>
        </w:rPr>
        <w:t>标</w:t>
      </w:r>
      <w:bookmarkEnd w:id="611"/>
      <w:bookmarkEnd w:id="612"/>
      <w:bookmarkEnd w:id="613"/>
      <w:bookmarkEnd w:id="614"/>
    </w:p>
    <w:p w14:paraId="21654853">
      <w:pPr>
        <w:ind w:firstLine="480"/>
        <w:rPr>
          <w:lang w:eastAsia="zh-CN"/>
        </w:rPr>
      </w:pPr>
      <w:r>
        <w:rPr>
          <w:lang w:eastAsia="zh-CN"/>
        </w:rPr>
        <w:t>乌里雅斯太油田地面建设工程位于内蒙古自治区东乌珠穆沁旗境内，按照《划分国家级水土流失重点防治区的公告》（水利部[2006]第2号）和《内蒙古自治区人民政府关于划分水土流失重点防治区的通告》（内蒙古自治区人民政府内政发〔1999〕62号），项目建设区所在的东乌珠穆沁旗属自治区通告的水土流失重点预防保护区。</w:t>
      </w:r>
    </w:p>
    <w:p w14:paraId="459C93E9">
      <w:pPr>
        <w:ind w:firstLine="480"/>
        <w:rPr>
          <w:lang w:eastAsia="zh-CN"/>
        </w:rPr>
      </w:pPr>
      <w:r>
        <w:rPr>
          <w:rFonts w:hint="eastAsia"/>
          <w:lang w:eastAsia="zh-CN"/>
        </w:rPr>
        <w:t>水土保持防治总体目标是预防和治理因工程建设造成的水土流失，有效控制新增水土流失，确保油田建设及运行的安全，保护和合理利用土地资源，提高土地生产率，恢复林草植被，实现油田正常生产、生态环境建设和地方经济的协调发展。</w:t>
      </w:r>
    </w:p>
    <w:p w14:paraId="7F8C8186">
      <w:pPr>
        <w:ind w:firstLine="480"/>
        <w:rPr>
          <w:lang w:eastAsia="zh-CN"/>
        </w:rPr>
      </w:pPr>
      <w:r>
        <w:rPr>
          <w:lang w:eastAsia="zh-CN"/>
        </w:rPr>
        <w:t xml:space="preserve">综合考虑石油勘探工程的施工工艺、特点，以及项目区周边的自然状况，确定本水土保持工程设计的防治目标如下： </w:t>
      </w:r>
    </w:p>
    <w:p w14:paraId="0DCBF24B">
      <w:pPr>
        <w:ind w:firstLine="480"/>
        <w:rPr>
          <w:lang w:eastAsia="zh-CN"/>
        </w:rPr>
      </w:pPr>
      <w:r>
        <w:rPr>
          <w:lang w:eastAsia="zh-CN"/>
        </w:rPr>
        <w:t>1、在工程建设过程中扰动的区域，除建筑物和硬化面积外，均需要采取有效的治理措施，把对生态环境的影响控制在最低，使扰动土地治理率达到96%以上；</w:t>
      </w:r>
    </w:p>
    <w:p w14:paraId="39AABF8D">
      <w:pPr>
        <w:ind w:firstLine="480"/>
        <w:rPr>
          <w:lang w:eastAsia="zh-CN"/>
        </w:rPr>
      </w:pPr>
      <w:r>
        <w:rPr>
          <w:lang w:eastAsia="zh-CN"/>
        </w:rPr>
        <w:t>2、工程建设中产生的弃土、弃渣得到及时的拦挡和防护，使拦渣率达到98%以上；</w:t>
      </w:r>
    </w:p>
    <w:p w14:paraId="075BA280">
      <w:pPr>
        <w:ind w:firstLine="480"/>
        <w:rPr>
          <w:lang w:eastAsia="zh-CN"/>
        </w:rPr>
      </w:pPr>
      <w:r>
        <w:rPr>
          <w:lang w:eastAsia="zh-CN"/>
        </w:rPr>
        <w:t>3、对工程建设中产生水土流失区域实施全面治理，因地制宜、因害设防，遏制新增水土流失的发生与发展，水土流失治理程度达到95%以上；</w:t>
      </w:r>
    </w:p>
    <w:p w14:paraId="32EEB6EF">
      <w:pPr>
        <w:ind w:firstLine="480"/>
        <w:rPr>
          <w:lang w:eastAsia="zh-CN"/>
        </w:rPr>
      </w:pPr>
      <w:r>
        <w:rPr>
          <w:lang w:eastAsia="zh-CN"/>
        </w:rPr>
        <w:t>4、通过实施水土保持工程措施、植物措施、临时措施，降低土壤侵蚀强度，减少水土流失量，水土流失失控制比达到1.2以下，土壤侵蚀模数控制在600t/(km</w:t>
      </w:r>
      <w:r>
        <w:rPr>
          <w:vertAlign w:val="superscript"/>
          <w:lang w:eastAsia="zh-CN"/>
        </w:rPr>
        <w:t>2</w:t>
      </w:r>
      <w:r>
        <w:rPr>
          <w:rFonts w:eastAsia="Adobe 宋体 Std L"/>
          <w:lang w:eastAsia="zh-CN"/>
        </w:rPr>
        <w:t>.</w:t>
      </w:r>
      <w:r>
        <w:rPr>
          <w:lang w:eastAsia="zh-CN"/>
        </w:rPr>
        <w:t>a)以下；</w:t>
      </w:r>
    </w:p>
    <w:p w14:paraId="69A1E8F7">
      <w:pPr>
        <w:ind w:firstLine="480"/>
        <w:rPr>
          <w:lang w:eastAsia="zh-CN"/>
        </w:rPr>
      </w:pPr>
      <w:r>
        <w:rPr>
          <w:lang w:eastAsia="zh-CN"/>
        </w:rPr>
        <w:t>5、林草覆盖率达到93%以上，在较短的时间内恢复和改善生态环境，尽快实现生态环境的良性循环；</w:t>
      </w:r>
    </w:p>
    <w:p w14:paraId="4E2BC315">
      <w:pPr>
        <w:ind w:firstLine="480"/>
        <w:rPr>
          <w:lang w:eastAsia="zh-CN"/>
        </w:rPr>
      </w:pPr>
      <w:r>
        <w:rPr>
          <w:lang w:eastAsia="zh-CN"/>
        </w:rPr>
        <w:t>6、工程建设中扰动范围内的宜林宜草区全部恢复植被，保护和合理利用土地资源，提高土地生产力，使治理区植被恢复系数高于95%。</w:t>
      </w:r>
    </w:p>
    <w:p w14:paraId="07917329">
      <w:pPr>
        <w:ind w:firstLine="480"/>
        <w:rPr>
          <w:lang w:eastAsia="zh-CN"/>
        </w:rPr>
      </w:pPr>
      <w:r>
        <w:rPr>
          <w:rFonts w:hint="eastAsia"/>
          <w:lang w:eastAsia="zh-CN"/>
        </w:rPr>
        <w:t>分区水土流失防治目标见表10.1-1。</w:t>
      </w:r>
    </w:p>
    <w:p w14:paraId="61199227">
      <w:pPr>
        <w:spacing w:line="240" w:lineRule="auto"/>
        <w:ind w:firstLine="718" w:firstLineChars="298"/>
        <w:rPr>
          <w:b/>
          <w:lang w:eastAsia="zh-CN"/>
        </w:rPr>
      </w:pPr>
      <w:r>
        <w:rPr>
          <w:rFonts w:hint="eastAsia"/>
          <w:b/>
          <w:lang w:eastAsia="zh-CN"/>
        </w:rPr>
        <w:t>表</w:t>
      </w:r>
      <w:r>
        <w:rPr>
          <w:b/>
          <w:lang w:eastAsia="zh-CN"/>
        </w:rPr>
        <w:t>10.1-1</w:t>
      </w:r>
      <w:r>
        <w:rPr>
          <w:rFonts w:hint="eastAsia"/>
          <w:b/>
          <w:lang w:eastAsia="zh-CN"/>
        </w:rPr>
        <w:t xml:space="preserve">      分区水土流失防治目标</w:t>
      </w:r>
    </w:p>
    <w:tbl>
      <w:tblPr>
        <w:tblStyle w:val="7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93"/>
        <w:gridCol w:w="1134"/>
        <w:gridCol w:w="1276"/>
        <w:gridCol w:w="1275"/>
        <w:gridCol w:w="1418"/>
        <w:gridCol w:w="1134"/>
      </w:tblGrid>
      <w:tr w14:paraId="517CE9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093" w:type="dxa"/>
          </w:tcPr>
          <w:p w14:paraId="49D9FC99">
            <w:pPr>
              <w:adjustRightInd w:val="0"/>
              <w:snapToGrid w:val="0"/>
              <w:spacing w:line="240" w:lineRule="auto"/>
              <w:ind w:firstLine="0" w:firstLineChars="0"/>
              <w:jc w:val="center"/>
              <w:rPr>
                <w:spacing w:val="-8"/>
                <w:sz w:val="21"/>
                <w:lang w:eastAsia="zh-CN"/>
              </w:rPr>
            </w:pPr>
            <w:r>
              <w:rPr>
                <w:rFonts w:hint="eastAsia"/>
                <w:spacing w:val="-8"/>
                <w:sz w:val="21"/>
              </w:rPr>
              <w:t>防治</w:t>
            </w:r>
          </w:p>
          <w:p w14:paraId="588A470F">
            <w:pPr>
              <w:adjustRightInd w:val="0"/>
              <w:snapToGrid w:val="0"/>
              <w:spacing w:line="240" w:lineRule="auto"/>
              <w:ind w:firstLine="0" w:firstLineChars="0"/>
              <w:jc w:val="center"/>
              <w:rPr>
                <w:spacing w:val="-8"/>
                <w:sz w:val="21"/>
              </w:rPr>
            </w:pPr>
            <w:r>
              <w:rPr>
                <w:rFonts w:hint="eastAsia"/>
                <w:spacing w:val="-8"/>
                <w:sz w:val="21"/>
              </w:rPr>
              <w:t>分区</w:t>
            </w:r>
          </w:p>
        </w:tc>
        <w:tc>
          <w:tcPr>
            <w:tcW w:w="1134" w:type="dxa"/>
          </w:tcPr>
          <w:p w14:paraId="07942A68">
            <w:pPr>
              <w:adjustRightInd w:val="0"/>
              <w:snapToGrid w:val="0"/>
              <w:spacing w:line="240" w:lineRule="auto"/>
              <w:ind w:firstLine="0" w:firstLineChars="0"/>
              <w:jc w:val="center"/>
              <w:rPr>
                <w:spacing w:val="-8"/>
                <w:sz w:val="21"/>
              </w:rPr>
            </w:pPr>
            <w:r>
              <w:rPr>
                <w:rFonts w:hint="eastAsia"/>
                <w:spacing w:val="-8"/>
                <w:sz w:val="21"/>
              </w:rPr>
              <w:t>井区</w:t>
            </w:r>
          </w:p>
        </w:tc>
        <w:tc>
          <w:tcPr>
            <w:tcW w:w="1276" w:type="dxa"/>
          </w:tcPr>
          <w:p w14:paraId="293A7AA8">
            <w:pPr>
              <w:adjustRightInd w:val="0"/>
              <w:snapToGrid w:val="0"/>
              <w:spacing w:line="240" w:lineRule="auto"/>
              <w:ind w:firstLine="0" w:firstLineChars="0"/>
              <w:jc w:val="center"/>
              <w:rPr>
                <w:spacing w:val="-8"/>
                <w:sz w:val="21"/>
              </w:rPr>
            </w:pPr>
            <w:r>
              <w:rPr>
                <w:rFonts w:hint="eastAsia"/>
                <w:spacing w:val="-8"/>
                <w:sz w:val="21"/>
              </w:rPr>
              <w:t>站场</w:t>
            </w:r>
          </w:p>
        </w:tc>
        <w:tc>
          <w:tcPr>
            <w:tcW w:w="1275" w:type="dxa"/>
          </w:tcPr>
          <w:p w14:paraId="00D39BA5">
            <w:pPr>
              <w:adjustRightInd w:val="0"/>
              <w:snapToGrid w:val="0"/>
              <w:spacing w:line="240" w:lineRule="auto"/>
              <w:ind w:firstLine="0" w:firstLineChars="0"/>
              <w:jc w:val="center"/>
              <w:rPr>
                <w:spacing w:val="-8"/>
                <w:sz w:val="21"/>
              </w:rPr>
            </w:pPr>
            <w:r>
              <w:rPr>
                <w:rFonts w:hint="eastAsia"/>
                <w:spacing w:val="-8"/>
                <w:sz w:val="21"/>
              </w:rPr>
              <w:t>道路</w:t>
            </w:r>
          </w:p>
        </w:tc>
        <w:tc>
          <w:tcPr>
            <w:tcW w:w="1418" w:type="dxa"/>
          </w:tcPr>
          <w:p w14:paraId="4C698E5F">
            <w:pPr>
              <w:adjustRightInd w:val="0"/>
              <w:snapToGrid w:val="0"/>
              <w:spacing w:line="240" w:lineRule="auto"/>
              <w:ind w:firstLine="0" w:firstLineChars="0"/>
              <w:jc w:val="center"/>
              <w:rPr>
                <w:spacing w:val="-8"/>
                <w:sz w:val="21"/>
                <w:lang w:eastAsia="zh-CN"/>
              </w:rPr>
            </w:pPr>
            <w:r>
              <w:rPr>
                <w:rFonts w:hint="eastAsia"/>
                <w:spacing w:val="-8"/>
                <w:sz w:val="21"/>
              </w:rPr>
              <w:t>集输</w:t>
            </w:r>
          </w:p>
          <w:p w14:paraId="714AF088">
            <w:pPr>
              <w:adjustRightInd w:val="0"/>
              <w:snapToGrid w:val="0"/>
              <w:spacing w:line="240" w:lineRule="auto"/>
              <w:ind w:firstLine="0" w:firstLineChars="0"/>
              <w:jc w:val="center"/>
              <w:rPr>
                <w:spacing w:val="-8"/>
                <w:sz w:val="21"/>
              </w:rPr>
            </w:pPr>
            <w:r>
              <w:rPr>
                <w:rFonts w:hint="eastAsia"/>
                <w:spacing w:val="-8"/>
                <w:sz w:val="21"/>
              </w:rPr>
              <w:t>管线</w:t>
            </w:r>
          </w:p>
        </w:tc>
        <w:tc>
          <w:tcPr>
            <w:tcW w:w="1134" w:type="dxa"/>
          </w:tcPr>
          <w:p w14:paraId="31EEC31C">
            <w:pPr>
              <w:adjustRightInd w:val="0"/>
              <w:snapToGrid w:val="0"/>
              <w:spacing w:line="240" w:lineRule="auto"/>
              <w:ind w:firstLine="0" w:firstLineChars="0"/>
              <w:jc w:val="center"/>
              <w:rPr>
                <w:spacing w:val="-8"/>
                <w:sz w:val="21"/>
                <w:lang w:eastAsia="zh-CN"/>
              </w:rPr>
            </w:pPr>
            <w:r>
              <w:rPr>
                <w:rFonts w:hint="eastAsia"/>
                <w:spacing w:val="-8"/>
                <w:sz w:val="21"/>
              </w:rPr>
              <w:t>综合</w:t>
            </w:r>
          </w:p>
          <w:p w14:paraId="42B1CA0E">
            <w:pPr>
              <w:adjustRightInd w:val="0"/>
              <w:snapToGrid w:val="0"/>
              <w:spacing w:line="240" w:lineRule="auto"/>
              <w:ind w:firstLine="0" w:firstLineChars="0"/>
              <w:jc w:val="center"/>
              <w:rPr>
                <w:spacing w:val="-8"/>
                <w:sz w:val="21"/>
              </w:rPr>
            </w:pPr>
            <w:r>
              <w:rPr>
                <w:rFonts w:hint="eastAsia"/>
                <w:spacing w:val="-8"/>
                <w:sz w:val="21"/>
              </w:rPr>
              <w:t>目标</w:t>
            </w:r>
          </w:p>
        </w:tc>
      </w:tr>
      <w:tr w14:paraId="2D5225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093" w:type="dxa"/>
          </w:tcPr>
          <w:p w14:paraId="02AE94FF">
            <w:pPr>
              <w:adjustRightInd w:val="0"/>
              <w:snapToGrid w:val="0"/>
              <w:spacing w:line="240" w:lineRule="auto"/>
              <w:ind w:firstLine="0" w:firstLineChars="0"/>
              <w:jc w:val="center"/>
              <w:rPr>
                <w:spacing w:val="-8"/>
                <w:sz w:val="21"/>
                <w:lang w:eastAsia="zh-CN"/>
              </w:rPr>
            </w:pPr>
            <w:r>
              <w:rPr>
                <w:rFonts w:hint="eastAsia"/>
                <w:spacing w:val="-8"/>
                <w:sz w:val="21"/>
                <w:lang w:eastAsia="zh-CN"/>
              </w:rPr>
              <w:t>动土地治理率达（%）</w:t>
            </w:r>
          </w:p>
        </w:tc>
        <w:tc>
          <w:tcPr>
            <w:tcW w:w="1134" w:type="dxa"/>
            <w:vAlign w:val="center"/>
          </w:tcPr>
          <w:p w14:paraId="3CA79991">
            <w:pPr>
              <w:adjustRightInd w:val="0"/>
              <w:snapToGrid w:val="0"/>
              <w:spacing w:line="240" w:lineRule="auto"/>
              <w:ind w:firstLine="0" w:firstLineChars="0"/>
              <w:jc w:val="center"/>
              <w:rPr>
                <w:spacing w:val="-8"/>
                <w:sz w:val="21"/>
                <w:lang w:eastAsia="zh-CN"/>
              </w:rPr>
            </w:pPr>
            <w:r>
              <w:rPr>
                <w:rFonts w:hint="eastAsia"/>
                <w:spacing w:val="-8"/>
                <w:sz w:val="21"/>
                <w:lang w:eastAsia="zh-CN"/>
              </w:rPr>
              <w:t>96</w:t>
            </w:r>
          </w:p>
        </w:tc>
        <w:tc>
          <w:tcPr>
            <w:tcW w:w="1276" w:type="dxa"/>
            <w:vAlign w:val="center"/>
          </w:tcPr>
          <w:p w14:paraId="7F1117F1">
            <w:pPr>
              <w:adjustRightInd w:val="0"/>
              <w:snapToGrid w:val="0"/>
              <w:spacing w:line="240" w:lineRule="auto"/>
              <w:ind w:firstLine="0" w:firstLineChars="0"/>
              <w:jc w:val="center"/>
              <w:rPr>
                <w:spacing w:val="-8"/>
                <w:sz w:val="21"/>
                <w:lang w:eastAsia="zh-CN"/>
              </w:rPr>
            </w:pPr>
            <w:r>
              <w:rPr>
                <w:rFonts w:hint="eastAsia"/>
                <w:spacing w:val="-8"/>
                <w:sz w:val="21"/>
                <w:lang w:eastAsia="zh-CN"/>
              </w:rPr>
              <w:t>96</w:t>
            </w:r>
          </w:p>
        </w:tc>
        <w:tc>
          <w:tcPr>
            <w:tcW w:w="1275" w:type="dxa"/>
            <w:vAlign w:val="center"/>
          </w:tcPr>
          <w:p w14:paraId="6198540B">
            <w:pPr>
              <w:adjustRightInd w:val="0"/>
              <w:snapToGrid w:val="0"/>
              <w:spacing w:line="240" w:lineRule="auto"/>
              <w:ind w:firstLine="0" w:firstLineChars="0"/>
              <w:jc w:val="center"/>
              <w:rPr>
                <w:spacing w:val="-8"/>
                <w:sz w:val="21"/>
                <w:lang w:eastAsia="zh-CN"/>
              </w:rPr>
            </w:pPr>
            <w:r>
              <w:rPr>
                <w:rFonts w:hint="eastAsia"/>
                <w:spacing w:val="-8"/>
                <w:sz w:val="21"/>
                <w:lang w:eastAsia="zh-CN"/>
              </w:rPr>
              <w:t>96</w:t>
            </w:r>
          </w:p>
        </w:tc>
        <w:tc>
          <w:tcPr>
            <w:tcW w:w="1418" w:type="dxa"/>
            <w:vAlign w:val="center"/>
          </w:tcPr>
          <w:p w14:paraId="1F4CAAB1">
            <w:pPr>
              <w:adjustRightInd w:val="0"/>
              <w:snapToGrid w:val="0"/>
              <w:spacing w:line="240" w:lineRule="auto"/>
              <w:ind w:firstLine="0" w:firstLineChars="0"/>
              <w:jc w:val="center"/>
              <w:rPr>
                <w:spacing w:val="-8"/>
                <w:sz w:val="21"/>
                <w:lang w:eastAsia="zh-CN"/>
              </w:rPr>
            </w:pPr>
            <w:r>
              <w:rPr>
                <w:rFonts w:hint="eastAsia"/>
                <w:spacing w:val="-8"/>
                <w:sz w:val="21"/>
                <w:lang w:eastAsia="zh-CN"/>
              </w:rPr>
              <w:t>96</w:t>
            </w:r>
          </w:p>
        </w:tc>
        <w:tc>
          <w:tcPr>
            <w:tcW w:w="1134" w:type="dxa"/>
            <w:vAlign w:val="center"/>
          </w:tcPr>
          <w:p w14:paraId="50C36355">
            <w:pPr>
              <w:adjustRightInd w:val="0"/>
              <w:snapToGrid w:val="0"/>
              <w:spacing w:line="240" w:lineRule="auto"/>
              <w:ind w:firstLine="0" w:firstLineChars="0"/>
              <w:jc w:val="center"/>
              <w:rPr>
                <w:spacing w:val="-8"/>
                <w:sz w:val="21"/>
                <w:lang w:eastAsia="zh-CN"/>
              </w:rPr>
            </w:pPr>
            <w:r>
              <w:rPr>
                <w:rFonts w:hint="eastAsia"/>
                <w:spacing w:val="-8"/>
                <w:sz w:val="21"/>
                <w:lang w:eastAsia="zh-CN"/>
              </w:rPr>
              <w:t>96</w:t>
            </w:r>
          </w:p>
        </w:tc>
      </w:tr>
      <w:tr w14:paraId="414C4A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093" w:type="dxa"/>
          </w:tcPr>
          <w:p w14:paraId="72D8A29D">
            <w:pPr>
              <w:adjustRightInd w:val="0"/>
              <w:snapToGrid w:val="0"/>
              <w:spacing w:line="240" w:lineRule="auto"/>
              <w:ind w:firstLine="0" w:firstLineChars="0"/>
              <w:jc w:val="center"/>
              <w:rPr>
                <w:spacing w:val="-8"/>
                <w:sz w:val="21"/>
                <w:lang w:eastAsia="zh-CN"/>
              </w:rPr>
            </w:pPr>
            <w:r>
              <w:rPr>
                <w:rFonts w:hint="eastAsia"/>
                <w:spacing w:val="-8"/>
                <w:sz w:val="21"/>
                <w:lang w:eastAsia="zh-CN"/>
              </w:rPr>
              <w:t>水土流失治理程（%）</w:t>
            </w:r>
          </w:p>
        </w:tc>
        <w:tc>
          <w:tcPr>
            <w:tcW w:w="1134" w:type="dxa"/>
            <w:vAlign w:val="center"/>
          </w:tcPr>
          <w:p w14:paraId="1762C64E">
            <w:pPr>
              <w:adjustRightInd w:val="0"/>
              <w:snapToGrid w:val="0"/>
              <w:spacing w:line="240" w:lineRule="auto"/>
              <w:ind w:firstLine="0" w:firstLineChars="0"/>
              <w:jc w:val="center"/>
              <w:rPr>
                <w:spacing w:val="-8"/>
                <w:sz w:val="21"/>
                <w:lang w:eastAsia="zh-CN"/>
              </w:rPr>
            </w:pPr>
            <w:r>
              <w:rPr>
                <w:rFonts w:hint="eastAsia"/>
                <w:spacing w:val="-8"/>
                <w:sz w:val="21"/>
                <w:lang w:eastAsia="zh-CN"/>
              </w:rPr>
              <w:t>95</w:t>
            </w:r>
          </w:p>
        </w:tc>
        <w:tc>
          <w:tcPr>
            <w:tcW w:w="1276" w:type="dxa"/>
            <w:vAlign w:val="center"/>
          </w:tcPr>
          <w:p w14:paraId="05C1BBAD">
            <w:pPr>
              <w:adjustRightInd w:val="0"/>
              <w:snapToGrid w:val="0"/>
              <w:spacing w:line="240" w:lineRule="auto"/>
              <w:ind w:firstLine="0" w:firstLineChars="0"/>
              <w:jc w:val="center"/>
              <w:rPr>
                <w:spacing w:val="-8"/>
                <w:sz w:val="21"/>
                <w:lang w:eastAsia="zh-CN"/>
              </w:rPr>
            </w:pPr>
            <w:r>
              <w:rPr>
                <w:rFonts w:hint="eastAsia"/>
                <w:spacing w:val="-8"/>
                <w:sz w:val="21"/>
                <w:lang w:eastAsia="zh-CN"/>
              </w:rPr>
              <w:t>95</w:t>
            </w:r>
          </w:p>
        </w:tc>
        <w:tc>
          <w:tcPr>
            <w:tcW w:w="1275" w:type="dxa"/>
            <w:vAlign w:val="center"/>
          </w:tcPr>
          <w:p w14:paraId="10C10397">
            <w:pPr>
              <w:adjustRightInd w:val="0"/>
              <w:snapToGrid w:val="0"/>
              <w:spacing w:line="240" w:lineRule="auto"/>
              <w:ind w:firstLine="0" w:firstLineChars="0"/>
              <w:jc w:val="center"/>
              <w:rPr>
                <w:spacing w:val="-8"/>
                <w:sz w:val="21"/>
                <w:lang w:eastAsia="zh-CN"/>
              </w:rPr>
            </w:pPr>
            <w:r>
              <w:rPr>
                <w:rFonts w:hint="eastAsia"/>
                <w:spacing w:val="-8"/>
                <w:sz w:val="21"/>
                <w:lang w:eastAsia="zh-CN"/>
              </w:rPr>
              <w:t>95</w:t>
            </w:r>
          </w:p>
        </w:tc>
        <w:tc>
          <w:tcPr>
            <w:tcW w:w="1418" w:type="dxa"/>
            <w:vAlign w:val="center"/>
          </w:tcPr>
          <w:p w14:paraId="715495D8">
            <w:pPr>
              <w:adjustRightInd w:val="0"/>
              <w:snapToGrid w:val="0"/>
              <w:spacing w:line="240" w:lineRule="auto"/>
              <w:ind w:firstLine="0" w:firstLineChars="0"/>
              <w:jc w:val="center"/>
              <w:rPr>
                <w:spacing w:val="-8"/>
                <w:sz w:val="21"/>
                <w:lang w:eastAsia="zh-CN"/>
              </w:rPr>
            </w:pPr>
            <w:r>
              <w:rPr>
                <w:rFonts w:hint="eastAsia"/>
                <w:spacing w:val="-8"/>
                <w:sz w:val="21"/>
                <w:lang w:eastAsia="zh-CN"/>
              </w:rPr>
              <w:t>95</w:t>
            </w:r>
          </w:p>
        </w:tc>
        <w:tc>
          <w:tcPr>
            <w:tcW w:w="1134" w:type="dxa"/>
            <w:vAlign w:val="center"/>
          </w:tcPr>
          <w:p w14:paraId="689B1CCD">
            <w:pPr>
              <w:adjustRightInd w:val="0"/>
              <w:snapToGrid w:val="0"/>
              <w:spacing w:line="240" w:lineRule="auto"/>
              <w:ind w:firstLine="0" w:firstLineChars="0"/>
              <w:jc w:val="center"/>
              <w:rPr>
                <w:spacing w:val="-8"/>
                <w:sz w:val="21"/>
                <w:lang w:eastAsia="zh-CN"/>
              </w:rPr>
            </w:pPr>
            <w:r>
              <w:rPr>
                <w:rFonts w:hint="eastAsia"/>
                <w:spacing w:val="-8"/>
                <w:sz w:val="21"/>
                <w:lang w:eastAsia="zh-CN"/>
              </w:rPr>
              <w:t>95</w:t>
            </w:r>
          </w:p>
        </w:tc>
      </w:tr>
      <w:tr w14:paraId="64C9BC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4" w:hRule="atLeast"/>
        </w:trPr>
        <w:tc>
          <w:tcPr>
            <w:tcW w:w="2093" w:type="dxa"/>
          </w:tcPr>
          <w:p w14:paraId="0A2A5FFD">
            <w:pPr>
              <w:adjustRightInd w:val="0"/>
              <w:snapToGrid w:val="0"/>
              <w:spacing w:line="240" w:lineRule="auto"/>
              <w:ind w:firstLine="0" w:firstLineChars="0"/>
              <w:jc w:val="center"/>
              <w:rPr>
                <w:spacing w:val="-8"/>
                <w:sz w:val="21"/>
                <w:lang w:eastAsia="zh-CN"/>
              </w:rPr>
            </w:pPr>
            <w:r>
              <w:rPr>
                <w:rFonts w:hint="eastAsia"/>
                <w:spacing w:val="-8"/>
                <w:sz w:val="21"/>
                <w:lang w:eastAsia="zh-CN"/>
              </w:rPr>
              <w:t>土壤流失控制比</w:t>
            </w:r>
          </w:p>
        </w:tc>
        <w:tc>
          <w:tcPr>
            <w:tcW w:w="1134" w:type="dxa"/>
            <w:vAlign w:val="center"/>
          </w:tcPr>
          <w:p w14:paraId="2F41816F">
            <w:pPr>
              <w:adjustRightInd w:val="0"/>
              <w:snapToGrid w:val="0"/>
              <w:spacing w:line="240" w:lineRule="auto"/>
              <w:ind w:firstLine="0" w:firstLineChars="0"/>
              <w:jc w:val="center"/>
              <w:rPr>
                <w:spacing w:val="-8"/>
                <w:sz w:val="21"/>
                <w:lang w:eastAsia="zh-CN"/>
              </w:rPr>
            </w:pPr>
            <w:r>
              <w:rPr>
                <w:rFonts w:hint="eastAsia"/>
                <w:spacing w:val="-8"/>
                <w:sz w:val="21"/>
                <w:lang w:eastAsia="zh-CN"/>
              </w:rPr>
              <w:t>1.2</w:t>
            </w:r>
          </w:p>
        </w:tc>
        <w:tc>
          <w:tcPr>
            <w:tcW w:w="1276" w:type="dxa"/>
            <w:vAlign w:val="center"/>
          </w:tcPr>
          <w:p w14:paraId="20D24673">
            <w:pPr>
              <w:adjustRightInd w:val="0"/>
              <w:snapToGrid w:val="0"/>
              <w:spacing w:line="240" w:lineRule="auto"/>
              <w:ind w:firstLine="0" w:firstLineChars="0"/>
              <w:jc w:val="center"/>
              <w:rPr>
                <w:spacing w:val="-8"/>
                <w:sz w:val="21"/>
                <w:lang w:eastAsia="zh-CN"/>
              </w:rPr>
            </w:pPr>
            <w:r>
              <w:rPr>
                <w:rFonts w:hint="eastAsia"/>
                <w:spacing w:val="-8"/>
                <w:sz w:val="21"/>
                <w:lang w:eastAsia="zh-CN"/>
              </w:rPr>
              <w:t>1.2</w:t>
            </w:r>
          </w:p>
        </w:tc>
        <w:tc>
          <w:tcPr>
            <w:tcW w:w="1275" w:type="dxa"/>
            <w:vAlign w:val="center"/>
          </w:tcPr>
          <w:p w14:paraId="10D21608">
            <w:pPr>
              <w:adjustRightInd w:val="0"/>
              <w:snapToGrid w:val="0"/>
              <w:spacing w:line="240" w:lineRule="auto"/>
              <w:ind w:firstLine="0" w:firstLineChars="0"/>
              <w:jc w:val="center"/>
              <w:rPr>
                <w:spacing w:val="-8"/>
                <w:sz w:val="21"/>
                <w:lang w:eastAsia="zh-CN"/>
              </w:rPr>
            </w:pPr>
            <w:r>
              <w:rPr>
                <w:rFonts w:hint="eastAsia"/>
                <w:spacing w:val="-8"/>
                <w:sz w:val="21"/>
                <w:lang w:eastAsia="zh-CN"/>
              </w:rPr>
              <w:t>1.2</w:t>
            </w:r>
          </w:p>
        </w:tc>
        <w:tc>
          <w:tcPr>
            <w:tcW w:w="1418" w:type="dxa"/>
            <w:vAlign w:val="center"/>
          </w:tcPr>
          <w:p w14:paraId="6E067465">
            <w:pPr>
              <w:adjustRightInd w:val="0"/>
              <w:snapToGrid w:val="0"/>
              <w:spacing w:line="240" w:lineRule="auto"/>
              <w:ind w:firstLine="0" w:firstLineChars="0"/>
              <w:jc w:val="center"/>
              <w:rPr>
                <w:spacing w:val="-8"/>
                <w:sz w:val="21"/>
                <w:lang w:eastAsia="zh-CN"/>
              </w:rPr>
            </w:pPr>
            <w:r>
              <w:rPr>
                <w:rFonts w:hint="eastAsia"/>
                <w:spacing w:val="-8"/>
                <w:sz w:val="21"/>
                <w:lang w:eastAsia="zh-CN"/>
              </w:rPr>
              <w:t>1.2</w:t>
            </w:r>
          </w:p>
        </w:tc>
        <w:tc>
          <w:tcPr>
            <w:tcW w:w="1134" w:type="dxa"/>
            <w:vAlign w:val="center"/>
          </w:tcPr>
          <w:p w14:paraId="6F9B94C5">
            <w:pPr>
              <w:adjustRightInd w:val="0"/>
              <w:snapToGrid w:val="0"/>
              <w:spacing w:line="240" w:lineRule="auto"/>
              <w:ind w:firstLine="0" w:firstLineChars="0"/>
              <w:jc w:val="center"/>
              <w:rPr>
                <w:spacing w:val="-8"/>
                <w:sz w:val="21"/>
                <w:lang w:eastAsia="zh-CN"/>
              </w:rPr>
            </w:pPr>
            <w:r>
              <w:rPr>
                <w:rFonts w:hint="eastAsia"/>
                <w:spacing w:val="-8"/>
                <w:sz w:val="21"/>
                <w:lang w:eastAsia="zh-CN"/>
              </w:rPr>
              <w:t>1.2</w:t>
            </w:r>
          </w:p>
        </w:tc>
      </w:tr>
      <w:tr w14:paraId="557D5E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093" w:type="dxa"/>
          </w:tcPr>
          <w:p w14:paraId="659C6032">
            <w:pPr>
              <w:adjustRightInd w:val="0"/>
              <w:snapToGrid w:val="0"/>
              <w:spacing w:line="240" w:lineRule="auto"/>
              <w:ind w:firstLine="0" w:firstLineChars="0"/>
              <w:jc w:val="center"/>
              <w:rPr>
                <w:spacing w:val="-8"/>
                <w:sz w:val="21"/>
                <w:lang w:eastAsia="zh-CN"/>
              </w:rPr>
            </w:pPr>
            <w:r>
              <w:rPr>
                <w:rFonts w:hint="eastAsia"/>
                <w:spacing w:val="-8"/>
                <w:sz w:val="21"/>
                <w:lang w:eastAsia="zh-CN"/>
              </w:rPr>
              <w:t>拦渣率（%）</w:t>
            </w:r>
          </w:p>
        </w:tc>
        <w:tc>
          <w:tcPr>
            <w:tcW w:w="1134" w:type="dxa"/>
            <w:vAlign w:val="center"/>
          </w:tcPr>
          <w:p w14:paraId="7771254B">
            <w:pPr>
              <w:adjustRightInd w:val="0"/>
              <w:snapToGrid w:val="0"/>
              <w:spacing w:line="240" w:lineRule="auto"/>
              <w:ind w:firstLine="0" w:firstLineChars="0"/>
              <w:jc w:val="center"/>
              <w:rPr>
                <w:spacing w:val="-8"/>
                <w:sz w:val="21"/>
                <w:lang w:eastAsia="zh-CN"/>
              </w:rPr>
            </w:pPr>
            <w:r>
              <w:rPr>
                <w:rFonts w:hint="eastAsia"/>
                <w:spacing w:val="-8"/>
                <w:sz w:val="21"/>
                <w:lang w:eastAsia="zh-CN"/>
              </w:rPr>
              <w:t>98</w:t>
            </w:r>
          </w:p>
        </w:tc>
        <w:tc>
          <w:tcPr>
            <w:tcW w:w="1276" w:type="dxa"/>
            <w:vAlign w:val="center"/>
          </w:tcPr>
          <w:p w14:paraId="6DBA63ED">
            <w:pPr>
              <w:adjustRightInd w:val="0"/>
              <w:snapToGrid w:val="0"/>
              <w:spacing w:line="240" w:lineRule="auto"/>
              <w:ind w:firstLine="0" w:firstLineChars="0"/>
              <w:jc w:val="center"/>
              <w:rPr>
                <w:spacing w:val="-8"/>
                <w:sz w:val="21"/>
                <w:lang w:eastAsia="zh-CN"/>
              </w:rPr>
            </w:pPr>
            <w:r>
              <w:rPr>
                <w:rFonts w:hint="eastAsia"/>
                <w:spacing w:val="-8"/>
                <w:sz w:val="21"/>
                <w:lang w:eastAsia="zh-CN"/>
              </w:rPr>
              <w:t>98</w:t>
            </w:r>
          </w:p>
        </w:tc>
        <w:tc>
          <w:tcPr>
            <w:tcW w:w="1275" w:type="dxa"/>
            <w:vAlign w:val="center"/>
          </w:tcPr>
          <w:p w14:paraId="3D38EB86">
            <w:pPr>
              <w:adjustRightInd w:val="0"/>
              <w:snapToGrid w:val="0"/>
              <w:spacing w:line="240" w:lineRule="auto"/>
              <w:ind w:firstLine="0" w:firstLineChars="0"/>
              <w:jc w:val="center"/>
              <w:rPr>
                <w:spacing w:val="-8"/>
                <w:sz w:val="21"/>
                <w:lang w:eastAsia="zh-CN"/>
              </w:rPr>
            </w:pPr>
            <w:r>
              <w:rPr>
                <w:rFonts w:hint="eastAsia"/>
                <w:spacing w:val="-8"/>
                <w:sz w:val="21"/>
                <w:lang w:eastAsia="zh-CN"/>
              </w:rPr>
              <w:t>98</w:t>
            </w:r>
          </w:p>
        </w:tc>
        <w:tc>
          <w:tcPr>
            <w:tcW w:w="1418" w:type="dxa"/>
            <w:vAlign w:val="center"/>
          </w:tcPr>
          <w:p w14:paraId="52E03A60">
            <w:pPr>
              <w:adjustRightInd w:val="0"/>
              <w:snapToGrid w:val="0"/>
              <w:spacing w:line="240" w:lineRule="auto"/>
              <w:ind w:firstLine="0" w:firstLineChars="0"/>
              <w:jc w:val="center"/>
              <w:rPr>
                <w:spacing w:val="-8"/>
                <w:sz w:val="21"/>
                <w:lang w:eastAsia="zh-CN"/>
              </w:rPr>
            </w:pPr>
            <w:r>
              <w:rPr>
                <w:rFonts w:hint="eastAsia"/>
                <w:spacing w:val="-8"/>
                <w:sz w:val="21"/>
                <w:lang w:eastAsia="zh-CN"/>
              </w:rPr>
              <w:t>98</w:t>
            </w:r>
          </w:p>
        </w:tc>
        <w:tc>
          <w:tcPr>
            <w:tcW w:w="1134" w:type="dxa"/>
            <w:vAlign w:val="center"/>
          </w:tcPr>
          <w:p w14:paraId="28D4B36A">
            <w:pPr>
              <w:adjustRightInd w:val="0"/>
              <w:snapToGrid w:val="0"/>
              <w:spacing w:line="240" w:lineRule="auto"/>
              <w:ind w:firstLine="0" w:firstLineChars="0"/>
              <w:jc w:val="center"/>
              <w:rPr>
                <w:spacing w:val="-8"/>
                <w:sz w:val="21"/>
                <w:lang w:eastAsia="zh-CN"/>
              </w:rPr>
            </w:pPr>
            <w:r>
              <w:rPr>
                <w:rFonts w:hint="eastAsia"/>
                <w:spacing w:val="-8"/>
                <w:sz w:val="21"/>
                <w:lang w:eastAsia="zh-CN"/>
              </w:rPr>
              <w:t>98</w:t>
            </w:r>
          </w:p>
        </w:tc>
      </w:tr>
      <w:tr w14:paraId="300A18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093" w:type="dxa"/>
          </w:tcPr>
          <w:p w14:paraId="0BCD31AD">
            <w:pPr>
              <w:adjustRightInd w:val="0"/>
              <w:snapToGrid w:val="0"/>
              <w:spacing w:line="240" w:lineRule="auto"/>
              <w:ind w:firstLine="0" w:firstLineChars="0"/>
              <w:jc w:val="center"/>
              <w:rPr>
                <w:spacing w:val="-8"/>
                <w:sz w:val="21"/>
                <w:lang w:eastAsia="zh-CN"/>
              </w:rPr>
            </w:pPr>
            <w:r>
              <w:rPr>
                <w:rFonts w:hint="eastAsia"/>
                <w:spacing w:val="-8"/>
                <w:sz w:val="21"/>
                <w:lang w:eastAsia="zh-CN"/>
              </w:rPr>
              <w:t>林草覆盖率（%）</w:t>
            </w:r>
          </w:p>
        </w:tc>
        <w:tc>
          <w:tcPr>
            <w:tcW w:w="1134" w:type="dxa"/>
            <w:vAlign w:val="center"/>
          </w:tcPr>
          <w:p w14:paraId="78718D74">
            <w:pPr>
              <w:adjustRightInd w:val="0"/>
              <w:snapToGrid w:val="0"/>
              <w:spacing w:line="240" w:lineRule="auto"/>
              <w:ind w:firstLine="0" w:firstLineChars="0"/>
              <w:jc w:val="center"/>
              <w:rPr>
                <w:spacing w:val="-8"/>
                <w:sz w:val="21"/>
                <w:lang w:eastAsia="zh-CN"/>
              </w:rPr>
            </w:pPr>
            <w:r>
              <w:rPr>
                <w:rFonts w:hint="eastAsia"/>
                <w:spacing w:val="-8"/>
                <w:sz w:val="21"/>
                <w:lang w:eastAsia="zh-CN"/>
              </w:rPr>
              <w:t>93</w:t>
            </w:r>
          </w:p>
        </w:tc>
        <w:tc>
          <w:tcPr>
            <w:tcW w:w="1276" w:type="dxa"/>
            <w:vAlign w:val="center"/>
          </w:tcPr>
          <w:p w14:paraId="62BEBFBC">
            <w:pPr>
              <w:adjustRightInd w:val="0"/>
              <w:snapToGrid w:val="0"/>
              <w:spacing w:line="240" w:lineRule="auto"/>
              <w:ind w:firstLine="0" w:firstLineChars="0"/>
              <w:jc w:val="center"/>
              <w:rPr>
                <w:spacing w:val="-8"/>
                <w:sz w:val="21"/>
                <w:lang w:eastAsia="zh-CN"/>
              </w:rPr>
            </w:pPr>
            <w:r>
              <w:rPr>
                <w:rFonts w:hint="eastAsia"/>
                <w:spacing w:val="-8"/>
                <w:sz w:val="21"/>
                <w:lang w:eastAsia="zh-CN"/>
              </w:rPr>
              <w:t>93</w:t>
            </w:r>
          </w:p>
        </w:tc>
        <w:tc>
          <w:tcPr>
            <w:tcW w:w="1275" w:type="dxa"/>
            <w:vAlign w:val="center"/>
          </w:tcPr>
          <w:p w14:paraId="4C0DF6D5">
            <w:pPr>
              <w:adjustRightInd w:val="0"/>
              <w:snapToGrid w:val="0"/>
              <w:spacing w:line="240" w:lineRule="auto"/>
              <w:ind w:firstLine="0" w:firstLineChars="0"/>
              <w:jc w:val="center"/>
              <w:rPr>
                <w:spacing w:val="-8"/>
                <w:sz w:val="21"/>
                <w:lang w:eastAsia="zh-CN"/>
              </w:rPr>
            </w:pPr>
            <w:r>
              <w:rPr>
                <w:rFonts w:hint="eastAsia"/>
                <w:spacing w:val="-8"/>
                <w:sz w:val="21"/>
                <w:lang w:eastAsia="zh-CN"/>
              </w:rPr>
              <w:t>93</w:t>
            </w:r>
          </w:p>
        </w:tc>
        <w:tc>
          <w:tcPr>
            <w:tcW w:w="1418" w:type="dxa"/>
            <w:vAlign w:val="center"/>
          </w:tcPr>
          <w:p w14:paraId="1391D132">
            <w:pPr>
              <w:adjustRightInd w:val="0"/>
              <w:snapToGrid w:val="0"/>
              <w:spacing w:line="240" w:lineRule="auto"/>
              <w:ind w:firstLine="0" w:firstLineChars="0"/>
              <w:jc w:val="center"/>
              <w:rPr>
                <w:spacing w:val="-8"/>
                <w:sz w:val="21"/>
                <w:lang w:eastAsia="zh-CN"/>
              </w:rPr>
            </w:pPr>
            <w:r>
              <w:rPr>
                <w:rFonts w:hint="eastAsia"/>
                <w:spacing w:val="-8"/>
                <w:sz w:val="21"/>
                <w:lang w:eastAsia="zh-CN"/>
              </w:rPr>
              <w:t>93</w:t>
            </w:r>
          </w:p>
        </w:tc>
        <w:tc>
          <w:tcPr>
            <w:tcW w:w="1134" w:type="dxa"/>
            <w:vAlign w:val="center"/>
          </w:tcPr>
          <w:p w14:paraId="7BF2DA55">
            <w:pPr>
              <w:adjustRightInd w:val="0"/>
              <w:snapToGrid w:val="0"/>
              <w:spacing w:line="240" w:lineRule="auto"/>
              <w:ind w:firstLine="0" w:firstLineChars="0"/>
              <w:jc w:val="center"/>
              <w:rPr>
                <w:spacing w:val="-8"/>
                <w:sz w:val="21"/>
                <w:lang w:eastAsia="zh-CN"/>
              </w:rPr>
            </w:pPr>
            <w:r>
              <w:rPr>
                <w:rFonts w:hint="eastAsia"/>
                <w:spacing w:val="-8"/>
                <w:sz w:val="21"/>
                <w:lang w:eastAsia="zh-CN"/>
              </w:rPr>
              <w:t>93</w:t>
            </w:r>
          </w:p>
        </w:tc>
      </w:tr>
      <w:tr w14:paraId="20B965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093" w:type="dxa"/>
          </w:tcPr>
          <w:p w14:paraId="556D9AA2">
            <w:pPr>
              <w:adjustRightInd w:val="0"/>
              <w:snapToGrid w:val="0"/>
              <w:spacing w:line="240" w:lineRule="auto"/>
              <w:ind w:firstLine="0" w:firstLineChars="0"/>
              <w:jc w:val="center"/>
              <w:rPr>
                <w:spacing w:val="-8"/>
                <w:sz w:val="21"/>
                <w:lang w:eastAsia="zh-CN"/>
              </w:rPr>
            </w:pPr>
            <w:r>
              <w:rPr>
                <w:rFonts w:hint="eastAsia"/>
                <w:spacing w:val="-8"/>
                <w:sz w:val="21"/>
                <w:lang w:eastAsia="zh-CN"/>
              </w:rPr>
              <w:t>植被恢复系数（%）</w:t>
            </w:r>
          </w:p>
        </w:tc>
        <w:tc>
          <w:tcPr>
            <w:tcW w:w="1134" w:type="dxa"/>
            <w:vAlign w:val="center"/>
          </w:tcPr>
          <w:p w14:paraId="6D39DB06">
            <w:pPr>
              <w:adjustRightInd w:val="0"/>
              <w:snapToGrid w:val="0"/>
              <w:spacing w:line="240" w:lineRule="auto"/>
              <w:ind w:firstLine="0" w:firstLineChars="0"/>
              <w:jc w:val="center"/>
              <w:rPr>
                <w:spacing w:val="-8"/>
                <w:sz w:val="21"/>
                <w:lang w:eastAsia="zh-CN"/>
              </w:rPr>
            </w:pPr>
            <w:r>
              <w:rPr>
                <w:rFonts w:hint="eastAsia"/>
                <w:spacing w:val="-8"/>
                <w:sz w:val="21"/>
                <w:lang w:eastAsia="zh-CN"/>
              </w:rPr>
              <w:t>95</w:t>
            </w:r>
          </w:p>
        </w:tc>
        <w:tc>
          <w:tcPr>
            <w:tcW w:w="1276" w:type="dxa"/>
            <w:vAlign w:val="center"/>
          </w:tcPr>
          <w:p w14:paraId="2446AB38">
            <w:pPr>
              <w:adjustRightInd w:val="0"/>
              <w:snapToGrid w:val="0"/>
              <w:spacing w:line="240" w:lineRule="auto"/>
              <w:ind w:firstLine="0" w:firstLineChars="0"/>
              <w:jc w:val="center"/>
              <w:rPr>
                <w:spacing w:val="-8"/>
                <w:sz w:val="21"/>
                <w:lang w:eastAsia="zh-CN"/>
              </w:rPr>
            </w:pPr>
            <w:r>
              <w:rPr>
                <w:rFonts w:hint="eastAsia"/>
                <w:spacing w:val="-8"/>
                <w:sz w:val="21"/>
                <w:lang w:eastAsia="zh-CN"/>
              </w:rPr>
              <w:t>95</w:t>
            </w:r>
          </w:p>
        </w:tc>
        <w:tc>
          <w:tcPr>
            <w:tcW w:w="1275" w:type="dxa"/>
            <w:vAlign w:val="center"/>
          </w:tcPr>
          <w:p w14:paraId="002836B2">
            <w:pPr>
              <w:adjustRightInd w:val="0"/>
              <w:snapToGrid w:val="0"/>
              <w:spacing w:line="240" w:lineRule="auto"/>
              <w:ind w:firstLine="0" w:firstLineChars="0"/>
              <w:jc w:val="center"/>
              <w:rPr>
                <w:spacing w:val="-8"/>
                <w:sz w:val="21"/>
                <w:lang w:eastAsia="zh-CN"/>
              </w:rPr>
            </w:pPr>
            <w:r>
              <w:rPr>
                <w:rFonts w:hint="eastAsia"/>
                <w:spacing w:val="-8"/>
                <w:sz w:val="21"/>
                <w:lang w:eastAsia="zh-CN"/>
              </w:rPr>
              <w:t>95</w:t>
            </w:r>
          </w:p>
        </w:tc>
        <w:tc>
          <w:tcPr>
            <w:tcW w:w="1418" w:type="dxa"/>
            <w:vAlign w:val="center"/>
          </w:tcPr>
          <w:p w14:paraId="32214D22">
            <w:pPr>
              <w:adjustRightInd w:val="0"/>
              <w:snapToGrid w:val="0"/>
              <w:spacing w:line="240" w:lineRule="auto"/>
              <w:ind w:firstLine="0" w:firstLineChars="0"/>
              <w:jc w:val="center"/>
              <w:rPr>
                <w:spacing w:val="-8"/>
                <w:sz w:val="21"/>
                <w:lang w:eastAsia="zh-CN"/>
              </w:rPr>
            </w:pPr>
            <w:r>
              <w:rPr>
                <w:rFonts w:hint="eastAsia"/>
                <w:spacing w:val="-8"/>
                <w:sz w:val="21"/>
                <w:lang w:eastAsia="zh-CN"/>
              </w:rPr>
              <w:t>95</w:t>
            </w:r>
          </w:p>
        </w:tc>
        <w:tc>
          <w:tcPr>
            <w:tcW w:w="1134" w:type="dxa"/>
            <w:vAlign w:val="center"/>
          </w:tcPr>
          <w:p w14:paraId="5F5FF582">
            <w:pPr>
              <w:adjustRightInd w:val="0"/>
              <w:snapToGrid w:val="0"/>
              <w:spacing w:line="240" w:lineRule="auto"/>
              <w:ind w:firstLine="0" w:firstLineChars="0"/>
              <w:jc w:val="center"/>
              <w:rPr>
                <w:spacing w:val="-8"/>
                <w:sz w:val="21"/>
                <w:lang w:eastAsia="zh-CN"/>
              </w:rPr>
            </w:pPr>
            <w:r>
              <w:rPr>
                <w:rFonts w:hint="eastAsia"/>
                <w:spacing w:val="-8"/>
                <w:sz w:val="21"/>
                <w:lang w:eastAsia="zh-CN"/>
              </w:rPr>
              <w:t>95</w:t>
            </w:r>
          </w:p>
        </w:tc>
      </w:tr>
    </w:tbl>
    <w:p w14:paraId="16885348">
      <w:pPr>
        <w:ind w:firstLine="480"/>
        <w:rPr>
          <w:lang w:eastAsia="zh-CN"/>
        </w:rPr>
      </w:pPr>
    </w:p>
    <w:p w14:paraId="70018CC1">
      <w:pPr>
        <w:pStyle w:val="3"/>
        <w:rPr>
          <w:lang w:eastAsia="zh-CN"/>
        </w:rPr>
      </w:pPr>
      <w:bookmarkStart w:id="633" w:name="_Toc137700339"/>
      <w:bookmarkStart w:id="634" w:name="_Toc204392201"/>
      <w:bookmarkStart w:id="635" w:name="_Toc127092350"/>
      <w:bookmarkStart w:id="636" w:name="_Toc205506904"/>
      <w:bookmarkStart w:id="637" w:name="_Toc121275115"/>
      <w:bookmarkStart w:id="638" w:name="_Toc204247037"/>
      <w:bookmarkStart w:id="639" w:name="_Toc133509044"/>
      <w:bookmarkStart w:id="640" w:name="_Toc133358699"/>
      <w:bookmarkStart w:id="641" w:name="_Toc135454610"/>
      <w:bookmarkStart w:id="642" w:name="_Toc124300802"/>
      <w:bookmarkStart w:id="643" w:name="_Toc121374425"/>
      <w:bookmarkStart w:id="644" w:name="_Toc127092651"/>
      <w:bookmarkStart w:id="645" w:name="_Toc204229900"/>
      <w:bookmarkStart w:id="646" w:name="_Toc124153034"/>
      <w:bookmarkStart w:id="647" w:name="_Toc205503912"/>
      <w:bookmarkStart w:id="648" w:name="_Toc133286162"/>
      <w:bookmarkStart w:id="649" w:name="_Toc277931043"/>
      <w:bookmarkStart w:id="650" w:name="_Toc293873707"/>
      <w:bookmarkStart w:id="651" w:name="_Toc309208238"/>
      <w:bookmarkStart w:id="652" w:name="_Toc408414030"/>
      <w:bookmarkStart w:id="653" w:name="_Toc306547470"/>
      <w:r>
        <w:rPr>
          <w:lang w:eastAsia="zh-CN"/>
        </w:rPr>
        <w:t>10.2</w:t>
      </w:r>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r>
        <w:rPr>
          <w:lang w:eastAsia="zh-CN"/>
        </w:rPr>
        <w:t>水土流失预测</w:t>
      </w:r>
      <w:bookmarkEnd w:id="649"/>
      <w:bookmarkEnd w:id="650"/>
      <w:bookmarkEnd w:id="651"/>
      <w:bookmarkEnd w:id="652"/>
      <w:bookmarkEnd w:id="653"/>
    </w:p>
    <w:p w14:paraId="43ED3717">
      <w:pPr>
        <w:pStyle w:val="4"/>
        <w:rPr>
          <w:lang w:eastAsia="zh-CN"/>
        </w:rPr>
      </w:pPr>
      <w:bookmarkStart w:id="654" w:name="_Toc137700340"/>
      <w:bookmarkStart w:id="655" w:name="_Toc121275117"/>
      <w:bookmarkStart w:id="656" w:name="_Toc127092652"/>
      <w:bookmarkStart w:id="657" w:name="_Toc133358700"/>
      <w:bookmarkStart w:id="658" w:name="_Toc204247038"/>
      <w:bookmarkStart w:id="659" w:name="_Toc133286163"/>
      <w:bookmarkStart w:id="660" w:name="_Toc204392202"/>
      <w:bookmarkStart w:id="661" w:name="_Toc124300803"/>
      <w:bookmarkStart w:id="662" w:name="_Toc127092351"/>
      <w:bookmarkStart w:id="663" w:name="_Toc133509045"/>
      <w:bookmarkStart w:id="664" w:name="_Toc204229901"/>
      <w:bookmarkStart w:id="665" w:name="_Toc121374427"/>
      <w:bookmarkStart w:id="666" w:name="_Toc124153035"/>
      <w:bookmarkStart w:id="667" w:name="_Toc135454611"/>
      <w:bookmarkStart w:id="668" w:name="_Toc205503913"/>
      <w:bookmarkStart w:id="669" w:name="_Toc408414031"/>
      <w:bookmarkStart w:id="670" w:name="_Toc309208239"/>
      <w:bookmarkStart w:id="671" w:name="_Toc205506905"/>
      <w:bookmarkStart w:id="672" w:name="_Toc277931044"/>
      <w:bookmarkStart w:id="673" w:name="_Toc293873708"/>
      <w:bookmarkStart w:id="674" w:name="_Toc306547471"/>
      <w:bookmarkStart w:id="675" w:name="_Toc121275116"/>
      <w:bookmarkStart w:id="676" w:name="_Toc121374426"/>
      <w:r>
        <w:rPr>
          <w:lang w:eastAsia="zh-CN"/>
        </w:rPr>
        <w:t>10.2.1预测</w:t>
      </w:r>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r>
        <w:rPr>
          <w:lang w:eastAsia="zh-CN"/>
        </w:rPr>
        <w:t>单元</w:t>
      </w:r>
      <w:bookmarkEnd w:id="668"/>
      <w:bookmarkEnd w:id="669"/>
      <w:bookmarkEnd w:id="670"/>
      <w:bookmarkEnd w:id="671"/>
      <w:bookmarkEnd w:id="672"/>
      <w:bookmarkEnd w:id="673"/>
      <w:bookmarkEnd w:id="674"/>
    </w:p>
    <w:p w14:paraId="0A361350">
      <w:pPr>
        <w:ind w:firstLine="480"/>
        <w:rPr>
          <w:lang w:eastAsia="zh-CN"/>
        </w:rPr>
      </w:pPr>
      <w:bookmarkStart w:id="677" w:name="_Toc127092352"/>
      <w:bookmarkStart w:id="678" w:name="_Toc204247039"/>
      <w:bookmarkStart w:id="679" w:name="_Toc133358701"/>
      <w:bookmarkStart w:id="680" w:name="_Toc135454612"/>
      <w:bookmarkStart w:id="681" w:name="_Toc205506906"/>
      <w:bookmarkStart w:id="682" w:name="_Toc133509046"/>
      <w:bookmarkStart w:id="683" w:name="_Toc127092653"/>
      <w:bookmarkStart w:id="684" w:name="_Toc204392203"/>
      <w:bookmarkStart w:id="685" w:name="_Toc205503914"/>
      <w:bookmarkStart w:id="686" w:name="_Toc277931045"/>
      <w:bookmarkStart w:id="687" w:name="_Toc204229902"/>
      <w:bookmarkStart w:id="688" w:name="_Toc133286164"/>
      <w:bookmarkStart w:id="689" w:name="_Toc124153036"/>
      <w:bookmarkStart w:id="690" w:name="_Toc124300804"/>
      <w:bookmarkStart w:id="691" w:name="_Toc137700341"/>
      <w:r>
        <w:rPr>
          <w:lang w:eastAsia="zh-CN"/>
        </w:rPr>
        <w:t>根据主体工程的总体布局、工程的施工建设特点及新增水土流失类型和分布，确定本项目建设期的水土流失重</w:t>
      </w:r>
      <w:r>
        <w:rPr>
          <w:rFonts w:asciiTheme="minorEastAsia" w:hAnsiTheme="minorEastAsia" w:eastAsiaTheme="minorEastAsia"/>
          <w:lang w:eastAsia="zh-CN"/>
        </w:rPr>
        <w:t>点预测单元为4个防治区，</w:t>
      </w:r>
      <w:r>
        <w:rPr>
          <w:lang w:eastAsia="zh-CN"/>
        </w:rPr>
        <w:t>分别为</w:t>
      </w:r>
      <w:r>
        <w:rPr>
          <w:rFonts w:hint="eastAsia"/>
          <w:lang w:eastAsia="zh-CN"/>
        </w:rPr>
        <w:t>采井</w:t>
      </w:r>
      <w:r>
        <w:rPr>
          <w:lang w:eastAsia="zh-CN"/>
        </w:rPr>
        <w:t>工程防治区</w:t>
      </w:r>
      <w:r>
        <w:rPr>
          <w:rFonts w:hint="eastAsia"/>
          <w:lang w:eastAsia="zh-CN"/>
        </w:rPr>
        <w:t>、</w:t>
      </w:r>
      <w:r>
        <w:rPr>
          <w:lang w:eastAsia="zh-CN"/>
        </w:rPr>
        <w:t>油气集输工程防治区、道路工程防治区和</w:t>
      </w:r>
      <w:r>
        <w:rPr>
          <w:rFonts w:hint="eastAsia"/>
          <w:lang w:eastAsia="zh-CN"/>
        </w:rPr>
        <w:t>站场工程</w:t>
      </w:r>
      <w:r>
        <w:rPr>
          <w:lang w:eastAsia="zh-CN"/>
        </w:rPr>
        <w:t>防治区。重点预测单元为</w:t>
      </w:r>
      <w:r>
        <w:rPr>
          <w:rFonts w:hint="eastAsia"/>
          <w:lang w:eastAsia="zh-CN"/>
        </w:rPr>
        <w:t>采井</w:t>
      </w:r>
      <w:r>
        <w:rPr>
          <w:lang w:eastAsia="zh-CN"/>
        </w:rPr>
        <w:t>工程防治区</w:t>
      </w:r>
      <w:r>
        <w:rPr>
          <w:rFonts w:hint="eastAsia"/>
          <w:lang w:eastAsia="zh-CN"/>
        </w:rPr>
        <w:t>、</w:t>
      </w:r>
      <w:r>
        <w:rPr>
          <w:lang w:eastAsia="zh-CN"/>
        </w:rPr>
        <w:t xml:space="preserve">油气集输工程防治区。 </w:t>
      </w:r>
    </w:p>
    <w:p w14:paraId="7F9BB185">
      <w:pPr>
        <w:pStyle w:val="4"/>
        <w:rPr>
          <w:lang w:eastAsia="zh-CN"/>
        </w:rPr>
      </w:pPr>
      <w:bookmarkStart w:id="692" w:name="_Toc306547472"/>
      <w:bookmarkStart w:id="693" w:name="_Toc293873709"/>
      <w:bookmarkStart w:id="694" w:name="_Toc309208240"/>
      <w:bookmarkStart w:id="695" w:name="_Toc408414032"/>
      <w:r>
        <w:rPr>
          <w:lang w:eastAsia="zh-CN"/>
        </w:rPr>
        <w:t>10.2.2预测时段</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p w14:paraId="1493F8D1">
      <w:pPr>
        <w:ind w:firstLine="480"/>
        <w:rPr>
          <w:lang w:eastAsia="zh-CN"/>
        </w:rPr>
      </w:pPr>
      <w:bookmarkStart w:id="696" w:name="_Toc204392204"/>
      <w:bookmarkStart w:id="697" w:name="_Toc205506907"/>
      <w:bookmarkStart w:id="698" w:name="_Toc127092356"/>
      <w:bookmarkStart w:id="699" w:name="_Toc204229903"/>
      <w:bookmarkStart w:id="700" w:name="_Toc137700345"/>
      <w:bookmarkStart w:id="701" w:name="_Toc133358705"/>
      <w:bookmarkStart w:id="702" w:name="_Toc124153040"/>
      <w:bookmarkStart w:id="703" w:name="_Toc133286168"/>
      <w:bookmarkStart w:id="704" w:name="_Toc204247040"/>
      <w:bookmarkStart w:id="705" w:name="_Toc135454616"/>
      <w:bookmarkStart w:id="706" w:name="_Toc205503915"/>
      <w:bookmarkStart w:id="707" w:name="_Toc133509050"/>
      <w:bookmarkStart w:id="708" w:name="_Toc124300808"/>
      <w:bookmarkStart w:id="709" w:name="_Toc127092657"/>
      <w:bookmarkStart w:id="710" w:name="_Toc124153037"/>
      <w:bookmarkStart w:id="711" w:name="_Toc127092353"/>
      <w:bookmarkStart w:id="712" w:name="_Toc127092654"/>
      <w:bookmarkStart w:id="713" w:name="_Toc121275118"/>
      <w:bookmarkStart w:id="714" w:name="_Toc121374428"/>
      <w:bookmarkStart w:id="715" w:name="_Toc124300805"/>
      <w:r>
        <w:rPr>
          <w:lang w:eastAsia="zh-CN"/>
        </w:rPr>
        <w:t>根据工程建设造成水土流失的特点及项目区的自然条件，综合分析本项目的生产建设特点及施工进度安排，结合水土保持方案服务期，本工程建设水土流失预测时段</w:t>
      </w:r>
      <w:r>
        <w:rPr>
          <w:rFonts w:hint="eastAsia"/>
          <w:lang w:eastAsia="zh-CN"/>
        </w:rPr>
        <w:t>按照10年预测</w:t>
      </w:r>
      <w:r>
        <w:rPr>
          <w:lang w:eastAsia="zh-CN"/>
        </w:rPr>
        <w:t>。</w:t>
      </w:r>
    </w:p>
    <w:p w14:paraId="103C74F3">
      <w:pPr>
        <w:pStyle w:val="4"/>
        <w:rPr>
          <w:lang w:eastAsia="zh-CN"/>
        </w:rPr>
      </w:pPr>
      <w:bookmarkStart w:id="716" w:name="_Toc408414033"/>
      <w:bookmarkStart w:id="717" w:name="_Toc306547473"/>
      <w:bookmarkStart w:id="718" w:name="_Toc277931046"/>
      <w:bookmarkStart w:id="719" w:name="_Toc293873710"/>
      <w:bookmarkStart w:id="720" w:name="_Toc309208241"/>
      <w:r>
        <w:rPr>
          <w:lang w:eastAsia="zh-CN"/>
        </w:rPr>
        <w:t>10.2.3预测内容</w:t>
      </w:r>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6"/>
      <w:bookmarkEnd w:id="717"/>
      <w:bookmarkEnd w:id="718"/>
      <w:bookmarkEnd w:id="719"/>
      <w:bookmarkEnd w:id="720"/>
    </w:p>
    <w:bookmarkEnd w:id="710"/>
    <w:bookmarkEnd w:id="711"/>
    <w:bookmarkEnd w:id="712"/>
    <w:bookmarkEnd w:id="713"/>
    <w:bookmarkEnd w:id="714"/>
    <w:bookmarkEnd w:id="715"/>
    <w:p w14:paraId="552298AB">
      <w:pPr>
        <w:ind w:firstLine="480"/>
        <w:rPr>
          <w:lang w:eastAsia="zh-CN"/>
        </w:rPr>
      </w:pPr>
      <w:bookmarkStart w:id="721" w:name="_Toc204229906"/>
      <w:bookmarkStart w:id="722" w:name="_Toc205503916"/>
      <w:bookmarkStart w:id="723" w:name="_Toc205506908"/>
      <w:bookmarkStart w:id="724" w:name="_Toc204392207"/>
      <w:bookmarkStart w:id="725" w:name="_Toc204247043"/>
      <w:bookmarkStart w:id="726" w:name="_Toc277931047"/>
      <w:r>
        <w:rPr>
          <w:lang w:eastAsia="zh-CN"/>
        </w:rPr>
        <w:t>根据《开发建设项目水土保持方案集输规范》（SL204-98）的要求，结合本工程的建设内容</w:t>
      </w:r>
      <w:r>
        <w:rPr>
          <w:rFonts w:hint="eastAsia"/>
          <w:lang w:eastAsia="zh-CN"/>
        </w:rPr>
        <w:t>和</w:t>
      </w:r>
      <w:r>
        <w:rPr>
          <w:lang w:eastAsia="zh-CN"/>
        </w:rPr>
        <w:t>现场地形、土壤类型、植被类型、植被盖度等，确定本项目水土保持方案</w:t>
      </w:r>
      <w:r>
        <w:rPr>
          <w:rFonts w:hint="eastAsia"/>
          <w:lang w:eastAsia="zh-CN"/>
        </w:rPr>
        <w:t>，</w:t>
      </w:r>
      <w:r>
        <w:rPr>
          <w:lang w:eastAsia="zh-CN"/>
        </w:rPr>
        <w:t>水土保持的预测内容包括：</w:t>
      </w:r>
    </w:p>
    <w:p w14:paraId="0325BCEB">
      <w:pPr>
        <w:ind w:firstLine="480"/>
        <w:rPr>
          <w:lang w:eastAsia="zh-CN"/>
        </w:rPr>
      </w:pPr>
      <w:r>
        <w:rPr>
          <w:lang w:eastAsia="zh-CN"/>
        </w:rPr>
        <w:t>水土流失预测主要是预测项目建设过程中的人为水土流失，具体内容如下：</w:t>
      </w:r>
    </w:p>
    <w:p w14:paraId="43B5B98C">
      <w:pPr>
        <w:ind w:firstLine="480"/>
        <w:rPr>
          <w:lang w:eastAsia="zh-CN"/>
        </w:rPr>
      </w:pPr>
      <w:r>
        <w:rPr>
          <w:lang w:eastAsia="zh-CN"/>
        </w:rPr>
        <w:t>1、扰动原地貌、破坏土地和植被面积预测；</w:t>
      </w:r>
    </w:p>
    <w:p w14:paraId="3FADFD22">
      <w:pPr>
        <w:ind w:firstLine="480"/>
        <w:rPr>
          <w:lang w:eastAsia="zh-CN"/>
        </w:rPr>
      </w:pPr>
      <w:r>
        <w:rPr>
          <w:lang w:eastAsia="zh-CN"/>
        </w:rPr>
        <w:t xml:space="preserve">2、弃土、弃渣、废石量预测； </w:t>
      </w:r>
    </w:p>
    <w:p w14:paraId="33D6ED11">
      <w:pPr>
        <w:ind w:firstLine="480"/>
        <w:rPr>
          <w:lang w:eastAsia="zh-CN"/>
        </w:rPr>
      </w:pPr>
      <w:r>
        <w:rPr>
          <w:lang w:eastAsia="zh-CN"/>
        </w:rPr>
        <w:t>3、损坏水土保持设施面积预测；</w:t>
      </w:r>
    </w:p>
    <w:p w14:paraId="579B4B85">
      <w:pPr>
        <w:ind w:firstLine="480"/>
        <w:rPr>
          <w:lang w:eastAsia="zh-CN"/>
        </w:rPr>
      </w:pPr>
      <w:r>
        <w:rPr>
          <w:lang w:eastAsia="zh-CN"/>
        </w:rPr>
        <w:t>4、可能造成的水土流失强度预测；</w:t>
      </w:r>
    </w:p>
    <w:p w14:paraId="65BBADB1">
      <w:pPr>
        <w:ind w:firstLine="439" w:firstLineChars="183"/>
        <w:rPr>
          <w:szCs w:val="28"/>
          <w:lang w:eastAsia="zh-CN"/>
        </w:rPr>
      </w:pPr>
      <w:r>
        <w:rPr>
          <w:lang w:eastAsia="zh-CN"/>
        </w:rPr>
        <w:t>5、水土流失危害预测。</w:t>
      </w:r>
    </w:p>
    <w:p w14:paraId="35D3AC0D">
      <w:pPr>
        <w:pStyle w:val="4"/>
        <w:rPr>
          <w:lang w:eastAsia="zh-CN"/>
        </w:rPr>
      </w:pPr>
      <w:bookmarkStart w:id="727" w:name="_Toc408414034"/>
      <w:bookmarkStart w:id="728" w:name="_Toc293873711"/>
      <w:bookmarkStart w:id="729" w:name="_Toc306547474"/>
      <w:bookmarkStart w:id="730" w:name="_Toc309208242"/>
      <w:r>
        <w:rPr>
          <w:lang w:eastAsia="zh-CN"/>
        </w:rPr>
        <w:t>10.2.4预测结果</w:t>
      </w:r>
      <w:bookmarkEnd w:id="721"/>
      <w:bookmarkEnd w:id="722"/>
      <w:bookmarkEnd w:id="723"/>
      <w:bookmarkEnd w:id="724"/>
      <w:bookmarkEnd w:id="725"/>
      <w:bookmarkEnd w:id="726"/>
      <w:bookmarkEnd w:id="727"/>
      <w:bookmarkEnd w:id="728"/>
      <w:bookmarkEnd w:id="729"/>
      <w:bookmarkEnd w:id="730"/>
    </w:p>
    <w:p w14:paraId="55ACACF4">
      <w:pPr>
        <w:ind w:firstLine="480"/>
        <w:rPr>
          <w:lang w:eastAsia="zh-CN"/>
        </w:rPr>
      </w:pPr>
      <w:r>
        <w:rPr>
          <w:lang w:eastAsia="zh-CN"/>
        </w:rPr>
        <w:t>开挖、取运</w:t>
      </w:r>
      <w:r>
        <w:rPr>
          <w:rFonts w:hint="eastAsia"/>
          <w:lang w:eastAsia="zh-CN"/>
        </w:rPr>
        <w:t>土石等</w:t>
      </w:r>
      <w:r>
        <w:rPr>
          <w:lang w:eastAsia="zh-CN"/>
        </w:rPr>
        <w:t>活动对草</w:t>
      </w:r>
      <w:r>
        <w:rPr>
          <w:rFonts w:hint="eastAsia"/>
          <w:lang w:eastAsia="zh-CN"/>
        </w:rPr>
        <w:t>地</w:t>
      </w:r>
      <w:r>
        <w:rPr>
          <w:lang w:eastAsia="zh-CN"/>
        </w:rPr>
        <w:t>资源</w:t>
      </w:r>
      <w:r>
        <w:rPr>
          <w:rFonts w:hint="eastAsia"/>
          <w:lang w:eastAsia="zh-CN"/>
        </w:rPr>
        <w:t>造成影响</w:t>
      </w:r>
      <w:r>
        <w:rPr>
          <w:lang w:eastAsia="zh-CN"/>
        </w:rPr>
        <w:t>破坏，使原地貌的土壤侵蚀加剧，另外石油勘探生产过程中必将引起大量的扬尘，对大气环境造成不利影响，同时水土流失威胁着项目区及周边的生产、生活。因此，开发石油勘探生产时，业主积极采取科学、合理的水土保持措施，坚持“因地制宜，因害设防”的原则，使生产建设与水土保持综合治理同步进行，尽快恢复地面植被，实现生产、经济和社会的可持续发展。预测结果见表10.2-</w:t>
      </w:r>
      <w:r>
        <w:rPr>
          <w:rFonts w:hint="eastAsia"/>
          <w:lang w:eastAsia="zh-CN"/>
        </w:rPr>
        <w:t>1</w:t>
      </w:r>
      <w:r>
        <w:rPr>
          <w:lang w:eastAsia="zh-CN"/>
        </w:rPr>
        <w:t>。</w:t>
      </w:r>
    </w:p>
    <w:p w14:paraId="2592B5EF">
      <w:pPr>
        <w:spacing w:line="240" w:lineRule="auto"/>
        <w:ind w:firstLine="482"/>
        <w:rPr>
          <w:b/>
          <w:lang w:eastAsia="zh-CN"/>
        </w:rPr>
      </w:pPr>
      <w:bookmarkStart w:id="731" w:name="_Toc209538746"/>
      <w:bookmarkStart w:id="732" w:name="_Toc208824080"/>
      <w:bookmarkStart w:id="733" w:name="_Toc277931048"/>
      <w:bookmarkStart w:id="734" w:name="_Toc226349921"/>
      <w:bookmarkStart w:id="735" w:name="_Toc293873712"/>
      <w:bookmarkStart w:id="736" w:name="_Toc208826821"/>
      <w:bookmarkStart w:id="737" w:name="_Toc208827823"/>
      <w:bookmarkStart w:id="738" w:name="_Toc208825493"/>
      <w:bookmarkStart w:id="739" w:name="_Toc208826535"/>
      <w:bookmarkStart w:id="740" w:name="_Toc206995812"/>
      <w:bookmarkStart w:id="741" w:name="_Toc208829653"/>
      <w:bookmarkStart w:id="742" w:name="_Toc208829923"/>
      <w:bookmarkStart w:id="743" w:name="_Toc203878095"/>
      <w:bookmarkStart w:id="744" w:name="_Toc208825943"/>
      <w:bookmarkStart w:id="745" w:name="_Toc208828097"/>
      <w:bookmarkStart w:id="746" w:name="_Toc208830193"/>
      <w:bookmarkStart w:id="747" w:name="_Toc153387955"/>
      <w:bookmarkStart w:id="748" w:name="_Toc226348440"/>
    </w:p>
    <w:p w14:paraId="37864A5F">
      <w:pPr>
        <w:spacing w:line="240" w:lineRule="auto"/>
        <w:ind w:firstLine="482"/>
        <w:rPr>
          <w:b/>
          <w:lang w:eastAsia="zh-CN"/>
        </w:rPr>
      </w:pPr>
    </w:p>
    <w:p w14:paraId="7F31D925">
      <w:pPr>
        <w:spacing w:line="240" w:lineRule="auto"/>
        <w:ind w:firstLine="0" w:firstLineChars="0"/>
        <w:rPr>
          <w:b/>
          <w:lang w:eastAsia="zh-CN"/>
        </w:rPr>
      </w:pPr>
    </w:p>
    <w:p w14:paraId="41AC0F58">
      <w:pPr>
        <w:spacing w:line="240" w:lineRule="auto"/>
        <w:ind w:firstLine="482"/>
        <w:rPr>
          <w:b/>
          <w:lang w:eastAsia="zh-CN"/>
        </w:rPr>
      </w:pPr>
      <w:r>
        <w:rPr>
          <w:b/>
          <w:lang w:eastAsia="zh-CN"/>
        </w:rPr>
        <w:t>表10.2-</w:t>
      </w:r>
      <w:r>
        <w:rPr>
          <w:rFonts w:hint="eastAsia"/>
          <w:b/>
          <w:lang w:eastAsia="zh-CN"/>
        </w:rPr>
        <w:t>1</w:t>
      </w:r>
      <w:r>
        <w:rPr>
          <w:b/>
          <w:lang w:eastAsia="zh-CN"/>
        </w:rPr>
        <w:t xml:space="preserve">  </w:t>
      </w:r>
      <w:r>
        <w:rPr>
          <w:rFonts w:hint="eastAsia"/>
          <w:b/>
          <w:lang w:eastAsia="zh-CN"/>
        </w:rPr>
        <w:t xml:space="preserve">  </w:t>
      </w:r>
      <w:r>
        <w:rPr>
          <w:b/>
          <w:lang w:eastAsia="zh-CN"/>
        </w:rPr>
        <w:t>水土流失预测结果分析与评价表</w:t>
      </w:r>
    </w:p>
    <w:tbl>
      <w:tblPr>
        <w:tblStyle w:val="7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11"/>
        <w:gridCol w:w="595"/>
        <w:gridCol w:w="1071"/>
        <w:gridCol w:w="773"/>
        <w:gridCol w:w="899"/>
        <w:gridCol w:w="652"/>
        <w:gridCol w:w="710"/>
        <w:gridCol w:w="711"/>
        <w:gridCol w:w="710"/>
        <w:gridCol w:w="1049"/>
        <w:gridCol w:w="947"/>
      </w:tblGrid>
      <w:tr w14:paraId="2B9F12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0" w:hRule="atLeast"/>
        </w:trPr>
        <w:tc>
          <w:tcPr>
            <w:tcW w:w="2077" w:type="dxa"/>
            <w:gridSpan w:val="3"/>
            <w:vMerge w:val="restart"/>
            <w:vAlign w:val="center"/>
          </w:tcPr>
          <w:p w14:paraId="16C15934">
            <w:pPr>
              <w:adjustRightInd w:val="0"/>
              <w:snapToGrid w:val="0"/>
              <w:spacing w:line="240" w:lineRule="auto"/>
              <w:ind w:firstLine="0" w:firstLineChars="0"/>
              <w:jc w:val="center"/>
              <w:rPr>
                <w:spacing w:val="-8"/>
                <w:sz w:val="21"/>
              </w:rPr>
            </w:pPr>
            <w:r>
              <w:rPr>
                <w:spacing w:val="-8"/>
                <w:sz w:val="21"/>
              </w:rPr>
              <w:t>防治区</w:t>
            </w:r>
          </w:p>
        </w:tc>
        <w:tc>
          <w:tcPr>
            <w:tcW w:w="773" w:type="dxa"/>
            <w:vMerge w:val="restart"/>
            <w:vAlign w:val="center"/>
          </w:tcPr>
          <w:p w14:paraId="17FA07D7">
            <w:pPr>
              <w:adjustRightInd w:val="0"/>
              <w:snapToGrid w:val="0"/>
              <w:spacing w:line="240" w:lineRule="auto"/>
              <w:ind w:firstLine="0" w:firstLineChars="0"/>
              <w:jc w:val="center"/>
              <w:rPr>
                <w:spacing w:val="-8"/>
                <w:sz w:val="21"/>
                <w:lang w:eastAsia="zh-CN"/>
              </w:rPr>
            </w:pPr>
            <w:r>
              <w:rPr>
                <w:spacing w:val="-8"/>
                <w:sz w:val="21"/>
                <w:lang w:eastAsia="zh-CN"/>
              </w:rPr>
              <w:t>重点流失区域</w:t>
            </w:r>
          </w:p>
        </w:tc>
        <w:tc>
          <w:tcPr>
            <w:tcW w:w="899" w:type="dxa"/>
            <w:vMerge w:val="restart"/>
            <w:vAlign w:val="center"/>
          </w:tcPr>
          <w:p w14:paraId="20457BBC">
            <w:pPr>
              <w:adjustRightInd w:val="0"/>
              <w:snapToGrid w:val="0"/>
              <w:spacing w:line="240" w:lineRule="auto"/>
              <w:ind w:firstLine="0" w:firstLineChars="0"/>
              <w:jc w:val="center"/>
              <w:rPr>
                <w:spacing w:val="-8"/>
                <w:sz w:val="21"/>
              </w:rPr>
            </w:pPr>
            <w:r>
              <w:rPr>
                <w:spacing w:val="-8"/>
                <w:sz w:val="21"/>
                <w:lang w:eastAsia="zh-CN"/>
              </w:rPr>
              <w:t>重点治理区域</w:t>
            </w:r>
          </w:p>
        </w:tc>
        <w:tc>
          <w:tcPr>
            <w:tcW w:w="2073" w:type="dxa"/>
            <w:gridSpan w:val="3"/>
            <w:vAlign w:val="center"/>
          </w:tcPr>
          <w:p w14:paraId="58399D6C">
            <w:pPr>
              <w:adjustRightInd w:val="0"/>
              <w:snapToGrid w:val="0"/>
              <w:spacing w:line="240" w:lineRule="auto"/>
              <w:ind w:firstLine="0" w:firstLineChars="0"/>
              <w:jc w:val="center"/>
              <w:rPr>
                <w:spacing w:val="-8"/>
                <w:sz w:val="21"/>
                <w:lang w:eastAsia="zh-CN"/>
              </w:rPr>
            </w:pPr>
            <w:r>
              <w:rPr>
                <w:spacing w:val="-8"/>
                <w:sz w:val="21"/>
              </w:rPr>
              <w:t>应采取的防护</w:t>
            </w:r>
            <w:r>
              <w:rPr>
                <w:spacing w:val="-8"/>
                <w:sz w:val="21"/>
                <w:lang w:eastAsia="zh-CN"/>
              </w:rPr>
              <w:t>措施</w:t>
            </w:r>
          </w:p>
        </w:tc>
        <w:tc>
          <w:tcPr>
            <w:tcW w:w="710" w:type="dxa"/>
            <w:vMerge w:val="restart"/>
            <w:vAlign w:val="center"/>
          </w:tcPr>
          <w:p w14:paraId="2CB1F867">
            <w:pPr>
              <w:adjustRightInd w:val="0"/>
              <w:snapToGrid w:val="0"/>
              <w:spacing w:line="240" w:lineRule="auto"/>
              <w:ind w:firstLine="0" w:firstLineChars="0"/>
              <w:jc w:val="center"/>
              <w:rPr>
                <w:spacing w:val="-8"/>
                <w:sz w:val="21"/>
                <w:lang w:eastAsia="zh-CN"/>
              </w:rPr>
            </w:pPr>
            <w:r>
              <w:rPr>
                <w:spacing w:val="-8"/>
                <w:sz w:val="21"/>
                <w:lang w:eastAsia="zh-CN"/>
              </w:rPr>
              <w:t>措施的施工进度</w:t>
            </w:r>
          </w:p>
        </w:tc>
        <w:tc>
          <w:tcPr>
            <w:tcW w:w="1996" w:type="dxa"/>
            <w:gridSpan w:val="2"/>
            <w:vAlign w:val="center"/>
          </w:tcPr>
          <w:p w14:paraId="5890CFD2">
            <w:pPr>
              <w:adjustRightInd w:val="0"/>
              <w:snapToGrid w:val="0"/>
              <w:spacing w:line="240" w:lineRule="auto"/>
              <w:ind w:firstLine="0" w:firstLineChars="0"/>
              <w:jc w:val="center"/>
              <w:rPr>
                <w:spacing w:val="-8"/>
                <w:sz w:val="21"/>
              </w:rPr>
            </w:pPr>
            <w:r>
              <w:rPr>
                <w:spacing w:val="-8"/>
                <w:sz w:val="21"/>
              </w:rPr>
              <w:t>水土保持监测</w:t>
            </w:r>
          </w:p>
        </w:tc>
      </w:tr>
      <w:tr w14:paraId="727997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8" w:hRule="atLeast"/>
        </w:trPr>
        <w:tc>
          <w:tcPr>
            <w:tcW w:w="2077" w:type="dxa"/>
            <w:gridSpan w:val="3"/>
            <w:vMerge w:val="continue"/>
            <w:tcBorders>
              <w:bottom w:val="single" w:color="auto" w:sz="12" w:space="0"/>
            </w:tcBorders>
            <w:vAlign w:val="center"/>
          </w:tcPr>
          <w:p w14:paraId="5056D90C">
            <w:pPr>
              <w:adjustRightInd w:val="0"/>
              <w:snapToGrid w:val="0"/>
              <w:spacing w:line="240" w:lineRule="auto"/>
              <w:ind w:firstLine="0" w:firstLineChars="0"/>
              <w:jc w:val="center"/>
              <w:rPr>
                <w:spacing w:val="-8"/>
                <w:sz w:val="21"/>
              </w:rPr>
            </w:pPr>
          </w:p>
        </w:tc>
        <w:tc>
          <w:tcPr>
            <w:tcW w:w="773" w:type="dxa"/>
            <w:vMerge w:val="continue"/>
            <w:tcBorders>
              <w:bottom w:val="single" w:color="auto" w:sz="12" w:space="0"/>
            </w:tcBorders>
            <w:vAlign w:val="center"/>
          </w:tcPr>
          <w:p w14:paraId="66F33A50">
            <w:pPr>
              <w:adjustRightInd w:val="0"/>
              <w:snapToGrid w:val="0"/>
              <w:spacing w:line="240" w:lineRule="auto"/>
              <w:ind w:firstLine="0" w:firstLineChars="0"/>
              <w:jc w:val="center"/>
              <w:rPr>
                <w:spacing w:val="-8"/>
                <w:sz w:val="21"/>
              </w:rPr>
            </w:pPr>
          </w:p>
        </w:tc>
        <w:tc>
          <w:tcPr>
            <w:tcW w:w="899" w:type="dxa"/>
            <w:vMerge w:val="continue"/>
            <w:tcBorders>
              <w:bottom w:val="single" w:color="auto" w:sz="12" w:space="0"/>
            </w:tcBorders>
            <w:vAlign w:val="center"/>
          </w:tcPr>
          <w:p w14:paraId="4ABB1A40">
            <w:pPr>
              <w:adjustRightInd w:val="0"/>
              <w:snapToGrid w:val="0"/>
              <w:spacing w:line="240" w:lineRule="auto"/>
              <w:ind w:firstLine="0" w:firstLineChars="0"/>
              <w:jc w:val="center"/>
              <w:rPr>
                <w:spacing w:val="-8"/>
                <w:sz w:val="21"/>
              </w:rPr>
            </w:pPr>
          </w:p>
        </w:tc>
        <w:tc>
          <w:tcPr>
            <w:tcW w:w="652" w:type="dxa"/>
            <w:tcBorders>
              <w:bottom w:val="single" w:color="auto" w:sz="12" w:space="0"/>
            </w:tcBorders>
            <w:vAlign w:val="center"/>
          </w:tcPr>
          <w:p w14:paraId="1A4C7F3F">
            <w:pPr>
              <w:adjustRightInd w:val="0"/>
              <w:snapToGrid w:val="0"/>
              <w:spacing w:line="240" w:lineRule="auto"/>
              <w:ind w:firstLine="0" w:firstLineChars="0"/>
              <w:jc w:val="center"/>
              <w:rPr>
                <w:spacing w:val="-8"/>
                <w:sz w:val="21"/>
              </w:rPr>
            </w:pPr>
            <w:r>
              <w:rPr>
                <w:spacing w:val="-8"/>
                <w:sz w:val="21"/>
              </w:rPr>
              <w:t>工程</w:t>
            </w:r>
          </w:p>
          <w:p w14:paraId="045A08D4">
            <w:pPr>
              <w:adjustRightInd w:val="0"/>
              <w:snapToGrid w:val="0"/>
              <w:spacing w:line="240" w:lineRule="auto"/>
              <w:ind w:firstLine="0" w:firstLineChars="0"/>
              <w:jc w:val="center"/>
              <w:rPr>
                <w:spacing w:val="-8"/>
                <w:sz w:val="21"/>
              </w:rPr>
            </w:pPr>
            <w:r>
              <w:rPr>
                <w:spacing w:val="-8"/>
                <w:sz w:val="21"/>
              </w:rPr>
              <w:t>措施</w:t>
            </w:r>
          </w:p>
        </w:tc>
        <w:tc>
          <w:tcPr>
            <w:tcW w:w="710" w:type="dxa"/>
            <w:tcBorders>
              <w:bottom w:val="single" w:color="auto" w:sz="12" w:space="0"/>
            </w:tcBorders>
            <w:vAlign w:val="center"/>
          </w:tcPr>
          <w:p w14:paraId="744E9A03">
            <w:pPr>
              <w:adjustRightInd w:val="0"/>
              <w:snapToGrid w:val="0"/>
              <w:spacing w:line="240" w:lineRule="auto"/>
              <w:ind w:firstLine="0" w:firstLineChars="0"/>
              <w:jc w:val="center"/>
              <w:rPr>
                <w:spacing w:val="-8"/>
                <w:sz w:val="21"/>
              </w:rPr>
            </w:pPr>
            <w:r>
              <w:rPr>
                <w:spacing w:val="-8"/>
                <w:sz w:val="21"/>
              </w:rPr>
              <w:t>植物</w:t>
            </w:r>
          </w:p>
          <w:p w14:paraId="092DCD5F">
            <w:pPr>
              <w:adjustRightInd w:val="0"/>
              <w:snapToGrid w:val="0"/>
              <w:spacing w:line="240" w:lineRule="auto"/>
              <w:ind w:firstLine="0" w:firstLineChars="0"/>
              <w:jc w:val="center"/>
              <w:rPr>
                <w:spacing w:val="-8"/>
                <w:sz w:val="21"/>
              </w:rPr>
            </w:pPr>
            <w:r>
              <w:rPr>
                <w:spacing w:val="-8"/>
                <w:sz w:val="21"/>
              </w:rPr>
              <w:t>措施</w:t>
            </w:r>
          </w:p>
        </w:tc>
        <w:tc>
          <w:tcPr>
            <w:tcW w:w="711" w:type="dxa"/>
            <w:tcBorders>
              <w:bottom w:val="single" w:color="auto" w:sz="12" w:space="0"/>
            </w:tcBorders>
            <w:vAlign w:val="center"/>
          </w:tcPr>
          <w:p w14:paraId="4B451872">
            <w:pPr>
              <w:adjustRightInd w:val="0"/>
              <w:snapToGrid w:val="0"/>
              <w:spacing w:line="240" w:lineRule="auto"/>
              <w:ind w:firstLine="0" w:firstLineChars="0"/>
              <w:jc w:val="center"/>
              <w:rPr>
                <w:spacing w:val="-8"/>
                <w:sz w:val="21"/>
              </w:rPr>
            </w:pPr>
            <w:r>
              <w:rPr>
                <w:spacing w:val="-8"/>
                <w:sz w:val="21"/>
              </w:rPr>
              <w:t>临时防护工程</w:t>
            </w:r>
          </w:p>
        </w:tc>
        <w:tc>
          <w:tcPr>
            <w:tcW w:w="710" w:type="dxa"/>
            <w:vMerge w:val="continue"/>
            <w:tcBorders>
              <w:bottom w:val="single" w:color="auto" w:sz="12" w:space="0"/>
            </w:tcBorders>
            <w:vAlign w:val="center"/>
          </w:tcPr>
          <w:p w14:paraId="2104887A">
            <w:pPr>
              <w:adjustRightInd w:val="0"/>
              <w:snapToGrid w:val="0"/>
              <w:spacing w:line="240" w:lineRule="auto"/>
              <w:ind w:firstLine="0" w:firstLineChars="0"/>
              <w:jc w:val="center"/>
              <w:rPr>
                <w:spacing w:val="-8"/>
                <w:sz w:val="21"/>
              </w:rPr>
            </w:pPr>
          </w:p>
        </w:tc>
        <w:tc>
          <w:tcPr>
            <w:tcW w:w="1049" w:type="dxa"/>
            <w:tcBorders>
              <w:bottom w:val="single" w:color="auto" w:sz="12" w:space="0"/>
            </w:tcBorders>
            <w:vAlign w:val="center"/>
          </w:tcPr>
          <w:p w14:paraId="481CAC41">
            <w:pPr>
              <w:adjustRightInd w:val="0"/>
              <w:snapToGrid w:val="0"/>
              <w:spacing w:line="240" w:lineRule="auto"/>
              <w:ind w:firstLine="0" w:firstLineChars="0"/>
              <w:jc w:val="center"/>
              <w:rPr>
                <w:spacing w:val="-8"/>
                <w:sz w:val="21"/>
                <w:lang w:eastAsia="zh-CN"/>
              </w:rPr>
            </w:pPr>
            <w:r>
              <w:rPr>
                <w:spacing w:val="-8"/>
                <w:sz w:val="21"/>
                <w:lang w:eastAsia="zh-CN"/>
              </w:rPr>
              <w:t>重点</w:t>
            </w:r>
          </w:p>
          <w:p w14:paraId="09DC427D">
            <w:pPr>
              <w:adjustRightInd w:val="0"/>
              <w:snapToGrid w:val="0"/>
              <w:spacing w:line="240" w:lineRule="auto"/>
              <w:ind w:firstLine="0" w:firstLineChars="0"/>
              <w:jc w:val="center"/>
              <w:rPr>
                <w:spacing w:val="-8"/>
                <w:sz w:val="21"/>
                <w:lang w:eastAsia="zh-CN"/>
              </w:rPr>
            </w:pPr>
            <w:r>
              <w:rPr>
                <w:spacing w:val="-8"/>
                <w:sz w:val="21"/>
                <w:lang w:eastAsia="zh-CN"/>
              </w:rPr>
              <w:t>时段</w:t>
            </w:r>
          </w:p>
        </w:tc>
        <w:tc>
          <w:tcPr>
            <w:tcW w:w="947" w:type="dxa"/>
            <w:tcBorders>
              <w:bottom w:val="single" w:color="auto" w:sz="12" w:space="0"/>
            </w:tcBorders>
            <w:vAlign w:val="center"/>
          </w:tcPr>
          <w:p w14:paraId="3E900A4E">
            <w:pPr>
              <w:adjustRightInd w:val="0"/>
              <w:snapToGrid w:val="0"/>
              <w:spacing w:line="240" w:lineRule="auto"/>
              <w:ind w:firstLine="0" w:firstLineChars="0"/>
              <w:jc w:val="center"/>
              <w:rPr>
                <w:spacing w:val="-8"/>
                <w:sz w:val="21"/>
                <w:lang w:eastAsia="zh-CN"/>
              </w:rPr>
            </w:pPr>
            <w:r>
              <w:rPr>
                <w:spacing w:val="-8"/>
                <w:sz w:val="21"/>
              </w:rPr>
              <w:t>监测</w:t>
            </w:r>
          </w:p>
          <w:p w14:paraId="5F1F4979">
            <w:pPr>
              <w:adjustRightInd w:val="0"/>
              <w:snapToGrid w:val="0"/>
              <w:spacing w:line="240" w:lineRule="auto"/>
              <w:ind w:firstLine="0" w:firstLineChars="0"/>
              <w:jc w:val="center"/>
              <w:rPr>
                <w:spacing w:val="-8"/>
                <w:sz w:val="21"/>
              </w:rPr>
            </w:pPr>
            <w:r>
              <w:rPr>
                <w:spacing w:val="-8"/>
                <w:sz w:val="21"/>
              </w:rPr>
              <w:t>点位</w:t>
            </w:r>
          </w:p>
        </w:tc>
      </w:tr>
      <w:tr w14:paraId="53EAC0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0" w:hRule="atLeast"/>
        </w:trPr>
        <w:tc>
          <w:tcPr>
            <w:tcW w:w="411" w:type="dxa"/>
            <w:vMerge w:val="restart"/>
            <w:vAlign w:val="center"/>
          </w:tcPr>
          <w:p w14:paraId="37FE2696">
            <w:pPr>
              <w:adjustRightInd w:val="0"/>
              <w:snapToGrid w:val="0"/>
              <w:spacing w:line="240" w:lineRule="auto"/>
              <w:ind w:firstLine="0" w:firstLineChars="0"/>
              <w:jc w:val="center"/>
              <w:rPr>
                <w:spacing w:val="-8"/>
                <w:sz w:val="21"/>
                <w:lang w:eastAsia="zh-CN"/>
              </w:rPr>
            </w:pPr>
            <w:r>
              <w:rPr>
                <w:spacing w:val="-8"/>
                <w:sz w:val="21"/>
                <w:lang w:eastAsia="zh-CN"/>
              </w:rPr>
              <w:t>井区</w:t>
            </w:r>
          </w:p>
        </w:tc>
        <w:tc>
          <w:tcPr>
            <w:tcW w:w="595" w:type="dxa"/>
            <w:vMerge w:val="restart"/>
            <w:vAlign w:val="center"/>
          </w:tcPr>
          <w:p w14:paraId="110F6734">
            <w:pPr>
              <w:adjustRightInd w:val="0"/>
              <w:snapToGrid w:val="0"/>
              <w:spacing w:line="240" w:lineRule="auto"/>
              <w:ind w:firstLine="0" w:firstLineChars="0"/>
              <w:jc w:val="center"/>
              <w:rPr>
                <w:spacing w:val="-8"/>
                <w:sz w:val="21"/>
              </w:rPr>
            </w:pPr>
            <w:r>
              <w:rPr>
                <w:spacing w:val="-8"/>
                <w:sz w:val="21"/>
                <w:lang w:eastAsia="zh-CN"/>
              </w:rPr>
              <w:t>固定设施</w:t>
            </w:r>
          </w:p>
        </w:tc>
        <w:tc>
          <w:tcPr>
            <w:tcW w:w="1071" w:type="dxa"/>
            <w:vAlign w:val="center"/>
          </w:tcPr>
          <w:p w14:paraId="05CAF2C4">
            <w:pPr>
              <w:adjustRightInd w:val="0"/>
              <w:snapToGrid w:val="0"/>
              <w:spacing w:line="240" w:lineRule="auto"/>
              <w:ind w:firstLine="0" w:firstLineChars="0"/>
              <w:jc w:val="center"/>
              <w:rPr>
                <w:spacing w:val="-8"/>
                <w:sz w:val="21"/>
                <w:lang w:eastAsia="zh-CN"/>
              </w:rPr>
            </w:pPr>
            <w:r>
              <w:rPr>
                <w:spacing w:val="-8"/>
                <w:sz w:val="21"/>
                <w:lang w:eastAsia="zh-CN"/>
              </w:rPr>
              <w:t>施工区</w:t>
            </w:r>
          </w:p>
        </w:tc>
        <w:tc>
          <w:tcPr>
            <w:tcW w:w="773" w:type="dxa"/>
            <w:vAlign w:val="center"/>
          </w:tcPr>
          <w:p w14:paraId="35D22C6C">
            <w:pPr>
              <w:adjustRightInd w:val="0"/>
              <w:snapToGrid w:val="0"/>
              <w:spacing w:line="240" w:lineRule="auto"/>
              <w:ind w:firstLine="0" w:firstLineChars="0"/>
              <w:jc w:val="center"/>
              <w:rPr>
                <w:spacing w:val="-8"/>
                <w:sz w:val="21"/>
              </w:rPr>
            </w:pPr>
            <w:r>
              <w:rPr>
                <w:spacing w:val="-8"/>
                <w:sz w:val="21"/>
              </w:rPr>
              <w:t>√</w:t>
            </w:r>
          </w:p>
        </w:tc>
        <w:tc>
          <w:tcPr>
            <w:tcW w:w="899" w:type="dxa"/>
            <w:vAlign w:val="center"/>
          </w:tcPr>
          <w:p w14:paraId="7ECE85AE">
            <w:pPr>
              <w:adjustRightInd w:val="0"/>
              <w:snapToGrid w:val="0"/>
              <w:spacing w:line="240" w:lineRule="auto"/>
              <w:ind w:firstLine="0" w:firstLineChars="0"/>
              <w:jc w:val="center"/>
              <w:rPr>
                <w:spacing w:val="-8"/>
                <w:sz w:val="21"/>
              </w:rPr>
            </w:pPr>
            <w:r>
              <w:rPr>
                <w:spacing w:val="-8"/>
                <w:sz w:val="21"/>
              </w:rPr>
              <w:t>√</w:t>
            </w:r>
          </w:p>
        </w:tc>
        <w:tc>
          <w:tcPr>
            <w:tcW w:w="652" w:type="dxa"/>
            <w:vAlign w:val="center"/>
          </w:tcPr>
          <w:p w14:paraId="1FE8A20B">
            <w:pPr>
              <w:adjustRightInd w:val="0"/>
              <w:snapToGrid w:val="0"/>
              <w:spacing w:line="240" w:lineRule="auto"/>
              <w:ind w:firstLine="0" w:firstLineChars="0"/>
              <w:jc w:val="center"/>
              <w:rPr>
                <w:spacing w:val="-8"/>
                <w:sz w:val="21"/>
              </w:rPr>
            </w:pPr>
          </w:p>
        </w:tc>
        <w:tc>
          <w:tcPr>
            <w:tcW w:w="710" w:type="dxa"/>
            <w:vAlign w:val="center"/>
          </w:tcPr>
          <w:p w14:paraId="018F87AC">
            <w:pPr>
              <w:adjustRightInd w:val="0"/>
              <w:snapToGrid w:val="0"/>
              <w:spacing w:line="240" w:lineRule="auto"/>
              <w:ind w:firstLine="0" w:firstLineChars="0"/>
              <w:jc w:val="center"/>
              <w:rPr>
                <w:spacing w:val="-8"/>
                <w:sz w:val="21"/>
              </w:rPr>
            </w:pPr>
            <w:r>
              <w:rPr>
                <w:spacing w:val="-8"/>
                <w:sz w:val="21"/>
              </w:rPr>
              <w:t>√</w:t>
            </w:r>
          </w:p>
        </w:tc>
        <w:tc>
          <w:tcPr>
            <w:tcW w:w="711" w:type="dxa"/>
            <w:vAlign w:val="center"/>
          </w:tcPr>
          <w:p w14:paraId="2CE801EC">
            <w:pPr>
              <w:adjustRightInd w:val="0"/>
              <w:snapToGrid w:val="0"/>
              <w:spacing w:line="240" w:lineRule="auto"/>
              <w:ind w:firstLine="0" w:firstLineChars="0"/>
              <w:jc w:val="center"/>
              <w:rPr>
                <w:spacing w:val="-8"/>
                <w:sz w:val="21"/>
              </w:rPr>
            </w:pPr>
          </w:p>
        </w:tc>
        <w:tc>
          <w:tcPr>
            <w:tcW w:w="710" w:type="dxa"/>
            <w:vAlign w:val="center"/>
          </w:tcPr>
          <w:p w14:paraId="6D4DB5CE">
            <w:pPr>
              <w:adjustRightInd w:val="0"/>
              <w:snapToGrid w:val="0"/>
              <w:spacing w:line="240" w:lineRule="auto"/>
              <w:ind w:firstLine="0" w:firstLineChars="0"/>
              <w:jc w:val="center"/>
              <w:rPr>
                <w:spacing w:val="-8"/>
                <w:sz w:val="21"/>
              </w:rPr>
            </w:pPr>
          </w:p>
        </w:tc>
        <w:tc>
          <w:tcPr>
            <w:tcW w:w="1049" w:type="dxa"/>
            <w:vMerge w:val="restart"/>
            <w:vAlign w:val="center"/>
          </w:tcPr>
          <w:p w14:paraId="7C515DBB">
            <w:pPr>
              <w:adjustRightInd w:val="0"/>
              <w:snapToGrid w:val="0"/>
              <w:spacing w:line="240" w:lineRule="auto"/>
              <w:ind w:firstLine="0" w:firstLineChars="0"/>
              <w:jc w:val="center"/>
              <w:rPr>
                <w:spacing w:val="-8"/>
                <w:sz w:val="21"/>
                <w:lang w:eastAsia="zh-CN"/>
              </w:rPr>
            </w:pPr>
            <w:r>
              <w:rPr>
                <w:spacing w:val="-8"/>
                <w:sz w:val="21"/>
                <w:lang w:eastAsia="zh-CN"/>
              </w:rPr>
              <w:t>植被</w:t>
            </w:r>
          </w:p>
          <w:p w14:paraId="4E435C5B">
            <w:pPr>
              <w:adjustRightInd w:val="0"/>
              <w:snapToGrid w:val="0"/>
              <w:spacing w:line="240" w:lineRule="auto"/>
              <w:ind w:firstLine="0" w:firstLineChars="0"/>
              <w:jc w:val="center"/>
              <w:rPr>
                <w:spacing w:val="-8"/>
                <w:sz w:val="21"/>
                <w:lang w:eastAsia="zh-CN"/>
              </w:rPr>
            </w:pPr>
            <w:r>
              <w:rPr>
                <w:spacing w:val="-8"/>
                <w:sz w:val="21"/>
                <w:lang w:eastAsia="zh-CN"/>
              </w:rPr>
              <w:t>恢复期</w:t>
            </w:r>
          </w:p>
        </w:tc>
        <w:tc>
          <w:tcPr>
            <w:tcW w:w="947" w:type="dxa"/>
            <w:vMerge w:val="restart"/>
            <w:vAlign w:val="center"/>
          </w:tcPr>
          <w:p w14:paraId="0AC3C86C">
            <w:pPr>
              <w:adjustRightInd w:val="0"/>
              <w:snapToGrid w:val="0"/>
              <w:spacing w:line="240" w:lineRule="auto"/>
              <w:ind w:firstLine="0" w:firstLineChars="0"/>
              <w:jc w:val="center"/>
              <w:rPr>
                <w:spacing w:val="-8"/>
                <w:sz w:val="21"/>
                <w:lang w:eastAsia="zh-CN"/>
              </w:rPr>
            </w:pPr>
            <w:r>
              <w:rPr>
                <w:spacing w:val="-8"/>
                <w:sz w:val="21"/>
                <w:lang w:eastAsia="zh-CN"/>
              </w:rPr>
              <w:t>扰动区</w:t>
            </w:r>
          </w:p>
        </w:tc>
      </w:tr>
      <w:tr w14:paraId="5C78FC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0" w:hRule="atLeast"/>
        </w:trPr>
        <w:tc>
          <w:tcPr>
            <w:tcW w:w="411" w:type="dxa"/>
            <w:vMerge w:val="continue"/>
            <w:vAlign w:val="center"/>
          </w:tcPr>
          <w:p w14:paraId="3BC95FCB">
            <w:pPr>
              <w:adjustRightInd w:val="0"/>
              <w:snapToGrid w:val="0"/>
              <w:spacing w:line="240" w:lineRule="auto"/>
              <w:ind w:firstLine="0" w:firstLineChars="0"/>
              <w:jc w:val="center"/>
              <w:rPr>
                <w:spacing w:val="-8"/>
                <w:sz w:val="21"/>
                <w:lang w:eastAsia="zh-CN"/>
              </w:rPr>
            </w:pPr>
          </w:p>
        </w:tc>
        <w:tc>
          <w:tcPr>
            <w:tcW w:w="595" w:type="dxa"/>
            <w:vMerge w:val="continue"/>
            <w:vAlign w:val="center"/>
          </w:tcPr>
          <w:p w14:paraId="4A1CA87D">
            <w:pPr>
              <w:adjustRightInd w:val="0"/>
              <w:snapToGrid w:val="0"/>
              <w:spacing w:line="240" w:lineRule="auto"/>
              <w:ind w:firstLine="0" w:firstLineChars="0"/>
              <w:jc w:val="center"/>
              <w:rPr>
                <w:spacing w:val="-8"/>
                <w:sz w:val="21"/>
              </w:rPr>
            </w:pPr>
          </w:p>
        </w:tc>
        <w:tc>
          <w:tcPr>
            <w:tcW w:w="1071" w:type="dxa"/>
            <w:vAlign w:val="center"/>
          </w:tcPr>
          <w:p w14:paraId="0D3C3235">
            <w:pPr>
              <w:adjustRightInd w:val="0"/>
              <w:snapToGrid w:val="0"/>
              <w:spacing w:line="240" w:lineRule="auto"/>
              <w:ind w:firstLine="0" w:firstLineChars="0"/>
              <w:jc w:val="center"/>
              <w:rPr>
                <w:spacing w:val="-8"/>
                <w:sz w:val="21"/>
                <w:lang w:eastAsia="zh-CN"/>
              </w:rPr>
            </w:pPr>
            <w:r>
              <w:rPr>
                <w:spacing w:val="-8"/>
                <w:sz w:val="21"/>
                <w:lang w:eastAsia="zh-CN"/>
              </w:rPr>
              <w:t>四周</w:t>
            </w:r>
          </w:p>
          <w:p w14:paraId="33873B94">
            <w:pPr>
              <w:adjustRightInd w:val="0"/>
              <w:snapToGrid w:val="0"/>
              <w:spacing w:line="240" w:lineRule="auto"/>
              <w:ind w:firstLine="0" w:firstLineChars="0"/>
              <w:jc w:val="center"/>
              <w:rPr>
                <w:spacing w:val="-8"/>
                <w:sz w:val="21"/>
                <w:lang w:eastAsia="zh-CN"/>
              </w:rPr>
            </w:pPr>
            <w:r>
              <w:rPr>
                <w:spacing w:val="-8"/>
                <w:sz w:val="21"/>
                <w:lang w:eastAsia="zh-CN"/>
              </w:rPr>
              <w:t>扰动区</w:t>
            </w:r>
          </w:p>
        </w:tc>
        <w:tc>
          <w:tcPr>
            <w:tcW w:w="773" w:type="dxa"/>
            <w:vAlign w:val="center"/>
          </w:tcPr>
          <w:p w14:paraId="216504CB">
            <w:pPr>
              <w:adjustRightInd w:val="0"/>
              <w:snapToGrid w:val="0"/>
              <w:spacing w:line="240" w:lineRule="auto"/>
              <w:ind w:firstLine="0" w:firstLineChars="0"/>
              <w:jc w:val="center"/>
              <w:rPr>
                <w:spacing w:val="-8"/>
                <w:sz w:val="21"/>
              </w:rPr>
            </w:pPr>
            <w:r>
              <w:rPr>
                <w:spacing w:val="-8"/>
                <w:sz w:val="21"/>
              </w:rPr>
              <w:t>√</w:t>
            </w:r>
          </w:p>
        </w:tc>
        <w:tc>
          <w:tcPr>
            <w:tcW w:w="899" w:type="dxa"/>
            <w:vAlign w:val="center"/>
          </w:tcPr>
          <w:p w14:paraId="2A0D4CD6">
            <w:pPr>
              <w:adjustRightInd w:val="0"/>
              <w:snapToGrid w:val="0"/>
              <w:spacing w:line="240" w:lineRule="auto"/>
              <w:ind w:firstLine="0" w:firstLineChars="0"/>
              <w:jc w:val="center"/>
              <w:rPr>
                <w:spacing w:val="-8"/>
                <w:sz w:val="21"/>
              </w:rPr>
            </w:pPr>
          </w:p>
        </w:tc>
        <w:tc>
          <w:tcPr>
            <w:tcW w:w="652" w:type="dxa"/>
            <w:vAlign w:val="center"/>
          </w:tcPr>
          <w:p w14:paraId="0995BA89">
            <w:pPr>
              <w:adjustRightInd w:val="0"/>
              <w:snapToGrid w:val="0"/>
              <w:spacing w:line="240" w:lineRule="auto"/>
              <w:ind w:firstLine="0" w:firstLineChars="0"/>
              <w:jc w:val="center"/>
              <w:rPr>
                <w:spacing w:val="-8"/>
                <w:sz w:val="21"/>
              </w:rPr>
            </w:pPr>
          </w:p>
        </w:tc>
        <w:tc>
          <w:tcPr>
            <w:tcW w:w="710" w:type="dxa"/>
            <w:vAlign w:val="center"/>
          </w:tcPr>
          <w:p w14:paraId="77956F91">
            <w:pPr>
              <w:adjustRightInd w:val="0"/>
              <w:snapToGrid w:val="0"/>
              <w:spacing w:line="240" w:lineRule="auto"/>
              <w:ind w:firstLine="0" w:firstLineChars="0"/>
              <w:jc w:val="center"/>
              <w:rPr>
                <w:spacing w:val="-8"/>
                <w:sz w:val="21"/>
              </w:rPr>
            </w:pPr>
            <w:r>
              <w:rPr>
                <w:spacing w:val="-8"/>
                <w:sz w:val="21"/>
              </w:rPr>
              <w:t>√</w:t>
            </w:r>
          </w:p>
        </w:tc>
        <w:tc>
          <w:tcPr>
            <w:tcW w:w="711" w:type="dxa"/>
            <w:vAlign w:val="center"/>
          </w:tcPr>
          <w:p w14:paraId="2903262F">
            <w:pPr>
              <w:adjustRightInd w:val="0"/>
              <w:snapToGrid w:val="0"/>
              <w:spacing w:line="240" w:lineRule="auto"/>
              <w:ind w:firstLine="0" w:firstLineChars="0"/>
              <w:jc w:val="center"/>
              <w:rPr>
                <w:spacing w:val="-8"/>
                <w:sz w:val="21"/>
              </w:rPr>
            </w:pPr>
          </w:p>
        </w:tc>
        <w:tc>
          <w:tcPr>
            <w:tcW w:w="710" w:type="dxa"/>
            <w:vAlign w:val="center"/>
          </w:tcPr>
          <w:p w14:paraId="2ED209B8">
            <w:pPr>
              <w:adjustRightInd w:val="0"/>
              <w:snapToGrid w:val="0"/>
              <w:spacing w:line="240" w:lineRule="auto"/>
              <w:ind w:firstLine="0" w:firstLineChars="0"/>
              <w:jc w:val="center"/>
              <w:rPr>
                <w:spacing w:val="-8"/>
                <w:sz w:val="21"/>
                <w:lang w:eastAsia="zh-CN"/>
              </w:rPr>
            </w:pPr>
            <w:r>
              <w:rPr>
                <w:spacing w:val="-8"/>
                <w:sz w:val="21"/>
                <w:lang w:eastAsia="zh-CN"/>
              </w:rPr>
              <w:t>6个月</w:t>
            </w:r>
          </w:p>
        </w:tc>
        <w:tc>
          <w:tcPr>
            <w:tcW w:w="1049" w:type="dxa"/>
            <w:vMerge w:val="continue"/>
            <w:vAlign w:val="center"/>
          </w:tcPr>
          <w:p w14:paraId="660A7BCB">
            <w:pPr>
              <w:adjustRightInd w:val="0"/>
              <w:snapToGrid w:val="0"/>
              <w:spacing w:line="240" w:lineRule="auto"/>
              <w:ind w:firstLine="0" w:firstLineChars="0"/>
              <w:jc w:val="center"/>
              <w:rPr>
                <w:spacing w:val="-8"/>
                <w:sz w:val="21"/>
              </w:rPr>
            </w:pPr>
          </w:p>
        </w:tc>
        <w:tc>
          <w:tcPr>
            <w:tcW w:w="947" w:type="dxa"/>
            <w:vMerge w:val="continue"/>
            <w:vAlign w:val="center"/>
          </w:tcPr>
          <w:p w14:paraId="4595C657">
            <w:pPr>
              <w:adjustRightInd w:val="0"/>
              <w:snapToGrid w:val="0"/>
              <w:spacing w:line="240" w:lineRule="auto"/>
              <w:ind w:firstLine="0" w:firstLineChars="0"/>
              <w:jc w:val="center"/>
              <w:rPr>
                <w:spacing w:val="-8"/>
                <w:sz w:val="21"/>
              </w:rPr>
            </w:pPr>
          </w:p>
        </w:tc>
      </w:tr>
      <w:tr w14:paraId="67AAE0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0" w:hRule="atLeast"/>
        </w:trPr>
        <w:tc>
          <w:tcPr>
            <w:tcW w:w="411" w:type="dxa"/>
            <w:vMerge w:val="continue"/>
            <w:vAlign w:val="center"/>
          </w:tcPr>
          <w:p w14:paraId="4439CC86">
            <w:pPr>
              <w:adjustRightInd w:val="0"/>
              <w:snapToGrid w:val="0"/>
              <w:spacing w:line="240" w:lineRule="auto"/>
              <w:ind w:firstLine="0" w:firstLineChars="0"/>
              <w:jc w:val="center"/>
              <w:rPr>
                <w:spacing w:val="-8"/>
                <w:sz w:val="21"/>
              </w:rPr>
            </w:pPr>
          </w:p>
        </w:tc>
        <w:tc>
          <w:tcPr>
            <w:tcW w:w="595" w:type="dxa"/>
            <w:vMerge w:val="restart"/>
            <w:vAlign w:val="center"/>
          </w:tcPr>
          <w:p w14:paraId="0DA171C2">
            <w:pPr>
              <w:adjustRightInd w:val="0"/>
              <w:snapToGrid w:val="0"/>
              <w:spacing w:line="240" w:lineRule="auto"/>
              <w:ind w:firstLine="0" w:firstLineChars="0"/>
              <w:jc w:val="center"/>
              <w:rPr>
                <w:spacing w:val="-8"/>
                <w:sz w:val="21"/>
              </w:rPr>
            </w:pPr>
            <w:r>
              <w:rPr>
                <w:spacing w:val="-8"/>
                <w:sz w:val="21"/>
                <w:lang w:eastAsia="zh-CN"/>
              </w:rPr>
              <w:t>临时堆土场</w:t>
            </w:r>
          </w:p>
        </w:tc>
        <w:tc>
          <w:tcPr>
            <w:tcW w:w="1071" w:type="dxa"/>
            <w:vAlign w:val="center"/>
          </w:tcPr>
          <w:p w14:paraId="1F2A32D0">
            <w:pPr>
              <w:adjustRightInd w:val="0"/>
              <w:snapToGrid w:val="0"/>
              <w:spacing w:line="240" w:lineRule="auto"/>
              <w:ind w:firstLine="0" w:firstLineChars="0"/>
              <w:jc w:val="center"/>
              <w:rPr>
                <w:spacing w:val="-8"/>
                <w:sz w:val="21"/>
                <w:lang w:eastAsia="zh-CN"/>
              </w:rPr>
            </w:pPr>
            <w:r>
              <w:rPr>
                <w:spacing w:val="-8"/>
                <w:sz w:val="21"/>
                <w:lang w:eastAsia="zh-CN"/>
              </w:rPr>
              <w:t>堆场</w:t>
            </w:r>
          </w:p>
        </w:tc>
        <w:tc>
          <w:tcPr>
            <w:tcW w:w="773" w:type="dxa"/>
            <w:vAlign w:val="center"/>
          </w:tcPr>
          <w:p w14:paraId="3F153901">
            <w:pPr>
              <w:adjustRightInd w:val="0"/>
              <w:snapToGrid w:val="0"/>
              <w:spacing w:line="240" w:lineRule="auto"/>
              <w:ind w:firstLine="0" w:firstLineChars="0"/>
              <w:jc w:val="center"/>
              <w:rPr>
                <w:spacing w:val="-8"/>
                <w:sz w:val="21"/>
              </w:rPr>
            </w:pPr>
            <w:r>
              <w:rPr>
                <w:spacing w:val="-8"/>
                <w:sz w:val="21"/>
              </w:rPr>
              <w:t>√</w:t>
            </w:r>
          </w:p>
        </w:tc>
        <w:tc>
          <w:tcPr>
            <w:tcW w:w="899" w:type="dxa"/>
            <w:vAlign w:val="center"/>
          </w:tcPr>
          <w:p w14:paraId="7633D76C">
            <w:pPr>
              <w:adjustRightInd w:val="0"/>
              <w:snapToGrid w:val="0"/>
              <w:spacing w:line="240" w:lineRule="auto"/>
              <w:ind w:firstLine="0" w:firstLineChars="0"/>
              <w:jc w:val="center"/>
              <w:rPr>
                <w:spacing w:val="-8"/>
                <w:sz w:val="21"/>
              </w:rPr>
            </w:pPr>
            <w:r>
              <w:rPr>
                <w:spacing w:val="-8"/>
                <w:sz w:val="21"/>
              </w:rPr>
              <w:t>√</w:t>
            </w:r>
          </w:p>
        </w:tc>
        <w:tc>
          <w:tcPr>
            <w:tcW w:w="652" w:type="dxa"/>
            <w:vAlign w:val="center"/>
          </w:tcPr>
          <w:p w14:paraId="7947E7BB">
            <w:pPr>
              <w:adjustRightInd w:val="0"/>
              <w:snapToGrid w:val="0"/>
              <w:spacing w:line="240" w:lineRule="auto"/>
              <w:ind w:firstLine="0" w:firstLineChars="0"/>
              <w:jc w:val="center"/>
              <w:rPr>
                <w:spacing w:val="-8"/>
                <w:sz w:val="21"/>
              </w:rPr>
            </w:pPr>
            <w:r>
              <w:rPr>
                <w:spacing w:val="-8"/>
                <w:sz w:val="21"/>
              </w:rPr>
              <w:t>√</w:t>
            </w:r>
          </w:p>
        </w:tc>
        <w:tc>
          <w:tcPr>
            <w:tcW w:w="710" w:type="dxa"/>
            <w:vAlign w:val="center"/>
          </w:tcPr>
          <w:p w14:paraId="2C9F2F92">
            <w:pPr>
              <w:adjustRightInd w:val="0"/>
              <w:snapToGrid w:val="0"/>
              <w:spacing w:line="240" w:lineRule="auto"/>
              <w:ind w:firstLine="0" w:firstLineChars="0"/>
              <w:jc w:val="center"/>
              <w:rPr>
                <w:spacing w:val="-8"/>
                <w:sz w:val="21"/>
              </w:rPr>
            </w:pPr>
            <w:r>
              <w:rPr>
                <w:spacing w:val="-8"/>
                <w:sz w:val="21"/>
              </w:rPr>
              <w:t>√</w:t>
            </w:r>
          </w:p>
        </w:tc>
        <w:tc>
          <w:tcPr>
            <w:tcW w:w="711" w:type="dxa"/>
            <w:vAlign w:val="center"/>
          </w:tcPr>
          <w:p w14:paraId="46956F83">
            <w:pPr>
              <w:adjustRightInd w:val="0"/>
              <w:snapToGrid w:val="0"/>
              <w:spacing w:line="240" w:lineRule="auto"/>
              <w:ind w:firstLine="0" w:firstLineChars="0"/>
              <w:jc w:val="center"/>
              <w:rPr>
                <w:spacing w:val="-8"/>
                <w:sz w:val="21"/>
              </w:rPr>
            </w:pPr>
            <w:r>
              <w:rPr>
                <w:spacing w:val="-8"/>
                <w:sz w:val="21"/>
              </w:rPr>
              <w:t>√</w:t>
            </w:r>
          </w:p>
        </w:tc>
        <w:tc>
          <w:tcPr>
            <w:tcW w:w="710" w:type="dxa"/>
            <w:vAlign w:val="center"/>
          </w:tcPr>
          <w:p w14:paraId="1A84B187">
            <w:pPr>
              <w:adjustRightInd w:val="0"/>
              <w:snapToGrid w:val="0"/>
              <w:spacing w:line="240" w:lineRule="auto"/>
              <w:ind w:firstLine="0" w:firstLineChars="0"/>
              <w:jc w:val="center"/>
              <w:rPr>
                <w:spacing w:val="-8"/>
                <w:sz w:val="21"/>
                <w:lang w:eastAsia="zh-CN"/>
              </w:rPr>
            </w:pPr>
            <w:r>
              <w:rPr>
                <w:spacing w:val="-8"/>
                <w:sz w:val="21"/>
                <w:lang w:eastAsia="zh-CN"/>
              </w:rPr>
              <w:t>4个月</w:t>
            </w:r>
          </w:p>
        </w:tc>
        <w:tc>
          <w:tcPr>
            <w:tcW w:w="1049" w:type="dxa"/>
            <w:vMerge w:val="restart"/>
            <w:vAlign w:val="center"/>
          </w:tcPr>
          <w:p w14:paraId="67353CEA">
            <w:pPr>
              <w:adjustRightInd w:val="0"/>
              <w:snapToGrid w:val="0"/>
              <w:spacing w:line="240" w:lineRule="auto"/>
              <w:ind w:firstLine="0" w:firstLineChars="0"/>
              <w:jc w:val="center"/>
              <w:rPr>
                <w:spacing w:val="-8"/>
                <w:sz w:val="21"/>
                <w:lang w:eastAsia="zh-CN"/>
              </w:rPr>
            </w:pPr>
            <w:r>
              <w:rPr>
                <w:spacing w:val="-8"/>
                <w:sz w:val="21"/>
              </w:rPr>
              <w:t>植被</w:t>
            </w:r>
          </w:p>
          <w:p w14:paraId="00447F0D">
            <w:pPr>
              <w:adjustRightInd w:val="0"/>
              <w:snapToGrid w:val="0"/>
              <w:spacing w:line="240" w:lineRule="auto"/>
              <w:ind w:firstLine="0" w:firstLineChars="0"/>
              <w:jc w:val="center"/>
              <w:rPr>
                <w:spacing w:val="-8"/>
                <w:sz w:val="21"/>
              </w:rPr>
            </w:pPr>
            <w:r>
              <w:rPr>
                <w:spacing w:val="-8"/>
                <w:sz w:val="21"/>
              </w:rPr>
              <w:t>恢复期</w:t>
            </w:r>
          </w:p>
        </w:tc>
        <w:tc>
          <w:tcPr>
            <w:tcW w:w="947" w:type="dxa"/>
            <w:vMerge w:val="restart"/>
            <w:vAlign w:val="center"/>
          </w:tcPr>
          <w:p w14:paraId="28F856FB">
            <w:pPr>
              <w:adjustRightInd w:val="0"/>
              <w:snapToGrid w:val="0"/>
              <w:spacing w:line="240" w:lineRule="auto"/>
              <w:ind w:firstLine="0" w:firstLineChars="0"/>
              <w:jc w:val="center"/>
              <w:rPr>
                <w:spacing w:val="-8"/>
                <w:sz w:val="21"/>
                <w:lang w:eastAsia="zh-CN"/>
              </w:rPr>
            </w:pPr>
            <w:r>
              <w:rPr>
                <w:spacing w:val="-8"/>
                <w:sz w:val="21"/>
                <w:lang w:eastAsia="zh-CN"/>
              </w:rPr>
              <w:t>扰动区</w:t>
            </w:r>
          </w:p>
        </w:tc>
      </w:tr>
      <w:tr w14:paraId="598608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0" w:hRule="atLeast"/>
        </w:trPr>
        <w:tc>
          <w:tcPr>
            <w:tcW w:w="411" w:type="dxa"/>
            <w:vMerge w:val="continue"/>
            <w:vAlign w:val="center"/>
          </w:tcPr>
          <w:p w14:paraId="78E9F823">
            <w:pPr>
              <w:adjustRightInd w:val="0"/>
              <w:snapToGrid w:val="0"/>
              <w:spacing w:line="240" w:lineRule="auto"/>
              <w:ind w:firstLine="0" w:firstLineChars="0"/>
              <w:jc w:val="center"/>
              <w:rPr>
                <w:spacing w:val="-8"/>
                <w:sz w:val="21"/>
              </w:rPr>
            </w:pPr>
          </w:p>
        </w:tc>
        <w:tc>
          <w:tcPr>
            <w:tcW w:w="595" w:type="dxa"/>
            <w:vMerge w:val="continue"/>
            <w:vAlign w:val="center"/>
          </w:tcPr>
          <w:p w14:paraId="784854D4">
            <w:pPr>
              <w:adjustRightInd w:val="0"/>
              <w:snapToGrid w:val="0"/>
              <w:spacing w:line="240" w:lineRule="auto"/>
              <w:ind w:firstLine="0" w:firstLineChars="0"/>
              <w:jc w:val="center"/>
              <w:rPr>
                <w:spacing w:val="-8"/>
                <w:sz w:val="21"/>
                <w:lang w:eastAsia="zh-CN"/>
              </w:rPr>
            </w:pPr>
          </w:p>
        </w:tc>
        <w:tc>
          <w:tcPr>
            <w:tcW w:w="1071" w:type="dxa"/>
            <w:vAlign w:val="center"/>
          </w:tcPr>
          <w:p w14:paraId="0263DBF7">
            <w:pPr>
              <w:adjustRightInd w:val="0"/>
              <w:snapToGrid w:val="0"/>
              <w:spacing w:line="240" w:lineRule="auto"/>
              <w:ind w:firstLine="0" w:firstLineChars="0"/>
              <w:jc w:val="center"/>
              <w:rPr>
                <w:spacing w:val="-8"/>
                <w:sz w:val="21"/>
                <w:lang w:eastAsia="zh-CN"/>
              </w:rPr>
            </w:pPr>
            <w:r>
              <w:rPr>
                <w:spacing w:val="-8"/>
                <w:sz w:val="21"/>
              </w:rPr>
              <w:t>四周</w:t>
            </w:r>
          </w:p>
          <w:p w14:paraId="12779EF4">
            <w:pPr>
              <w:adjustRightInd w:val="0"/>
              <w:snapToGrid w:val="0"/>
              <w:spacing w:line="240" w:lineRule="auto"/>
              <w:ind w:firstLine="0" w:firstLineChars="0"/>
              <w:jc w:val="center"/>
              <w:rPr>
                <w:spacing w:val="-8"/>
                <w:sz w:val="21"/>
                <w:lang w:eastAsia="zh-CN"/>
              </w:rPr>
            </w:pPr>
            <w:r>
              <w:rPr>
                <w:spacing w:val="-8"/>
                <w:sz w:val="21"/>
              </w:rPr>
              <w:t>扰动</w:t>
            </w:r>
            <w:r>
              <w:rPr>
                <w:spacing w:val="-8"/>
                <w:sz w:val="21"/>
                <w:lang w:eastAsia="zh-CN"/>
              </w:rPr>
              <w:t>区</w:t>
            </w:r>
          </w:p>
        </w:tc>
        <w:tc>
          <w:tcPr>
            <w:tcW w:w="773" w:type="dxa"/>
            <w:vAlign w:val="center"/>
          </w:tcPr>
          <w:p w14:paraId="70B6B478">
            <w:pPr>
              <w:adjustRightInd w:val="0"/>
              <w:snapToGrid w:val="0"/>
              <w:spacing w:line="240" w:lineRule="auto"/>
              <w:ind w:firstLine="0" w:firstLineChars="0"/>
              <w:jc w:val="center"/>
              <w:rPr>
                <w:spacing w:val="-8"/>
                <w:sz w:val="21"/>
              </w:rPr>
            </w:pPr>
            <w:r>
              <w:rPr>
                <w:spacing w:val="-8"/>
                <w:sz w:val="21"/>
              </w:rPr>
              <w:t>√</w:t>
            </w:r>
          </w:p>
        </w:tc>
        <w:tc>
          <w:tcPr>
            <w:tcW w:w="899" w:type="dxa"/>
            <w:vAlign w:val="center"/>
          </w:tcPr>
          <w:p w14:paraId="7D8EB518">
            <w:pPr>
              <w:adjustRightInd w:val="0"/>
              <w:snapToGrid w:val="0"/>
              <w:spacing w:line="240" w:lineRule="auto"/>
              <w:ind w:firstLine="0" w:firstLineChars="0"/>
              <w:jc w:val="center"/>
              <w:rPr>
                <w:spacing w:val="-8"/>
                <w:sz w:val="21"/>
              </w:rPr>
            </w:pPr>
          </w:p>
        </w:tc>
        <w:tc>
          <w:tcPr>
            <w:tcW w:w="652" w:type="dxa"/>
            <w:vAlign w:val="center"/>
          </w:tcPr>
          <w:p w14:paraId="67735CBA">
            <w:pPr>
              <w:adjustRightInd w:val="0"/>
              <w:snapToGrid w:val="0"/>
              <w:spacing w:line="240" w:lineRule="auto"/>
              <w:ind w:firstLine="0" w:firstLineChars="0"/>
              <w:jc w:val="center"/>
              <w:rPr>
                <w:spacing w:val="-8"/>
                <w:sz w:val="21"/>
              </w:rPr>
            </w:pPr>
          </w:p>
        </w:tc>
        <w:tc>
          <w:tcPr>
            <w:tcW w:w="710" w:type="dxa"/>
            <w:vAlign w:val="center"/>
          </w:tcPr>
          <w:p w14:paraId="3DE360F0">
            <w:pPr>
              <w:adjustRightInd w:val="0"/>
              <w:snapToGrid w:val="0"/>
              <w:spacing w:line="240" w:lineRule="auto"/>
              <w:ind w:firstLine="0" w:firstLineChars="0"/>
              <w:jc w:val="center"/>
              <w:rPr>
                <w:spacing w:val="-8"/>
                <w:sz w:val="21"/>
              </w:rPr>
            </w:pPr>
            <w:r>
              <w:rPr>
                <w:spacing w:val="-8"/>
                <w:sz w:val="21"/>
              </w:rPr>
              <w:t>√</w:t>
            </w:r>
          </w:p>
        </w:tc>
        <w:tc>
          <w:tcPr>
            <w:tcW w:w="711" w:type="dxa"/>
            <w:vAlign w:val="center"/>
          </w:tcPr>
          <w:p w14:paraId="368D8F47">
            <w:pPr>
              <w:adjustRightInd w:val="0"/>
              <w:snapToGrid w:val="0"/>
              <w:spacing w:line="240" w:lineRule="auto"/>
              <w:ind w:firstLine="0" w:firstLineChars="0"/>
              <w:jc w:val="center"/>
              <w:rPr>
                <w:spacing w:val="-8"/>
                <w:sz w:val="21"/>
              </w:rPr>
            </w:pPr>
          </w:p>
        </w:tc>
        <w:tc>
          <w:tcPr>
            <w:tcW w:w="710" w:type="dxa"/>
            <w:vAlign w:val="center"/>
          </w:tcPr>
          <w:p w14:paraId="1A993A42">
            <w:pPr>
              <w:adjustRightInd w:val="0"/>
              <w:snapToGrid w:val="0"/>
              <w:spacing w:line="240" w:lineRule="auto"/>
              <w:ind w:firstLine="0" w:firstLineChars="0"/>
              <w:jc w:val="center"/>
              <w:rPr>
                <w:spacing w:val="-8"/>
                <w:sz w:val="21"/>
                <w:lang w:eastAsia="zh-CN"/>
              </w:rPr>
            </w:pPr>
            <w:r>
              <w:rPr>
                <w:spacing w:val="-8"/>
                <w:sz w:val="21"/>
                <w:lang w:eastAsia="zh-CN"/>
              </w:rPr>
              <w:t>6个月</w:t>
            </w:r>
          </w:p>
        </w:tc>
        <w:tc>
          <w:tcPr>
            <w:tcW w:w="1049" w:type="dxa"/>
            <w:vMerge w:val="continue"/>
            <w:vAlign w:val="center"/>
          </w:tcPr>
          <w:p w14:paraId="45385D13">
            <w:pPr>
              <w:adjustRightInd w:val="0"/>
              <w:snapToGrid w:val="0"/>
              <w:spacing w:line="240" w:lineRule="auto"/>
              <w:ind w:firstLine="0" w:firstLineChars="0"/>
              <w:jc w:val="center"/>
              <w:rPr>
                <w:spacing w:val="-8"/>
                <w:sz w:val="21"/>
              </w:rPr>
            </w:pPr>
          </w:p>
        </w:tc>
        <w:tc>
          <w:tcPr>
            <w:tcW w:w="947" w:type="dxa"/>
            <w:vMerge w:val="continue"/>
            <w:vAlign w:val="center"/>
          </w:tcPr>
          <w:p w14:paraId="53C891D1">
            <w:pPr>
              <w:adjustRightInd w:val="0"/>
              <w:snapToGrid w:val="0"/>
              <w:spacing w:line="240" w:lineRule="auto"/>
              <w:ind w:firstLine="0" w:firstLineChars="0"/>
              <w:jc w:val="center"/>
              <w:rPr>
                <w:spacing w:val="-8"/>
                <w:sz w:val="21"/>
              </w:rPr>
            </w:pPr>
          </w:p>
        </w:tc>
      </w:tr>
      <w:tr w14:paraId="723AEE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0" w:hRule="atLeast"/>
        </w:trPr>
        <w:tc>
          <w:tcPr>
            <w:tcW w:w="1006" w:type="dxa"/>
            <w:gridSpan w:val="2"/>
            <w:vAlign w:val="center"/>
          </w:tcPr>
          <w:p w14:paraId="7FDB1004">
            <w:pPr>
              <w:adjustRightInd w:val="0"/>
              <w:snapToGrid w:val="0"/>
              <w:spacing w:line="240" w:lineRule="auto"/>
              <w:ind w:firstLine="0" w:firstLineChars="0"/>
              <w:jc w:val="center"/>
              <w:rPr>
                <w:spacing w:val="-8"/>
                <w:sz w:val="21"/>
                <w:lang w:eastAsia="zh-CN"/>
              </w:rPr>
            </w:pPr>
            <w:r>
              <w:rPr>
                <w:spacing w:val="-8"/>
                <w:sz w:val="21"/>
                <w:lang w:eastAsia="zh-CN"/>
              </w:rPr>
              <w:t>联合站</w:t>
            </w:r>
          </w:p>
        </w:tc>
        <w:tc>
          <w:tcPr>
            <w:tcW w:w="1071" w:type="dxa"/>
            <w:vAlign w:val="center"/>
          </w:tcPr>
          <w:p w14:paraId="267D50D2">
            <w:pPr>
              <w:adjustRightInd w:val="0"/>
              <w:snapToGrid w:val="0"/>
              <w:spacing w:line="240" w:lineRule="auto"/>
              <w:ind w:firstLine="0" w:firstLineChars="0"/>
              <w:jc w:val="center"/>
              <w:rPr>
                <w:spacing w:val="-8"/>
                <w:sz w:val="21"/>
                <w:lang w:eastAsia="zh-CN"/>
              </w:rPr>
            </w:pPr>
            <w:r>
              <w:rPr>
                <w:spacing w:val="-8"/>
                <w:sz w:val="21"/>
                <w:lang w:eastAsia="zh-CN"/>
              </w:rPr>
              <w:t>施工区</w:t>
            </w:r>
          </w:p>
        </w:tc>
        <w:tc>
          <w:tcPr>
            <w:tcW w:w="773" w:type="dxa"/>
            <w:vAlign w:val="center"/>
          </w:tcPr>
          <w:p w14:paraId="32543C5B">
            <w:pPr>
              <w:adjustRightInd w:val="0"/>
              <w:snapToGrid w:val="0"/>
              <w:spacing w:line="240" w:lineRule="auto"/>
              <w:ind w:firstLine="0" w:firstLineChars="0"/>
              <w:jc w:val="center"/>
              <w:rPr>
                <w:spacing w:val="-8"/>
                <w:sz w:val="21"/>
              </w:rPr>
            </w:pPr>
            <w:r>
              <w:rPr>
                <w:spacing w:val="-8"/>
                <w:sz w:val="21"/>
              </w:rPr>
              <w:t>√</w:t>
            </w:r>
          </w:p>
        </w:tc>
        <w:tc>
          <w:tcPr>
            <w:tcW w:w="899" w:type="dxa"/>
            <w:vAlign w:val="center"/>
          </w:tcPr>
          <w:p w14:paraId="3EAF8E60">
            <w:pPr>
              <w:adjustRightInd w:val="0"/>
              <w:snapToGrid w:val="0"/>
              <w:spacing w:line="240" w:lineRule="auto"/>
              <w:ind w:firstLine="0" w:firstLineChars="0"/>
              <w:jc w:val="center"/>
              <w:rPr>
                <w:spacing w:val="-8"/>
                <w:sz w:val="21"/>
              </w:rPr>
            </w:pPr>
          </w:p>
        </w:tc>
        <w:tc>
          <w:tcPr>
            <w:tcW w:w="652" w:type="dxa"/>
            <w:vAlign w:val="center"/>
          </w:tcPr>
          <w:p w14:paraId="02C6F06E">
            <w:pPr>
              <w:adjustRightInd w:val="0"/>
              <w:snapToGrid w:val="0"/>
              <w:spacing w:line="240" w:lineRule="auto"/>
              <w:ind w:firstLine="0" w:firstLineChars="0"/>
              <w:jc w:val="center"/>
              <w:rPr>
                <w:spacing w:val="-8"/>
                <w:sz w:val="21"/>
              </w:rPr>
            </w:pPr>
          </w:p>
        </w:tc>
        <w:tc>
          <w:tcPr>
            <w:tcW w:w="710" w:type="dxa"/>
            <w:vAlign w:val="center"/>
          </w:tcPr>
          <w:p w14:paraId="5A47BB98">
            <w:pPr>
              <w:adjustRightInd w:val="0"/>
              <w:snapToGrid w:val="0"/>
              <w:spacing w:line="240" w:lineRule="auto"/>
              <w:ind w:firstLine="0" w:firstLineChars="0"/>
              <w:jc w:val="center"/>
              <w:rPr>
                <w:spacing w:val="-8"/>
                <w:sz w:val="21"/>
              </w:rPr>
            </w:pPr>
            <w:r>
              <w:rPr>
                <w:spacing w:val="-8"/>
                <w:sz w:val="21"/>
              </w:rPr>
              <w:t>√</w:t>
            </w:r>
          </w:p>
        </w:tc>
        <w:tc>
          <w:tcPr>
            <w:tcW w:w="711" w:type="dxa"/>
            <w:vAlign w:val="center"/>
          </w:tcPr>
          <w:p w14:paraId="446A792F">
            <w:pPr>
              <w:adjustRightInd w:val="0"/>
              <w:snapToGrid w:val="0"/>
              <w:spacing w:line="240" w:lineRule="auto"/>
              <w:ind w:firstLine="0" w:firstLineChars="0"/>
              <w:jc w:val="center"/>
              <w:rPr>
                <w:spacing w:val="-8"/>
                <w:sz w:val="21"/>
              </w:rPr>
            </w:pPr>
          </w:p>
        </w:tc>
        <w:tc>
          <w:tcPr>
            <w:tcW w:w="710" w:type="dxa"/>
            <w:vAlign w:val="center"/>
          </w:tcPr>
          <w:p w14:paraId="7701AF33">
            <w:pPr>
              <w:adjustRightInd w:val="0"/>
              <w:snapToGrid w:val="0"/>
              <w:spacing w:line="240" w:lineRule="auto"/>
              <w:ind w:firstLine="0" w:firstLineChars="0"/>
              <w:jc w:val="center"/>
              <w:rPr>
                <w:spacing w:val="-8"/>
                <w:sz w:val="21"/>
              </w:rPr>
            </w:pPr>
            <w:r>
              <w:rPr>
                <w:spacing w:val="-8"/>
                <w:sz w:val="21"/>
              </w:rPr>
              <w:t>6个月</w:t>
            </w:r>
          </w:p>
        </w:tc>
        <w:tc>
          <w:tcPr>
            <w:tcW w:w="1049" w:type="dxa"/>
            <w:vAlign w:val="center"/>
          </w:tcPr>
          <w:p w14:paraId="6996D53B">
            <w:pPr>
              <w:adjustRightInd w:val="0"/>
              <w:snapToGrid w:val="0"/>
              <w:spacing w:line="240" w:lineRule="auto"/>
              <w:ind w:firstLine="0" w:firstLineChars="0"/>
              <w:jc w:val="center"/>
              <w:rPr>
                <w:spacing w:val="-8"/>
                <w:sz w:val="21"/>
                <w:lang w:eastAsia="zh-CN"/>
              </w:rPr>
            </w:pPr>
            <w:r>
              <w:rPr>
                <w:spacing w:val="-8"/>
                <w:sz w:val="21"/>
              </w:rPr>
              <w:t>植被</w:t>
            </w:r>
          </w:p>
          <w:p w14:paraId="67AC1965">
            <w:pPr>
              <w:adjustRightInd w:val="0"/>
              <w:snapToGrid w:val="0"/>
              <w:spacing w:line="240" w:lineRule="auto"/>
              <w:ind w:firstLine="0" w:firstLineChars="0"/>
              <w:jc w:val="center"/>
              <w:rPr>
                <w:spacing w:val="-8"/>
                <w:sz w:val="21"/>
              </w:rPr>
            </w:pPr>
            <w:r>
              <w:rPr>
                <w:spacing w:val="-8"/>
                <w:sz w:val="21"/>
              </w:rPr>
              <w:t>恢复期</w:t>
            </w:r>
          </w:p>
        </w:tc>
        <w:tc>
          <w:tcPr>
            <w:tcW w:w="947" w:type="dxa"/>
            <w:vAlign w:val="center"/>
          </w:tcPr>
          <w:p w14:paraId="1DEE5EC1">
            <w:pPr>
              <w:adjustRightInd w:val="0"/>
              <w:snapToGrid w:val="0"/>
              <w:spacing w:line="240" w:lineRule="auto"/>
              <w:ind w:firstLine="0" w:firstLineChars="0"/>
              <w:jc w:val="center"/>
              <w:rPr>
                <w:spacing w:val="-8"/>
                <w:sz w:val="21"/>
              </w:rPr>
            </w:pPr>
            <w:r>
              <w:rPr>
                <w:spacing w:val="-8"/>
                <w:sz w:val="21"/>
              </w:rPr>
              <w:t>扰动区</w:t>
            </w:r>
          </w:p>
        </w:tc>
      </w:tr>
      <w:tr w14:paraId="139B59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0" w:hRule="atLeast"/>
        </w:trPr>
        <w:tc>
          <w:tcPr>
            <w:tcW w:w="1006" w:type="dxa"/>
            <w:gridSpan w:val="2"/>
            <w:vMerge w:val="restart"/>
            <w:vAlign w:val="center"/>
          </w:tcPr>
          <w:p w14:paraId="5B145416">
            <w:pPr>
              <w:adjustRightInd w:val="0"/>
              <w:snapToGrid w:val="0"/>
              <w:spacing w:line="240" w:lineRule="auto"/>
              <w:ind w:firstLine="0" w:firstLineChars="0"/>
              <w:jc w:val="center"/>
              <w:rPr>
                <w:spacing w:val="-8"/>
                <w:sz w:val="21"/>
                <w:lang w:eastAsia="zh-CN"/>
              </w:rPr>
            </w:pPr>
            <w:r>
              <w:rPr>
                <w:spacing w:val="-8"/>
                <w:sz w:val="21"/>
                <w:lang w:eastAsia="zh-CN"/>
              </w:rPr>
              <w:t>区内</w:t>
            </w:r>
          </w:p>
          <w:p w14:paraId="54A9D7EC">
            <w:pPr>
              <w:adjustRightInd w:val="0"/>
              <w:snapToGrid w:val="0"/>
              <w:spacing w:line="240" w:lineRule="auto"/>
              <w:ind w:firstLine="0" w:firstLineChars="0"/>
              <w:jc w:val="center"/>
              <w:rPr>
                <w:spacing w:val="-8"/>
                <w:sz w:val="21"/>
                <w:lang w:eastAsia="zh-CN"/>
              </w:rPr>
            </w:pPr>
            <w:r>
              <w:rPr>
                <w:spacing w:val="-8"/>
                <w:sz w:val="21"/>
                <w:lang w:eastAsia="zh-CN"/>
              </w:rPr>
              <w:t>道路</w:t>
            </w:r>
          </w:p>
        </w:tc>
        <w:tc>
          <w:tcPr>
            <w:tcW w:w="1071" w:type="dxa"/>
            <w:vAlign w:val="center"/>
          </w:tcPr>
          <w:p w14:paraId="2267E353">
            <w:pPr>
              <w:adjustRightInd w:val="0"/>
              <w:snapToGrid w:val="0"/>
              <w:spacing w:line="240" w:lineRule="auto"/>
              <w:ind w:firstLine="0" w:firstLineChars="0"/>
              <w:jc w:val="center"/>
              <w:rPr>
                <w:spacing w:val="-8"/>
                <w:sz w:val="21"/>
                <w:lang w:eastAsia="zh-CN"/>
              </w:rPr>
            </w:pPr>
            <w:r>
              <w:rPr>
                <w:spacing w:val="-8"/>
                <w:sz w:val="21"/>
                <w:lang w:eastAsia="zh-CN"/>
              </w:rPr>
              <w:t>道路基</w:t>
            </w:r>
          </w:p>
        </w:tc>
        <w:tc>
          <w:tcPr>
            <w:tcW w:w="773" w:type="dxa"/>
            <w:vAlign w:val="center"/>
          </w:tcPr>
          <w:p w14:paraId="201074DC">
            <w:pPr>
              <w:adjustRightInd w:val="0"/>
              <w:snapToGrid w:val="0"/>
              <w:spacing w:line="240" w:lineRule="auto"/>
              <w:ind w:firstLine="0" w:firstLineChars="0"/>
              <w:jc w:val="center"/>
              <w:rPr>
                <w:spacing w:val="-8"/>
                <w:sz w:val="21"/>
              </w:rPr>
            </w:pPr>
            <w:r>
              <w:rPr>
                <w:spacing w:val="-8"/>
                <w:sz w:val="21"/>
              </w:rPr>
              <w:t>√</w:t>
            </w:r>
          </w:p>
        </w:tc>
        <w:tc>
          <w:tcPr>
            <w:tcW w:w="899" w:type="dxa"/>
            <w:vAlign w:val="center"/>
          </w:tcPr>
          <w:p w14:paraId="0186715C">
            <w:pPr>
              <w:adjustRightInd w:val="0"/>
              <w:snapToGrid w:val="0"/>
              <w:spacing w:line="240" w:lineRule="auto"/>
              <w:ind w:firstLine="0" w:firstLineChars="0"/>
              <w:jc w:val="center"/>
              <w:rPr>
                <w:spacing w:val="-8"/>
                <w:sz w:val="21"/>
              </w:rPr>
            </w:pPr>
          </w:p>
        </w:tc>
        <w:tc>
          <w:tcPr>
            <w:tcW w:w="652" w:type="dxa"/>
            <w:vAlign w:val="center"/>
          </w:tcPr>
          <w:p w14:paraId="4F491EE9">
            <w:pPr>
              <w:adjustRightInd w:val="0"/>
              <w:snapToGrid w:val="0"/>
              <w:spacing w:line="240" w:lineRule="auto"/>
              <w:ind w:firstLine="0" w:firstLineChars="0"/>
              <w:jc w:val="center"/>
              <w:rPr>
                <w:spacing w:val="-8"/>
                <w:sz w:val="21"/>
              </w:rPr>
            </w:pPr>
          </w:p>
        </w:tc>
        <w:tc>
          <w:tcPr>
            <w:tcW w:w="710" w:type="dxa"/>
            <w:vAlign w:val="center"/>
          </w:tcPr>
          <w:p w14:paraId="40D07C13">
            <w:pPr>
              <w:adjustRightInd w:val="0"/>
              <w:snapToGrid w:val="0"/>
              <w:spacing w:line="240" w:lineRule="auto"/>
              <w:ind w:firstLine="0" w:firstLineChars="0"/>
              <w:jc w:val="center"/>
              <w:rPr>
                <w:spacing w:val="-8"/>
                <w:sz w:val="21"/>
              </w:rPr>
            </w:pPr>
            <w:r>
              <w:rPr>
                <w:spacing w:val="-8"/>
                <w:sz w:val="21"/>
              </w:rPr>
              <w:t>√</w:t>
            </w:r>
          </w:p>
        </w:tc>
        <w:tc>
          <w:tcPr>
            <w:tcW w:w="711" w:type="dxa"/>
            <w:vAlign w:val="center"/>
          </w:tcPr>
          <w:p w14:paraId="39B7C37F">
            <w:pPr>
              <w:adjustRightInd w:val="0"/>
              <w:snapToGrid w:val="0"/>
              <w:spacing w:line="240" w:lineRule="auto"/>
              <w:ind w:firstLine="0" w:firstLineChars="0"/>
              <w:jc w:val="center"/>
              <w:rPr>
                <w:spacing w:val="-8"/>
                <w:sz w:val="21"/>
              </w:rPr>
            </w:pPr>
            <w:r>
              <w:rPr>
                <w:spacing w:val="-8"/>
                <w:sz w:val="21"/>
              </w:rPr>
              <w:t>√</w:t>
            </w:r>
          </w:p>
        </w:tc>
        <w:tc>
          <w:tcPr>
            <w:tcW w:w="710" w:type="dxa"/>
            <w:vAlign w:val="center"/>
          </w:tcPr>
          <w:p w14:paraId="59AE490B">
            <w:pPr>
              <w:adjustRightInd w:val="0"/>
              <w:snapToGrid w:val="0"/>
              <w:spacing w:line="240" w:lineRule="auto"/>
              <w:ind w:firstLine="0" w:firstLineChars="0"/>
              <w:jc w:val="center"/>
              <w:rPr>
                <w:spacing w:val="-8"/>
                <w:sz w:val="21"/>
                <w:lang w:eastAsia="zh-CN"/>
              </w:rPr>
            </w:pPr>
            <w:r>
              <w:rPr>
                <w:spacing w:val="-8"/>
                <w:sz w:val="21"/>
                <w:lang w:eastAsia="zh-CN"/>
              </w:rPr>
              <w:t>3个月</w:t>
            </w:r>
          </w:p>
        </w:tc>
        <w:tc>
          <w:tcPr>
            <w:tcW w:w="1049" w:type="dxa"/>
            <w:vMerge w:val="restart"/>
            <w:vAlign w:val="center"/>
          </w:tcPr>
          <w:p w14:paraId="52B36361">
            <w:pPr>
              <w:adjustRightInd w:val="0"/>
              <w:snapToGrid w:val="0"/>
              <w:spacing w:line="240" w:lineRule="auto"/>
              <w:ind w:firstLine="0" w:firstLineChars="0"/>
              <w:jc w:val="center"/>
              <w:rPr>
                <w:spacing w:val="-8"/>
                <w:sz w:val="21"/>
                <w:lang w:eastAsia="zh-CN"/>
              </w:rPr>
            </w:pPr>
            <w:r>
              <w:rPr>
                <w:spacing w:val="-8"/>
                <w:sz w:val="21"/>
              </w:rPr>
              <w:t>植被</w:t>
            </w:r>
          </w:p>
          <w:p w14:paraId="40579501">
            <w:pPr>
              <w:adjustRightInd w:val="0"/>
              <w:snapToGrid w:val="0"/>
              <w:spacing w:line="240" w:lineRule="auto"/>
              <w:ind w:firstLine="0" w:firstLineChars="0"/>
              <w:jc w:val="center"/>
              <w:rPr>
                <w:spacing w:val="-8"/>
                <w:sz w:val="21"/>
              </w:rPr>
            </w:pPr>
            <w:r>
              <w:rPr>
                <w:spacing w:val="-8"/>
                <w:sz w:val="21"/>
              </w:rPr>
              <w:t>恢复期</w:t>
            </w:r>
          </w:p>
        </w:tc>
        <w:tc>
          <w:tcPr>
            <w:tcW w:w="947" w:type="dxa"/>
            <w:vMerge w:val="restart"/>
            <w:vAlign w:val="center"/>
          </w:tcPr>
          <w:p w14:paraId="32379919">
            <w:pPr>
              <w:adjustRightInd w:val="0"/>
              <w:snapToGrid w:val="0"/>
              <w:spacing w:line="240" w:lineRule="auto"/>
              <w:ind w:firstLine="0" w:firstLineChars="0"/>
              <w:jc w:val="center"/>
              <w:rPr>
                <w:spacing w:val="-8"/>
                <w:sz w:val="21"/>
                <w:lang w:eastAsia="zh-CN"/>
              </w:rPr>
            </w:pPr>
            <w:r>
              <w:rPr>
                <w:spacing w:val="-8"/>
                <w:sz w:val="21"/>
                <w:lang w:eastAsia="zh-CN"/>
              </w:rPr>
              <w:t>施工</w:t>
            </w:r>
          </w:p>
          <w:p w14:paraId="0DDB2E2C">
            <w:pPr>
              <w:adjustRightInd w:val="0"/>
              <w:snapToGrid w:val="0"/>
              <w:spacing w:line="240" w:lineRule="auto"/>
              <w:ind w:firstLine="0" w:firstLineChars="0"/>
              <w:jc w:val="center"/>
              <w:rPr>
                <w:spacing w:val="-8"/>
                <w:sz w:val="21"/>
                <w:lang w:eastAsia="zh-CN"/>
              </w:rPr>
            </w:pPr>
            <w:r>
              <w:rPr>
                <w:spacing w:val="-8"/>
                <w:sz w:val="21"/>
                <w:lang w:eastAsia="zh-CN"/>
              </w:rPr>
              <w:t>破坏区</w:t>
            </w:r>
          </w:p>
        </w:tc>
      </w:tr>
      <w:tr w14:paraId="1AA550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0" w:hRule="atLeast"/>
        </w:trPr>
        <w:tc>
          <w:tcPr>
            <w:tcW w:w="1006" w:type="dxa"/>
            <w:gridSpan w:val="2"/>
            <w:vMerge w:val="continue"/>
            <w:vAlign w:val="center"/>
          </w:tcPr>
          <w:p w14:paraId="3A3FB129">
            <w:pPr>
              <w:adjustRightInd w:val="0"/>
              <w:snapToGrid w:val="0"/>
              <w:spacing w:line="240" w:lineRule="auto"/>
              <w:ind w:firstLine="0" w:firstLineChars="0"/>
              <w:jc w:val="center"/>
              <w:rPr>
                <w:spacing w:val="-8"/>
                <w:sz w:val="21"/>
                <w:lang w:eastAsia="zh-CN"/>
              </w:rPr>
            </w:pPr>
          </w:p>
        </w:tc>
        <w:tc>
          <w:tcPr>
            <w:tcW w:w="1071" w:type="dxa"/>
            <w:vAlign w:val="center"/>
          </w:tcPr>
          <w:p w14:paraId="49FA7A30">
            <w:pPr>
              <w:adjustRightInd w:val="0"/>
              <w:snapToGrid w:val="0"/>
              <w:spacing w:line="240" w:lineRule="auto"/>
              <w:ind w:firstLine="0" w:firstLineChars="0"/>
              <w:jc w:val="center"/>
              <w:rPr>
                <w:spacing w:val="-8"/>
                <w:sz w:val="21"/>
                <w:lang w:eastAsia="zh-CN"/>
              </w:rPr>
            </w:pPr>
            <w:r>
              <w:rPr>
                <w:spacing w:val="-8"/>
                <w:sz w:val="21"/>
                <w:lang w:eastAsia="zh-CN"/>
              </w:rPr>
              <w:t>施工区</w:t>
            </w:r>
          </w:p>
        </w:tc>
        <w:tc>
          <w:tcPr>
            <w:tcW w:w="773" w:type="dxa"/>
            <w:vAlign w:val="center"/>
          </w:tcPr>
          <w:p w14:paraId="58917377">
            <w:pPr>
              <w:adjustRightInd w:val="0"/>
              <w:snapToGrid w:val="0"/>
              <w:spacing w:line="240" w:lineRule="auto"/>
              <w:ind w:firstLine="0" w:firstLineChars="0"/>
              <w:jc w:val="center"/>
              <w:rPr>
                <w:spacing w:val="-8"/>
                <w:sz w:val="21"/>
              </w:rPr>
            </w:pPr>
            <w:r>
              <w:rPr>
                <w:spacing w:val="-8"/>
                <w:sz w:val="21"/>
              </w:rPr>
              <w:t>√</w:t>
            </w:r>
          </w:p>
        </w:tc>
        <w:tc>
          <w:tcPr>
            <w:tcW w:w="899" w:type="dxa"/>
            <w:vAlign w:val="center"/>
          </w:tcPr>
          <w:p w14:paraId="4755C6F3">
            <w:pPr>
              <w:adjustRightInd w:val="0"/>
              <w:snapToGrid w:val="0"/>
              <w:spacing w:line="240" w:lineRule="auto"/>
              <w:ind w:firstLine="0" w:firstLineChars="0"/>
              <w:jc w:val="center"/>
              <w:rPr>
                <w:spacing w:val="-8"/>
                <w:sz w:val="21"/>
              </w:rPr>
            </w:pPr>
            <w:r>
              <w:rPr>
                <w:spacing w:val="-8"/>
                <w:sz w:val="21"/>
              </w:rPr>
              <w:t>√</w:t>
            </w:r>
          </w:p>
        </w:tc>
        <w:tc>
          <w:tcPr>
            <w:tcW w:w="652" w:type="dxa"/>
            <w:vAlign w:val="center"/>
          </w:tcPr>
          <w:p w14:paraId="0812691F">
            <w:pPr>
              <w:adjustRightInd w:val="0"/>
              <w:snapToGrid w:val="0"/>
              <w:spacing w:line="240" w:lineRule="auto"/>
              <w:ind w:firstLine="0" w:firstLineChars="0"/>
              <w:jc w:val="center"/>
              <w:rPr>
                <w:spacing w:val="-8"/>
                <w:sz w:val="21"/>
              </w:rPr>
            </w:pPr>
            <w:r>
              <w:rPr>
                <w:spacing w:val="-8"/>
                <w:sz w:val="21"/>
              </w:rPr>
              <w:t>√</w:t>
            </w:r>
          </w:p>
        </w:tc>
        <w:tc>
          <w:tcPr>
            <w:tcW w:w="710" w:type="dxa"/>
            <w:vAlign w:val="center"/>
          </w:tcPr>
          <w:p w14:paraId="18590EAA">
            <w:pPr>
              <w:adjustRightInd w:val="0"/>
              <w:snapToGrid w:val="0"/>
              <w:spacing w:line="240" w:lineRule="auto"/>
              <w:ind w:firstLine="0" w:firstLineChars="0"/>
              <w:jc w:val="center"/>
              <w:rPr>
                <w:spacing w:val="-8"/>
                <w:sz w:val="21"/>
              </w:rPr>
            </w:pPr>
            <w:r>
              <w:rPr>
                <w:spacing w:val="-8"/>
                <w:sz w:val="21"/>
              </w:rPr>
              <w:t>√</w:t>
            </w:r>
          </w:p>
        </w:tc>
        <w:tc>
          <w:tcPr>
            <w:tcW w:w="711" w:type="dxa"/>
            <w:vAlign w:val="center"/>
          </w:tcPr>
          <w:p w14:paraId="521C0848">
            <w:pPr>
              <w:adjustRightInd w:val="0"/>
              <w:snapToGrid w:val="0"/>
              <w:spacing w:line="240" w:lineRule="auto"/>
              <w:ind w:firstLine="0" w:firstLineChars="0"/>
              <w:jc w:val="center"/>
              <w:rPr>
                <w:spacing w:val="-8"/>
                <w:sz w:val="21"/>
              </w:rPr>
            </w:pPr>
          </w:p>
        </w:tc>
        <w:tc>
          <w:tcPr>
            <w:tcW w:w="710" w:type="dxa"/>
            <w:vAlign w:val="center"/>
          </w:tcPr>
          <w:p w14:paraId="36490F1E">
            <w:pPr>
              <w:adjustRightInd w:val="0"/>
              <w:snapToGrid w:val="0"/>
              <w:spacing w:line="240" w:lineRule="auto"/>
              <w:ind w:firstLine="0" w:firstLineChars="0"/>
              <w:jc w:val="center"/>
              <w:rPr>
                <w:spacing w:val="-8"/>
                <w:sz w:val="21"/>
                <w:lang w:eastAsia="zh-CN"/>
              </w:rPr>
            </w:pPr>
            <w:r>
              <w:rPr>
                <w:spacing w:val="-8"/>
                <w:sz w:val="21"/>
                <w:lang w:eastAsia="zh-CN"/>
              </w:rPr>
              <w:t>3个月</w:t>
            </w:r>
          </w:p>
        </w:tc>
        <w:tc>
          <w:tcPr>
            <w:tcW w:w="1049" w:type="dxa"/>
            <w:vMerge w:val="continue"/>
            <w:vAlign w:val="center"/>
          </w:tcPr>
          <w:p w14:paraId="0A6B86D4">
            <w:pPr>
              <w:adjustRightInd w:val="0"/>
              <w:snapToGrid w:val="0"/>
              <w:spacing w:line="240" w:lineRule="auto"/>
              <w:ind w:firstLine="0" w:firstLineChars="0"/>
              <w:jc w:val="center"/>
              <w:rPr>
                <w:spacing w:val="-8"/>
                <w:sz w:val="21"/>
              </w:rPr>
            </w:pPr>
          </w:p>
        </w:tc>
        <w:tc>
          <w:tcPr>
            <w:tcW w:w="947" w:type="dxa"/>
            <w:vMerge w:val="continue"/>
            <w:vAlign w:val="center"/>
          </w:tcPr>
          <w:p w14:paraId="5490620A">
            <w:pPr>
              <w:adjustRightInd w:val="0"/>
              <w:snapToGrid w:val="0"/>
              <w:spacing w:line="240" w:lineRule="auto"/>
              <w:ind w:firstLine="0" w:firstLineChars="0"/>
              <w:jc w:val="center"/>
              <w:rPr>
                <w:spacing w:val="-8"/>
                <w:sz w:val="21"/>
              </w:rPr>
            </w:pPr>
          </w:p>
        </w:tc>
      </w:tr>
      <w:tr w14:paraId="498201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0" w:hRule="atLeast"/>
        </w:trPr>
        <w:tc>
          <w:tcPr>
            <w:tcW w:w="1006" w:type="dxa"/>
            <w:gridSpan w:val="2"/>
            <w:vAlign w:val="center"/>
          </w:tcPr>
          <w:p w14:paraId="434CF7EF">
            <w:pPr>
              <w:adjustRightInd w:val="0"/>
              <w:snapToGrid w:val="0"/>
              <w:spacing w:line="240" w:lineRule="auto"/>
              <w:ind w:firstLine="0" w:firstLineChars="0"/>
              <w:jc w:val="center"/>
              <w:rPr>
                <w:spacing w:val="-8"/>
                <w:sz w:val="21"/>
                <w:lang w:eastAsia="zh-CN"/>
              </w:rPr>
            </w:pPr>
            <w:r>
              <w:rPr>
                <w:spacing w:val="-8"/>
                <w:sz w:val="21"/>
                <w:lang w:eastAsia="zh-CN"/>
              </w:rPr>
              <w:t>区内</w:t>
            </w:r>
          </w:p>
          <w:p w14:paraId="4F6713E1">
            <w:pPr>
              <w:adjustRightInd w:val="0"/>
              <w:snapToGrid w:val="0"/>
              <w:spacing w:line="240" w:lineRule="auto"/>
              <w:ind w:firstLine="0" w:firstLineChars="0"/>
              <w:jc w:val="center"/>
              <w:rPr>
                <w:spacing w:val="-8"/>
                <w:sz w:val="21"/>
                <w:lang w:eastAsia="zh-CN"/>
              </w:rPr>
            </w:pPr>
            <w:r>
              <w:rPr>
                <w:spacing w:val="-8"/>
                <w:sz w:val="21"/>
                <w:lang w:eastAsia="zh-CN"/>
              </w:rPr>
              <w:t>集输管线</w:t>
            </w:r>
          </w:p>
        </w:tc>
        <w:tc>
          <w:tcPr>
            <w:tcW w:w="1071" w:type="dxa"/>
            <w:vAlign w:val="center"/>
          </w:tcPr>
          <w:p w14:paraId="3D825A32">
            <w:pPr>
              <w:adjustRightInd w:val="0"/>
              <w:snapToGrid w:val="0"/>
              <w:spacing w:line="240" w:lineRule="auto"/>
              <w:ind w:firstLine="0" w:firstLineChars="0"/>
              <w:jc w:val="center"/>
              <w:rPr>
                <w:spacing w:val="-8"/>
                <w:sz w:val="21"/>
              </w:rPr>
            </w:pPr>
            <w:r>
              <w:rPr>
                <w:spacing w:val="-8"/>
                <w:sz w:val="21"/>
              </w:rPr>
              <w:t>施工区</w:t>
            </w:r>
          </w:p>
        </w:tc>
        <w:tc>
          <w:tcPr>
            <w:tcW w:w="773" w:type="dxa"/>
            <w:vAlign w:val="center"/>
          </w:tcPr>
          <w:p w14:paraId="5F5B1E94">
            <w:pPr>
              <w:adjustRightInd w:val="0"/>
              <w:snapToGrid w:val="0"/>
              <w:spacing w:line="240" w:lineRule="auto"/>
              <w:ind w:firstLine="0" w:firstLineChars="0"/>
              <w:jc w:val="center"/>
              <w:rPr>
                <w:spacing w:val="-8"/>
                <w:sz w:val="21"/>
              </w:rPr>
            </w:pPr>
            <w:r>
              <w:rPr>
                <w:spacing w:val="-8"/>
                <w:sz w:val="21"/>
              </w:rPr>
              <w:t>√</w:t>
            </w:r>
          </w:p>
        </w:tc>
        <w:tc>
          <w:tcPr>
            <w:tcW w:w="899" w:type="dxa"/>
            <w:vAlign w:val="center"/>
          </w:tcPr>
          <w:p w14:paraId="6796C380">
            <w:pPr>
              <w:adjustRightInd w:val="0"/>
              <w:snapToGrid w:val="0"/>
              <w:spacing w:line="240" w:lineRule="auto"/>
              <w:ind w:firstLine="0" w:firstLineChars="0"/>
              <w:jc w:val="center"/>
              <w:rPr>
                <w:spacing w:val="-8"/>
                <w:sz w:val="21"/>
              </w:rPr>
            </w:pPr>
            <w:r>
              <w:rPr>
                <w:spacing w:val="-8"/>
                <w:sz w:val="21"/>
              </w:rPr>
              <w:t>√</w:t>
            </w:r>
          </w:p>
        </w:tc>
        <w:tc>
          <w:tcPr>
            <w:tcW w:w="652" w:type="dxa"/>
            <w:vAlign w:val="center"/>
          </w:tcPr>
          <w:p w14:paraId="44AD4F2F">
            <w:pPr>
              <w:adjustRightInd w:val="0"/>
              <w:snapToGrid w:val="0"/>
              <w:spacing w:line="240" w:lineRule="auto"/>
              <w:ind w:firstLine="0" w:firstLineChars="0"/>
              <w:jc w:val="center"/>
              <w:rPr>
                <w:spacing w:val="-8"/>
                <w:sz w:val="21"/>
              </w:rPr>
            </w:pPr>
            <w:r>
              <w:rPr>
                <w:spacing w:val="-8"/>
                <w:sz w:val="21"/>
              </w:rPr>
              <w:t>√</w:t>
            </w:r>
          </w:p>
        </w:tc>
        <w:tc>
          <w:tcPr>
            <w:tcW w:w="710" w:type="dxa"/>
            <w:vAlign w:val="center"/>
          </w:tcPr>
          <w:p w14:paraId="78BCC9B8">
            <w:pPr>
              <w:adjustRightInd w:val="0"/>
              <w:snapToGrid w:val="0"/>
              <w:spacing w:line="240" w:lineRule="auto"/>
              <w:ind w:firstLine="0" w:firstLineChars="0"/>
              <w:jc w:val="center"/>
              <w:rPr>
                <w:spacing w:val="-8"/>
                <w:sz w:val="21"/>
                <w:lang w:eastAsia="zh-CN"/>
              </w:rPr>
            </w:pPr>
            <w:r>
              <w:rPr>
                <w:spacing w:val="-8"/>
                <w:sz w:val="21"/>
              </w:rPr>
              <w:t>√</w:t>
            </w:r>
          </w:p>
        </w:tc>
        <w:tc>
          <w:tcPr>
            <w:tcW w:w="711" w:type="dxa"/>
            <w:vAlign w:val="center"/>
          </w:tcPr>
          <w:p w14:paraId="324F8133">
            <w:pPr>
              <w:adjustRightInd w:val="0"/>
              <w:snapToGrid w:val="0"/>
              <w:spacing w:line="240" w:lineRule="auto"/>
              <w:ind w:firstLine="0" w:firstLineChars="0"/>
              <w:jc w:val="center"/>
              <w:rPr>
                <w:spacing w:val="-8"/>
                <w:sz w:val="21"/>
              </w:rPr>
            </w:pPr>
          </w:p>
        </w:tc>
        <w:tc>
          <w:tcPr>
            <w:tcW w:w="710" w:type="dxa"/>
            <w:vAlign w:val="center"/>
          </w:tcPr>
          <w:p w14:paraId="254AD2FD">
            <w:pPr>
              <w:adjustRightInd w:val="0"/>
              <w:snapToGrid w:val="0"/>
              <w:spacing w:line="240" w:lineRule="auto"/>
              <w:ind w:firstLine="0" w:firstLineChars="0"/>
              <w:jc w:val="center"/>
              <w:rPr>
                <w:spacing w:val="-8"/>
                <w:sz w:val="21"/>
                <w:lang w:eastAsia="zh-CN"/>
              </w:rPr>
            </w:pPr>
            <w:r>
              <w:rPr>
                <w:spacing w:val="-8"/>
                <w:sz w:val="21"/>
                <w:lang w:eastAsia="zh-CN"/>
              </w:rPr>
              <w:t>3个月</w:t>
            </w:r>
          </w:p>
        </w:tc>
        <w:tc>
          <w:tcPr>
            <w:tcW w:w="1049" w:type="dxa"/>
            <w:vAlign w:val="center"/>
          </w:tcPr>
          <w:p w14:paraId="073F9F51">
            <w:pPr>
              <w:adjustRightInd w:val="0"/>
              <w:snapToGrid w:val="0"/>
              <w:spacing w:line="240" w:lineRule="auto"/>
              <w:ind w:firstLine="0" w:firstLineChars="0"/>
              <w:jc w:val="center"/>
              <w:rPr>
                <w:spacing w:val="-8"/>
                <w:sz w:val="21"/>
                <w:lang w:eastAsia="zh-CN"/>
              </w:rPr>
            </w:pPr>
            <w:r>
              <w:rPr>
                <w:spacing w:val="-8"/>
                <w:sz w:val="21"/>
              </w:rPr>
              <w:t>植被</w:t>
            </w:r>
          </w:p>
          <w:p w14:paraId="79A7DC65">
            <w:pPr>
              <w:adjustRightInd w:val="0"/>
              <w:snapToGrid w:val="0"/>
              <w:spacing w:line="240" w:lineRule="auto"/>
              <w:ind w:firstLine="0" w:firstLineChars="0"/>
              <w:jc w:val="center"/>
              <w:rPr>
                <w:spacing w:val="-8"/>
                <w:sz w:val="21"/>
              </w:rPr>
            </w:pPr>
            <w:r>
              <w:rPr>
                <w:spacing w:val="-8"/>
                <w:sz w:val="21"/>
              </w:rPr>
              <w:t>恢复期</w:t>
            </w:r>
          </w:p>
        </w:tc>
        <w:tc>
          <w:tcPr>
            <w:tcW w:w="947" w:type="dxa"/>
            <w:vAlign w:val="center"/>
          </w:tcPr>
          <w:p w14:paraId="16496260">
            <w:pPr>
              <w:adjustRightInd w:val="0"/>
              <w:snapToGrid w:val="0"/>
              <w:spacing w:line="240" w:lineRule="auto"/>
              <w:ind w:firstLine="0" w:firstLineChars="0"/>
              <w:jc w:val="center"/>
              <w:rPr>
                <w:spacing w:val="-8"/>
                <w:sz w:val="21"/>
              </w:rPr>
            </w:pPr>
            <w:r>
              <w:rPr>
                <w:spacing w:val="-8"/>
                <w:sz w:val="21"/>
              </w:rPr>
              <w:t>扰动区</w:t>
            </w:r>
          </w:p>
        </w:tc>
      </w:tr>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tbl>
    <w:p w14:paraId="74C85F66">
      <w:pPr>
        <w:pStyle w:val="3"/>
      </w:pPr>
      <w:bookmarkStart w:id="749" w:name="_Toc309208243"/>
      <w:bookmarkStart w:id="750" w:name="_Toc306547475"/>
      <w:bookmarkStart w:id="751" w:name="_Toc408414035"/>
      <w:r>
        <w:t>10.3水土保持防治措施</w:t>
      </w:r>
      <w:bookmarkEnd w:id="749"/>
      <w:bookmarkEnd w:id="750"/>
      <w:bookmarkEnd w:id="751"/>
    </w:p>
    <w:p w14:paraId="6E482DA2">
      <w:pPr>
        <w:ind w:firstLine="480"/>
        <w:rPr>
          <w:lang w:eastAsia="zh-CN"/>
        </w:rPr>
      </w:pPr>
      <w:r>
        <w:rPr>
          <w:lang w:eastAsia="zh-CN"/>
        </w:rPr>
        <w:t>根据水土流失防治分区，在水土流失预测及分析评价主体工程中具有水土保持功能工程的基础上，针对建设施工活动引发水土流失的特点和造成危害程度，采取有效的水土流失防治措施，把水土保持工程措施与植物措施，永久性防护措施和临时性措施有机结合起来，并把主体工程中具有水土保持功能的工程纳入水土流失防治措施体系中，合理确定水土保持措施的总体布局，以形成完整的、科学的水土保持防治体系。</w:t>
      </w:r>
    </w:p>
    <w:p w14:paraId="6F8C87EF">
      <w:pPr>
        <w:adjustRightInd w:val="0"/>
        <w:snapToGrid w:val="0"/>
        <w:spacing w:line="240" w:lineRule="auto"/>
        <w:ind w:firstLine="0" w:firstLineChars="0"/>
        <w:jc w:val="center"/>
        <w:rPr>
          <w:b/>
          <w:lang w:eastAsia="zh-CN"/>
        </w:rPr>
      </w:pPr>
      <w:bookmarkStart w:id="752" w:name="_Toc121275128"/>
      <w:r>
        <w:rPr>
          <w:b/>
          <w:lang w:eastAsia="zh-CN"/>
        </w:rPr>
        <w:t>表10.3-1  水土保持工程及临时措施量分年度安排表</w:t>
      </w:r>
    </w:p>
    <w:tbl>
      <w:tblPr>
        <w:tblStyle w:val="7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723"/>
        <w:gridCol w:w="1510"/>
        <w:gridCol w:w="2944"/>
        <w:gridCol w:w="2501"/>
      </w:tblGrid>
      <w:tr w14:paraId="1C8DB4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23" w:type="dxa"/>
            <w:vMerge w:val="restart"/>
            <w:vAlign w:val="center"/>
          </w:tcPr>
          <w:p w14:paraId="6B0F316D">
            <w:pPr>
              <w:pStyle w:val="518"/>
            </w:pPr>
            <w:r>
              <w:t>防治分区</w:t>
            </w:r>
          </w:p>
        </w:tc>
        <w:tc>
          <w:tcPr>
            <w:tcW w:w="1510" w:type="dxa"/>
            <w:vMerge w:val="restart"/>
            <w:vAlign w:val="center"/>
          </w:tcPr>
          <w:p w14:paraId="73130674">
            <w:pPr>
              <w:pStyle w:val="518"/>
            </w:pPr>
            <w:r>
              <w:t>工程名称</w:t>
            </w:r>
          </w:p>
        </w:tc>
        <w:tc>
          <w:tcPr>
            <w:tcW w:w="5445" w:type="dxa"/>
            <w:gridSpan w:val="2"/>
            <w:vMerge w:val="restart"/>
            <w:vAlign w:val="center"/>
          </w:tcPr>
          <w:p w14:paraId="365D7EC6">
            <w:pPr>
              <w:pStyle w:val="518"/>
            </w:pPr>
            <w:r>
              <w:t>措施名称</w:t>
            </w:r>
          </w:p>
        </w:tc>
      </w:tr>
      <w:tr w14:paraId="30713A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23" w:type="dxa"/>
            <w:vMerge w:val="continue"/>
            <w:vAlign w:val="center"/>
          </w:tcPr>
          <w:p w14:paraId="69F69608">
            <w:pPr>
              <w:pStyle w:val="518"/>
            </w:pPr>
          </w:p>
        </w:tc>
        <w:tc>
          <w:tcPr>
            <w:tcW w:w="1510" w:type="dxa"/>
            <w:vMerge w:val="continue"/>
            <w:vAlign w:val="center"/>
          </w:tcPr>
          <w:p w14:paraId="18415679">
            <w:pPr>
              <w:pStyle w:val="518"/>
            </w:pPr>
          </w:p>
        </w:tc>
        <w:tc>
          <w:tcPr>
            <w:tcW w:w="5445" w:type="dxa"/>
            <w:gridSpan w:val="2"/>
            <w:vMerge w:val="continue"/>
            <w:vAlign w:val="center"/>
          </w:tcPr>
          <w:p w14:paraId="35FEFD12">
            <w:pPr>
              <w:pStyle w:val="518"/>
            </w:pPr>
          </w:p>
        </w:tc>
      </w:tr>
      <w:tr w14:paraId="4232B6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23" w:type="dxa"/>
            <w:vMerge w:val="restart"/>
            <w:vAlign w:val="center"/>
          </w:tcPr>
          <w:p w14:paraId="0D36B4C9">
            <w:pPr>
              <w:pStyle w:val="518"/>
              <w:rPr>
                <w:lang w:eastAsia="zh-CN"/>
              </w:rPr>
            </w:pPr>
            <w:r>
              <w:t>油气集输</w:t>
            </w:r>
          </w:p>
          <w:p w14:paraId="69AA49ED">
            <w:pPr>
              <w:pStyle w:val="518"/>
            </w:pPr>
            <w:r>
              <w:t>工程</w:t>
            </w:r>
          </w:p>
        </w:tc>
        <w:tc>
          <w:tcPr>
            <w:tcW w:w="1510" w:type="dxa"/>
            <w:vMerge w:val="restart"/>
            <w:vAlign w:val="center"/>
          </w:tcPr>
          <w:p w14:paraId="54342922">
            <w:pPr>
              <w:pStyle w:val="518"/>
            </w:pPr>
            <w:r>
              <w:t>集油管道</w:t>
            </w:r>
          </w:p>
        </w:tc>
        <w:tc>
          <w:tcPr>
            <w:tcW w:w="2944" w:type="dxa"/>
            <w:vMerge w:val="restart"/>
            <w:vAlign w:val="center"/>
          </w:tcPr>
          <w:p w14:paraId="1A1F9BA4">
            <w:pPr>
              <w:pStyle w:val="518"/>
            </w:pPr>
            <w:r>
              <w:t>剥离表土及覆土</w:t>
            </w:r>
          </w:p>
        </w:tc>
        <w:tc>
          <w:tcPr>
            <w:tcW w:w="2501" w:type="dxa"/>
            <w:vAlign w:val="center"/>
          </w:tcPr>
          <w:p w14:paraId="6256648C">
            <w:pPr>
              <w:pStyle w:val="518"/>
            </w:pPr>
            <w:r>
              <w:t>剥离土方</w:t>
            </w:r>
          </w:p>
        </w:tc>
      </w:tr>
      <w:tr w14:paraId="59F5D1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23" w:type="dxa"/>
            <w:vMerge w:val="continue"/>
            <w:vAlign w:val="center"/>
          </w:tcPr>
          <w:p w14:paraId="5857E45B">
            <w:pPr>
              <w:pStyle w:val="518"/>
            </w:pPr>
          </w:p>
        </w:tc>
        <w:tc>
          <w:tcPr>
            <w:tcW w:w="1510" w:type="dxa"/>
            <w:vMerge w:val="continue"/>
            <w:vAlign w:val="center"/>
          </w:tcPr>
          <w:p w14:paraId="3085EA8D">
            <w:pPr>
              <w:pStyle w:val="518"/>
            </w:pPr>
          </w:p>
        </w:tc>
        <w:tc>
          <w:tcPr>
            <w:tcW w:w="2944" w:type="dxa"/>
            <w:vMerge w:val="continue"/>
            <w:vAlign w:val="center"/>
          </w:tcPr>
          <w:p w14:paraId="021A5506">
            <w:pPr>
              <w:pStyle w:val="518"/>
            </w:pPr>
          </w:p>
        </w:tc>
        <w:tc>
          <w:tcPr>
            <w:tcW w:w="2501" w:type="dxa"/>
            <w:vAlign w:val="center"/>
          </w:tcPr>
          <w:p w14:paraId="307B8267">
            <w:pPr>
              <w:pStyle w:val="518"/>
            </w:pPr>
            <w:r>
              <w:t>绿化覆土</w:t>
            </w:r>
          </w:p>
        </w:tc>
      </w:tr>
      <w:tr w14:paraId="0F684F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23" w:type="dxa"/>
            <w:vMerge w:val="continue"/>
            <w:vAlign w:val="center"/>
          </w:tcPr>
          <w:p w14:paraId="591CF095">
            <w:pPr>
              <w:pStyle w:val="518"/>
            </w:pPr>
          </w:p>
        </w:tc>
        <w:tc>
          <w:tcPr>
            <w:tcW w:w="1510" w:type="dxa"/>
            <w:vMerge w:val="continue"/>
            <w:vAlign w:val="center"/>
          </w:tcPr>
          <w:p w14:paraId="574A7EB8">
            <w:pPr>
              <w:pStyle w:val="518"/>
            </w:pPr>
          </w:p>
        </w:tc>
        <w:tc>
          <w:tcPr>
            <w:tcW w:w="2944" w:type="dxa"/>
            <w:vAlign w:val="center"/>
          </w:tcPr>
          <w:p w14:paraId="6A04D9CA">
            <w:pPr>
              <w:pStyle w:val="518"/>
            </w:pPr>
            <w:r>
              <w:t>剥离表土临时防护</w:t>
            </w:r>
          </w:p>
        </w:tc>
        <w:tc>
          <w:tcPr>
            <w:tcW w:w="2501" w:type="dxa"/>
            <w:vAlign w:val="center"/>
          </w:tcPr>
          <w:p w14:paraId="04C18972">
            <w:pPr>
              <w:pStyle w:val="518"/>
            </w:pPr>
            <w:r>
              <w:t>防护网</w:t>
            </w:r>
          </w:p>
        </w:tc>
      </w:tr>
      <w:tr w14:paraId="2D2C49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23" w:type="dxa"/>
            <w:vMerge w:val="restart"/>
            <w:vAlign w:val="center"/>
          </w:tcPr>
          <w:p w14:paraId="0FEA3155">
            <w:pPr>
              <w:pStyle w:val="518"/>
            </w:pPr>
            <w:r>
              <w:t>注水工程</w:t>
            </w:r>
          </w:p>
        </w:tc>
        <w:tc>
          <w:tcPr>
            <w:tcW w:w="1510" w:type="dxa"/>
            <w:vMerge w:val="restart"/>
            <w:vAlign w:val="center"/>
          </w:tcPr>
          <w:p w14:paraId="5AD9FEE3">
            <w:pPr>
              <w:pStyle w:val="518"/>
            </w:pPr>
            <w:r>
              <w:t>注水管线</w:t>
            </w:r>
          </w:p>
        </w:tc>
        <w:tc>
          <w:tcPr>
            <w:tcW w:w="2944" w:type="dxa"/>
            <w:vMerge w:val="restart"/>
            <w:vAlign w:val="center"/>
          </w:tcPr>
          <w:p w14:paraId="264B9BEB">
            <w:pPr>
              <w:pStyle w:val="518"/>
            </w:pPr>
            <w:r>
              <w:t>剥离表土及覆土</w:t>
            </w:r>
          </w:p>
        </w:tc>
        <w:tc>
          <w:tcPr>
            <w:tcW w:w="2501" w:type="dxa"/>
            <w:vAlign w:val="center"/>
          </w:tcPr>
          <w:p w14:paraId="393E1918">
            <w:pPr>
              <w:pStyle w:val="518"/>
            </w:pPr>
            <w:r>
              <w:t>剥离土方</w:t>
            </w:r>
          </w:p>
        </w:tc>
      </w:tr>
      <w:tr w14:paraId="306596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23" w:type="dxa"/>
            <w:vMerge w:val="continue"/>
            <w:vAlign w:val="center"/>
          </w:tcPr>
          <w:p w14:paraId="13C3970B">
            <w:pPr>
              <w:pStyle w:val="518"/>
            </w:pPr>
          </w:p>
        </w:tc>
        <w:tc>
          <w:tcPr>
            <w:tcW w:w="1510" w:type="dxa"/>
            <w:vMerge w:val="continue"/>
            <w:vAlign w:val="center"/>
          </w:tcPr>
          <w:p w14:paraId="5869B224">
            <w:pPr>
              <w:pStyle w:val="518"/>
            </w:pPr>
          </w:p>
        </w:tc>
        <w:tc>
          <w:tcPr>
            <w:tcW w:w="2944" w:type="dxa"/>
            <w:vMerge w:val="continue"/>
            <w:vAlign w:val="center"/>
          </w:tcPr>
          <w:p w14:paraId="7A163EA7">
            <w:pPr>
              <w:pStyle w:val="518"/>
            </w:pPr>
          </w:p>
        </w:tc>
        <w:tc>
          <w:tcPr>
            <w:tcW w:w="2501" w:type="dxa"/>
            <w:vAlign w:val="center"/>
          </w:tcPr>
          <w:p w14:paraId="49DBE323">
            <w:pPr>
              <w:pStyle w:val="518"/>
            </w:pPr>
            <w:r>
              <w:t>绿化覆土</w:t>
            </w:r>
          </w:p>
        </w:tc>
      </w:tr>
      <w:tr w14:paraId="41AF7E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23" w:type="dxa"/>
            <w:vMerge w:val="continue"/>
            <w:vAlign w:val="center"/>
          </w:tcPr>
          <w:p w14:paraId="5DDEBB7A">
            <w:pPr>
              <w:pStyle w:val="518"/>
            </w:pPr>
          </w:p>
        </w:tc>
        <w:tc>
          <w:tcPr>
            <w:tcW w:w="1510" w:type="dxa"/>
            <w:vMerge w:val="continue"/>
            <w:vAlign w:val="center"/>
          </w:tcPr>
          <w:p w14:paraId="1B55CEC2">
            <w:pPr>
              <w:pStyle w:val="518"/>
            </w:pPr>
          </w:p>
        </w:tc>
        <w:tc>
          <w:tcPr>
            <w:tcW w:w="2944" w:type="dxa"/>
            <w:vAlign w:val="center"/>
          </w:tcPr>
          <w:p w14:paraId="44EB70C4">
            <w:pPr>
              <w:pStyle w:val="518"/>
            </w:pPr>
            <w:r>
              <w:t>剥离表土临时防护</w:t>
            </w:r>
          </w:p>
        </w:tc>
        <w:tc>
          <w:tcPr>
            <w:tcW w:w="2501" w:type="dxa"/>
            <w:vAlign w:val="center"/>
          </w:tcPr>
          <w:p w14:paraId="01EBA2A7">
            <w:pPr>
              <w:pStyle w:val="518"/>
            </w:pPr>
            <w:r>
              <w:t>防护网</w:t>
            </w:r>
          </w:p>
        </w:tc>
      </w:tr>
      <w:tr w14:paraId="49340F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23" w:type="dxa"/>
            <w:vMerge w:val="restart"/>
            <w:tcBorders>
              <w:right w:val="single" w:color="auto" w:sz="4" w:space="0"/>
            </w:tcBorders>
            <w:vAlign w:val="center"/>
          </w:tcPr>
          <w:p w14:paraId="65620A70">
            <w:pPr>
              <w:pStyle w:val="518"/>
            </w:pPr>
            <w:r>
              <w:t>生产生活区</w:t>
            </w:r>
          </w:p>
        </w:tc>
        <w:tc>
          <w:tcPr>
            <w:tcW w:w="1510" w:type="dxa"/>
            <w:vMerge w:val="restart"/>
            <w:tcBorders>
              <w:left w:val="single" w:color="auto" w:sz="4" w:space="0"/>
              <w:right w:val="single" w:color="auto" w:sz="4" w:space="0"/>
            </w:tcBorders>
            <w:vAlign w:val="center"/>
          </w:tcPr>
          <w:p w14:paraId="6B2F95CD">
            <w:pPr>
              <w:pStyle w:val="518"/>
              <w:rPr>
                <w:sz w:val="20"/>
                <w:lang w:eastAsia="zh-CN"/>
              </w:rPr>
            </w:pPr>
            <w:r>
              <w:rPr>
                <w:sz w:val="20"/>
                <w:lang w:eastAsia="zh-CN"/>
              </w:rPr>
              <w:t>施工生产生活区</w:t>
            </w:r>
          </w:p>
        </w:tc>
        <w:tc>
          <w:tcPr>
            <w:tcW w:w="2944" w:type="dxa"/>
            <w:vMerge w:val="restart"/>
            <w:tcBorders>
              <w:left w:val="single" w:color="auto" w:sz="4" w:space="0"/>
            </w:tcBorders>
            <w:vAlign w:val="center"/>
          </w:tcPr>
          <w:p w14:paraId="537D29AC">
            <w:pPr>
              <w:pStyle w:val="518"/>
            </w:pPr>
            <w:r>
              <w:t>剥离表土及覆土</w:t>
            </w:r>
          </w:p>
        </w:tc>
        <w:tc>
          <w:tcPr>
            <w:tcW w:w="2501" w:type="dxa"/>
            <w:vAlign w:val="center"/>
          </w:tcPr>
          <w:p w14:paraId="0BCF15FB">
            <w:pPr>
              <w:pStyle w:val="518"/>
              <w:rPr>
                <w:sz w:val="20"/>
              </w:rPr>
            </w:pPr>
            <w:r>
              <w:rPr>
                <w:sz w:val="20"/>
              </w:rPr>
              <w:t>剥离表土</w:t>
            </w:r>
          </w:p>
        </w:tc>
      </w:tr>
      <w:tr w14:paraId="6D4435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23" w:type="dxa"/>
            <w:vMerge w:val="continue"/>
            <w:tcBorders>
              <w:right w:val="single" w:color="auto" w:sz="4" w:space="0"/>
            </w:tcBorders>
            <w:vAlign w:val="center"/>
          </w:tcPr>
          <w:p w14:paraId="11B2F88E">
            <w:pPr>
              <w:pStyle w:val="518"/>
            </w:pPr>
          </w:p>
        </w:tc>
        <w:tc>
          <w:tcPr>
            <w:tcW w:w="1510" w:type="dxa"/>
            <w:vMerge w:val="continue"/>
            <w:tcBorders>
              <w:left w:val="single" w:color="auto" w:sz="4" w:space="0"/>
              <w:right w:val="single" w:color="auto" w:sz="4" w:space="0"/>
            </w:tcBorders>
            <w:vAlign w:val="center"/>
          </w:tcPr>
          <w:p w14:paraId="30F6E6AA">
            <w:pPr>
              <w:pStyle w:val="518"/>
              <w:rPr>
                <w:sz w:val="20"/>
              </w:rPr>
            </w:pPr>
          </w:p>
        </w:tc>
        <w:tc>
          <w:tcPr>
            <w:tcW w:w="2944" w:type="dxa"/>
            <w:vMerge w:val="continue"/>
            <w:tcBorders>
              <w:left w:val="single" w:color="auto" w:sz="4" w:space="0"/>
              <w:bottom w:val="single" w:color="auto" w:sz="4" w:space="0"/>
            </w:tcBorders>
            <w:vAlign w:val="center"/>
          </w:tcPr>
          <w:p w14:paraId="78AA9FAA">
            <w:pPr>
              <w:pStyle w:val="518"/>
            </w:pPr>
          </w:p>
        </w:tc>
        <w:tc>
          <w:tcPr>
            <w:tcW w:w="2501" w:type="dxa"/>
            <w:vAlign w:val="center"/>
          </w:tcPr>
          <w:p w14:paraId="2498C053">
            <w:pPr>
              <w:pStyle w:val="518"/>
              <w:rPr>
                <w:sz w:val="20"/>
              </w:rPr>
            </w:pPr>
            <w:r>
              <w:rPr>
                <w:sz w:val="20"/>
              </w:rPr>
              <w:t>绿化覆土</w:t>
            </w:r>
          </w:p>
        </w:tc>
      </w:tr>
      <w:tr w14:paraId="1A77AB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723" w:type="dxa"/>
            <w:vMerge w:val="continue"/>
            <w:tcBorders>
              <w:right w:val="single" w:color="auto" w:sz="4" w:space="0"/>
            </w:tcBorders>
            <w:vAlign w:val="center"/>
          </w:tcPr>
          <w:p w14:paraId="75F38087">
            <w:pPr>
              <w:pStyle w:val="518"/>
            </w:pPr>
          </w:p>
        </w:tc>
        <w:tc>
          <w:tcPr>
            <w:tcW w:w="1510" w:type="dxa"/>
            <w:vMerge w:val="continue"/>
            <w:tcBorders>
              <w:left w:val="single" w:color="auto" w:sz="4" w:space="0"/>
              <w:right w:val="single" w:color="auto" w:sz="4" w:space="0"/>
            </w:tcBorders>
            <w:vAlign w:val="center"/>
          </w:tcPr>
          <w:p w14:paraId="73957EE5">
            <w:pPr>
              <w:pStyle w:val="518"/>
              <w:rPr>
                <w:sz w:val="20"/>
              </w:rPr>
            </w:pPr>
          </w:p>
        </w:tc>
        <w:tc>
          <w:tcPr>
            <w:tcW w:w="2944" w:type="dxa"/>
            <w:tcBorders>
              <w:top w:val="single" w:color="auto" w:sz="4" w:space="0"/>
              <w:left w:val="single" w:color="auto" w:sz="4" w:space="0"/>
              <w:right w:val="single" w:color="auto" w:sz="4" w:space="0"/>
            </w:tcBorders>
            <w:vAlign w:val="center"/>
          </w:tcPr>
          <w:p w14:paraId="271AC32B">
            <w:pPr>
              <w:pStyle w:val="518"/>
            </w:pPr>
            <w:r>
              <w:t>剥离表土临时防护</w:t>
            </w:r>
          </w:p>
        </w:tc>
        <w:tc>
          <w:tcPr>
            <w:tcW w:w="2501" w:type="dxa"/>
            <w:tcBorders>
              <w:left w:val="single" w:color="auto" w:sz="4" w:space="0"/>
            </w:tcBorders>
            <w:vAlign w:val="center"/>
          </w:tcPr>
          <w:p w14:paraId="2D5F97A8">
            <w:pPr>
              <w:pStyle w:val="518"/>
            </w:pPr>
            <w:r>
              <w:t>防护网</w:t>
            </w:r>
          </w:p>
        </w:tc>
      </w:tr>
    </w:tbl>
    <w:p w14:paraId="307EFCDF">
      <w:pPr>
        <w:adjustRightInd w:val="0"/>
        <w:snapToGrid w:val="0"/>
        <w:spacing w:line="240" w:lineRule="auto"/>
        <w:ind w:firstLine="0" w:firstLineChars="0"/>
        <w:jc w:val="center"/>
        <w:rPr>
          <w:b/>
          <w:lang w:eastAsia="zh-CN"/>
        </w:rPr>
      </w:pPr>
    </w:p>
    <w:p w14:paraId="2135D0A9">
      <w:pPr>
        <w:pStyle w:val="3"/>
        <w:rPr>
          <w:lang w:eastAsia="zh-CN"/>
        </w:rPr>
      </w:pPr>
      <w:bookmarkStart w:id="753" w:name="_Toc408414036"/>
      <w:r>
        <w:rPr>
          <w:lang w:eastAsia="zh-CN"/>
        </w:rPr>
        <w:t>10.4主体工程施工方法及施工工艺</w:t>
      </w:r>
      <w:bookmarkEnd w:id="753"/>
    </w:p>
    <w:p w14:paraId="1E2CB26A">
      <w:pPr>
        <w:ind w:firstLine="480"/>
        <w:rPr>
          <w:spacing w:val="-6"/>
          <w:lang w:eastAsia="zh-CN"/>
        </w:rPr>
      </w:pPr>
      <w:r>
        <w:rPr>
          <w:lang w:eastAsia="zh-CN"/>
        </w:rPr>
        <w:t>乌里雅斯太油田各防治区如集输管线、站场、供电线路等施工方法及施工</w:t>
      </w:r>
      <w:r>
        <w:rPr>
          <w:spacing w:val="-6"/>
          <w:lang w:eastAsia="zh-CN"/>
        </w:rPr>
        <w:t>工艺</w:t>
      </w:r>
      <w:r>
        <w:rPr>
          <w:rFonts w:hint="eastAsia"/>
          <w:spacing w:val="-6"/>
          <w:lang w:eastAsia="zh-CN"/>
        </w:rPr>
        <w:t>，</w:t>
      </w:r>
      <w:r>
        <w:rPr>
          <w:spacing w:val="-6"/>
          <w:lang w:eastAsia="zh-CN"/>
        </w:rPr>
        <w:t>水土保持分析及水土流失影响评价见表10.4-1。</w:t>
      </w:r>
    </w:p>
    <w:p w14:paraId="5A99E55C">
      <w:pPr>
        <w:spacing w:line="240" w:lineRule="auto"/>
        <w:ind w:firstLine="572" w:firstLineChars="250"/>
        <w:rPr>
          <w:b/>
          <w:spacing w:val="-6"/>
          <w:lang w:eastAsia="zh-CN"/>
        </w:rPr>
      </w:pPr>
      <w:r>
        <w:rPr>
          <w:b/>
          <w:spacing w:val="-6"/>
          <w:lang w:eastAsia="zh-CN"/>
        </w:rPr>
        <w:t xml:space="preserve">表10.4-1  </w:t>
      </w:r>
      <w:r>
        <w:rPr>
          <w:rFonts w:hint="eastAsia"/>
          <w:b/>
          <w:spacing w:val="-6"/>
          <w:lang w:eastAsia="zh-CN"/>
        </w:rPr>
        <w:t xml:space="preserve">     </w:t>
      </w:r>
      <w:r>
        <w:rPr>
          <w:b/>
          <w:spacing w:val="-6"/>
          <w:lang w:eastAsia="zh-CN"/>
        </w:rPr>
        <w:t>施工方法及施工工艺</w:t>
      </w:r>
    </w:p>
    <w:tbl>
      <w:tblPr>
        <w:tblStyle w:val="76"/>
        <w:tblW w:w="8755"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7"/>
        <w:gridCol w:w="3827"/>
        <w:gridCol w:w="4111"/>
      </w:tblGrid>
      <w:tr w14:paraId="1B944C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17" w:type="dxa"/>
            <w:vAlign w:val="center"/>
          </w:tcPr>
          <w:p w14:paraId="24D3B5A4">
            <w:pPr>
              <w:pStyle w:val="337"/>
              <w:adjustRightInd w:val="0"/>
              <w:snapToGrid w:val="0"/>
              <w:rPr>
                <w:color w:val="auto"/>
                <w:kern w:val="0"/>
                <w:lang w:val="en-US" w:eastAsia="en-US" w:bidi="en-US"/>
              </w:rPr>
            </w:pPr>
            <w:r>
              <w:rPr>
                <w:color w:val="auto"/>
                <w:kern w:val="0"/>
                <w:lang w:val="en-US" w:eastAsia="en-US" w:bidi="en-US"/>
              </w:rPr>
              <w:t>施工</w:t>
            </w:r>
          </w:p>
          <w:p w14:paraId="6E9E7A53">
            <w:pPr>
              <w:pStyle w:val="337"/>
              <w:adjustRightInd w:val="0"/>
              <w:snapToGrid w:val="0"/>
              <w:rPr>
                <w:color w:val="auto"/>
                <w:kern w:val="0"/>
                <w:lang w:val="en-US" w:eastAsia="en-US" w:bidi="en-US"/>
              </w:rPr>
            </w:pPr>
            <w:r>
              <w:rPr>
                <w:color w:val="auto"/>
                <w:kern w:val="0"/>
                <w:lang w:val="en-US" w:eastAsia="en-US" w:bidi="en-US"/>
              </w:rPr>
              <w:t>单元</w:t>
            </w:r>
          </w:p>
        </w:tc>
        <w:tc>
          <w:tcPr>
            <w:tcW w:w="3827" w:type="dxa"/>
            <w:vAlign w:val="center"/>
          </w:tcPr>
          <w:p w14:paraId="50FF224C">
            <w:pPr>
              <w:pStyle w:val="337"/>
              <w:adjustRightInd w:val="0"/>
              <w:snapToGrid w:val="0"/>
              <w:rPr>
                <w:color w:val="auto"/>
                <w:kern w:val="0"/>
                <w:lang w:val="en-US" w:eastAsia="en-US" w:bidi="en-US"/>
              </w:rPr>
            </w:pPr>
            <w:r>
              <w:rPr>
                <w:color w:val="auto"/>
                <w:kern w:val="0"/>
                <w:lang w:val="en-US" w:eastAsia="en-US" w:bidi="en-US"/>
              </w:rPr>
              <w:t>施工工艺</w:t>
            </w:r>
          </w:p>
        </w:tc>
        <w:tc>
          <w:tcPr>
            <w:tcW w:w="4111" w:type="dxa"/>
            <w:vAlign w:val="center"/>
          </w:tcPr>
          <w:p w14:paraId="562C9B03">
            <w:pPr>
              <w:pStyle w:val="337"/>
              <w:adjustRightInd w:val="0"/>
              <w:snapToGrid w:val="0"/>
              <w:rPr>
                <w:color w:val="auto"/>
                <w:kern w:val="0"/>
                <w:lang w:val="en-US" w:eastAsia="en-US" w:bidi="en-US"/>
              </w:rPr>
            </w:pPr>
            <w:r>
              <w:rPr>
                <w:color w:val="auto"/>
                <w:kern w:val="0"/>
                <w:lang w:val="en-US" w:eastAsia="en-US" w:bidi="en-US"/>
              </w:rPr>
              <w:t>水土保持分析与评价</w:t>
            </w:r>
          </w:p>
        </w:tc>
      </w:tr>
      <w:tr w14:paraId="5D6907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17" w:type="dxa"/>
            <w:vAlign w:val="center"/>
          </w:tcPr>
          <w:p w14:paraId="2C657A25">
            <w:pPr>
              <w:pStyle w:val="337"/>
              <w:adjustRightInd w:val="0"/>
              <w:snapToGrid w:val="0"/>
              <w:rPr>
                <w:color w:val="auto"/>
                <w:kern w:val="0"/>
                <w:lang w:val="en-US" w:eastAsia="en-US" w:bidi="en-US"/>
              </w:rPr>
            </w:pPr>
            <w:r>
              <w:rPr>
                <w:color w:val="auto"/>
                <w:kern w:val="0"/>
                <w:lang w:val="en-US" w:eastAsia="en-US" w:bidi="en-US"/>
              </w:rPr>
              <w:t>油气集输工程</w:t>
            </w:r>
          </w:p>
        </w:tc>
        <w:tc>
          <w:tcPr>
            <w:tcW w:w="3827" w:type="dxa"/>
            <w:vAlign w:val="center"/>
          </w:tcPr>
          <w:p w14:paraId="2758C4A7">
            <w:pPr>
              <w:pStyle w:val="337"/>
              <w:adjustRightInd w:val="0"/>
              <w:snapToGrid w:val="0"/>
              <w:jc w:val="left"/>
              <w:rPr>
                <w:color w:val="auto"/>
                <w:lang w:val="en-US" w:eastAsia="zh-CN" w:bidi="en-US"/>
              </w:rPr>
            </w:pPr>
            <w:r>
              <w:rPr>
                <w:color w:val="auto"/>
                <w:lang w:val="en-US" w:eastAsia="zh-CN" w:bidi="en-US"/>
              </w:rPr>
              <w:t>① 管道一般地段，均采用大开挖敷设方式，以机械施工，施工时自上而下分段分层进行开挖。表层腐殖土与生土分开堆放，生土堆在管沟一侧，管道放在管沟另一侧，管道外侧堆放表层腐殖土，腐殖土外侧设3.0 m宽施工便道，管道安装完毕后，进行土方回填，多余土方平摊于管线开挖区及施工区。</w:t>
            </w:r>
          </w:p>
          <w:p w14:paraId="6DE0CA42">
            <w:pPr>
              <w:pStyle w:val="337"/>
              <w:adjustRightInd w:val="0"/>
              <w:snapToGrid w:val="0"/>
              <w:jc w:val="left"/>
              <w:rPr>
                <w:color w:val="auto"/>
                <w:lang w:val="en-US" w:eastAsia="zh-CN" w:bidi="en-US"/>
              </w:rPr>
            </w:pPr>
            <w:r>
              <w:rPr>
                <w:color w:val="auto"/>
                <w:lang w:val="en-US" w:eastAsia="zh-CN" w:bidi="en-US"/>
              </w:rPr>
              <w:t>② 管道穿管道穿越公路需加钢套管，并采用顶管方式进行施工；多余土方平摊于管线开挖区及施工区。</w:t>
            </w:r>
          </w:p>
          <w:p w14:paraId="104AA60C">
            <w:pPr>
              <w:pStyle w:val="337"/>
              <w:adjustRightInd w:val="0"/>
              <w:snapToGrid w:val="0"/>
              <w:rPr>
                <w:color w:val="auto"/>
                <w:lang w:val="en-US" w:eastAsia="zh-CN" w:bidi="en-US"/>
              </w:rPr>
            </w:pPr>
            <w:r>
              <w:rPr>
                <w:color w:val="auto"/>
                <w:lang w:val="en-US" w:eastAsia="zh-CN" w:bidi="en-US"/>
              </w:rPr>
              <w:t>③站场施工前先进行场地平整，利用原地形的自然地势，移挖作填。平整以机械为主，人工配合机械对零星场地或边角区进行平整。建筑物基础和基槽开挖土方，相对集中堆放到附近需要填筑的区域，在回填利用之前进行临时防护</w:t>
            </w:r>
          </w:p>
        </w:tc>
        <w:tc>
          <w:tcPr>
            <w:tcW w:w="4111" w:type="dxa"/>
            <w:vAlign w:val="center"/>
          </w:tcPr>
          <w:p w14:paraId="29C0EFA0">
            <w:pPr>
              <w:pStyle w:val="337"/>
              <w:adjustRightInd w:val="0"/>
              <w:snapToGrid w:val="0"/>
              <w:rPr>
                <w:color w:val="auto"/>
                <w:kern w:val="0"/>
                <w:lang w:val="en-US" w:eastAsia="zh-CN" w:bidi="en-US"/>
              </w:rPr>
            </w:pPr>
            <w:r>
              <w:rPr>
                <w:color w:val="auto"/>
                <w:kern w:val="0"/>
                <w:lang w:val="en-US" w:eastAsia="zh-CN" w:bidi="en-US"/>
              </w:rPr>
              <w:t>输油管线开挖时尽量减少临时堆土及占地，可减少对地表的扰动和破坏，有利于保持水土。管沟开挖</w:t>
            </w:r>
            <w:r>
              <w:rPr>
                <w:color w:val="auto"/>
                <w:lang w:val="en-US" w:eastAsia="zh-CN" w:bidi="en-US"/>
              </w:rPr>
              <w:t>采用反铲挖掘机挖土，可加快施工进度，减少水土流失时间，减少开挖土方堆置裸露时间，减少了水土流失量。</w:t>
            </w:r>
            <w:r>
              <w:rPr>
                <w:color w:val="auto"/>
                <w:kern w:val="0"/>
                <w:lang w:val="en-US" w:eastAsia="zh-CN" w:bidi="en-US"/>
              </w:rPr>
              <w:t>开挖回填土方堆置在管沟，形成松散土料露天堆放，易发生水土流失。对临时堆置土料应采取临时防护措施，减少施工中的扬沙和临时堆土产生的水土流失量，减少对周边及施工环境的影响。开挖前剥离表土，保存了有限的表土资源，利于施工结束后开挖区空地及施工扰动区的绿化恢复。</w:t>
            </w:r>
            <w:r>
              <w:rPr>
                <w:color w:val="auto"/>
                <w:lang w:val="en-US" w:eastAsia="zh-CN" w:bidi="en-US"/>
              </w:rPr>
              <w:t>场地平整以机械施工为主，人工施工为辅，可减少平整场地裸露时间，减少了水土流失时间，从而可降低水土流失量。基础</w:t>
            </w:r>
            <w:r>
              <w:rPr>
                <w:color w:val="auto"/>
                <w:kern w:val="0"/>
                <w:lang w:val="en-US" w:eastAsia="zh-CN" w:bidi="en-US"/>
              </w:rPr>
              <w:t>开挖回填土方堆置在空地，形成松散土料露天堆放，易发生水土流失。对临时堆置土料应采取临时防护措施，减少施工中的扬沙和临时堆土产生的水土流失量。</w:t>
            </w:r>
          </w:p>
        </w:tc>
      </w:tr>
      <w:tr w14:paraId="03D8C5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17" w:type="dxa"/>
            <w:vAlign w:val="center"/>
          </w:tcPr>
          <w:p w14:paraId="497AC15C">
            <w:pPr>
              <w:pStyle w:val="337"/>
              <w:adjustRightInd w:val="0"/>
              <w:snapToGrid w:val="0"/>
              <w:rPr>
                <w:color w:val="auto"/>
                <w:kern w:val="0"/>
                <w:lang w:val="en-US" w:eastAsia="en-US" w:bidi="en-US"/>
              </w:rPr>
            </w:pPr>
            <w:r>
              <w:rPr>
                <w:color w:val="auto"/>
                <w:kern w:val="0"/>
                <w:lang w:val="en-US" w:eastAsia="en-US" w:bidi="en-US"/>
              </w:rPr>
              <w:t>注水工程</w:t>
            </w:r>
          </w:p>
        </w:tc>
        <w:tc>
          <w:tcPr>
            <w:tcW w:w="3827" w:type="dxa"/>
            <w:vAlign w:val="center"/>
          </w:tcPr>
          <w:p w14:paraId="41975F17">
            <w:pPr>
              <w:pStyle w:val="337"/>
              <w:adjustRightInd w:val="0"/>
              <w:snapToGrid w:val="0"/>
              <w:rPr>
                <w:color w:val="auto"/>
                <w:lang w:val="en-US" w:eastAsia="zh-CN" w:bidi="en-US"/>
              </w:rPr>
            </w:pPr>
            <w:r>
              <w:rPr>
                <w:color w:val="auto"/>
                <w:lang w:val="en-US" w:eastAsia="zh-CN" w:bidi="en-US"/>
              </w:rPr>
              <w:t>注水管线敷设形式均为地下直埋式。施工时自上而下分段分层进行开挖。表层腐殖土与生土分开堆放，生土堆在管沟一侧，管道放在管沟另一侧，管道外侧堆放表层腐殖土，腐殖土外侧设3.0 m宽施工便道，管道安装完毕，进行土方回填，多余表土用于管线开挖区及施工区覆土，不产生弃方。</w:t>
            </w:r>
          </w:p>
          <w:p w14:paraId="7ED3959B">
            <w:pPr>
              <w:pStyle w:val="337"/>
              <w:adjustRightInd w:val="0"/>
              <w:snapToGrid w:val="0"/>
              <w:rPr>
                <w:color w:val="auto"/>
                <w:lang w:val="en-US" w:eastAsia="zh-CN" w:bidi="en-US"/>
              </w:rPr>
            </w:pPr>
          </w:p>
        </w:tc>
        <w:tc>
          <w:tcPr>
            <w:tcW w:w="4111" w:type="dxa"/>
            <w:vAlign w:val="center"/>
          </w:tcPr>
          <w:p w14:paraId="6C9F3368">
            <w:pPr>
              <w:pStyle w:val="337"/>
              <w:adjustRightInd w:val="0"/>
              <w:snapToGrid w:val="0"/>
              <w:rPr>
                <w:color w:val="auto"/>
                <w:kern w:val="0"/>
                <w:lang w:val="en-US" w:eastAsia="zh-CN" w:bidi="en-US"/>
              </w:rPr>
            </w:pPr>
            <w:r>
              <w:rPr>
                <w:color w:val="auto"/>
                <w:kern w:val="0"/>
                <w:lang w:val="en-US" w:eastAsia="zh-CN" w:bidi="en-US"/>
              </w:rPr>
              <w:t>管线开挖时尽量减少临时堆土及占地，可减少对地表的扰动和破坏，有利于保持水土。管沟开挖</w:t>
            </w:r>
            <w:r>
              <w:rPr>
                <w:color w:val="auto"/>
                <w:lang w:val="en-US" w:eastAsia="zh-CN" w:bidi="en-US"/>
              </w:rPr>
              <w:t>采用反铲挖掘机挖土，可加快施工进度，减少水土流失时间，减少开挖土方堆置裸露时间，减少了水土流失量。</w:t>
            </w:r>
            <w:r>
              <w:rPr>
                <w:color w:val="auto"/>
                <w:kern w:val="0"/>
                <w:lang w:val="en-US" w:eastAsia="zh-CN" w:bidi="en-US"/>
              </w:rPr>
              <w:t>开挖回填土方堆置在管沟，形成松散土料露天堆放，易发生水土流失。对临时堆置土料应采取临时防护措施，减少施工中的扬沙和临时堆土产生的水土流失量，减少对周边及施工环境的影响。开挖前剥离表土，保存了有限的表土资源，利于施工结束后开挖区空地及施工扰动区的绿化恢复。穿越公路采用套管穿越，避免形成开挖沟槽，减少扰动面积。</w:t>
            </w:r>
          </w:p>
        </w:tc>
      </w:tr>
      <w:tr w14:paraId="554F77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17" w:type="dxa"/>
            <w:vAlign w:val="center"/>
          </w:tcPr>
          <w:p w14:paraId="6FEFC309">
            <w:pPr>
              <w:pStyle w:val="337"/>
              <w:adjustRightInd w:val="0"/>
              <w:snapToGrid w:val="0"/>
              <w:rPr>
                <w:color w:val="auto"/>
                <w:kern w:val="0"/>
                <w:lang w:val="en-US" w:eastAsia="en-US" w:bidi="en-US"/>
              </w:rPr>
            </w:pPr>
            <w:r>
              <w:rPr>
                <w:color w:val="auto"/>
                <w:kern w:val="0"/>
                <w:lang w:val="en-US" w:eastAsia="en-US" w:bidi="en-US"/>
              </w:rPr>
              <w:t>道路工程</w:t>
            </w:r>
          </w:p>
        </w:tc>
        <w:tc>
          <w:tcPr>
            <w:tcW w:w="3827" w:type="dxa"/>
            <w:vAlign w:val="center"/>
          </w:tcPr>
          <w:p w14:paraId="334AC2F5">
            <w:pPr>
              <w:pStyle w:val="337"/>
              <w:adjustRightInd w:val="0"/>
              <w:snapToGrid w:val="0"/>
              <w:rPr>
                <w:color w:val="auto"/>
                <w:lang w:val="en-US" w:eastAsia="zh-CN" w:bidi="en-US"/>
              </w:rPr>
            </w:pPr>
            <w:r>
              <w:rPr>
                <w:color w:val="auto"/>
                <w:lang w:val="en-US" w:eastAsia="zh-CN" w:bidi="en-US"/>
              </w:rPr>
              <w:t>进站道路以填方为主，路基填筑高度平均约0.5m，采用水平分层全断面填筑方法施工，逐段逐层向上填筑，作业程序为挖、装、运、摊、平、压路机压实的机械化流水作业。</w:t>
            </w:r>
          </w:p>
        </w:tc>
        <w:tc>
          <w:tcPr>
            <w:tcW w:w="4111" w:type="dxa"/>
            <w:vAlign w:val="center"/>
          </w:tcPr>
          <w:p w14:paraId="7E53C859">
            <w:pPr>
              <w:pStyle w:val="337"/>
              <w:adjustRightInd w:val="0"/>
              <w:snapToGrid w:val="0"/>
              <w:rPr>
                <w:color w:val="auto"/>
                <w:lang w:val="en-US" w:eastAsia="zh-CN" w:bidi="en-US"/>
              </w:rPr>
            </w:pPr>
            <w:r>
              <w:rPr>
                <w:color w:val="auto"/>
                <w:lang w:val="en-US" w:eastAsia="zh-CN" w:bidi="en-US"/>
              </w:rPr>
              <w:t>路基施工时水土流失主要原因为基底开挖造成临时堆土，使土壤抗蚀力降低易产生水土流失。填筑土料卸载后如不及时碾压，形成松散堆积体，在大风及降雨时易发生水土流失，同时路基占地范围内表层植被破坏后表土抗蚀力下降易发生水土流失。逐段逐层施工方法使施工时减少未碾压裸露施工面的面积，减少水土流失量</w:t>
            </w:r>
            <w:r>
              <w:rPr>
                <w:color w:val="auto"/>
                <w:spacing w:val="-6"/>
                <w:lang w:val="en-US" w:eastAsia="zh-CN" w:bidi="en-US"/>
              </w:rPr>
              <w:t>。</w:t>
            </w:r>
          </w:p>
        </w:tc>
      </w:tr>
      <w:tr w14:paraId="034628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17" w:type="dxa"/>
            <w:vAlign w:val="center"/>
          </w:tcPr>
          <w:p w14:paraId="66D90983">
            <w:pPr>
              <w:pStyle w:val="337"/>
              <w:adjustRightInd w:val="0"/>
              <w:snapToGrid w:val="0"/>
              <w:rPr>
                <w:color w:val="auto"/>
                <w:kern w:val="0"/>
                <w:lang w:val="en-US" w:eastAsia="zh-CN" w:bidi="en-US"/>
              </w:rPr>
            </w:pPr>
            <w:r>
              <w:rPr>
                <w:color w:val="auto"/>
                <w:kern w:val="0"/>
                <w:lang w:val="en-US" w:eastAsia="zh-CN" w:bidi="en-US"/>
              </w:rPr>
              <w:t>站场</w:t>
            </w:r>
          </w:p>
        </w:tc>
        <w:tc>
          <w:tcPr>
            <w:tcW w:w="3827" w:type="dxa"/>
            <w:vAlign w:val="center"/>
          </w:tcPr>
          <w:p w14:paraId="4454A499">
            <w:pPr>
              <w:pStyle w:val="337"/>
              <w:adjustRightInd w:val="0"/>
              <w:snapToGrid w:val="0"/>
              <w:rPr>
                <w:color w:val="auto"/>
                <w:spacing w:val="-2"/>
                <w:lang w:val="en-US" w:eastAsia="zh-CN" w:bidi="en-US"/>
              </w:rPr>
            </w:pPr>
            <w:r>
              <w:rPr>
                <w:color w:val="auto"/>
                <w:lang w:val="en-US" w:eastAsia="zh-CN" w:bidi="en-US"/>
              </w:rPr>
              <w:t>施工生产生活区建设期主要为施工临建设是基础开挖、各种机械设备碾压及施工人员对地表的扰动。</w:t>
            </w:r>
          </w:p>
        </w:tc>
        <w:tc>
          <w:tcPr>
            <w:tcW w:w="4111" w:type="dxa"/>
            <w:vAlign w:val="center"/>
          </w:tcPr>
          <w:p w14:paraId="337EE8FC">
            <w:pPr>
              <w:pStyle w:val="337"/>
              <w:adjustRightInd w:val="0"/>
              <w:snapToGrid w:val="0"/>
              <w:rPr>
                <w:color w:val="auto"/>
                <w:spacing w:val="-2"/>
                <w:lang w:val="en-US" w:eastAsia="zh-CN" w:bidi="en-US"/>
              </w:rPr>
            </w:pPr>
            <w:r>
              <w:rPr>
                <w:color w:val="auto"/>
                <w:lang w:val="en-US" w:eastAsia="zh-CN" w:bidi="en-US"/>
              </w:rPr>
              <w:t>场地平整以机械施工为主，人工施工为辅，可减少平整场地裸露时间，减少了水土流失时间，从而可降低水土流失量。基础</w:t>
            </w:r>
            <w:r>
              <w:rPr>
                <w:color w:val="auto"/>
                <w:kern w:val="0"/>
                <w:lang w:val="en-US" w:eastAsia="zh-CN" w:bidi="en-US"/>
              </w:rPr>
              <w:t>开挖回填土方堆置在空地，形成松散土料露天堆放，易发生水土流失。对临时堆置土料应采取临时防护措施，减少施工中的扬沙和临时堆土产生的水土流失量。</w:t>
            </w:r>
          </w:p>
        </w:tc>
      </w:tr>
      <w:bookmarkEnd w:id="752"/>
    </w:tbl>
    <w:p w14:paraId="533C2D37">
      <w:pPr>
        <w:pStyle w:val="3"/>
        <w:rPr>
          <w:lang w:eastAsia="zh-CN"/>
        </w:rPr>
      </w:pPr>
      <w:bookmarkStart w:id="754" w:name="_Toc293873713"/>
      <w:bookmarkStart w:id="755" w:name="_Toc306547476"/>
      <w:bookmarkStart w:id="756" w:name="_Toc309208244"/>
      <w:bookmarkStart w:id="757" w:name="_Toc408414037"/>
      <w:bookmarkStart w:id="758" w:name="_Toc277931051"/>
      <w:r>
        <w:rPr>
          <w:lang w:eastAsia="zh-CN"/>
        </w:rPr>
        <w:t>10.5水土保持监测</w:t>
      </w:r>
      <w:bookmarkEnd w:id="754"/>
      <w:bookmarkEnd w:id="755"/>
      <w:bookmarkEnd w:id="756"/>
      <w:bookmarkEnd w:id="757"/>
      <w:bookmarkEnd w:id="758"/>
    </w:p>
    <w:p w14:paraId="6412195F">
      <w:pPr>
        <w:ind w:firstLine="480"/>
        <w:rPr>
          <w:lang w:eastAsia="zh-CN"/>
        </w:rPr>
      </w:pPr>
      <w:r>
        <w:rPr>
          <w:lang w:eastAsia="zh-CN"/>
        </w:rPr>
        <w:t>水土保持监测内容、方法</w:t>
      </w:r>
      <w:r>
        <w:rPr>
          <w:rFonts w:hint="eastAsia"/>
          <w:lang w:eastAsia="zh-CN"/>
        </w:rPr>
        <w:t>及频次</w:t>
      </w:r>
      <w:r>
        <w:rPr>
          <w:lang w:eastAsia="zh-CN"/>
        </w:rPr>
        <w:t>见表10.5-1。</w:t>
      </w:r>
    </w:p>
    <w:p w14:paraId="40DE21BF">
      <w:pPr>
        <w:spacing w:line="240" w:lineRule="auto"/>
        <w:ind w:firstLine="320" w:firstLineChars="133"/>
        <w:rPr>
          <w:b/>
          <w:lang w:eastAsia="zh-CN"/>
        </w:rPr>
      </w:pPr>
      <w:r>
        <w:rPr>
          <w:b/>
          <w:lang w:val="zh-CN" w:eastAsia="zh-CN"/>
        </w:rPr>
        <w:t>表</w:t>
      </w:r>
      <w:r>
        <w:rPr>
          <w:b/>
          <w:lang w:eastAsia="zh-CN"/>
        </w:rPr>
        <w:t xml:space="preserve">10.5-1  </w:t>
      </w:r>
      <w:r>
        <w:rPr>
          <w:rFonts w:hint="eastAsia"/>
          <w:b/>
          <w:lang w:eastAsia="zh-CN"/>
        </w:rPr>
        <w:t xml:space="preserve">   </w:t>
      </w:r>
      <w:r>
        <w:rPr>
          <w:b/>
          <w:lang w:eastAsia="zh-CN"/>
        </w:rPr>
        <w:t>水土保持</w:t>
      </w:r>
      <w:r>
        <w:rPr>
          <w:b/>
          <w:lang w:val="zh-CN" w:eastAsia="zh-CN"/>
        </w:rPr>
        <w:t>监测</w:t>
      </w:r>
      <w:r>
        <w:rPr>
          <w:rFonts w:hint="eastAsia"/>
          <w:b/>
          <w:lang w:val="zh-CN" w:eastAsia="zh-CN"/>
        </w:rPr>
        <w:t>一览表</w:t>
      </w:r>
    </w:p>
    <w:tbl>
      <w:tblPr>
        <w:tblStyle w:val="76"/>
        <w:tblW w:w="8613"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84"/>
        <w:gridCol w:w="1533"/>
        <w:gridCol w:w="1740"/>
        <w:gridCol w:w="4056"/>
      </w:tblGrid>
      <w:tr w14:paraId="1F23FB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84" w:type="dxa"/>
            <w:vAlign w:val="center"/>
          </w:tcPr>
          <w:p w14:paraId="02D5D7EC">
            <w:pPr>
              <w:pStyle w:val="518"/>
              <w:rPr>
                <w:szCs w:val="18"/>
                <w:lang w:eastAsia="zh-CN"/>
              </w:rPr>
            </w:pPr>
            <w:bookmarkStart w:id="759" w:name="_Toc306547477"/>
            <w:bookmarkStart w:id="760" w:name="_Toc277931052"/>
            <w:bookmarkStart w:id="761" w:name="_Toc293873714"/>
            <w:bookmarkStart w:id="762" w:name="_Toc309208245"/>
            <w:r>
              <w:rPr>
                <w:szCs w:val="18"/>
              </w:rPr>
              <w:t>调查监测</w:t>
            </w:r>
          </w:p>
          <w:p w14:paraId="622044FE">
            <w:pPr>
              <w:pStyle w:val="518"/>
              <w:rPr>
                <w:szCs w:val="18"/>
              </w:rPr>
            </w:pPr>
            <w:r>
              <w:rPr>
                <w:szCs w:val="18"/>
              </w:rPr>
              <w:t>区域</w:t>
            </w:r>
          </w:p>
        </w:tc>
        <w:tc>
          <w:tcPr>
            <w:tcW w:w="1533" w:type="dxa"/>
            <w:vAlign w:val="center"/>
          </w:tcPr>
          <w:p w14:paraId="594C24F8">
            <w:pPr>
              <w:pStyle w:val="518"/>
              <w:rPr>
                <w:szCs w:val="18"/>
              </w:rPr>
            </w:pPr>
            <w:r>
              <w:rPr>
                <w:szCs w:val="18"/>
              </w:rPr>
              <w:t>监测内容</w:t>
            </w:r>
          </w:p>
        </w:tc>
        <w:tc>
          <w:tcPr>
            <w:tcW w:w="1740" w:type="dxa"/>
            <w:vAlign w:val="center"/>
          </w:tcPr>
          <w:p w14:paraId="23AAF144">
            <w:pPr>
              <w:pStyle w:val="518"/>
              <w:rPr>
                <w:szCs w:val="18"/>
              </w:rPr>
            </w:pPr>
            <w:r>
              <w:rPr>
                <w:szCs w:val="18"/>
              </w:rPr>
              <w:t>方法</w:t>
            </w:r>
          </w:p>
        </w:tc>
        <w:tc>
          <w:tcPr>
            <w:tcW w:w="4056" w:type="dxa"/>
            <w:vAlign w:val="center"/>
          </w:tcPr>
          <w:p w14:paraId="5FD3D1B7">
            <w:pPr>
              <w:pStyle w:val="518"/>
              <w:rPr>
                <w:szCs w:val="18"/>
              </w:rPr>
            </w:pPr>
            <w:r>
              <w:rPr>
                <w:szCs w:val="18"/>
              </w:rPr>
              <w:t>监测频次</w:t>
            </w:r>
          </w:p>
        </w:tc>
      </w:tr>
      <w:tr w14:paraId="21A997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84" w:type="dxa"/>
            <w:vAlign w:val="center"/>
          </w:tcPr>
          <w:p w14:paraId="195CACD5">
            <w:pPr>
              <w:pStyle w:val="518"/>
              <w:rPr>
                <w:szCs w:val="18"/>
                <w:lang w:eastAsia="zh-CN"/>
              </w:rPr>
            </w:pPr>
            <w:r>
              <w:rPr>
                <w:szCs w:val="18"/>
              </w:rPr>
              <w:t>油气集输</w:t>
            </w:r>
          </w:p>
          <w:p w14:paraId="4BDCE9AD">
            <w:pPr>
              <w:pStyle w:val="518"/>
              <w:rPr>
                <w:szCs w:val="18"/>
              </w:rPr>
            </w:pPr>
            <w:r>
              <w:rPr>
                <w:szCs w:val="18"/>
              </w:rPr>
              <w:t>工程</w:t>
            </w:r>
          </w:p>
        </w:tc>
        <w:tc>
          <w:tcPr>
            <w:tcW w:w="1533" w:type="dxa"/>
            <w:vMerge w:val="restart"/>
            <w:vAlign w:val="center"/>
          </w:tcPr>
          <w:p w14:paraId="057524A4">
            <w:pPr>
              <w:pStyle w:val="518"/>
              <w:rPr>
                <w:szCs w:val="18"/>
                <w:lang w:eastAsia="zh-CN"/>
              </w:rPr>
            </w:pPr>
            <w:r>
              <w:rPr>
                <w:szCs w:val="18"/>
                <w:lang w:eastAsia="zh-CN"/>
              </w:rPr>
              <w:t>①防治责任范围面积；</w:t>
            </w:r>
          </w:p>
          <w:p w14:paraId="41E0EB5F">
            <w:pPr>
              <w:pStyle w:val="518"/>
              <w:rPr>
                <w:szCs w:val="18"/>
                <w:lang w:eastAsia="zh-CN"/>
              </w:rPr>
            </w:pPr>
            <w:r>
              <w:rPr>
                <w:szCs w:val="18"/>
                <w:lang w:eastAsia="zh-CN"/>
              </w:rPr>
              <w:t>②扰动地表总面积、损坏水土保持设施数量及面积；</w:t>
            </w:r>
          </w:p>
          <w:p w14:paraId="06106E2F">
            <w:pPr>
              <w:pStyle w:val="518"/>
              <w:rPr>
                <w:szCs w:val="18"/>
                <w:lang w:eastAsia="zh-CN"/>
              </w:rPr>
            </w:pPr>
            <w:r>
              <w:fldChar w:fldCharType="begin"/>
            </w:r>
            <w:r>
              <w:rPr>
                <w:szCs w:val="18"/>
                <w:lang w:eastAsia="zh-CN"/>
              </w:rPr>
              <w:instrText xml:space="preserve"> = 3 \* GB3 </w:instrText>
            </w:r>
            <w:r>
              <w:fldChar w:fldCharType="separate"/>
            </w:r>
            <w:r>
              <w:rPr>
                <w:szCs w:val="18"/>
                <w:lang w:eastAsia="zh-CN"/>
              </w:rPr>
              <w:t>③</w:t>
            </w:r>
            <w:r>
              <w:fldChar w:fldCharType="end"/>
            </w:r>
            <w:r>
              <w:rPr>
                <w:szCs w:val="18"/>
                <w:lang w:eastAsia="zh-CN"/>
              </w:rPr>
              <w:t>水土流失危害；</w:t>
            </w:r>
          </w:p>
          <w:p w14:paraId="4921EA8F">
            <w:pPr>
              <w:pStyle w:val="518"/>
              <w:rPr>
                <w:szCs w:val="18"/>
                <w:lang w:eastAsia="zh-CN"/>
              </w:rPr>
            </w:pPr>
            <w:r>
              <w:rPr>
                <w:szCs w:val="18"/>
                <w:lang w:eastAsia="zh-CN"/>
              </w:rPr>
              <w:t>④水土保持措施实施情况</w:t>
            </w:r>
          </w:p>
          <w:p w14:paraId="78CB4A06">
            <w:pPr>
              <w:pStyle w:val="518"/>
              <w:rPr>
                <w:szCs w:val="18"/>
              </w:rPr>
            </w:pPr>
            <w:r>
              <w:rPr>
                <w:szCs w:val="18"/>
              </w:rPr>
              <w:t>⑤植物措施生长情况</w:t>
            </w:r>
          </w:p>
        </w:tc>
        <w:tc>
          <w:tcPr>
            <w:tcW w:w="1740" w:type="dxa"/>
            <w:vMerge w:val="restart"/>
            <w:vAlign w:val="center"/>
          </w:tcPr>
          <w:p w14:paraId="10C1D805">
            <w:pPr>
              <w:pStyle w:val="518"/>
              <w:rPr>
                <w:szCs w:val="18"/>
                <w:lang w:eastAsia="zh-CN"/>
              </w:rPr>
            </w:pPr>
            <w:r>
              <w:rPr>
                <w:szCs w:val="18"/>
                <w:lang w:eastAsia="zh-CN"/>
              </w:rPr>
              <w:t>①实地量测</w:t>
            </w:r>
          </w:p>
          <w:p w14:paraId="2C11E75E">
            <w:pPr>
              <w:pStyle w:val="518"/>
              <w:rPr>
                <w:szCs w:val="18"/>
                <w:lang w:eastAsia="zh-CN"/>
              </w:rPr>
            </w:pPr>
            <w:r>
              <w:rPr>
                <w:szCs w:val="18"/>
                <w:lang w:eastAsia="zh-CN"/>
              </w:rPr>
              <w:t>②水土流失危害采取典型调查，居民访谈；</w:t>
            </w:r>
          </w:p>
          <w:p w14:paraId="2537EA2C">
            <w:pPr>
              <w:pStyle w:val="518"/>
              <w:rPr>
                <w:szCs w:val="18"/>
                <w:lang w:eastAsia="zh-CN"/>
              </w:rPr>
            </w:pPr>
            <w:r>
              <w:rPr>
                <w:szCs w:val="18"/>
                <w:lang w:eastAsia="zh-CN"/>
              </w:rPr>
              <w:t>③巡查和观察法</w:t>
            </w:r>
          </w:p>
          <w:p w14:paraId="343B26FA">
            <w:pPr>
              <w:pStyle w:val="518"/>
              <w:rPr>
                <w:szCs w:val="18"/>
                <w:lang w:eastAsia="zh-CN"/>
              </w:rPr>
            </w:pPr>
            <w:r>
              <w:rPr>
                <w:szCs w:val="18"/>
                <w:lang w:eastAsia="zh-CN"/>
              </w:rPr>
              <w:t>④样方调查法</w:t>
            </w:r>
          </w:p>
        </w:tc>
        <w:tc>
          <w:tcPr>
            <w:tcW w:w="4056" w:type="dxa"/>
            <w:vMerge w:val="restart"/>
            <w:vAlign w:val="center"/>
          </w:tcPr>
          <w:p w14:paraId="27A29038">
            <w:pPr>
              <w:pStyle w:val="518"/>
              <w:rPr>
                <w:szCs w:val="18"/>
                <w:lang w:eastAsia="zh-CN"/>
              </w:rPr>
            </w:pPr>
            <w:r>
              <w:rPr>
                <w:szCs w:val="18"/>
                <w:lang w:eastAsia="zh-CN"/>
              </w:rPr>
              <w:t>①防治责任范围、扰动地表面积、破坏植被面积及程度，监测开始时详查1次；</w:t>
            </w:r>
          </w:p>
          <w:p w14:paraId="68B8E189">
            <w:pPr>
              <w:pStyle w:val="518"/>
              <w:rPr>
                <w:szCs w:val="18"/>
                <w:lang w:eastAsia="zh-CN"/>
              </w:rPr>
            </w:pPr>
            <w:r>
              <w:rPr>
                <w:lang w:eastAsia="zh-CN"/>
              </w:rPr>
              <w:t>②弃土数量及占地土建施工期每10天监测1次；</w:t>
            </w:r>
          </w:p>
          <w:p w14:paraId="6A80DCAA">
            <w:pPr>
              <w:pStyle w:val="518"/>
              <w:rPr>
                <w:szCs w:val="18"/>
                <w:lang w:eastAsia="zh-CN"/>
              </w:rPr>
            </w:pPr>
            <w:r>
              <w:rPr>
                <w:szCs w:val="18"/>
                <w:lang w:eastAsia="zh-CN"/>
              </w:rPr>
              <w:t>③水土流失灾害事件发生后在1周内完成监测。</w:t>
            </w:r>
          </w:p>
          <w:p w14:paraId="5864A458">
            <w:pPr>
              <w:pStyle w:val="518"/>
              <w:rPr>
                <w:szCs w:val="18"/>
                <w:lang w:eastAsia="zh-CN"/>
              </w:rPr>
            </w:pPr>
            <w:r>
              <w:rPr>
                <w:szCs w:val="18"/>
                <w:lang w:eastAsia="zh-CN"/>
              </w:rPr>
              <w:t>④正在实施的水土保持工程、植物措施每10天监测记录1次；</w:t>
            </w:r>
          </w:p>
          <w:p w14:paraId="7912B047">
            <w:pPr>
              <w:pStyle w:val="518"/>
              <w:rPr>
                <w:szCs w:val="18"/>
                <w:lang w:eastAsia="zh-CN"/>
              </w:rPr>
            </w:pPr>
            <w:r>
              <w:rPr>
                <w:szCs w:val="18"/>
                <w:lang w:eastAsia="zh-CN"/>
              </w:rPr>
              <w:t>⑤水土保持植物措施生长情况等至少每3个月监测记录1次。</w:t>
            </w:r>
          </w:p>
        </w:tc>
      </w:tr>
      <w:tr w14:paraId="768FA7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84" w:type="dxa"/>
            <w:vAlign w:val="center"/>
          </w:tcPr>
          <w:p w14:paraId="671E1DDC">
            <w:pPr>
              <w:pStyle w:val="518"/>
              <w:rPr>
                <w:szCs w:val="18"/>
              </w:rPr>
            </w:pPr>
            <w:r>
              <w:rPr>
                <w:szCs w:val="18"/>
              </w:rPr>
              <w:t>注水工程</w:t>
            </w:r>
          </w:p>
        </w:tc>
        <w:tc>
          <w:tcPr>
            <w:tcW w:w="1533" w:type="dxa"/>
            <w:vMerge w:val="continue"/>
            <w:vAlign w:val="center"/>
          </w:tcPr>
          <w:p w14:paraId="3B8B9773">
            <w:pPr>
              <w:pStyle w:val="518"/>
              <w:rPr>
                <w:szCs w:val="18"/>
              </w:rPr>
            </w:pPr>
          </w:p>
        </w:tc>
        <w:tc>
          <w:tcPr>
            <w:tcW w:w="1740" w:type="dxa"/>
            <w:vMerge w:val="continue"/>
            <w:vAlign w:val="center"/>
          </w:tcPr>
          <w:p w14:paraId="3573F566">
            <w:pPr>
              <w:pStyle w:val="518"/>
              <w:rPr>
                <w:szCs w:val="18"/>
              </w:rPr>
            </w:pPr>
          </w:p>
        </w:tc>
        <w:tc>
          <w:tcPr>
            <w:tcW w:w="4056" w:type="dxa"/>
            <w:vMerge w:val="continue"/>
            <w:vAlign w:val="center"/>
          </w:tcPr>
          <w:p w14:paraId="78D4EF5E">
            <w:pPr>
              <w:pStyle w:val="518"/>
              <w:rPr>
                <w:szCs w:val="18"/>
              </w:rPr>
            </w:pPr>
          </w:p>
        </w:tc>
      </w:tr>
      <w:tr w14:paraId="5857EA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84" w:type="dxa"/>
            <w:vAlign w:val="center"/>
          </w:tcPr>
          <w:p w14:paraId="21836BF2">
            <w:pPr>
              <w:pStyle w:val="518"/>
              <w:rPr>
                <w:szCs w:val="18"/>
              </w:rPr>
            </w:pPr>
            <w:r>
              <w:rPr>
                <w:szCs w:val="18"/>
              </w:rPr>
              <w:t>道路工程</w:t>
            </w:r>
          </w:p>
        </w:tc>
        <w:tc>
          <w:tcPr>
            <w:tcW w:w="1533" w:type="dxa"/>
            <w:vMerge w:val="continue"/>
            <w:vAlign w:val="center"/>
          </w:tcPr>
          <w:p w14:paraId="53EFA63C">
            <w:pPr>
              <w:pStyle w:val="518"/>
              <w:rPr>
                <w:szCs w:val="18"/>
              </w:rPr>
            </w:pPr>
          </w:p>
        </w:tc>
        <w:tc>
          <w:tcPr>
            <w:tcW w:w="1740" w:type="dxa"/>
            <w:vMerge w:val="continue"/>
            <w:vAlign w:val="center"/>
          </w:tcPr>
          <w:p w14:paraId="2EC34E76">
            <w:pPr>
              <w:pStyle w:val="518"/>
              <w:rPr>
                <w:szCs w:val="18"/>
              </w:rPr>
            </w:pPr>
          </w:p>
        </w:tc>
        <w:tc>
          <w:tcPr>
            <w:tcW w:w="4056" w:type="dxa"/>
            <w:vMerge w:val="continue"/>
            <w:vAlign w:val="center"/>
          </w:tcPr>
          <w:p w14:paraId="6BF7994B">
            <w:pPr>
              <w:pStyle w:val="518"/>
              <w:rPr>
                <w:szCs w:val="18"/>
              </w:rPr>
            </w:pPr>
          </w:p>
        </w:tc>
      </w:tr>
      <w:tr w14:paraId="267419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84" w:type="dxa"/>
            <w:vAlign w:val="center"/>
          </w:tcPr>
          <w:p w14:paraId="3BF00458">
            <w:pPr>
              <w:pStyle w:val="518"/>
              <w:rPr>
                <w:szCs w:val="18"/>
              </w:rPr>
            </w:pPr>
            <w:r>
              <w:rPr>
                <w:szCs w:val="18"/>
              </w:rPr>
              <w:t>生施工生产生活区</w:t>
            </w:r>
          </w:p>
        </w:tc>
        <w:tc>
          <w:tcPr>
            <w:tcW w:w="1533" w:type="dxa"/>
            <w:vMerge w:val="continue"/>
            <w:vAlign w:val="center"/>
          </w:tcPr>
          <w:p w14:paraId="39370EBF">
            <w:pPr>
              <w:pStyle w:val="518"/>
              <w:rPr>
                <w:szCs w:val="18"/>
              </w:rPr>
            </w:pPr>
          </w:p>
        </w:tc>
        <w:tc>
          <w:tcPr>
            <w:tcW w:w="1740" w:type="dxa"/>
            <w:vMerge w:val="continue"/>
            <w:vAlign w:val="center"/>
          </w:tcPr>
          <w:p w14:paraId="5599E6EA">
            <w:pPr>
              <w:pStyle w:val="518"/>
              <w:rPr>
                <w:szCs w:val="18"/>
              </w:rPr>
            </w:pPr>
          </w:p>
        </w:tc>
        <w:tc>
          <w:tcPr>
            <w:tcW w:w="4056" w:type="dxa"/>
            <w:vMerge w:val="continue"/>
            <w:vAlign w:val="center"/>
          </w:tcPr>
          <w:p w14:paraId="7741E3E3">
            <w:pPr>
              <w:pStyle w:val="518"/>
              <w:rPr>
                <w:szCs w:val="18"/>
              </w:rPr>
            </w:pPr>
          </w:p>
        </w:tc>
      </w:tr>
    </w:tbl>
    <w:p w14:paraId="72AF5BDF">
      <w:pPr>
        <w:pStyle w:val="3"/>
      </w:pPr>
      <w:bookmarkStart w:id="763" w:name="_Toc408414038"/>
      <w:r>
        <w:t>10.6结论</w:t>
      </w:r>
      <w:bookmarkEnd w:id="759"/>
      <w:bookmarkEnd w:id="760"/>
      <w:bookmarkEnd w:id="761"/>
      <w:bookmarkEnd w:id="762"/>
      <w:bookmarkEnd w:id="763"/>
    </w:p>
    <w:p w14:paraId="3DAB90E8">
      <w:pPr>
        <w:ind w:firstLine="480"/>
        <w:rPr>
          <w:lang w:eastAsia="zh-CN"/>
        </w:rPr>
        <w:sectPr>
          <w:footerReference r:id="rId14" w:type="default"/>
          <w:pgSz w:w="11906" w:h="16838"/>
          <w:pgMar w:top="1440" w:right="1797" w:bottom="1440" w:left="1797" w:header="851" w:footer="992" w:gutter="0"/>
          <w:cols w:space="720" w:num="1"/>
          <w:docGrid w:linePitch="312" w:charSpace="0"/>
        </w:sectPr>
      </w:pPr>
      <w:r>
        <w:rPr>
          <w:lang w:eastAsia="zh-CN"/>
        </w:rPr>
        <w:t>根据主体工程可行性研究设计，在分析评价主体工程总体布局、地理位置、交通条件、土石方量、扰动原地貌破坏土地和植被面积、损坏水土保持设施面积、投资等的基础上，通过对工程建设内容、施工工艺及产生水土流失的施工环节分析，调查与预测建设区水土流失总量、新增水土流失量及重点流失区和流失时段，提出相应的防治措施，通过水土保持保障措施的实施，把水土保持防护措施切实落实到位，实现项目区环境的恢复和改善。因此，本项目无限制工程建设的水土保持制约因素，从水土保持角度分析本工程建设是可行的。</w:t>
      </w:r>
    </w:p>
    <w:p w14:paraId="21D46F0A">
      <w:pPr>
        <w:pStyle w:val="2"/>
        <w:rPr>
          <w:lang w:eastAsia="zh-CN"/>
        </w:rPr>
      </w:pPr>
      <w:bookmarkStart w:id="764" w:name="_Toc408414039"/>
      <w:bookmarkStart w:id="765" w:name="_Toc338663584"/>
      <w:bookmarkStart w:id="766" w:name="_Toc248649421"/>
      <w:r>
        <w:rPr>
          <w:lang w:eastAsia="zh-CN"/>
        </w:rPr>
        <w:t>11环境风险评价</w:t>
      </w:r>
      <w:bookmarkEnd w:id="764"/>
      <w:bookmarkEnd w:id="765"/>
    </w:p>
    <w:p w14:paraId="27745026">
      <w:pPr>
        <w:ind w:firstLine="480"/>
        <w:rPr>
          <w:rFonts w:asciiTheme="minorEastAsia" w:hAnsiTheme="minorEastAsia" w:eastAsiaTheme="minorEastAsia"/>
          <w:lang w:eastAsia="zh-CN"/>
        </w:rPr>
      </w:pPr>
      <w:r>
        <w:rPr>
          <w:rFonts w:asciiTheme="minorEastAsia" w:hAnsiTheme="minorEastAsia" w:eastAsiaTheme="minorEastAsia"/>
          <w:lang w:eastAsia="zh-CN"/>
        </w:rPr>
        <w:t>根据《建设项目环境风险评价技术导则》（HJ/T169-2004）及国家环境保护总局文件《关于进一步加强环境影响评价管理防范环境风险的通知》环发[2012]77号要求，本评价将对油田</w:t>
      </w:r>
      <w:r>
        <w:rPr>
          <w:rFonts w:hint="eastAsia" w:asciiTheme="minorEastAsia" w:hAnsiTheme="minorEastAsia" w:eastAsiaTheme="minorEastAsia"/>
          <w:lang w:eastAsia="zh-CN"/>
        </w:rPr>
        <w:t>开发建设过程中的</w:t>
      </w:r>
      <w:r>
        <w:rPr>
          <w:rFonts w:asciiTheme="minorEastAsia" w:hAnsiTheme="minorEastAsia" w:eastAsiaTheme="minorEastAsia"/>
          <w:lang w:eastAsia="zh-CN"/>
        </w:rPr>
        <w:t>风险源进行调查与分析，</w:t>
      </w:r>
      <w:r>
        <w:rPr>
          <w:rFonts w:hint="eastAsia" w:asciiTheme="minorEastAsia" w:hAnsiTheme="minorEastAsia" w:eastAsiaTheme="minorEastAsia"/>
          <w:lang w:eastAsia="zh-CN"/>
        </w:rPr>
        <w:t>进行风险识别</w:t>
      </w:r>
      <w:r>
        <w:rPr>
          <w:rFonts w:asciiTheme="minorEastAsia" w:hAnsiTheme="minorEastAsia" w:eastAsiaTheme="minorEastAsia"/>
          <w:lang w:eastAsia="zh-CN"/>
        </w:rPr>
        <w:t>，并对主要风险源在重大事故状态下对环境的影响进行</w:t>
      </w:r>
      <w:r>
        <w:rPr>
          <w:rFonts w:hint="eastAsia" w:asciiTheme="minorEastAsia" w:hAnsiTheme="minorEastAsia" w:eastAsiaTheme="minorEastAsia"/>
          <w:lang w:eastAsia="zh-CN"/>
        </w:rPr>
        <w:t>分析</w:t>
      </w:r>
      <w:r>
        <w:rPr>
          <w:rFonts w:asciiTheme="minorEastAsia" w:hAnsiTheme="minorEastAsia" w:eastAsiaTheme="minorEastAsia"/>
          <w:lang w:eastAsia="zh-CN"/>
        </w:rPr>
        <w:t>，</w:t>
      </w:r>
      <w:r>
        <w:rPr>
          <w:rFonts w:hint="eastAsia" w:asciiTheme="minorEastAsia" w:hAnsiTheme="minorEastAsia" w:eastAsiaTheme="minorEastAsia"/>
          <w:lang w:eastAsia="zh-CN"/>
        </w:rPr>
        <w:t>提出</w:t>
      </w:r>
      <w:r>
        <w:rPr>
          <w:rFonts w:asciiTheme="minorEastAsia" w:hAnsiTheme="minorEastAsia" w:eastAsiaTheme="minorEastAsia"/>
          <w:lang w:eastAsia="zh-CN"/>
        </w:rPr>
        <w:t>风险防范措施</w:t>
      </w:r>
      <w:r>
        <w:rPr>
          <w:rFonts w:hint="eastAsia" w:asciiTheme="minorEastAsia" w:hAnsiTheme="minorEastAsia" w:eastAsiaTheme="minorEastAsia"/>
          <w:lang w:eastAsia="zh-CN"/>
        </w:rPr>
        <w:t>，制定</w:t>
      </w:r>
      <w:r>
        <w:rPr>
          <w:rFonts w:asciiTheme="minorEastAsia" w:hAnsiTheme="minorEastAsia" w:eastAsiaTheme="minorEastAsia"/>
          <w:lang w:eastAsia="zh-CN"/>
        </w:rPr>
        <w:t>应急预案。</w:t>
      </w:r>
    </w:p>
    <w:p w14:paraId="720D7F99">
      <w:pPr>
        <w:pStyle w:val="3"/>
        <w:rPr>
          <w:lang w:eastAsia="zh-CN"/>
        </w:rPr>
      </w:pPr>
      <w:bookmarkStart w:id="767" w:name="_Toc408414040"/>
      <w:bookmarkStart w:id="768" w:name="_Toc338663585"/>
      <w:r>
        <w:rPr>
          <w:lang w:eastAsia="zh-CN"/>
        </w:rPr>
        <w:t>11.1环境风险识别</w:t>
      </w:r>
      <w:bookmarkEnd w:id="767"/>
      <w:bookmarkEnd w:id="768"/>
    </w:p>
    <w:p w14:paraId="0038C48B">
      <w:pPr>
        <w:pStyle w:val="4"/>
        <w:rPr>
          <w:lang w:eastAsia="zh-CN"/>
        </w:rPr>
      </w:pPr>
      <w:bookmarkStart w:id="769" w:name="_Toc338663586"/>
      <w:bookmarkStart w:id="770" w:name="_Toc408414041"/>
      <w:r>
        <w:rPr>
          <w:lang w:eastAsia="zh-CN"/>
        </w:rPr>
        <w:t>11.1.1物质风险性识别</w:t>
      </w:r>
      <w:bookmarkEnd w:id="769"/>
      <w:bookmarkEnd w:id="770"/>
    </w:p>
    <w:p w14:paraId="60817639">
      <w:pPr>
        <w:ind w:firstLine="480"/>
        <w:rPr>
          <w:rFonts w:asciiTheme="minorEastAsia" w:hAnsiTheme="minorEastAsia" w:eastAsiaTheme="minorEastAsia"/>
          <w:lang w:eastAsia="zh-CN"/>
        </w:rPr>
      </w:pPr>
      <w:r>
        <w:rPr>
          <w:rFonts w:asciiTheme="minorEastAsia" w:hAnsiTheme="minorEastAsia" w:eastAsiaTheme="minorEastAsia"/>
          <w:lang w:eastAsia="zh-CN"/>
        </w:rPr>
        <w:t>1、物质风险识别范围</w:t>
      </w:r>
    </w:p>
    <w:p w14:paraId="33CDA1D2">
      <w:pPr>
        <w:ind w:firstLine="480"/>
        <w:rPr>
          <w:rFonts w:asciiTheme="minorEastAsia" w:hAnsiTheme="minorEastAsia" w:eastAsiaTheme="minorEastAsia"/>
          <w:lang w:eastAsia="zh-CN"/>
        </w:rPr>
      </w:pPr>
      <w:r>
        <w:rPr>
          <w:rFonts w:asciiTheme="minorEastAsia" w:hAnsiTheme="minorEastAsia" w:eastAsiaTheme="minorEastAsia"/>
          <w:lang w:eastAsia="zh-CN"/>
        </w:rPr>
        <w:t>本项目物质风险识别的范围见表11.1-1。</w:t>
      </w:r>
    </w:p>
    <w:p w14:paraId="46906F50">
      <w:pPr>
        <w:spacing w:line="240" w:lineRule="auto"/>
        <w:ind w:firstLine="434" w:firstLineChars="180"/>
        <w:rPr>
          <w:b/>
          <w:lang w:eastAsia="zh-CN"/>
        </w:rPr>
      </w:pPr>
      <w:r>
        <w:rPr>
          <w:b/>
          <w:lang w:eastAsia="zh-CN"/>
        </w:rPr>
        <w:t xml:space="preserve">表11.1-1  </w:t>
      </w:r>
      <w:r>
        <w:rPr>
          <w:rFonts w:hint="eastAsia"/>
          <w:b/>
          <w:lang w:eastAsia="zh-CN"/>
        </w:rPr>
        <w:t xml:space="preserve">  </w:t>
      </w:r>
      <w:r>
        <w:rPr>
          <w:b/>
          <w:lang w:eastAsia="zh-CN"/>
        </w:rPr>
        <w:t>本项目物质风险性识别范围表</w:t>
      </w:r>
    </w:p>
    <w:tbl>
      <w:tblPr>
        <w:tblStyle w:val="7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21"/>
        <w:gridCol w:w="2653"/>
        <w:gridCol w:w="3855"/>
      </w:tblGrid>
      <w:tr w14:paraId="5B94E3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021" w:type="dxa"/>
            <w:vAlign w:val="center"/>
          </w:tcPr>
          <w:p w14:paraId="4578A400">
            <w:pPr>
              <w:adjustRightInd w:val="0"/>
              <w:snapToGrid w:val="0"/>
              <w:spacing w:line="240" w:lineRule="exact"/>
              <w:ind w:firstLine="420"/>
              <w:jc w:val="center"/>
              <w:rPr>
                <w:sz w:val="21"/>
                <w:szCs w:val="21"/>
              </w:rPr>
            </w:pPr>
            <w:r>
              <w:rPr>
                <w:sz w:val="21"/>
                <w:szCs w:val="21"/>
              </w:rPr>
              <w:t>类别</w:t>
            </w:r>
          </w:p>
        </w:tc>
        <w:tc>
          <w:tcPr>
            <w:tcW w:w="2653" w:type="dxa"/>
            <w:vAlign w:val="center"/>
          </w:tcPr>
          <w:p w14:paraId="0B3A7579">
            <w:pPr>
              <w:adjustRightInd w:val="0"/>
              <w:snapToGrid w:val="0"/>
              <w:spacing w:line="240" w:lineRule="exact"/>
              <w:ind w:firstLine="420"/>
              <w:jc w:val="center"/>
              <w:rPr>
                <w:sz w:val="21"/>
                <w:szCs w:val="21"/>
              </w:rPr>
            </w:pPr>
            <w:r>
              <w:rPr>
                <w:sz w:val="21"/>
                <w:szCs w:val="21"/>
              </w:rPr>
              <w:t>主要作业点</w:t>
            </w:r>
          </w:p>
        </w:tc>
        <w:tc>
          <w:tcPr>
            <w:tcW w:w="3855" w:type="dxa"/>
            <w:vAlign w:val="center"/>
          </w:tcPr>
          <w:p w14:paraId="4A3E89F1">
            <w:pPr>
              <w:adjustRightInd w:val="0"/>
              <w:snapToGrid w:val="0"/>
              <w:spacing w:line="240" w:lineRule="exact"/>
              <w:ind w:firstLine="420"/>
              <w:jc w:val="center"/>
              <w:rPr>
                <w:sz w:val="21"/>
                <w:szCs w:val="21"/>
              </w:rPr>
            </w:pPr>
            <w:r>
              <w:rPr>
                <w:sz w:val="21"/>
                <w:szCs w:val="21"/>
              </w:rPr>
              <w:t>化学物质</w:t>
            </w:r>
          </w:p>
        </w:tc>
      </w:tr>
      <w:tr w14:paraId="6A35D0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021" w:type="dxa"/>
            <w:vAlign w:val="center"/>
          </w:tcPr>
          <w:p w14:paraId="7987D2DF">
            <w:pPr>
              <w:adjustRightInd w:val="0"/>
              <w:snapToGrid w:val="0"/>
              <w:spacing w:line="240" w:lineRule="exact"/>
              <w:ind w:firstLine="420"/>
              <w:jc w:val="center"/>
              <w:rPr>
                <w:sz w:val="21"/>
                <w:szCs w:val="21"/>
                <w:lang w:eastAsia="zh-CN"/>
              </w:rPr>
            </w:pPr>
            <w:r>
              <w:rPr>
                <w:rFonts w:hint="eastAsia"/>
                <w:sz w:val="21"/>
                <w:szCs w:val="21"/>
                <w:lang w:eastAsia="zh-CN"/>
              </w:rPr>
              <w:t>井场</w:t>
            </w:r>
          </w:p>
        </w:tc>
        <w:tc>
          <w:tcPr>
            <w:tcW w:w="2653" w:type="dxa"/>
            <w:vAlign w:val="center"/>
          </w:tcPr>
          <w:p w14:paraId="5EED44A2">
            <w:pPr>
              <w:pStyle w:val="395"/>
              <w:widowControl w:val="0"/>
              <w:adjustRightInd w:val="0"/>
              <w:snapToGrid w:val="0"/>
              <w:spacing w:line="240" w:lineRule="exact"/>
              <w:rPr>
                <w:color w:val="auto"/>
                <w:kern w:val="2"/>
                <w:szCs w:val="21"/>
              </w:rPr>
            </w:pPr>
            <w:r>
              <w:rPr>
                <w:color w:val="auto"/>
                <w:kern w:val="2"/>
                <w:szCs w:val="21"/>
              </w:rPr>
              <w:t>钻井井场</w:t>
            </w:r>
          </w:p>
        </w:tc>
        <w:tc>
          <w:tcPr>
            <w:tcW w:w="3855" w:type="dxa"/>
            <w:vAlign w:val="center"/>
          </w:tcPr>
          <w:p w14:paraId="1B705377">
            <w:pPr>
              <w:pStyle w:val="395"/>
              <w:widowControl w:val="0"/>
              <w:adjustRightInd w:val="0"/>
              <w:snapToGrid w:val="0"/>
              <w:spacing w:line="240" w:lineRule="exact"/>
              <w:ind w:firstLine="1260" w:firstLineChars="600"/>
              <w:jc w:val="both"/>
              <w:rPr>
                <w:color w:val="auto"/>
                <w:kern w:val="2"/>
                <w:szCs w:val="21"/>
              </w:rPr>
            </w:pPr>
            <w:r>
              <w:rPr>
                <w:rFonts w:hint="eastAsia"/>
                <w:color w:val="auto"/>
                <w:kern w:val="2"/>
                <w:szCs w:val="21"/>
              </w:rPr>
              <w:t>原油</w:t>
            </w:r>
          </w:p>
        </w:tc>
      </w:tr>
      <w:tr w14:paraId="46DFAD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021" w:type="dxa"/>
            <w:vAlign w:val="center"/>
          </w:tcPr>
          <w:p w14:paraId="4280F00D">
            <w:pPr>
              <w:adjustRightInd w:val="0"/>
              <w:snapToGrid w:val="0"/>
              <w:spacing w:line="240" w:lineRule="exact"/>
              <w:ind w:firstLine="420"/>
              <w:jc w:val="center"/>
              <w:rPr>
                <w:sz w:val="21"/>
                <w:szCs w:val="21"/>
              </w:rPr>
            </w:pPr>
            <w:r>
              <w:rPr>
                <w:rFonts w:hint="eastAsia"/>
                <w:sz w:val="21"/>
                <w:szCs w:val="21"/>
                <w:lang w:eastAsia="zh-CN"/>
              </w:rPr>
              <w:t>雅斯联合站</w:t>
            </w:r>
          </w:p>
        </w:tc>
        <w:tc>
          <w:tcPr>
            <w:tcW w:w="2653" w:type="dxa"/>
            <w:vAlign w:val="center"/>
          </w:tcPr>
          <w:p w14:paraId="413DA158">
            <w:pPr>
              <w:pStyle w:val="395"/>
              <w:widowControl w:val="0"/>
              <w:adjustRightInd w:val="0"/>
              <w:snapToGrid w:val="0"/>
              <w:spacing w:line="240" w:lineRule="exact"/>
              <w:rPr>
                <w:color w:val="auto"/>
                <w:kern w:val="2"/>
                <w:szCs w:val="21"/>
              </w:rPr>
            </w:pPr>
            <w:r>
              <w:rPr>
                <w:rFonts w:hint="eastAsia"/>
                <w:color w:val="auto"/>
                <w:kern w:val="2"/>
                <w:szCs w:val="21"/>
              </w:rPr>
              <w:t>罐区</w:t>
            </w:r>
          </w:p>
        </w:tc>
        <w:tc>
          <w:tcPr>
            <w:tcW w:w="3855" w:type="dxa"/>
            <w:vAlign w:val="center"/>
          </w:tcPr>
          <w:p w14:paraId="6688D5FD">
            <w:pPr>
              <w:pStyle w:val="395"/>
              <w:widowControl w:val="0"/>
              <w:adjustRightInd w:val="0"/>
              <w:snapToGrid w:val="0"/>
              <w:spacing w:line="240" w:lineRule="exact"/>
              <w:ind w:firstLine="1260" w:firstLineChars="600"/>
              <w:jc w:val="both"/>
              <w:rPr>
                <w:color w:val="auto"/>
                <w:kern w:val="2"/>
                <w:szCs w:val="21"/>
              </w:rPr>
            </w:pPr>
            <w:r>
              <w:rPr>
                <w:rFonts w:hint="eastAsia"/>
                <w:color w:val="auto"/>
                <w:kern w:val="2"/>
                <w:szCs w:val="21"/>
              </w:rPr>
              <w:t>原油、伴生气</w:t>
            </w:r>
          </w:p>
        </w:tc>
      </w:tr>
    </w:tbl>
    <w:p w14:paraId="4E6D8104">
      <w:pPr>
        <w:ind w:firstLine="480"/>
        <w:rPr>
          <w:rFonts w:asciiTheme="minorEastAsia" w:hAnsiTheme="minorEastAsia" w:eastAsiaTheme="minorEastAsia"/>
          <w:lang w:eastAsia="zh-CN"/>
        </w:rPr>
      </w:pPr>
      <w:r>
        <w:rPr>
          <w:rFonts w:asciiTheme="minorEastAsia" w:hAnsiTheme="minorEastAsia" w:eastAsiaTheme="minorEastAsia"/>
          <w:lang w:eastAsia="zh-CN"/>
        </w:rPr>
        <w:t>2、物质危险性识别</w:t>
      </w:r>
    </w:p>
    <w:p w14:paraId="59CD851D">
      <w:pPr>
        <w:ind w:firstLine="480"/>
        <w:rPr>
          <w:lang w:eastAsia="zh-CN"/>
        </w:rPr>
      </w:pPr>
      <w:r>
        <w:rPr>
          <w:rFonts w:asciiTheme="minorEastAsia" w:hAnsiTheme="minorEastAsia" w:eastAsiaTheme="minorEastAsia"/>
          <w:lang w:eastAsia="zh-CN"/>
        </w:rPr>
        <w:t>根据乌里雅斯太油田实际情况，本项目主要危险物就是原油</w:t>
      </w:r>
      <w:r>
        <w:rPr>
          <w:rFonts w:hint="eastAsia" w:asciiTheme="minorEastAsia" w:hAnsiTheme="minorEastAsia" w:eastAsiaTheme="minorEastAsia"/>
          <w:lang w:eastAsia="zh-CN"/>
        </w:rPr>
        <w:t>及分离后的伴生气</w:t>
      </w:r>
      <w:r>
        <w:rPr>
          <w:rFonts w:asciiTheme="minorEastAsia" w:hAnsiTheme="minorEastAsia" w:eastAsiaTheme="minorEastAsia"/>
          <w:lang w:eastAsia="zh-CN"/>
        </w:rPr>
        <w:t>。</w:t>
      </w:r>
      <w:r>
        <w:rPr>
          <w:rFonts w:hint="eastAsia" w:asciiTheme="minorEastAsia" w:hAnsiTheme="minorEastAsia" w:eastAsiaTheme="minorEastAsia"/>
          <w:lang w:eastAsia="zh-CN"/>
        </w:rPr>
        <w:t>根据危险物质的性质并</w:t>
      </w:r>
      <w:r>
        <w:rPr>
          <w:rFonts w:asciiTheme="minorEastAsia" w:hAnsiTheme="minorEastAsia" w:eastAsiaTheme="minorEastAsia"/>
          <w:lang w:eastAsia="zh-CN"/>
        </w:rPr>
        <w:t>结合《危险化学品数据手册》，本项目风险评价将重点对原油</w:t>
      </w:r>
      <w:r>
        <w:rPr>
          <w:rFonts w:hint="eastAsia" w:asciiTheme="minorEastAsia" w:hAnsiTheme="minorEastAsia" w:eastAsiaTheme="minorEastAsia"/>
          <w:lang w:eastAsia="zh-CN"/>
        </w:rPr>
        <w:t>及燃烧后产生的物质</w:t>
      </w:r>
      <w:r>
        <w:rPr>
          <w:rFonts w:asciiTheme="minorEastAsia" w:hAnsiTheme="minorEastAsia" w:eastAsiaTheme="minorEastAsia"/>
          <w:lang w:eastAsia="zh-CN"/>
        </w:rPr>
        <w:t>危害因素进行识别。项目</w:t>
      </w:r>
      <w:r>
        <w:rPr>
          <w:rFonts w:hint="eastAsia" w:asciiTheme="minorEastAsia" w:hAnsiTheme="minorEastAsia" w:eastAsiaTheme="minorEastAsia"/>
          <w:lang w:eastAsia="zh-CN"/>
        </w:rPr>
        <w:t>主要危险</w:t>
      </w:r>
      <w:r>
        <w:rPr>
          <w:rFonts w:asciiTheme="minorEastAsia" w:hAnsiTheme="minorEastAsia" w:eastAsiaTheme="minorEastAsia"/>
          <w:lang w:eastAsia="zh-CN"/>
        </w:rPr>
        <w:t>物质的性质情况见表11.1-2，11.1-3。</w:t>
      </w:r>
    </w:p>
    <w:p w14:paraId="78F5EA32">
      <w:pPr>
        <w:spacing w:line="240" w:lineRule="auto"/>
        <w:ind w:firstLine="595" w:firstLineChars="247"/>
        <w:rPr>
          <w:b/>
          <w:lang w:eastAsia="zh-CN"/>
        </w:rPr>
      </w:pPr>
      <w:r>
        <w:rPr>
          <w:b/>
          <w:lang w:eastAsia="zh-CN"/>
        </w:rPr>
        <w:t xml:space="preserve">表11.1-2  </w:t>
      </w:r>
      <w:r>
        <w:rPr>
          <w:rFonts w:hint="eastAsia"/>
          <w:b/>
          <w:lang w:eastAsia="zh-CN"/>
        </w:rPr>
        <w:t xml:space="preserve">    </w:t>
      </w:r>
      <w:r>
        <w:rPr>
          <w:b/>
          <w:lang w:eastAsia="zh-CN"/>
        </w:rPr>
        <w:t>项目危险性物质物料性质表</w:t>
      </w:r>
    </w:p>
    <w:tbl>
      <w:tblPr>
        <w:tblStyle w:val="7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90"/>
        <w:gridCol w:w="566"/>
        <w:gridCol w:w="425"/>
        <w:gridCol w:w="710"/>
        <w:gridCol w:w="852"/>
        <w:gridCol w:w="774"/>
        <w:gridCol w:w="839"/>
        <w:gridCol w:w="1363"/>
        <w:gridCol w:w="710"/>
        <w:gridCol w:w="709"/>
        <w:gridCol w:w="708"/>
        <w:gridCol w:w="483"/>
      </w:tblGrid>
      <w:tr w14:paraId="03DA43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0" w:type="dxa"/>
            <w:vMerge w:val="restart"/>
            <w:vAlign w:val="center"/>
          </w:tcPr>
          <w:p w14:paraId="78721121">
            <w:pPr>
              <w:pStyle w:val="518"/>
              <w:rPr>
                <w:szCs w:val="21"/>
              </w:rPr>
            </w:pPr>
            <w:r>
              <w:rPr>
                <w:szCs w:val="21"/>
              </w:rPr>
              <w:t>序号</w:t>
            </w:r>
          </w:p>
        </w:tc>
        <w:tc>
          <w:tcPr>
            <w:tcW w:w="566" w:type="dxa"/>
            <w:vMerge w:val="restart"/>
            <w:vAlign w:val="center"/>
          </w:tcPr>
          <w:p w14:paraId="01167F08">
            <w:pPr>
              <w:pStyle w:val="518"/>
              <w:rPr>
                <w:szCs w:val="21"/>
              </w:rPr>
            </w:pPr>
            <w:r>
              <w:rPr>
                <w:szCs w:val="21"/>
              </w:rPr>
              <w:t>物质名称</w:t>
            </w:r>
          </w:p>
        </w:tc>
        <w:tc>
          <w:tcPr>
            <w:tcW w:w="425" w:type="dxa"/>
            <w:vMerge w:val="restart"/>
            <w:vAlign w:val="center"/>
          </w:tcPr>
          <w:p w14:paraId="26058CDE">
            <w:pPr>
              <w:pStyle w:val="518"/>
              <w:rPr>
                <w:szCs w:val="21"/>
              </w:rPr>
            </w:pPr>
            <w:r>
              <w:rPr>
                <w:szCs w:val="21"/>
              </w:rPr>
              <w:t>相态</w:t>
            </w:r>
          </w:p>
        </w:tc>
        <w:tc>
          <w:tcPr>
            <w:tcW w:w="710" w:type="dxa"/>
            <w:vMerge w:val="restart"/>
            <w:vAlign w:val="center"/>
          </w:tcPr>
          <w:p w14:paraId="7F2471F2">
            <w:pPr>
              <w:pStyle w:val="518"/>
              <w:rPr>
                <w:szCs w:val="21"/>
              </w:rPr>
            </w:pPr>
            <w:r>
              <w:rPr>
                <w:szCs w:val="21"/>
              </w:rPr>
              <w:t>闪点</w:t>
            </w:r>
          </w:p>
          <w:p w14:paraId="17659BF6">
            <w:pPr>
              <w:pStyle w:val="518"/>
              <w:rPr>
                <w:szCs w:val="21"/>
              </w:rPr>
            </w:pPr>
            <w:r>
              <w:rPr>
                <w:szCs w:val="21"/>
              </w:rPr>
              <w:t>℃</w:t>
            </w:r>
          </w:p>
        </w:tc>
        <w:tc>
          <w:tcPr>
            <w:tcW w:w="852" w:type="dxa"/>
            <w:vMerge w:val="restart"/>
            <w:vAlign w:val="center"/>
          </w:tcPr>
          <w:p w14:paraId="0974DB88">
            <w:pPr>
              <w:pStyle w:val="518"/>
              <w:rPr>
                <w:szCs w:val="21"/>
              </w:rPr>
            </w:pPr>
            <w:r>
              <w:rPr>
                <w:szCs w:val="21"/>
              </w:rPr>
              <w:t>沸点</w:t>
            </w:r>
          </w:p>
          <w:p w14:paraId="1393BE08">
            <w:pPr>
              <w:pStyle w:val="518"/>
              <w:rPr>
                <w:szCs w:val="21"/>
              </w:rPr>
            </w:pPr>
            <w:r>
              <w:rPr>
                <w:szCs w:val="21"/>
              </w:rPr>
              <w:t>℃</w:t>
            </w:r>
          </w:p>
        </w:tc>
        <w:tc>
          <w:tcPr>
            <w:tcW w:w="1613" w:type="dxa"/>
            <w:gridSpan w:val="2"/>
            <w:vAlign w:val="center"/>
          </w:tcPr>
          <w:p w14:paraId="0D4B234E">
            <w:pPr>
              <w:pStyle w:val="518"/>
              <w:rPr>
                <w:szCs w:val="21"/>
              </w:rPr>
            </w:pPr>
            <w:r>
              <w:rPr>
                <w:szCs w:val="21"/>
              </w:rPr>
              <w:t>爆炸极限%(V)</w:t>
            </w:r>
          </w:p>
        </w:tc>
        <w:tc>
          <w:tcPr>
            <w:tcW w:w="1363" w:type="dxa"/>
            <w:vMerge w:val="restart"/>
            <w:vAlign w:val="center"/>
          </w:tcPr>
          <w:p w14:paraId="4CA66060">
            <w:pPr>
              <w:pStyle w:val="518"/>
              <w:rPr>
                <w:szCs w:val="21"/>
              </w:rPr>
            </w:pPr>
            <w:r>
              <w:rPr>
                <w:szCs w:val="21"/>
              </w:rPr>
              <w:t>危险性类别</w:t>
            </w:r>
          </w:p>
        </w:tc>
        <w:tc>
          <w:tcPr>
            <w:tcW w:w="710" w:type="dxa"/>
            <w:vMerge w:val="restart"/>
            <w:vAlign w:val="center"/>
          </w:tcPr>
          <w:p w14:paraId="36E27CDD">
            <w:pPr>
              <w:pStyle w:val="518"/>
              <w:rPr>
                <w:szCs w:val="21"/>
              </w:rPr>
            </w:pPr>
            <w:r>
              <w:rPr>
                <w:szCs w:val="21"/>
              </w:rPr>
              <w:t>燃烧爆炸危险度</w:t>
            </w:r>
          </w:p>
        </w:tc>
        <w:tc>
          <w:tcPr>
            <w:tcW w:w="709" w:type="dxa"/>
            <w:vMerge w:val="restart"/>
            <w:vAlign w:val="center"/>
          </w:tcPr>
          <w:p w14:paraId="24CDEB13">
            <w:pPr>
              <w:pStyle w:val="518"/>
              <w:rPr>
                <w:szCs w:val="21"/>
              </w:rPr>
            </w:pPr>
            <w:r>
              <w:rPr>
                <w:szCs w:val="21"/>
              </w:rPr>
              <w:t>火灾危险性分类</w:t>
            </w:r>
          </w:p>
        </w:tc>
        <w:tc>
          <w:tcPr>
            <w:tcW w:w="708" w:type="dxa"/>
            <w:vAlign w:val="center"/>
          </w:tcPr>
          <w:p w14:paraId="324DBBD1">
            <w:pPr>
              <w:pStyle w:val="518"/>
              <w:rPr>
                <w:szCs w:val="21"/>
              </w:rPr>
            </w:pPr>
            <w:r>
              <w:rPr>
                <w:szCs w:val="21"/>
              </w:rPr>
              <w:t>毒性</w:t>
            </w:r>
          </w:p>
        </w:tc>
        <w:tc>
          <w:tcPr>
            <w:tcW w:w="483" w:type="dxa"/>
            <w:vMerge w:val="restart"/>
            <w:vAlign w:val="center"/>
          </w:tcPr>
          <w:p w14:paraId="45AB0D8D">
            <w:pPr>
              <w:pStyle w:val="518"/>
              <w:rPr>
                <w:szCs w:val="21"/>
              </w:rPr>
            </w:pPr>
            <w:r>
              <w:rPr>
                <w:szCs w:val="21"/>
              </w:rPr>
              <w:t>毒物分级</w:t>
            </w:r>
          </w:p>
        </w:tc>
      </w:tr>
      <w:tr w14:paraId="602A3A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0" w:type="dxa"/>
            <w:vMerge w:val="continue"/>
            <w:vAlign w:val="center"/>
          </w:tcPr>
          <w:p w14:paraId="550CB8F4">
            <w:pPr>
              <w:pStyle w:val="518"/>
              <w:rPr>
                <w:szCs w:val="21"/>
              </w:rPr>
            </w:pPr>
          </w:p>
        </w:tc>
        <w:tc>
          <w:tcPr>
            <w:tcW w:w="566" w:type="dxa"/>
            <w:vMerge w:val="continue"/>
            <w:vAlign w:val="center"/>
          </w:tcPr>
          <w:p w14:paraId="4F8FABB9">
            <w:pPr>
              <w:pStyle w:val="518"/>
              <w:rPr>
                <w:szCs w:val="21"/>
              </w:rPr>
            </w:pPr>
          </w:p>
        </w:tc>
        <w:tc>
          <w:tcPr>
            <w:tcW w:w="425" w:type="dxa"/>
            <w:vMerge w:val="continue"/>
            <w:vAlign w:val="center"/>
          </w:tcPr>
          <w:p w14:paraId="7858BBC6">
            <w:pPr>
              <w:pStyle w:val="518"/>
              <w:rPr>
                <w:szCs w:val="21"/>
              </w:rPr>
            </w:pPr>
          </w:p>
        </w:tc>
        <w:tc>
          <w:tcPr>
            <w:tcW w:w="710" w:type="dxa"/>
            <w:vMerge w:val="continue"/>
            <w:vAlign w:val="center"/>
          </w:tcPr>
          <w:p w14:paraId="1BC421B6">
            <w:pPr>
              <w:pStyle w:val="518"/>
              <w:rPr>
                <w:szCs w:val="21"/>
              </w:rPr>
            </w:pPr>
          </w:p>
        </w:tc>
        <w:tc>
          <w:tcPr>
            <w:tcW w:w="852" w:type="dxa"/>
            <w:vMerge w:val="continue"/>
            <w:vAlign w:val="center"/>
          </w:tcPr>
          <w:p w14:paraId="5C4AB05C">
            <w:pPr>
              <w:pStyle w:val="518"/>
              <w:rPr>
                <w:szCs w:val="21"/>
              </w:rPr>
            </w:pPr>
          </w:p>
        </w:tc>
        <w:tc>
          <w:tcPr>
            <w:tcW w:w="774" w:type="dxa"/>
            <w:vAlign w:val="center"/>
          </w:tcPr>
          <w:p w14:paraId="12F1C7C9">
            <w:pPr>
              <w:pStyle w:val="518"/>
              <w:rPr>
                <w:szCs w:val="21"/>
              </w:rPr>
            </w:pPr>
            <w:r>
              <w:rPr>
                <w:szCs w:val="21"/>
              </w:rPr>
              <w:t>下限</w:t>
            </w:r>
          </w:p>
        </w:tc>
        <w:tc>
          <w:tcPr>
            <w:tcW w:w="839" w:type="dxa"/>
            <w:vAlign w:val="center"/>
          </w:tcPr>
          <w:p w14:paraId="4ABC0C80">
            <w:pPr>
              <w:pStyle w:val="518"/>
              <w:rPr>
                <w:szCs w:val="21"/>
              </w:rPr>
            </w:pPr>
            <w:r>
              <w:rPr>
                <w:szCs w:val="21"/>
              </w:rPr>
              <w:t>上限</w:t>
            </w:r>
          </w:p>
        </w:tc>
        <w:tc>
          <w:tcPr>
            <w:tcW w:w="1363" w:type="dxa"/>
            <w:vMerge w:val="continue"/>
            <w:vAlign w:val="center"/>
          </w:tcPr>
          <w:p w14:paraId="3664001E">
            <w:pPr>
              <w:pStyle w:val="518"/>
              <w:rPr>
                <w:szCs w:val="21"/>
              </w:rPr>
            </w:pPr>
          </w:p>
        </w:tc>
        <w:tc>
          <w:tcPr>
            <w:tcW w:w="710" w:type="dxa"/>
            <w:vMerge w:val="continue"/>
            <w:vAlign w:val="center"/>
          </w:tcPr>
          <w:p w14:paraId="36C408E3">
            <w:pPr>
              <w:pStyle w:val="518"/>
              <w:rPr>
                <w:szCs w:val="21"/>
              </w:rPr>
            </w:pPr>
          </w:p>
        </w:tc>
        <w:tc>
          <w:tcPr>
            <w:tcW w:w="709" w:type="dxa"/>
            <w:vMerge w:val="continue"/>
            <w:vAlign w:val="center"/>
          </w:tcPr>
          <w:p w14:paraId="303A0B78">
            <w:pPr>
              <w:pStyle w:val="518"/>
              <w:rPr>
                <w:szCs w:val="21"/>
              </w:rPr>
            </w:pPr>
          </w:p>
        </w:tc>
        <w:tc>
          <w:tcPr>
            <w:tcW w:w="708" w:type="dxa"/>
            <w:vAlign w:val="center"/>
          </w:tcPr>
          <w:p w14:paraId="7AC778A1">
            <w:pPr>
              <w:pStyle w:val="518"/>
              <w:rPr>
                <w:szCs w:val="21"/>
              </w:rPr>
            </w:pPr>
            <w:r>
              <w:rPr>
                <w:szCs w:val="21"/>
              </w:rPr>
              <w:t>LD</w:t>
            </w:r>
            <w:r>
              <w:rPr>
                <w:szCs w:val="21"/>
                <w:vertAlign w:val="subscript"/>
              </w:rPr>
              <w:t>50</w:t>
            </w:r>
          </w:p>
        </w:tc>
        <w:tc>
          <w:tcPr>
            <w:tcW w:w="483" w:type="dxa"/>
            <w:vMerge w:val="continue"/>
            <w:vAlign w:val="center"/>
          </w:tcPr>
          <w:p w14:paraId="541CDD51">
            <w:pPr>
              <w:pStyle w:val="518"/>
              <w:rPr>
                <w:szCs w:val="21"/>
              </w:rPr>
            </w:pPr>
          </w:p>
        </w:tc>
      </w:tr>
      <w:tr w14:paraId="6E5A67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0" w:type="dxa"/>
            <w:vAlign w:val="center"/>
          </w:tcPr>
          <w:p w14:paraId="776C7896">
            <w:pPr>
              <w:pStyle w:val="518"/>
              <w:rPr>
                <w:szCs w:val="21"/>
                <w:lang w:eastAsia="zh-CN"/>
              </w:rPr>
            </w:pPr>
            <w:r>
              <w:rPr>
                <w:rFonts w:hint="eastAsia"/>
                <w:szCs w:val="21"/>
                <w:lang w:eastAsia="zh-CN"/>
              </w:rPr>
              <w:t>1</w:t>
            </w:r>
          </w:p>
        </w:tc>
        <w:tc>
          <w:tcPr>
            <w:tcW w:w="566" w:type="dxa"/>
            <w:vAlign w:val="center"/>
          </w:tcPr>
          <w:p w14:paraId="02AB215A">
            <w:pPr>
              <w:pStyle w:val="518"/>
              <w:rPr>
                <w:szCs w:val="21"/>
              </w:rPr>
            </w:pPr>
            <w:r>
              <w:rPr>
                <w:szCs w:val="21"/>
              </w:rPr>
              <w:t>原油</w:t>
            </w:r>
          </w:p>
        </w:tc>
        <w:tc>
          <w:tcPr>
            <w:tcW w:w="425" w:type="dxa"/>
            <w:vAlign w:val="center"/>
          </w:tcPr>
          <w:p w14:paraId="1201FE82">
            <w:pPr>
              <w:pStyle w:val="518"/>
              <w:rPr>
                <w:szCs w:val="21"/>
              </w:rPr>
            </w:pPr>
            <w:r>
              <w:rPr>
                <w:szCs w:val="21"/>
              </w:rPr>
              <w:t>液</w:t>
            </w:r>
          </w:p>
        </w:tc>
        <w:tc>
          <w:tcPr>
            <w:tcW w:w="710" w:type="dxa"/>
            <w:vAlign w:val="center"/>
          </w:tcPr>
          <w:p w14:paraId="64D82C2E">
            <w:pPr>
              <w:pStyle w:val="518"/>
              <w:rPr>
                <w:szCs w:val="21"/>
              </w:rPr>
            </w:pPr>
            <w:r>
              <w:rPr>
                <w:szCs w:val="21"/>
              </w:rPr>
              <w:t>-6.7～32.2</w:t>
            </w:r>
          </w:p>
        </w:tc>
        <w:tc>
          <w:tcPr>
            <w:tcW w:w="852" w:type="dxa"/>
            <w:vAlign w:val="center"/>
          </w:tcPr>
          <w:p w14:paraId="56371DC7">
            <w:pPr>
              <w:pStyle w:val="518"/>
              <w:rPr>
                <w:szCs w:val="21"/>
              </w:rPr>
            </w:pPr>
            <w:r>
              <w:rPr>
                <w:szCs w:val="21"/>
              </w:rPr>
              <w:t>25</w:t>
            </w:r>
          </w:p>
        </w:tc>
        <w:tc>
          <w:tcPr>
            <w:tcW w:w="774" w:type="dxa"/>
            <w:vAlign w:val="center"/>
          </w:tcPr>
          <w:p w14:paraId="686826FA">
            <w:pPr>
              <w:pStyle w:val="518"/>
              <w:rPr>
                <w:szCs w:val="21"/>
              </w:rPr>
            </w:pPr>
            <w:r>
              <w:rPr>
                <w:szCs w:val="21"/>
              </w:rPr>
              <w:t>1.1</w:t>
            </w:r>
          </w:p>
        </w:tc>
        <w:tc>
          <w:tcPr>
            <w:tcW w:w="839" w:type="dxa"/>
            <w:vAlign w:val="center"/>
          </w:tcPr>
          <w:p w14:paraId="6498F61D">
            <w:pPr>
              <w:pStyle w:val="518"/>
              <w:rPr>
                <w:szCs w:val="21"/>
              </w:rPr>
            </w:pPr>
            <w:r>
              <w:rPr>
                <w:szCs w:val="21"/>
              </w:rPr>
              <w:t>8.7</w:t>
            </w:r>
          </w:p>
        </w:tc>
        <w:tc>
          <w:tcPr>
            <w:tcW w:w="1363" w:type="dxa"/>
            <w:vAlign w:val="center"/>
          </w:tcPr>
          <w:p w14:paraId="1D91BB0F">
            <w:pPr>
              <w:pStyle w:val="518"/>
              <w:rPr>
                <w:szCs w:val="21"/>
              </w:rPr>
            </w:pPr>
            <w:r>
              <w:rPr>
                <w:szCs w:val="21"/>
              </w:rPr>
              <w:t>第3.2类中闪点易燃液体</w:t>
            </w:r>
          </w:p>
        </w:tc>
        <w:tc>
          <w:tcPr>
            <w:tcW w:w="710" w:type="dxa"/>
            <w:vAlign w:val="center"/>
          </w:tcPr>
          <w:p w14:paraId="6971CB1A">
            <w:pPr>
              <w:pStyle w:val="518"/>
              <w:rPr>
                <w:szCs w:val="21"/>
              </w:rPr>
            </w:pPr>
            <w:r>
              <w:rPr>
                <w:szCs w:val="21"/>
              </w:rPr>
              <w:t>6.9</w:t>
            </w:r>
          </w:p>
        </w:tc>
        <w:tc>
          <w:tcPr>
            <w:tcW w:w="709" w:type="dxa"/>
            <w:vAlign w:val="center"/>
          </w:tcPr>
          <w:p w14:paraId="1FADF0B8">
            <w:pPr>
              <w:pStyle w:val="518"/>
              <w:rPr>
                <w:szCs w:val="21"/>
              </w:rPr>
            </w:pPr>
            <w:r>
              <w:rPr>
                <w:szCs w:val="21"/>
              </w:rPr>
              <w:t>甲B</w:t>
            </w:r>
          </w:p>
        </w:tc>
        <w:tc>
          <w:tcPr>
            <w:tcW w:w="708" w:type="dxa"/>
            <w:vAlign w:val="center"/>
          </w:tcPr>
          <w:p w14:paraId="404D0093">
            <w:pPr>
              <w:pStyle w:val="518"/>
              <w:rPr>
                <w:szCs w:val="21"/>
              </w:rPr>
            </w:pPr>
            <w:r>
              <w:rPr>
                <w:szCs w:val="21"/>
              </w:rPr>
              <w:t>500～5000</w:t>
            </w:r>
          </w:p>
        </w:tc>
        <w:tc>
          <w:tcPr>
            <w:tcW w:w="483" w:type="dxa"/>
            <w:vAlign w:val="center"/>
          </w:tcPr>
          <w:p w14:paraId="0B6C72BC">
            <w:pPr>
              <w:pStyle w:val="518"/>
              <w:rPr>
                <w:szCs w:val="21"/>
              </w:rPr>
            </w:pPr>
            <w:r>
              <w:rPr>
                <w:szCs w:val="21"/>
              </w:rPr>
              <w:t>Ⅳ</w:t>
            </w:r>
          </w:p>
        </w:tc>
      </w:tr>
      <w:tr w14:paraId="3537D4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0" w:type="dxa"/>
            <w:vAlign w:val="center"/>
          </w:tcPr>
          <w:p w14:paraId="57303C3E">
            <w:pPr>
              <w:pStyle w:val="518"/>
              <w:rPr>
                <w:szCs w:val="21"/>
                <w:lang w:eastAsia="zh-CN"/>
              </w:rPr>
            </w:pPr>
            <w:r>
              <w:rPr>
                <w:rFonts w:hint="eastAsia"/>
                <w:szCs w:val="21"/>
                <w:lang w:eastAsia="zh-CN"/>
              </w:rPr>
              <w:t>2</w:t>
            </w:r>
          </w:p>
        </w:tc>
        <w:tc>
          <w:tcPr>
            <w:tcW w:w="566" w:type="dxa"/>
            <w:vAlign w:val="center"/>
          </w:tcPr>
          <w:p w14:paraId="63D7BD73">
            <w:pPr>
              <w:pStyle w:val="518"/>
              <w:rPr>
                <w:szCs w:val="21"/>
              </w:rPr>
            </w:pPr>
            <w:r>
              <w:rPr>
                <w:rFonts w:hint="eastAsia"/>
                <w:szCs w:val="21"/>
                <w:lang w:eastAsia="zh-CN"/>
              </w:rPr>
              <w:t>伴生气</w:t>
            </w:r>
          </w:p>
        </w:tc>
        <w:tc>
          <w:tcPr>
            <w:tcW w:w="425" w:type="dxa"/>
            <w:vAlign w:val="center"/>
          </w:tcPr>
          <w:p w14:paraId="463BDB5B">
            <w:pPr>
              <w:pStyle w:val="518"/>
              <w:rPr>
                <w:szCs w:val="21"/>
              </w:rPr>
            </w:pPr>
            <w:r>
              <w:rPr>
                <w:rFonts w:hint="eastAsia"/>
                <w:szCs w:val="21"/>
                <w:lang w:eastAsia="zh-CN"/>
              </w:rPr>
              <w:t>气</w:t>
            </w:r>
          </w:p>
        </w:tc>
        <w:tc>
          <w:tcPr>
            <w:tcW w:w="710" w:type="dxa"/>
            <w:vAlign w:val="center"/>
          </w:tcPr>
          <w:p w14:paraId="23459FBE">
            <w:pPr>
              <w:pStyle w:val="518"/>
              <w:rPr>
                <w:szCs w:val="21"/>
                <w:lang w:eastAsia="zh-CN"/>
              </w:rPr>
            </w:pPr>
            <w:r>
              <w:rPr>
                <w:szCs w:val="21"/>
              </w:rPr>
              <w:t>-</w:t>
            </w:r>
            <w:r>
              <w:rPr>
                <w:rFonts w:hint="eastAsia"/>
                <w:szCs w:val="21"/>
                <w:lang w:eastAsia="zh-CN"/>
              </w:rPr>
              <w:t>218</w:t>
            </w:r>
          </w:p>
        </w:tc>
        <w:tc>
          <w:tcPr>
            <w:tcW w:w="852" w:type="dxa"/>
            <w:vAlign w:val="center"/>
          </w:tcPr>
          <w:p w14:paraId="524D9226">
            <w:pPr>
              <w:pStyle w:val="518"/>
              <w:rPr>
                <w:szCs w:val="21"/>
                <w:lang w:eastAsia="zh-CN"/>
              </w:rPr>
            </w:pPr>
            <w:r>
              <w:rPr>
                <w:szCs w:val="21"/>
              </w:rPr>
              <w:t>-</w:t>
            </w:r>
            <w:r>
              <w:rPr>
                <w:rFonts w:hint="eastAsia"/>
                <w:szCs w:val="21"/>
                <w:lang w:eastAsia="zh-CN"/>
              </w:rPr>
              <w:t>161.4</w:t>
            </w:r>
          </w:p>
        </w:tc>
        <w:tc>
          <w:tcPr>
            <w:tcW w:w="774" w:type="dxa"/>
            <w:vAlign w:val="center"/>
          </w:tcPr>
          <w:p w14:paraId="07D19A1D">
            <w:pPr>
              <w:pStyle w:val="518"/>
              <w:rPr>
                <w:szCs w:val="21"/>
              </w:rPr>
            </w:pPr>
            <w:r>
              <w:rPr>
                <w:rFonts w:hint="eastAsia"/>
                <w:szCs w:val="21"/>
                <w:lang w:eastAsia="zh-CN"/>
              </w:rPr>
              <w:t>5.0</w:t>
            </w:r>
          </w:p>
        </w:tc>
        <w:tc>
          <w:tcPr>
            <w:tcW w:w="839" w:type="dxa"/>
            <w:vAlign w:val="center"/>
          </w:tcPr>
          <w:p w14:paraId="32275D04">
            <w:pPr>
              <w:pStyle w:val="518"/>
              <w:rPr>
                <w:szCs w:val="21"/>
              </w:rPr>
            </w:pPr>
            <w:r>
              <w:rPr>
                <w:rFonts w:hint="eastAsia"/>
                <w:szCs w:val="21"/>
                <w:lang w:eastAsia="zh-CN"/>
              </w:rPr>
              <w:t>15.0</w:t>
            </w:r>
          </w:p>
        </w:tc>
        <w:tc>
          <w:tcPr>
            <w:tcW w:w="1363" w:type="dxa"/>
            <w:vAlign w:val="center"/>
          </w:tcPr>
          <w:p w14:paraId="50AB52AB">
            <w:pPr>
              <w:pStyle w:val="518"/>
              <w:rPr>
                <w:szCs w:val="21"/>
              </w:rPr>
            </w:pPr>
            <w:r>
              <w:rPr>
                <w:szCs w:val="21"/>
              </w:rPr>
              <w:t>第2.1类易燃气体</w:t>
            </w:r>
          </w:p>
        </w:tc>
        <w:tc>
          <w:tcPr>
            <w:tcW w:w="710" w:type="dxa"/>
            <w:vAlign w:val="center"/>
          </w:tcPr>
          <w:p w14:paraId="423E3D3B">
            <w:pPr>
              <w:pStyle w:val="518"/>
              <w:rPr>
                <w:szCs w:val="21"/>
              </w:rPr>
            </w:pPr>
          </w:p>
        </w:tc>
        <w:tc>
          <w:tcPr>
            <w:tcW w:w="709" w:type="dxa"/>
            <w:vAlign w:val="center"/>
          </w:tcPr>
          <w:p w14:paraId="7E75C775">
            <w:pPr>
              <w:pStyle w:val="518"/>
              <w:rPr>
                <w:szCs w:val="21"/>
              </w:rPr>
            </w:pPr>
            <w:r>
              <w:rPr>
                <w:rFonts w:hint="eastAsia"/>
                <w:szCs w:val="21"/>
                <w:lang w:eastAsia="zh-CN"/>
              </w:rPr>
              <w:t>甲A</w:t>
            </w:r>
          </w:p>
        </w:tc>
        <w:tc>
          <w:tcPr>
            <w:tcW w:w="708" w:type="dxa"/>
            <w:vAlign w:val="center"/>
          </w:tcPr>
          <w:p w14:paraId="66FF2848">
            <w:pPr>
              <w:pStyle w:val="518"/>
              <w:rPr>
                <w:szCs w:val="21"/>
              </w:rPr>
            </w:pPr>
            <w:r>
              <w:t>400×10</w:t>
            </w:r>
            <w:r>
              <w:rPr>
                <w:vertAlign w:val="superscript"/>
              </w:rPr>
              <w:t>-6</w:t>
            </w:r>
          </w:p>
        </w:tc>
        <w:tc>
          <w:tcPr>
            <w:tcW w:w="483" w:type="dxa"/>
            <w:vAlign w:val="center"/>
          </w:tcPr>
          <w:p w14:paraId="0D56BCA2">
            <w:pPr>
              <w:pStyle w:val="518"/>
              <w:rPr>
                <w:szCs w:val="21"/>
                <w:lang w:eastAsia="zh-CN"/>
              </w:rPr>
            </w:pPr>
            <w:r>
              <w:rPr>
                <w:rFonts w:hint="eastAsia"/>
                <w:szCs w:val="21"/>
                <w:lang w:eastAsia="zh-CN"/>
              </w:rPr>
              <w:t>—</w:t>
            </w:r>
          </w:p>
        </w:tc>
      </w:tr>
    </w:tbl>
    <w:p w14:paraId="0AB68226">
      <w:pPr>
        <w:ind w:firstLine="480"/>
        <w:rPr>
          <w:rFonts w:asciiTheme="minorEastAsia" w:hAnsiTheme="minorEastAsia" w:eastAsiaTheme="minorEastAsia"/>
          <w:lang w:eastAsia="zh-CN"/>
        </w:rPr>
      </w:pPr>
    </w:p>
    <w:p w14:paraId="39A4AAFF">
      <w:pPr>
        <w:ind w:firstLine="480"/>
        <w:rPr>
          <w:rFonts w:asciiTheme="minorEastAsia" w:hAnsiTheme="minorEastAsia" w:eastAsiaTheme="minorEastAsia"/>
          <w:lang w:eastAsia="zh-CN"/>
        </w:rPr>
      </w:pPr>
    </w:p>
    <w:p w14:paraId="2F877D85">
      <w:pPr>
        <w:ind w:firstLine="480"/>
        <w:rPr>
          <w:rFonts w:asciiTheme="minorEastAsia" w:hAnsiTheme="minorEastAsia" w:eastAsiaTheme="minorEastAsia"/>
          <w:lang w:eastAsia="zh-CN"/>
        </w:rPr>
      </w:pPr>
    </w:p>
    <w:p w14:paraId="68E00ADE">
      <w:pPr>
        <w:ind w:firstLine="480"/>
        <w:rPr>
          <w:rFonts w:asciiTheme="minorEastAsia" w:hAnsiTheme="minorEastAsia" w:eastAsiaTheme="minorEastAsia"/>
          <w:lang w:eastAsia="zh-CN"/>
        </w:rPr>
      </w:pPr>
    </w:p>
    <w:p w14:paraId="7F8D9E07">
      <w:pPr>
        <w:spacing w:beforeLines="50" w:line="240" w:lineRule="auto"/>
        <w:ind w:firstLine="354" w:firstLineChars="147"/>
        <w:rPr>
          <w:b/>
          <w:lang w:eastAsia="zh-CN"/>
        </w:rPr>
      </w:pPr>
      <w:r>
        <w:rPr>
          <w:b/>
          <w:lang w:eastAsia="zh-CN"/>
        </w:rPr>
        <w:t xml:space="preserve">表11.1-3  </w:t>
      </w:r>
      <w:r>
        <w:rPr>
          <w:rFonts w:hint="eastAsia"/>
          <w:b/>
          <w:lang w:eastAsia="zh-CN"/>
        </w:rPr>
        <w:t xml:space="preserve">   </w:t>
      </w:r>
      <w:r>
        <w:rPr>
          <w:b/>
          <w:lang w:eastAsia="zh-CN"/>
        </w:rPr>
        <w:t>项目有毒有害物料性质表</w:t>
      </w:r>
    </w:p>
    <w:tbl>
      <w:tblPr>
        <w:tblStyle w:val="7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37"/>
        <w:gridCol w:w="1020"/>
        <w:gridCol w:w="1124"/>
        <w:gridCol w:w="1324"/>
        <w:gridCol w:w="1484"/>
        <w:gridCol w:w="1047"/>
        <w:gridCol w:w="1023"/>
        <w:gridCol w:w="1070"/>
      </w:tblGrid>
      <w:tr w14:paraId="5828EB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37" w:type="dxa"/>
            <w:vMerge w:val="restart"/>
            <w:vAlign w:val="center"/>
          </w:tcPr>
          <w:p w14:paraId="18D5D18D">
            <w:pPr>
              <w:pStyle w:val="337"/>
              <w:adjustRightInd w:val="0"/>
              <w:snapToGrid w:val="0"/>
              <w:rPr>
                <w:color w:val="auto"/>
                <w:lang w:val="en-US" w:eastAsia="en-US" w:bidi="en-US"/>
              </w:rPr>
            </w:pPr>
            <w:r>
              <w:rPr>
                <w:color w:val="auto"/>
                <w:lang w:val="en-US" w:eastAsia="en-US" w:bidi="en-US"/>
              </w:rPr>
              <w:t>序号</w:t>
            </w:r>
          </w:p>
        </w:tc>
        <w:tc>
          <w:tcPr>
            <w:tcW w:w="1020" w:type="dxa"/>
            <w:vMerge w:val="restart"/>
            <w:vAlign w:val="center"/>
          </w:tcPr>
          <w:p w14:paraId="2415001F">
            <w:pPr>
              <w:pStyle w:val="337"/>
              <w:adjustRightInd w:val="0"/>
              <w:snapToGrid w:val="0"/>
              <w:rPr>
                <w:color w:val="auto"/>
                <w:lang w:val="en-US" w:eastAsia="en-US" w:bidi="en-US"/>
              </w:rPr>
            </w:pPr>
            <w:r>
              <w:rPr>
                <w:color w:val="auto"/>
                <w:lang w:val="en-US" w:eastAsia="en-US" w:bidi="en-US"/>
              </w:rPr>
              <w:t>物料名称</w:t>
            </w:r>
          </w:p>
        </w:tc>
        <w:tc>
          <w:tcPr>
            <w:tcW w:w="1124" w:type="dxa"/>
            <w:vMerge w:val="restart"/>
            <w:vAlign w:val="center"/>
          </w:tcPr>
          <w:p w14:paraId="7AA664C8">
            <w:pPr>
              <w:pStyle w:val="337"/>
              <w:adjustRightInd w:val="0"/>
              <w:snapToGrid w:val="0"/>
              <w:rPr>
                <w:color w:val="auto"/>
                <w:lang w:val="en-US" w:eastAsia="en-US" w:bidi="en-US"/>
              </w:rPr>
            </w:pPr>
            <w:r>
              <w:rPr>
                <w:color w:val="auto"/>
                <w:lang w:val="en-US" w:eastAsia="en-US" w:bidi="en-US"/>
              </w:rPr>
              <w:t>职业危害程度分级</w:t>
            </w:r>
          </w:p>
        </w:tc>
        <w:tc>
          <w:tcPr>
            <w:tcW w:w="1324" w:type="dxa"/>
            <w:vMerge w:val="restart"/>
            <w:vAlign w:val="center"/>
          </w:tcPr>
          <w:p w14:paraId="7552A308">
            <w:pPr>
              <w:pStyle w:val="337"/>
              <w:adjustRightInd w:val="0"/>
              <w:snapToGrid w:val="0"/>
              <w:rPr>
                <w:color w:val="auto"/>
                <w:lang w:val="en-US" w:eastAsia="en-US" w:bidi="en-US"/>
              </w:rPr>
            </w:pPr>
            <w:r>
              <w:rPr>
                <w:color w:val="auto"/>
                <w:lang w:val="en-US" w:eastAsia="en-US" w:bidi="en-US"/>
              </w:rPr>
              <w:t>毒性特征</w:t>
            </w:r>
          </w:p>
        </w:tc>
        <w:tc>
          <w:tcPr>
            <w:tcW w:w="1484" w:type="dxa"/>
            <w:vMerge w:val="restart"/>
            <w:vAlign w:val="center"/>
          </w:tcPr>
          <w:p w14:paraId="125F2502">
            <w:pPr>
              <w:pStyle w:val="337"/>
              <w:adjustRightInd w:val="0"/>
              <w:snapToGrid w:val="0"/>
              <w:rPr>
                <w:color w:val="auto"/>
                <w:lang w:val="en-US" w:eastAsia="en-US" w:bidi="en-US"/>
              </w:rPr>
            </w:pPr>
            <w:r>
              <w:rPr>
                <w:color w:val="auto"/>
                <w:lang w:val="en-US" w:eastAsia="en-US" w:bidi="en-US"/>
              </w:rPr>
              <w:t>急性毒性</w:t>
            </w:r>
          </w:p>
          <w:p w14:paraId="19FE3666">
            <w:pPr>
              <w:pStyle w:val="337"/>
              <w:adjustRightInd w:val="0"/>
              <w:snapToGrid w:val="0"/>
              <w:rPr>
                <w:color w:val="auto"/>
                <w:lang w:val="en-US" w:eastAsia="en-US" w:bidi="en-US"/>
              </w:rPr>
            </w:pPr>
            <w:r>
              <w:rPr>
                <w:color w:val="auto"/>
                <w:lang w:val="en-US" w:eastAsia="en-US" w:bidi="en-US"/>
              </w:rPr>
              <w:t>(mg/m</w:t>
            </w:r>
            <w:r>
              <w:rPr>
                <w:color w:val="auto"/>
                <w:vertAlign w:val="superscript"/>
                <w:lang w:val="en-US" w:eastAsia="en-US" w:bidi="en-US"/>
              </w:rPr>
              <w:t>3</w:t>
            </w:r>
            <w:r>
              <w:rPr>
                <w:color w:val="auto"/>
                <w:lang w:val="en-US" w:eastAsia="en-US" w:bidi="en-US"/>
              </w:rPr>
              <w:t>)</w:t>
            </w:r>
          </w:p>
        </w:tc>
        <w:tc>
          <w:tcPr>
            <w:tcW w:w="3140" w:type="dxa"/>
            <w:gridSpan w:val="3"/>
            <w:vAlign w:val="center"/>
          </w:tcPr>
          <w:p w14:paraId="0FBB2A77">
            <w:pPr>
              <w:pStyle w:val="337"/>
              <w:adjustRightInd w:val="0"/>
              <w:snapToGrid w:val="0"/>
              <w:rPr>
                <w:color w:val="auto"/>
                <w:lang w:val="en-US" w:eastAsia="zh-CN" w:bidi="en-US"/>
              </w:rPr>
            </w:pPr>
            <w:r>
              <w:rPr>
                <w:color w:val="auto"/>
                <w:lang w:val="en-US" w:eastAsia="zh-CN" w:bidi="en-US"/>
              </w:rPr>
              <w:t>工作场所最高容许浓度</w:t>
            </w:r>
          </w:p>
        </w:tc>
      </w:tr>
      <w:tr w14:paraId="590132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37" w:type="dxa"/>
            <w:vMerge w:val="continue"/>
            <w:vAlign w:val="center"/>
          </w:tcPr>
          <w:p w14:paraId="45D6C124">
            <w:pPr>
              <w:pStyle w:val="337"/>
              <w:adjustRightInd w:val="0"/>
              <w:snapToGrid w:val="0"/>
              <w:rPr>
                <w:color w:val="auto"/>
                <w:lang w:val="en-US" w:eastAsia="zh-CN" w:bidi="en-US"/>
              </w:rPr>
            </w:pPr>
          </w:p>
        </w:tc>
        <w:tc>
          <w:tcPr>
            <w:tcW w:w="1020" w:type="dxa"/>
            <w:vMerge w:val="continue"/>
            <w:vAlign w:val="center"/>
          </w:tcPr>
          <w:p w14:paraId="26101611">
            <w:pPr>
              <w:pStyle w:val="337"/>
              <w:adjustRightInd w:val="0"/>
              <w:snapToGrid w:val="0"/>
              <w:rPr>
                <w:color w:val="auto"/>
                <w:lang w:val="en-US" w:eastAsia="zh-CN" w:bidi="en-US"/>
              </w:rPr>
            </w:pPr>
          </w:p>
        </w:tc>
        <w:tc>
          <w:tcPr>
            <w:tcW w:w="1124" w:type="dxa"/>
            <w:vMerge w:val="continue"/>
            <w:vAlign w:val="center"/>
          </w:tcPr>
          <w:p w14:paraId="12C52FD1">
            <w:pPr>
              <w:pStyle w:val="337"/>
              <w:adjustRightInd w:val="0"/>
              <w:snapToGrid w:val="0"/>
              <w:rPr>
                <w:color w:val="auto"/>
                <w:lang w:val="en-US" w:eastAsia="zh-CN" w:bidi="en-US"/>
              </w:rPr>
            </w:pPr>
          </w:p>
        </w:tc>
        <w:tc>
          <w:tcPr>
            <w:tcW w:w="1324" w:type="dxa"/>
            <w:vMerge w:val="continue"/>
            <w:vAlign w:val="center"/>
          </w:tcPr>
          <w:p w14:paraId="04D68937">
            <w:pPr>
              <w:pStyle w:val="337"/>
              <w:adjustRightInd w:val="0"/>
              <w:snapToGrid w:val="0"/>
              <w:rPr>
                <w:color w:val="auto"/>
                <w:lang w:val="en-US" w:eastAsia="zh-CN" w:bidi="en-US"/>
              </w:rPr>
            </w:pPr>
          </w:p>
        </w:tc>
        <w:tc>
          <w:tcPr>
            <w:tcW w:w="1484" w:type="dxa"/>
            <w:vMerge w:val="continue"/>
            <w:vAlign w:val="center"/>
          </w:tcPr>
          <w:p w14:paraId="7BED36BD">
            <w:pPr>
              <w:pStyle w:val="337"/>
              <w:adjustRightInd w:val="0"/>
              <w:snapToGrid w:val="0"/>
              <w:rPr>
                <w:color w:val="auto"/>
                <w:lang w:val="en-US" w:eastAsia="zh-CN" w:bidi="en-US"/>
              </w:rPr>
            </w:pPr>
          </w:p>
        </w:tc>
        <w:tc>
          <w:tcPr>
            <w:tcW w:w="1047" w:type="dxa"/>
            <w:vAlign w:val="center"/>
          </w:tcPr>
          <w:p w14:paraId="7B844486">
            <w:pPr>
              <w:pStyle w:val="337"/>
              <w:adjustRightInd w:val="0"/>
              <w:snapToGrid w:val="0"/>
              <w:rPr>
                <w:color w:val="auto"/>
                <w:lang w:val="en-US" w:eastAsia="en-US" w:bidi="en-US"/>
              </w:rPr>
            </w:pPr>
            <w:r>
              <w:rPr>
                <w:color w:val="auto"/>
                <w:lang w:val="en-US" w:eastAsia="en-US" w:bidi="en-US"/>
              </w:rPr>
              <w:t>PC-MAC</w:t>
            </w:r>
          </w:p>
        </w:tc>
        <w:tc>
          <w:tcPr>
            <w:tcW w:w="1023" w:type="dxa"/>
            <w:vAlign w:val="center"/>
          </w:tcPr>
          <w:p w14:paraId="7D53BEE0">
            <w:pPr>
              <w:pStyle w:val="337"/>
              <w:adjustRightInd w:val="0"/>
              <w:snapToGrid w:val="0"/>
              <w:rPr>
                <w:color w:val="auto"/>
                <w:lang w:val="en-US" w:eastAsia="en-US" w:bidi="en-US"/>
              </w:rPr>
            </w:pPr>
            <w:r>
              <w:rPr>
                <w:color w:val="auto"/>
                <w:lang w:val="en-US" w:eastAsia="en-US" w:bidi="en-US"/>
              </w:rPr>
              <w:t>PC-TWA</w:t>
            </w:r>
          </w:p>
        </w:tc>
        <w:tc>
          <w:tcPr>
            <w:tcW w:w="1070" w:type="dxa"/>
            <w:vAlign w:val="center"/>
          </w:tcPr>
          <w:p w14:paraId="28240C0E">
            <w:pPr>
              <w:pStyle w:val="337"/>
              <w:adjustRightInd w:val="0"/>
              <w:snapToGrid w:val="0"/>
              <w:rPr>
                <w:color w:val="auto"/>
                <w:lang w:val="en-US" w:eastAsia="en-US" w:bidi="en-US"/>
              </w:rPr>
            </w:pPr>
            <w:r>
              <w:rPr>
                <w:color w:val="auto"/>
                <w:lang w:val="en-US" w:eastAsia="en-US" w:bidi="en-US"/>
              </w:rPr>
              <w:t>PC-STEL</w:t>
            </w:r>
          </w:p>
        </w:tc>
      </w:tr>
      <w:tr w14:paraId="0CDF20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37" w:type="dxa"/>
            <w:vAlign w:val="center"/>
          </w:tcPr>
          <w:p w14:paraId="5BC08F29">
            <w:pPr>
              <w:pStyle w:val="337"/>
              <w:adjustRightInd w:val="0"/>
              <w:snapToGrid w:val="0"/>
              <w:rPr>
                <w:color w:val="auto"/>
                <w:lang w:val="en-US" w:eastAsia="en-US" w:bidi="en-US"/>
              </w:rPr>
            </w:pPr>
            <w:r>
              <w:rPr>
                <w:color w:val="auto"/>
                <w:lang w:val="en-US" w:eastAsia="en-US" w:bidi="en-US"/>
              </w:rPr>
              <w:t>1</w:t>
            </w:r>
          </w:p>
        </w:tc>
        <w:tc>
          <w:tcPr>
            <w:tcW w:w="1020" w:type="dxa"/>
            <w:vAlign w:val="center"/>
          </w:tcPr>
          <w:p w14:paraId="2F0CD445">
            <w:pPr>
              <w:pStyle w:val="337"/>
              <w:adjustRightInd w:val="0"/>
              <w:snapToGrid w:val="0"/>
              <w:rPr>
                <w:color w:val="auto"/>
                <w:lang w:val="en-US" w:eastAsia="en-US" w:bidi="en-US"/>
              </w:rPr>
            </w:pPr>
            <w:r>
              <w:rPr>
                <w:color w:val="auto"/>
                <w:lang w:val="en-US" w:eastAsia="en-US" w:bidi="en-US"/>
              </w:rPr>
              <w:t>原油</w:t>
            </w:r>
          </w:p>
        </w:tc>
        <w:tc>
          <w:tcPr>
            <w:tcW w:w="1124" w:type="dxa"/>
            <w:vAlign w:val="center"/>
          </w:tcPr>
          <w:p w14:paraId="0CD45B3C">
            <w:pPr>
              <w:pStyle w:val="337"/>
              <w:adjustRightInd w:val="0"/>
              <w:snapToGrid w:val="0"/>
              <w:rPr>
                <w:color w:val="auto"/>
                <w:lang w:val="en-US" w:eastAsia="en-US" w:bidi="en-US"/>
              </w:rPr>
            </w:pPr>
            <w:r>
              <w:rPr>
                <w:color w:val="auto"/>
                <w:lang w:val="en-US" w:eastAsia="en-US" w:bidi="en-US"/>
              </w:rPr>
              <w:t>Ⅳ</w:t>
            </w:r>
          </w:p>
        </w:tc>
        <w:tc>
          <w:tcPr>
            <w:tcW w:w="1324" w:type="dxa"/>
            <w:vAlign w:val="center"/>
          </w:tcPr>
          <w:p w14:paraId="319BF652">
            <w:pPr>
              <w:pStyle w:val="337"/>
              <w:adjustRightInd w:val="0"/>
              <w:snapToGrid w:val="0"/>
              <w:rPr>
                <w:color w:val="auto"/>
                <w:lang w:val="en-US" w:eastAsia="en-US" w:bidi="en-US"/>
              </w:rPr>
            </w:pPr>
            <w:r>
              <w:rPr>
                <w:color w:val="auto"/>
                <w:lang w:val="en-US" w:eastAsia="en-US" w:bidi="en-US"/>
              </w:rPr>
              <w:t>低毒类</w:t>
            </w:r>
          </w:p>
        </w:tc>
        <w:tc>
          <w:tcPr>
            <w:tcW w:w="1484" w:type="dxa"/>
            <w:vAlign w:val="center"/>
          </w:tcPr>
          <w:p w14:paraId="15D0B05D">
            <w:pPr>
              <w:pStyle w:val="337"/>
              <w:adjustRightInd w:val="0"/>
              <w:snapToGrid w:val="0"/>
              <w:rPr>
                <w:color w:val="auto"/>
                <w:lang w:val="en-US" w:eastAsia="en-US" w:bidi="en-US"/>
              </w:rPr>
            </w:pPr>
            <w:r>
              <w:rPr>
                <w:color w:val="auto"/>
                <w:lang w:val="en-US" w:eastAsia="en-US" w:bidi="en-US"/>
              </w:rPr>
              <w:t>LD</w:t>
            </w:r>
            <w:r>
              <w:rPr>
                <w:color w:val="auto"/>
                <w:vertAlign w:val="subscript"/>
                <w:lang w:val="en-US" w:eastAsia="en-US" w:bidi="en-US"/>
              </w:rPr>
              <w:t>50</w:t>
            </w:r>
            <w:r>
              <w:rPr>
                <w:color w:val="auto"/>
                <w:lang w:val="en-US" w:eastAsia="en-US" w:bidi="en-US"/>
              </w:rPr>
              <w:t>500～5000</w:t>
            </w:r>
          </w:p>
        </w:tc>
        <w:tc>
          <w:tcPr>
            <w:tcW w:w="1047" w:type="dxa"/>
            <w:vAlign w:val="center"/>
          </w:tcPr>
          <w:p w14:paraId="4F39DECA">
            <w:pPr>
              <w:pStyle w:val="337"/>
              <w:adjustRightInd w:val="0"/>
              <w:snapToGrid w:val="0"/>
              <w:rPr>
                <w:color w:val="auto"/>
                <w:lang w:val="en-US" w:eastAsia="en-US" w:bidi="en-US"/>
              </w:rPr>
            </w:pPr>
            <w:r>
              <w:rPr>
                <w:color w:val="auto"/>
                <w:lang w:val="en-US" w:eastAsia="en-US" w:bidi="en-US"/>
              </w:rPr>
              <w:t>/</w:t>
            </w:r>
          </w:p>
        </w:tc>
        <w:tc>
          <w:tcPr>
            <w:tcW w:w="1023" w:type="dxa"/>
            <w:vAlign w:val="center"/>
          </w:tcPr>
          <w:p w14:paraId="0FF88A0C">
            <w:pPr>
              <w:pStyle w:val="337"/>
              <w:adjustRightInd w:val="0"/>
              <w:snapToGrid w:val="0"/>
              <w:rPr>
                <w:color w:val="auto"/>
                <w:lang w:val="en-US" w:eastAsia="en-US" w:bidi="en-US"/>
              </w:rPr>
            </w:pPr>
            <w:r>
              <w:rPr>
                <w:color w:val="auto"/>
                <w:lang w:val="en-US" w:eastAsia="en-US" w:bidi="en-US"/>
              </w:rPr>
              <w:t>/</w:t>
            </w:r>
          </w:p>
        </w:tc>
        <w:tc>
          <w:tcPr>
            <w:tcW w:w="1070" w:type="dxa"/>
            <w:vAlign w:val="center"/>
          </w:tcPr>
          <w:p w14:paraId="63372B31">
            <w:pPr>
              <w:pStyle w:val="337"/>
              <w:adjustRightInd w:val="0"/>
              <w:snapToGrid w:val="0"/>
              <w:rPr>
                <w:color w:val="auto"/>
                <w:lang w:val="en-US" w:eastAsia="en-US" w:bidi="en-US"/>
              </w:rPr>
            </w:pPr>
            <w:r>
              <w:rPr>
                <w:color w:val="auto"/>
                <w:lang w:val="en-US" w:eastAsia="en-US" w:bidi="en-US"/>
              </w:rPr>
              <w:t>/</w:t>
            </w:r>
          </w:p>
        </w:tc>
      </w:tr>
      <w:tr w14:paraId="1DCC3B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37" w:type="dxa"/>
            <w:vAlign w:val="center"/>
          </w:tcPr>
          <w:p w14:paraId="06AD621B">
            <w:pPr>
              <w:pStyle w:val="337"/>
              <w:adjustRightInd w:val="0"/>
              <w:snapToGrid w:val="0"/>
              <w:rPr>
                <w:color w:val="auto"/>
                <w:lang w:val="en-US" w:eastAsia="en-US" w:bidi="en-US"/>
              </w:rPr>
            </w:pPr>
            <w:r>
              <w:rPr>
                <w:color w:val="auto"/>
                <w:lang w:val="en-US" w:eastAsia="en-US" w:bidi="en-US"/>
              </w:rPr>
              <w:t>2</w:t>
            </w:r>
          </w:p>
        </w:tc>
        <w:tc>
          <w:tcPr>
            <w:tcW w:w="1020" w:type="dxa"/>
            <w:vAlign w:val="center"/>
          </w:tcPr>
          <w:p w14:paraId="7FF76183">
            <w:pPr>
              <w:pStyle w:val="337"/>
              <w:adjustRightInd w:val="0"/>
              <w:snapToGrid w:val="0"/>
              <w:rPr>
                <w:color w:val="auto"/>
                <w:lang w:val="en-US" w:eastAsia="en-US" w:bidi="en-US"/>
              </w:rPr>
            </w:pPr>
            <w:r>
              <w:rPr>
                <w:color w:val="auto"/>
                <w:lang w:val="en-US" w:eastAsia="en-US" w:bidi="en-US"/>
              </w:rPr>
              <w:t>SO</w:t>
            </w:r>
            <w:r>
              <w:rPr>
                <w:color w:val="auto"/>
                <w:vertAlign w:val="subscript"/>
                <w:lang w:val="en-US" w:eastAsia="en-US" w:bidi="en-US"/>
              </w:rPr>
              <w:t>2</w:t>
            </w:r>
          </w:p>
        </w:tc>
        <w:tc>
          <w:tcPr>
            <w:tcW w:w="1124" w:type="dxa"/>
            <w:vAlign w:val="center"/>
          </w:tcPr>
          <w:p w14:paraId="3DE33B01">
            <w:pPr>
              <w:pStyle w:val="337"/>
              <w:adjustRightInd w:val="0"/>
              <w:snapToGrid w:val="0"/>
              <w:rPr>
                <w:color w:val="auto"/>
                <w:lang w:val="en-US" w:eastAsia="en-US" w:bidi="en-US"/>
              </w:rPr>
            </w:pPr>
            <w:r>
              <w:rPr>
                <w:color w:val="auto"/>
                <w:lang w:val="en-US" w:eastAsia="en-US" w:bidi="en-US"/>
              </w:rPr>
              <w:t>Ⅳ</w:t>
            </w:r>
          </w:p>
        </w:tc>
        <w:tc>
          <w:tcPr>
            <w:tcW w:w="1324" w:type="dxa"/>
            <w:vAlign w:val="center"/>
          </w:tcPr>
          <w:p w14:paraId="2EF14017">
            <w:pPr>
              <w:pStyle w:val="337"/>
              <w:adjustRightInd w:val="0"/>
              <w:snapToGrid w:val="0"/>
              <w:rPr>
                <w:color w:val="auto"/>
                <w:lang w:val="en-US" w:eastAsia="en-US" w:bidi="en-US"/>
              </w:rPr>
            </w:pPr>
            <w:r>
              <w:rPr>
                <w:color w:val="auto"/>
                <w:lang w:val="en-US" w:eastAsia="en-US" w:bidi="en-US"/>
              </w:rPr>
              <w:t>中等毒类</w:t>
            </w:r>
          </w:p>
        </w:tc>
        <w:tc>
          <w:tcPr>
            <w:tcW w:w="1484" w:type="dxa"/>
            <w:vAlign w:val="center"/>
          </w:tcPr>
          <w:p w14:paraId="7158DF0F">
            <w:pPr>
              <w:pStyle w:val="337"/>
              <w:adjustRightInd w:val="0"/>
              <w:snapToGrid w:val="0"/>
              <w:rPr>
                <w:color w:val="auto"/>
                <w:lang w:val="en-US" w:eastAsia="en-US" w:bidi="en-US"/>
              </w:rPr>
            </w:pPr>
            <w:r>
              <w:rPr>
                <w:color w:val="auto"/>
                <w:lang w:val="en-US" w:eastAsia="en-US" w:bidi="en-US"/>
              </w:rPr>
              <w:t>LC</w:t>
            </w:r>
            <w:r>
              <w:rPr>
                <w:color w:val="auto"/>
                <w:vertAlign w:val="subscript"/>
                <w:lang w:val="en-US" w:eastAsia="en-US" w:bidi="en-US"/>
              </w:rPr>
              <w:t>50</w:t>
            </w:r>
            <w:r>
              <w:rPr>
                <w:color w:val="auto"/>
                <w:lang w:val="en-US" w:eastAsia="en-US" w:bidi="en-US"/>
              </w:rPr>
              <w:t>6600</w:t>
            </w:r>
          </w:p>
        </w:tc>
        <w:tc>
          <w:tcPr>
            <w:tcW w:w="1047" w:type="dxa"/>
            <w:vAlign w:val="center"/>
          </w:tcPr>
          <w:p w14:paraId="1EE3DA2A">
            <w:pPr>
              <w:pStyle w:val="337"/>
              <w:adjustRightInd w:val="0"/>
              <w:snapToGrid w:val="0"/>
              <w:rPr>
                <w:color w:val="auto"/>
                <w:lang w:val="en-US" w:eastAsia="en-US" w:bidi="en-US"/>
              </w:rPr>
            </w:pPr>
            <w:r>
              <w:rPr>
                <w:color w:val="auto"/>
                <w:lang w:val="en-US" w:eastAsia="en-US" w:bidi="en-US"/>
              </w:rPr>
              <w:t>/</w:t>
            </w:r>
          </w:p>
        </w:tc>
        <w:tc>
          <w:tcPr>
            <w:tcW w:w="1023" w:type="dxa"/>
            <w:vAlign w:val="center"/>
          </w:tcPr>
          <w:p w14:paraId="566F4A06">
            <w:pPr>
              <w:pStyle w:val="337"/>
              <w:adjustRightInd w:val="0"/>
              <w:snapToGrid w:val="0"/>
              <w:rPr>
                <w:color w:val="auto"/>
                <w:lang w:val="en-US" w:eastAsia="en-US" w:bidi="en-US"/>
              </w:rPr>
            </w:pPr>
            <w:r>
              <w:rPr>
                <w:color w:val="auto"/>
                <w:lang w:val="en-US" w:eastAsia="en-US" w:bidi="en-US"/>
              </w:rPr>
              <w:t>5</w:t>
            </w:r>
          </w:p>
        </w:tc>
        <w:tc>
          <w:tcPr>
            <w:tcW w:w="1070" w:type="dxa"/>
            <w:vAlign w:val="center"/>
          </w:tcPr>
          <w:p w14:paraId="61A9C693">
            <w:pPr>
              <w:pStyle w:val="337"/>
              <w:adjustRightInd w:val="0"/>
              <w:snapToGrid w:val="0"/>
              <w:rPr>
                <w:color w:val="auto"/>
                <w:lang w:val="en-US" w:eastAsia="en-US" w:bidi="en-US"/>
              </w:rPr>
            </w:pPr>
            <w:r>
              <w:rPr>
                <w:color w:val="auto"/>
                <w:lang w:val="en-US" w:eastAsia="en-US" w:bidi="en-US"/>
              </w:rPr>
              <w:t>10</w:t>
            </w:r>
          </w:p>
        </w:tc>
      </w:tr>
      <w:tr w14:paraId="41B639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37" w:type="dxa"/>
            <w:vAlign w:val="center"/>
          </w:tcPr>
          <w:p w14:paraId="0585B5D9">
            <w:pPr>
              <w:pStyle w:val="337"/>
              <w:adjustRightInd w:val="0"/>
              <w:snapToGrid w:val="0"/>
              <w:rPr>
                <w:color w:val="auto"/>
                <w:lang w:val="en-US" w:eastAsia="en-US" w:bidi="en-US"/>
              </w:rPr>
            </w:pPr>
            <w:r>
              <w:rPr>
                <w:color w:val="auto"/>
                <w:lang w:val="en-US" w:eastAsia="en-US" w:bidi="en-US"/>
              </w:rPr>
              <w:t>3</w:t>
            </w:r>
          </w:p>
        </w:tc>
        <w:tc>
          <w:tcPr>
            <w:tcW w:w="1020" w:type="dxa"/>
            <w:vAlign w:val="center"/>
          </w:tcPr>
          <w:p w14:paraId="312F2D22">
            <w:pPr>
              <w:pStyle w:val="337"/>
              <w:adjustRightInd w:val="0"/>
              <w:snapToGrid w:val="0"/>
              <w:rPr>
                <w:color w:val="auto"/>
                <w:lang w:val="en-US" w:eastAsia="en-US" w:bidi="en-US"/>
              </w:rPr>
            </w:pPr>
            <w:r>
              <w:rPr>
                <w:color w:val="auto"/>
                <w:lang w:val="en-US" w:eastAsia="en-US" w:bidi="en-US"/>
              </w:rPr>
              <w:t>CO</w:t>
            </w:r>
          </w:p>
        </w:tc>
        <w:tc>
          <w:tcPr>
            <w:tcW w:w="1124" w:type="dxa"/>
            <w:vAlign w:val="center"/>
          </w:tcPr>
          <w:p w14:paraId="66A39B85">
            <w:pPr>
              <w:pStyle w:val="337"/>
              <w:adjustRightInd w:val="0"/>
              <w:snapToGrid w:val="0"/>
              <w:rPr>
                <w:color w:val="auto"/>
                <w:lang w:val="en-US" w:eastAsia="en-US" w:bidi="en-US"/>
              </w:rPr>
            </w:pPr>
            <w:r>
              <w:rPr>
                <w:color w:val="auto"/>
                <w:lang w:val="en-US" w:eastAsia="en-US" w:bidi="en-US"/>
              </w:rPr>
              <w:t>Ⅱ</w:t>
            </w:r>
          </w:p>
        </w:tc>
        <w:tc>
          <w:tcPr>
            <w:tcW w:w="1324" w:type="dxa"/>
            <w:vAlign w:val="center"/>
          </w:tcPr>
          <w:p w14:paraId="490DE381">
            <w:pPr>
              <w:pStyle w:val="337"/>
              <w:adjustRightInd w:val="0"/>
              <w:snapToGrid w:val="0"/>
              <w:rPr>
                <w:color w:val="auto"/>
                <w:lang w:val="en-US" w:eastAsia="en-US" w:bidi="en-US"/>
              </w:rPr>
            </w:pPr>
            <w:r>
              <w:rPr>
                <w:color w:val="auto"/>
                <w:lang w:val="en-US" w:eastAsia="en-US" w:bidi="en-US"/>
              </w:rPr>
              <w:t>造成组织缺氧</w:t>
            </w:r>
          </w:p>
        </w:tc>
        <w:tc>
          <w:tcPr>
            <w:tcW w:w="1484" w:type="dxa"/>
            <w:vAlign w:val="center"/>
          </w:tcPr>
          <w:p w14:paraId="6E445DEB">
            <w:pPr>
              <w:pStyle w:val="337"/>
              <w:adjustRightInd w:val="0"/>
              <w:snapToGrid w:val="0"/>
              <w:rPr>
                <w:color w:val="auto"/>
                <w:lang w:val="en-US" w:eastAsia="en-US" w:bidi="en-US"/>
              </w:rPr>
            </w:pPr>
            <w:r>
              <w:rPr>
                <w:color w:val="auto"/>
                <w:lang w:val="en-US" w:eastAsia="en-US" w:bidi="en-US"/>
              </w:rPr>
              <w:t>LC</w:t>
            </w:r>
            <w:r>
              <w:rPr>
                <w:color w:val="auto"/>
                <w:vertAlign w:val="subscript"/>
                <w:lang w:val="en-US" w:eastAsia="en-US" w:bidi="en-US"/>
              </w:rPr>
              <w:t>50</w:t>
            </w:r>
            <w:r>
              <w:rPr>
                <w:color w:val="auto"/>
                <w:lang w:val="en-US" w:eastAsia="en-US" w:bidi="en-US"/>
              </w:rPr>
              <w:t>2069</w:t>
            </w:r>
          </w:p>
        </w:tc>
        <w:tc>
          <w:tcPr>
            <w:tcW w:w="1047" w:type="dxa"/>
            <w:vAlign w:val="center"/>
          </w:tcPr>
          <w:p w14:paraId="0181EA41">
            <w:pPr>
              <w:pStyle w:val="337"/>
              <w:adjustRightInd w:val="0"/>
              <w:snapToGrid w:val="0"/>
              <w:rPr>
                <w:color w:val="auto"/>
                <w:lang w:val="en-US" w:eastAsia="en-US" w:bidi="en-US"/>
              </w:rPr>
            </w:pPr>
            <w:r>
              <w:rPr>
                <w:color w:val="auto"/>
                <w:lang w:val="en-US" w:eastAsia="en-US" w:bidi="en-US"/>
              </w:rPr>
              <w:t>20</w:t>
            </w:r>
          </w:p>
        </w:tc>
        <w:tc>
          <w:tcPr>
            <w:tcW w:w="1023" w:type="dxa"/>
            <w:vAlign w:val="center"/>
          </w:tcPr>
          <w:p w14:paraId="1E667B02">
            <w:pPr>
              <w:pStyle w:val="337"/>
              <w:adjustRightInd w:val="0"/>
              <w:snapToGrid w:val="0"/>
              <w:rPr>
                <w:color w:val="auto"/>
                <w:lang w:val="en-US" w:eastAsia="en-US" w:bidi="en-US"/>
              </w:rPr>
            </w:pPr>
            <w:r>
              <w:rPr>
                <w:color w:val="auto"/>
                <w:lang w:val="en-US" w:eastAsia="en-US" w:bidi="en-US"/>
              </w:rPr>
              <w:t>/</w:t>
            </w:r>
          </w:p>
        </w:tc>
        <w:tc>
          <w:tcPr>
            <w:tcW w:w="1070" w:type="dxa"/>
            <w:vAlign w:val="center"/>
          </w:tcPr>
          <w:p w14:paraId="01DAD58E">
            <w:pPr>
              <w:pStyle w:val="337"/>
              <w:adjustRightInd w:val="0"/>
              <w:snapToGrid w:val="0"/>
              <w:rPr>
                <w:color w:val="auto"/>
                <w:lang w:val="en-US" w:eastAsia="en-US" w:bidi="en-US"/>
              </w:rPr>
            </w:pPr>
            <w:r>
              <w:rPr>
                <w:color w:val="auto"/>
                <w:lang w:val="en-US" w:eastAsia="en-US" w:bidi="en-US"/>
              </w:rPr>
              <w:t>/</w:t>
            </w:r>
          </w:p>
        </w:tc>
      </w:tr>
      <w:tr w14:paraId="569F72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437" w:type="dxa"/>
            <w:vAlign w:val="center"/>
          </w:tcPr>
          <w:p w14:paraId="5CC56DA0">
            <w:pPr>
              <w:pStyle w:val="337"/>
              <w:adjustRightInd w:val="0"/>
              <w:snapToGrid w:val="0"/>
              <w:rPr>
                <w:color w:val="auto"/>
                <w:lang w:val="en-US" w:eastAsia="zh-CN" w:bidi="en-US"/>
              </w:rPr>
            </w:pPr>
            <w:r>
              <w:rPr>
                <w:color w:val="auto"/>
                <w:lang w:val="en-US" w:eastAsia="zh-CN" w:bidi="en-US"/>
              </w:rPr>
              <w:t>4</w:t>
            </w:r>
          </w:p>
        </w:tc>
        <w:tc>
          <w:tcPr>
            <w:tcW w:w="1020" w:type="dxa"/>
            <w:vAlign w:val="center"/>
          </w:tcPr>
          <w:p w14:paraId="1B310137">
            <w:pPr>
              <w:pStyle w:val="337"/>
              <w:adjustRightInd w:val="0"/>
              <w:snapToGrid w:val="0"/>
              <w:rPr>
                <w:color w:val="auto"/>
                <w:lang w:val="en-US" w:eastAsia="zh-CN" w:bidi="en-US"/>
              </w:rPr>
            </w:pPr>
            <w:r>
              <w:rPr>
                <w:color w:val="auto"/>
                <w:lang w:val="en-US" w:eastAsia="en-US" w:bidi="en-US"/>
              </w:rPr>
              <w:t>非甲</w:t>
            </w:r>
          </w:p>
          <w:p w14:paraId="6D070FF6">
            <w:pPr>
              <w:pStyle w:val="337"/>
              <w:adjustRightInd w:val="0"/>
              <w:snapToGrid w:val="0"/>
              <w:rPr>
                <w:color w:val="auto"/>
                <w:lang w:val="en-US" w:eastAsia="en-US" w:bidi="en-US"/>
              </w:rPr>
            </w:pPr>
            <w:r>
              <w:rPr>
                <w:color w:val="auto"/>
                <w:lang w:val="en-US" w:eastAsia="en-US" w:bidi="en-US"/>
              </w:rPr>
              <w:t>烷烃</w:t>
            </w:r>
          </w:p>
        </w:tc>
        <w:tc>
          <w:tcPr>
            <w:tcW w:w="1124" w:type="dxa"/>
            <w:vAlign w:val="center"/>
          </w:tcPr>
          <w:p w14:paraId="6DBA1883">
            <w:pPr>
              <w:pStyle w:val="337"/>
              <w:adjustRightInd w:val="0"/>
              <w:snapToGrid w:val="0"/>
              <w:rPr>
                <w:color w:val="auto"/>
                <w:lang w:val="en-US" w:eastAsia="en-US" w:bidi="en-US"/>
              </w:rPr>
            </w:pPr>
            <w:r>
              <w:rPr>
                <w:color w:val="auto"/>
                <w:lang w:val="en-US" w:eastAsia="en-US" w:bidi="en-US"/>
              </w:rPr>
              <w:t>Ⅳ</w:t>
            </w:r>
          </w:p>
        </w:tc>
        <w:tc>
          <w:tcPr>
            <w:tcW w:w="1324" w:type="dxa"/>
            <w:vAlign w:val="center"/>
          </w:tcPr>
          <w:p w14:paraId="1A7907BE">
            <w:pPr>
              <w:pStyle w:val="337"/>
              <w:adjustRightInd w:val="0"/>
              <w:snapToGrid w:val="0"/>
              <w:rPr>
                <w:color w:val="auto"/>
                <w:lang w:val="en-US" w:eastAsia="en-US" w:bidi="en-US"/>
              </w:rPr>
            </w:pPr>
            <w:r>
              <w:rPr>
                <w:color w:val="auto"/>
                <w:lang w:val="en-US" w:eastAsia="en-US" w:bidi="en-US"/>
              </w:rPr>
              <w:t>低毒类</w:t>
            </w:r>
          </w:p>
        </w:tc>
        <w:tc>
          <w:tcPr>
            <w:tcW w:w="1484" w:type="dxa"/>
            <w:vAlign w:val="center"/>
          </w:tcPr>
          <w:p w14:paraId="61D851B0">
            <w:pPr>
              <w:pStyle w:val="337"/>
              <w:adjustRightInd w:val="0"/>
              <w:snapToGrid w:val="0"/>
              <w:rPr>
                <w:color w:val="auto"/>
                <w:lang w:val="en-US" w:eastAsia="en-US" w:bidi="en-US"/>
              </w:rPr>
            </w:pPr>
            <w:r>
              <w:rPr>
                <w:color w:val="auto"/>
                <w:lang w:val="en-US" w:eastAsia="en-US" w:bidi="en-US"/>
              </w:rPr>
              <w:t>无资料</w:t>
            </w:r>
          </w:p>
        </w:tc>
        <w:tc>
          <w:tcPr>
            <w:tcW w:w="1047" w:type="dxa"/>
            <w:vAlign w:val="center"/>
          </w:tcPr>
          <w:p w14:paraId="42D3A036">
            <w:pPr>
              <w:pStyle w:val="337"/>
              <w:adjustRightInd w:val="0"/>
              <w:snapToGrid w:val="0"/>
              <w:rPr>
                <w:color w:val="auto"/>
                <w:lang w:val="en-US" w:eastAsia="en-US" w:bidi="en-US"/>
              </w:rPr>
            </w:pPr>
            <w:r>
              <w:rPr>
                <w:color w:val="auto"/>
                <w:lang w:val="en-US" w:eastAsia="en-US" w:bidi="en-US"/>
              </w:rPr>
              <w:t>/</w:t>
            </w:r>
          </w:p>
        </w:tc>
        <w:tc>
          <w:tcPr>
            <w:tcW w:w="1023" w:type="dxa"/>
            <w:vAlign w:val="center"/>
          </w:tcPr>
          <w:p w14:paraId="5D5372A5">
            <w:pPr>
              <w:pStyle w:val="337"/>
              <w:adjustRightInd w:val="0"/>
              <w:snapToGrid w:val="0"/>
              <w:rPr>
                <w:color w:val="auto"/>
                <w:lang w:val="en-US" w:eastAsia="en-US" w:bidi="en-US"/>
              </w:rPr>
            </w:pPr>
            <w:r>
              <w:rPr>
                <w:color w:val="auto"/>
                <w:lang w:val="en-US" w:eastAsia="en-US" w:bidi="en-US"/>
              </w:rPr>
              <w:t>/</w:t>
            </w:r>
          </w:p>
        </w:tc>
        <w:tc>
          <w:tcPr>
            <w:tcW w:w="1070" w:type="dxa"/>
            <w:vAlign w:val="center"/>
          </w:tcPr>
          <w:p w14:paraId="421C46E1">
            <w:pPr>
              <w:pStyle w:val="337"/>
              <w:adjustRightInd w:val="0"/>
              <w:snapToGrid w:val="0"/>
              <w:rPr>
                <w:color w:val="auto"/>
                <w:lang w:val="en-US" w:eastAsia="en-US" w:bidi="en-US"/>
              </w:rPr>
            </w:pPr>
            <w:r>
              <w:rPr>
                <w:color w:val="auto"/>
                <w:lang w:val="en-US" w:eastAsia="en-US" w:bidi="en-US"/>
              </w:rPr>
              <w:t>/</w:t>
            </w:r>
          </w:p>
        </w:tc>
      </w:tr>
    </w:tbl>
    <w:p w14:paraId="5903CC09">
      <w:pPr>
        <w:pStyle w:val="4"/>
        <w:rPr>
          <w:lang w:eastAsia="zh-CN"/>
        </w:rPr>
      </w:pPr>
      <w:bookmarkStart w:id="771" w:name="_Toc408414042"/>
      <w:bookmarkStart w:id="772" w:name="_Toc338663587"/>
      <w:r>
        <w:rPr>
          <w:lang w:eastAsia="zh-CN"/>
        </w:rPr>
        <w:t>11.1.2生产设施风险识别范围</w:t>
      </w:r>
      <w:bookmarkEnd w:id="771"/>
      <w:bookmarkEnd w:id="772"/>
    </w:p>
    <w:p w14:paraId="428DE5D0">
      <w:pPr>
        <w:ind w:firstLine="480"/>
        <w:rPr>
          <w:rFonts w:asciiTheme="minorEastAsia" w:hAnsiTheme="minorEastAsia" w:eastAsiaTheme="minorEastAsia"/>
          <w:lang w:eastAsia="zh-CN"/>
        </w:rPr>
      </w:pPr>
      <w:r>
        <w:rPr>
          <w:rFonts w:asciiTheme="minorEastAsia" w:hAnsiTheme="minorEastAsia" w:eastAsiaTheme="minorEastAsia"/>
          <w:lang w:eastAsia="zh-CN"/>
        </w:rPr>
        <w:t>1、生产设施风险识别的范围</w:t>
      </w:r>
    </w:p>
    <w:p w14:paraId="10D44518">
      <w:pPr>
        <w:ind w:firstLine="480"/>
        <w:rPr>
          <w:rFonts w:asciiTheme="minorEastAsia" w:hAnsiTheme="minorEastAsia" w:eastAsiaTheme="minorEastAsia"/>
          <w:lang w:eastAsia="zh-CN"/>
        </w:rPr>
      </w:pPr>
      <w:r>
        <w:rPr>
          <w:rFonts w:asciiTheme="minorEastAsia" w:hAnsiTheme="minorEastAsia" w:eastAsiaTheme="minorEastAsia"/>
          <w:lang w:eastAsia="zh-CN"/>
        </w:rPr>
        <w:t>生产设施风险识别范围包括：生产装置、储运系统、公用工程系统等。本项目生产设施风险识别的范围见表11.1-4。</w:t>
      </w:r>
    </w:p>
    <w:p w14:paraId="7A2C0D71">
      <w:pPr>
        <w:spacing w:line="240" w:lineRule="auto"/>
        <w:ind w:firstLine="0" w:firstLineChars="0"/>
        <w:jc w:val="center"/>
        <w:rPr>
          <w:b/>
          <w:lang w:eastAsia="zh-CN"/>
        </w:rPr>
      </w:pPr>
      <w:r>
        <w:rPr>
          <w:b/>
          <w:lang w:eastAsia="zh-CN"/>
        </w:rPr>
        <w:t>表11.1-4  乌里雅斯太油田生产设施风险性识别范围表</w:t>
      </w:r>
    </w:p>
    <w:tbl>
      <w:tblPr>
        <w:tblStyle w:val="7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5"/>
        <w:gridCol w:w="1293"/>
        <w:gridCol w:w="6311"/>
      </w:tblGrid>
      <w:tr w14:paraId="6297C1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218" w:type="dxa"/>
            <w:gridSpan w:val="2"/>
            <w:vAlign w:val="center"/>
          </w:tcPr>
          <w:p w14:paraId="41F366CA">
            <w:pPr>
              <w:pStyle w:val="337"/>
              <w:adjustRightInd w:val="0"/>
              <w:snapToGrid w:val="0"/>
              <w:rPr>
                <w:color w:val="auto"/>
                <w:lang w:val="en-US" w:eastAsia="en-US" w:bidi="en-US"/>
              </w:rPr>
            </w:pPr>
            <w:r>
              <w:rPr>
                <w:color w:val="auto"/>
                <w:lang w:val="en-US" w:eastAsia="en-US" w:bidi="en-US"/>
              </w:rPr>
              <w:t>类别</w:t>
            </w:r>
          </w:p>
        </w:tc>
        <w:tc>
          <w:tcPr>
            <w:tcW w:w="6311" w:type="dxa"/>
            <w:vAlign w:val="center"/>
          </w:tcPr>
          <w:p w14:paraId="765777EC">
            <w:pPr>
              <w:pStyle w:val="337"/>
              <w:adjustRightInd w:val="0"/>
              <w:snapToGrid w:val="0"/>
              <w:rPr>
                <w:color w:val="auto"/>
                <w:lang w:val="en-US" w:eastAsia="en-US" w:bidi="en-US"/>
              </w:rPr>
            </w:pPr>
            <w:r>
              <w:rPr>
                <w:color w:val="auto"/>
                <w:lang w:val="en-US" w:eastAsia="en-US" w:bidi="en-US"/>
              </w:rPr>
              <w:t>范围</w:t>
            </w:r>
          </w:p>
        </w:tc>
      </w:tr>
      <w:tr w14:paraId="5DC467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25" w:type="dxa"/>
            <w:vMerge w:val="restart"/>
            <w:vAlign w:val="center"/>
          </w:tcPr>
          <w:p w14:paraId="6DF12671">
            <w:pPr>
              <w:pStyle w:val="337"/>
              <w:adjustRightInd w:val="0"/>
              <w:snapToGrid w:val="0"/>
              <w:rPr>
                <w:color w:val="auto"/>
                <w:lang w:val="en-US" w:eastAsia="en-US" w:bidi="en-US"/>
              </w:rPr>
            </w:pPr>
            <w:r>
              <w:rPr>
                <w:color w:val="auto"/>
                <w:lang w:val="en-US" w:eastAsia="en-US" w:bidi="en-US"/>
              </w:rPr>
              <w:t>钻采工程</w:t>
            </w:r>
          </w:p>
        </w:tc>
        <w:tc>
          <w:tcPr>
            <w:tcW w:w="1293" w:type="dxa"/>
            <w:vAlign w:val="center"/>
          </w:tcPr>
          <w:p w14:paraId="6E986643">
            <w:pPr>
              <w:pStyle w:val="337"/>
              <w:adjustRightInd w:val="0"/>
              <w:snapToGrid w:val="0"/>
              <w:rPr>
                <w:color w:val="auto"/>
                <w:spacing w:val="-10"/>
                <w:lang w:val="en-US" w:eastAsia="en-US" w:bidi="en-US"/>
              </w:rPr>
            </w:pPr>
            <w:r>
              <w:rPr>
                <w:color w:val="auto"/>
                <w:spacing w:val="-10"/>
                <w:lang w:val="en-US" w:eastAsia="en-US" w:bidi="en-US"/>
              </w:rPr>
              <w:t>钻</w:t>
            </w:r>
            <w:r>
              <w:rPr>
                <w:color w:val="auto"/>
                <w:spacing w:val="-10"/>
                <w:lang w:val="en-US" w:eastAsia="zh-CN" w:bidi="en-US"/>
              </w:rPr>
              <w:t>、</w:t>
            </w:r>
            <w:r>
              <w:rPr>
                <w:color w:val="auto"/>
                <w:spacing w:val="-10"/>
                <w:lang w:val="en-US" w:eastAsia="en-US" w:bidi="en-US"/>
              </w:rPr>
              <w:t>完井生产</w:t>
            </w:r>
          </w:p>
        </w:tc>
        <w:tc>
          <w:tcPr>
            <w:tcW w:w="6311" w:type="dxa"/>
            <w:vAlign w:val="center"/>
          </w:tcPr>
          <w:p w14:paraId="6C6D9976">
            <w:pPr>
              <w:pStyle w:val="337"/>
              <w:adjustRightInd w:val="0"/>
              <w:snapToGrid w:val="0"/>
              <w:jc w:val="left"/>
              <w:rPr>
                <w:color w:val="auto"/>
                <w:spacing w:val="-10"/>
                <w:lang w:val="en-US" w:eastAsia="zh-CN" w:bidi="en-US"/>
              </w:rPr>
            </w:pPr>
            <w:r>
              <w:rPr>
                <w:rFonts w:hint="eastAsia"/>
                <w:color w:val="auto"/>
                <w:spacing w:val="-10"/>
                <w:lang w:val="en-US" w:eastAsia="zh-CN" w:bidi="en-US"/>
              </w:rPr>
              <w:t>井喷造成火灾、爆炸</w:t>
            </w:r>
          </w:p>
        </w:tc>
      </w:tr>
      <w:tr w14:paraId="6CE783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25" w:type="dxa"/>
            <w:vMerge w:val="continue"/>
            <w:vAlign w:val="center"/>
          </w:tcPr>
          <w:p w14:paraId="09D8D7DE">
            <w:pPr>
              <w:pStyle w:val="337"/>
              <w:adjustRightInd w:val="0"/>
              <w:snapToGrid w:val="0"/>
              <w:rPr>
                <w:color w:val="auto"/>
                <w:lang w:val="en-US" w:eastAsia="zh-CN" w:bidi="en-US"/>
              </w:rPr>
            </w:pPr>
          </w:p>
        </w:tc>
        <w:tc>
          <w:tcPr>
            <w:tcW w:w="1293" w:type="dxa"/>
            <w:vAlign w:val="center"/>
          </w:tcPr>
          <w:p w14:paraId="43D40EF7">
            <w:pPr>
              <w:pStyle w:val="337"/>
              <w:adjustRightInd w:val="0"/>
              <w:snapToGrid w:val="0"/>
              <w:rPr>
                <w:color w:val="auto"/>
                <w:lang w:val="en-US" w:eastAsia="en-US" w:bidi="en-US"/>
              </w:rPr>
            </w:pPr>
            <w:r>
              <w:rPr>
                <w:color w:val="auto"/>
                <w:lang w:val="en-US" w:eastAsia="en-US" w:bidi="en-US"/>
              </w:rPr>
              <w:t>采油作业</w:t>
            </w:r>
          </w:p>
        </w:tc>
        <w:tc>
          <w:tcPr>
            <w:tcW w:w="6311" w:type="dxa"/>
            <w:vAlign w:val="center"/>
          </w:tcPr>
          <w:p w14:paraId="6FB6E6FE">
            <w:pPr>
              <w:pStyle w:val="337"/>
              <w:adjustRightInd w:val="0"/>
              <w:snapToGrid w:val="0"/>
              <w:jc w:val="left"/>
              <w:rPr>
                <w:color w:val="auto"/>
                <w:lang w:val="en-US" w:eastAsia="en-US" w:bidi="en-US"/>
              </w:rPr>
            </w:pPr>
            <w:r>
              <w:rPr>
                <w:color w:val="auto"/>
                <w:lang w:val="en-US" w:eastAsia="en-US" w:bidi="en-US"/>
              </w:rPr>
              <w:t>憋压导致物理爆炸等</w:t>
            </w:r>
          </w:p>
        </w:tc>
      </w:tr>
      <w:tr w14:paraId="4D79F6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925" w:type="dxa"/>
            <w:vMerge w:val="continue"/>
            <w:vAlign w:val="center"/>
          </w:tcPr>
          <w:p w14:paraId="04E1E9A1">
            <w:pPr>
              <w:pStyle w:val="337"/>
              <w:adjustRightInd w:val="0"/>
              <w:snapToGrid w:val="0"/>
              <w:rPr>
                <w:color w:val="auto"/>
                <w:lang w:val="en-US" w:eastAsia="en-US" w:bidi="en-US"/>
              </w:rPr>
            </w:pPr>
          </w:p>
        </w:tc>
        <w:tc>
          <w:tcPr>
            <w:tcW w:w="1293" w:type="dxa"/>
            <w:vAlign w:val="center"/>
          </w:tcPr>
          <w:p w14:paraId="12D690F8">
            <w:pPr>
              <w:pStyle w:val="337"/>
              <w:adjustRightInd w:val="0"/>
              <w:snapToGrid w:val="0"/>
              <w:rPr>
                <w:color w:val="auto"/>
                <w:lang w:val="en-US" w:eastAsia="en-US" w:bidi="en-US"/>
              </w:rPr>
            </w:pPr>
            <w:r>
              <w:rPr>
                <w:color w:val="auto"/>
                <w:lang w:val="en-US" w:eastAsia="en-US" w:bidi="en-US"/>
              </w:rPr>
              <w:t>修井作业</w:t>
            </w:r>
          </w:p>
        </w:tc>
        <w:tc>
          <w:tcPr>
            <w:tcW w:w="6311" w:type="dxa"/>
            <w:vAlign w:val="center"/>
          </w:tcPr>
          <w:p w14:paraId="049CC857">
            <w:pPr>
              <w:pStyle w:val="337"/>
              <w:adjustRightInd w:val="0"/>
              <w:snapToGrid w:val="0"/>
              <w:jc w:val="left"/>
              <w:rPr>
                <w:color w:val="auto"/>
                <w:lang w:val="en-US" w:eastAsia="zh-CN" w:bidi="en-US"/>
              </w:rPr>
            </w:pPr>
            <w:r>
              <w:rPr>
                <w:color w:val="auto"/>
                <w:lang w:val="en-US" w:eastAsia="zh-CN" w:bidi="en-US"/>
              </w:rPr>
              <w:t>井场落地原油过多遇明火引起火灾</w:t>
            </w:r>
          </w:p>
        </w:tc>
      </w:tr>
      <w:tr w14:paraId="2B03C1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218" w:type="dxa"/>
            <w:gridSpan w:val="2"/>
            <w:vAlign w:val="center"/>
          </w:tcPr>
          <w:p w14:paraId="67C6565B">
            <w:pPr>
              <w:pStyle w:val="337"/>
              <w:adjustRightInd w:val="0"/>
              <w:snapToGrid w:val="0"/>
              <w:rPr>
                <w:color w:val="auto"/>
                <w:lang w:val="en-US" w:eastAsia="zh-CN" w:bidi="en-US"/>
              </w:rPr>
            </w:pPr>
            <w:r>
              <w:rPr>
                <w:rFonts w:hint="eastAsia"/>
                <w:color w:val="auto"/>
                <w:lang w:val="en-US" w:eastAsia="zh-CN" w:bidi="en-US"/>
              </w:rPr>
              <w:t>油气集输工程</w:t>
            </w:r>
          </w:p>
        </w:tc>
        <w:tc>
          <w:tcPr>
            <w:tcW w:w="6311" w:type="dxa"/>
            <w:vAlign w:val="center"/>
          </w:tcPr>
          <w:p w14:paraId="28463C3E">
            <w:pPr>
              <w:pStyle w:val="337"/>
              <w:adjustRightInd w:val="0"/>
              <w:snapToGrid w:val="0"/>
              <w:jc w:val="left"/>
              <w:rPr>
                <w:color w:val="auto"/>
                <w:lang w:val="en-US" w:eastAsia="zh-CN" w:bidi="en-US"/>
              </w:rPr>
            </w:pPr>
            <w:r>
              <w:rPr>
                <w:rFonts w:hint="eastAsia"/>
                <w:color w:val="auto"/>
                <w:lang w:val="en-US" w:eastAsia="zh-CN" w:bidi="en-US"/>
              </w:rPr>
              <w:t>集输管道原油泄漏</w:t>
            </w:r>
          </w:p>
        </w:tc>
      </w:tr>
      <w:tr w14:paraId="2F7175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218" w:type="dxa"/>
            <w:gridSpan w:val="2"/>
            <w:vAlign w:val="center"/>
          </w:tcPr>
          <w:p w14:paraId="13E824AD">
            <w:pPr>
              <w:pStyle w:val="337"/>
              <w:adjustRightInd w:val="0"/>
              <w:snapToGrid w:val="0"/>
              <w:rPr>
                <w:color w:val="auto"/>
                <w:lang w:val="en-US" w:eastAsia="en-US" w:bidi="en-US"/>
              </w:rPr>
            </w:pPr>
            <w:r>
              <w:rPr>
                <w:color w:val="auto"/>
                <w:lang w:val="en-US" w:eastAsia="en-US" w:bidi="en-US"/>
              </w:rPr>
              <w:t>地面工程</w:t>
            </w:r>
          </w:p>
        </w:tc>
        <w:tc>
          <w:tcPr>
            <w:tcW w:w="6311" w:type="dxa"/>
            <w:vAlign w:val="center"/>
          </w:tcPr>
          <w:p w14:paraId="4BDD5F32">
            <w:pPr>
              <w:pStyle w:val="337"/>
              <w:adjustRightInd w:val="0"/>
              <w:snapToGrid w:val="0"/>
              <w:jc w:val="left"/>
              <w:rPr>
                <w:color w:val="auto"/>
                <w:lang w:val="en-US" w:eastAsia="zh-CN" w:bidi="en-US"/>
              </w:rPr>
            </w:pPr>
            <w:r>
              <w:rPr>
                <w:rFonts w:hint="eastAsia" w:ascii="宋体" w:hAnsi="宋体"/>
                <w:color w:val="auto"/>
                <w:lang w:val="en-US" w:eastAsia="zh-CN" w:bidi="en-US"/>
              </w:rPr>
              <w:t>①</w:t>
            </w:r>
            <w:r>
              <w:rPr>
                <w:color w:val="auto"/>
                <w:lang w:val="en-US" w:eastAsia="zh-CN" w:bidi="en-US"/>
              </w:rPr>
              <w:t>分离设备、锅炉、泵房等：由于运行中操作或工艺参数控制不当（如超温、超压、阀门、泵等泄漏）造成油气泄漏，遇明火发生火灾和爆炸。</w:t>
            </w:r>
          </w:p>
          <w:p w14:paraId="0B0A7519">
            <w:pPr>
              <w:pStyle w:val="337"/>
              <w:adjustRightInd w:val="0"/>
              <w:snapToGrid w:val="0"/>
              <w:jc w:val="left"/>
              <w:rPr>
                <w:color w:val="auto"/>
                <w:lang w:val="en-US" w:eastAsia="zh-CN" w:bidi="en-US"/>
              </w:rPr>
            </w:pPr>
            <w:r>
              <w:rPr>
                <w:rFonts w:hint="eastAsia" w:ascii="宋体" w:hAnsi="宋体"/>
                <w:color w:val="auto"/>
                <w:lang w:val="en-US" w:eastAsia="zh-CN" w:bidi="en-US"/>
              </w:rPr>
              <w:t>②</w:t>
            </w:r>
            <w:r>
              <w:rPr>
                <w:color w:val="auto"/>
                <w:lang w:val="en-US" w:eastAsia="zh-CN" w:bidi="en-US"/>
              </w:rPr>
              <w:t>电器设备引起的火灾爆炸。</w:t>
            </w:r>
          </w:p>
          <w:p w14:paraId="7D020B3E">
            <w:pPr>
              <w:pStyle w:val="337"/>
              <w:adjustRightInd w:val="0"/>
              <w:snapToGrid w:val="0"/>
              <w:jc w:val="left"/>
              <w:rPr>
                <w:color w:val="auto"/>
                <w:lang w:val="en-US" w:eastAsia="zh-CN" w:bidi="en-US"/>
              </w:rPr>
            </w:pPr>
            <w:r>
              <w:rPr>
                <w:rFonts w:hint="eastAsia" w:ascii="宋体" w:hAnsi="宋体"/>
                <w:color w:val="auto"/>
                <w:lang w:val="en-US" w:eastAsia="zh-CN" w:bidi="en-US"/>
              </w:rPr>
              <w:t>③</w:t>
            </w:r>
            <w:r>
              <w:rPr>
                <w:color w:val="auto"/>
                <w:lang w:val="en-US" w:eastAsia="zh-CN" w:bidi="en-US"/>
              </w:rPr>
              <w:t>储油罐泄漏遇明火发生火灾和爆炸。</w:t>
            </w:r>
          </w:p>
        </w:tc>
      </w:tr>
      <w:tr w14:paraId="160ACE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218" w:type="dxa"/>
            <w:gridSpan w:val="2"/>
            <w:vAlign w:val="center"/>
          </w:tcPr>
          <w:p w14:paraId="48B48777">
            <w:pPr>
              <w:pStyle w:val="337"/>
              <w:adjustRightInd w:val="0"/>
              <w:snapToGrid w:val="0"/>
              <w:rPr>
                <w:color w:val="auto"/>
                <w:lang w:val="en-US" w:eastAsia="en-US" w:bidi="en-US"/>
              </w:rPr>
            </w:pPr>
            <w:r>
              <w:rPr>
                <w:color w:val="auto"/>
                <w:lang w:val="en-US" w:eastAsia="en-US" w:bidi="en-US"/>
              </w:rPr>
              <w:t>公用工程</w:t>
            </w:r>
          </w:p>
        </w:tc>
        <w:tc>
          <w:tcPr>
            <w:tcW w:w="6311" w:type="dxa"/>
            <w:vAlign w:val="center"/>
          </w:tcPr>
          <w:p w14:paraId="0C0EDF96">
            <w:pPr>
              <w:pStyle w:val="337"/>
              <w:adjustRightInd w:val="0"/>
              <w:snapToGrid w:val="0"/>
              <w:jc w:val="left"/>
              <w:rPr>
                <w:color w:val="auto"/>
                <w:lang w:val="en-US" w:eastAsia="zh-CN" w:bidi="en-US"/>
              </w:rPr>
            </w:pPr>
            <w:r>
              <w:rPr>
                <w:color w:val="auto"/>
                <w:lang w:val="en-US" w:eastAsia="zh-CN" w:bidi="en-US"/>
              </w:rPr>
              <w:t xml:space="preserve">供电设施引起的火灾爆炸   </w:t>
            </w:r>
          </w:p>
        </w:tc>
      </w:tr>
    </w:tbl>
    <w:p w14:paraId="74499D04">
      <w:pPr>
        <w:ind w:firstLine="480"/>
        <w:rPr>
          <w:rFonts w:asciiTheme="minorEastAsia" w:hAnsiTheme="minorEastAsia" w:eastAsiaTheme="minorEastAsia"/>
          <w:lang w:eastAsia="zh-CN"/>
        </w:rPr>
      </w:pPr>
      <w:r>
        <w:rPr>
          <w:rFonts w:asciiTheme="minorEastAsia" w:hAnsiTheme="minorEastAsia" w:eastAsiaTheme="minorEastAsia"/>
          <w:lang w:eastAsia="zh-CN"/>
        </w:rPr>
        <w:t>2、环境风险事故调查</w:t>
      </w:r>
    </w:p>
    <w:p w14:paraId="2BF4DAB0">
      <w:pPr>
        <w:ind w:firstLine="480"/>
        <w:rPr>
          <w:rFonts w:asciiTheme="minorEastAsia" w:hAnsiTheme="minorEastAsia" w:eastAsiaTheme="minorEastAsia"/>
          <w:lang w:eastAsia="zh-CN"/>
        </w:rPr>
      </w:pPr>
      <w:r>
        <w:rPr>
          <w:rFonts w:asciiTheme="minorEastAsia" w:hAnsiTheme="minorEastAsia" w:eastAsiaTheme="minorEastAsia"/>
          <w:lang w:eastAsia="zh-CN"/>
        </w:rPr>
        <w:t>油田总体开发主体工程为钻井、油品集输、集输站场，因此主要针对以上三个方面进行同类事故调查分析。</w:t>
      </w:r>
    </w:p>
    <w:p w14:paraId="24713E1B">
      <w:pPr>
        <w:ind w:firstLine="480"/>
        <w:outlineLvl w:val="0"/>
        <w:rPr>
          <w:rFonts w:asciiTheme="minorEastAsia" w:hAnsiTheme="minorEastAsia" w:eastAsiaTheme="minorEastAsia"/>
          <w:lang w:eastAsia="zh-CN"/>
        </w:rPr>
      </w:pPr>
      <w:r>
        <w:rPr>
          <w:rFonts w:hint="eastAsia" w:asciiTheme="minorEastAsia" w:hAnsiTheme="minorEastAsia" w:eastAsiaTheme="minorEastAsia"/>
          <w:lang w:eastAsia="zh-CN"/>
        </w:rPr>
        <w:t>（1）</w:t>
      </w:r>
      <w:r>
        <w:rPr>
          <w:rFonts w:asciiTheme="minorEastAsia" w:hAnsiTheme="minorEastAsia" w:eastAsiaTheme="minorEastAsia"/>
          <w:lang w:eastAsia="zh-CN"/>
        </w:rPr>
        <w:t>钻井、井下作业事故风险类比调查</w:t>
      </w:r>
    </w:p>
    <w:p w14:paraId="714CF1A1">
      <w:pPr>
        <w:ind w:firstLine="480"/>
        <w:rPr>
          <w:rFonts w:asciiTheme="minorEastAsia" w:hAnsiTheme="minorEastAsia" w:eastAsiaTheme="minorEastAsia"/>
          <w:lang w:eastAsia="zh-CN"/>
        </w:rPr>
      </w:pPr>
      <w:r>
        <w:rPr>
          <w:rFonts w:asciiTheme="minorEastAsia" w:hAnsiTheme="minorEastAsia" w:eastAsiaTheme="minorEastAsia"/>
          <w:lang w:eastAsia="zh-CN"/>
        </w:rPr>
        <w:t>钻井、射开油气层及井下作业过程中发生的主要风险事故是井喷，井喷失控将导致油气资源的严重损失，极易酿成火灾、爆炸事故，从而造成人员伤亡、设备损坏、油井报废和自然环境的污染。</w:t>
      </w:r>
    </w:p>
    <w:p w14:paraId="675AFB5A">
      <w:pPr>
        <w:ind w:firstLine="480"/>
        <w:rPr>
          <w:rFonts w:asciiTheme="minorEastAsia" w:hAnsiTheme="minorEastAsia" w:eastAsiaTheme="minorEastAsia"/>
          <w:lang w:eastAsia="zh-CN"/>
        </w:rPr>
      </w:pPr>
      <w:r>
        <w:rPr>
          <w:rFonts w:asciiTheme="minorEastAsia" w:hAnsiTheme="minorEastAsia" w:eastAsiaTheme="minorEastAsia"/>
          <w:lang w:eastAsia="zh-CN"/>
        </w:rPr>
        <w:t>据不完全统计，全国各油气田在油气勘探开发建设过程中，累计发生井喷失控230多井次，占完井总数的2.41%，其中井喷失控又着火的井78口，占失控井的34%</w:t>
      </w:r>
      <w:r>
        <w:rPr>
          <w:rFonts w:hint="eastAsia" w:asciiTheme="minorEastAsia" w:hAnsiTheme="minorEastAsia" w:eastAsiaTheme="minorEastAsia"/>
          <w:lang w:eastAsia="zh-CN"/>
        </w:rPr>
        <w:t>，</w:t>
      </w:r>
      <w:r>
        <w:rPr>
          <w:rFonts w:asciiTheme="minorEastAsia" w:hAnsiTheme="minorEastAsia" w:eastAsiaTheme="minorEastAsia"/>
          <w:lang w:eastAsia="zh-CN"/>
        </w:rPr>
        <w:t>从事故原因分析表明，多数井喷的发生是由于操作人员直接原因造成。由于起钻抽吸不浇灌泥浆或灌泥浆不认真，不能发现溢流或处理不当，占井喷井的51%；由于井口未安防喷器或防喷器安装不符合要求，以及泥浆密度过低，占井喷失控的40.5%；其它原因占8.5%。</w:t>
      </w:r>
    </w:p>
    <w:p w14:paraId="265C5649">
      <w:pPr>
        <w:ind w:firstLine="480"/>
        <w:outlineLvl w:val="0"/>
        <w:rPr>
          <w:rFonts w:asciiTheme="minorEastAsia" w:hAnsiTheme="minorEastAsia" w:eastAsiaTheme="minorEastAsia"/>
          <w:lang w:eastAsia="zh-CN"/>
        </w:rPr>
      </w:pPr>
      <w:r>
        <w:rPr>
          <w:rFonts w:hint="eastAsia" w:asciiTheme="minorEastAsia" w:hAnsiTheme="minorEastAsia" w:eastAsiaTheme="minorEastAsia"/>
          <w:lang w:eastAsia="zh-CN"/>
        </w:rPr>
        <w:t>（2）</w:t>
      </w:r>
      <w:r>
        <w:rPr>
          <w:rFonts w:asciiTheme="minorEastAsia" w:hAnsiTheme="minorEastAsia" w:eastAsiaTheme="minorEastAsia"/>
          <w:lang w:eastAsia="zh-CN"/>
        </w:rPr>
        <w:t>管道集输事故风险类比调查</w:t>
      </w:r>
    </w:p>
    <w:p w14:paraId="50EAE51F">
      <w:pPr>
        <w:ind w:firstLine="480"/>
        <w:rPr>
          <w:rFonts w:asciiTheme="minorEastAsia" w:hAnsiTheme="minorEastAsia" w:eastAsiaTheme="minorEastAsia"/>
          <w:lang w:eastAsia="zh-CN"/>
        </w:rPr>
      </w:pPr>
      <w:r>
        <w:rPr>
          <w:rFonts w:asciiTheme="minorEastAsia" w:hAnsiTheme="minorEastAsia" w:eastAsiaTheme="minorEastAsia"/>
          <w:lang w:eastAsia="zh-CN"/>
        </w:rPr>
        <w:t>管道集输作为一种既经济又安全的运输方式，正被越来越多的油气运输所采用，但管道建设运行所带来的环境、安全问题正受到越来越多的关注。</w:t>
      </w:r>
    </w:p>
    <w:p w14:paraId="6D8A1F14">
      <w:pPr>
        <w:ind w:firstLine="480"/>
        <w:rPr>
          <w:rFonts w:asciiTheme="minorEastAsia" w:hAnsiTheme="minorEastAsia" w:eastAsiaTheme="minorEastAsia"/>
          <w:lang w:eastAsia="zh-CN"/>
        </w:rPr>
      </w:pPr>
      <w:r>
        <w:rPr>
          <w:rFonts w:asciiTheme="minorEastAsia" w:hAnsiTheme="minorEastAsia" w:eastAsiaTheme="minorEastAsia"/>
          <w:lang w:eastAsia="zh-CN"/>
        </w:rPr>
        <w:t>我国已建管道在几十年的运行经验中，遇到过各种类型的安全问题及环境问题。这些的问题的出现，既反映了管道设计、施工、运行方面的技术水平，也反映了自然、社会环境条件对管道运行安全的影响。更重要的是，除满足工程技术经济要求外，无论是在输油管道，还是在输气管道上，所具有的突发性泄漏事故的风险，正越来越引起环境保护部门的注意。虽然管道集输油气仍被认为是既安全又可靠的输送方式，且每吨公里的事故率远远低于水运、铁路和公路运输方式，但是，由于管线运行系统受到国内外因素制约，如自然灾害及腐蚀、施工和材料缺陷、操作失误甚至人为破坏，每年各地管道都有事故发生，不仅在经济上造成损失，停输损失，在安全上导致生命伤亡及财产损失，而且往往也带来环境上的灾难。</w:t>
      </w:r>
    </w:p>
    <w:p w14:paraId="2186ADB1">
      <w:pPr>
        <w:ind w:firstLine="480"/>
        <w:rPr>
          <w:rFonts w:asciiTheme="minorEastAsia" w:hAnsiTheme="minorEastAsia" w:eastAsiaTheme="minorEastAsia"/>
          <w:lang w:eastAsia="zh-CN"/>
        </w:rPr>
      </w:pPr>
      <w:r>
        <w:rPr>
          <w:rFonts w:asciiTheme="minorEastAsia" w:hAnsiTheme="minorEastAsia" w:eastAsiaTheme="minorEastAsia"/>
          <w:lang w:eastAsia="zh-CN"/>
        </w:rPr>
        <w:t>根据相关资料中美国管道安全规划管理局发布的总结报告中的统计结果（见表11.1-5），可以看出，管线腐蚀和管材质量在事故原因中也占有最大比例，说明预防腐蚀及正确选材并把好质量关是预防事故发生的重要条件。另外事故原因中人为因素造成的占了绝大部分，人为因素包括人为破坏和违章操作，这说明人为的破坏、偷盗行为和操作人员素质不高、违章操作、麻痹大意也是事故发生的主要原因。其次，从表中资料还可以看出，自然灾害、雷击和静电火花也是造成事故的不可忽视因素，因此，在工程运行过程中预防自然灾害、防雷和防静电也是确保工程安全运行的重要环节。</w:t>
      </w:r>
    </w:p>
    <w:p w14:paraId="2F9BE8A5">
      <w:pPr>
        <w:spacing w:line="240" w:lineRule="auto"/>
        <w:ind w:firstLine="554" w:firstLineChars="230"/>
        <w:rPr>
          <w:b/>
          <w:szCs w:val="24"/>
          <w:lang w:eastAsia="zh-CN"/>
        </w:rPr>
      </w:pPr>
      <w:r>
        <w:rPr>
          <w:b/>
          <w:szCs w:val="24"/>
          <w:lang w:eastAsia="zh-CN"/>
        </w:rPr>
        <w:t xml:space="preserve">表11.1-5  </w:t>
      </w:r>
      <w:r>
        <w:rPr>
          <w:rFonts w:hint="eastAsia"/>
          <w:b/>
          <w:szCs w:val="24"/>
          <w:lang w:eastAsia="zh-CN"/>
        </w:rPr>
        <w:t xml:space="preserve">   </w:t>
      </w:r>
      <w:r>
        <w:rPr>
          <w:b/>
          <w:szCs w:val="24"/>
          <w:lang w:eastAsia="zh-CN"/>
        </w:rPr>
        <w:t>美国管道事故主要原因统计表</w:t>
      </w:r>
    </w:p>
    <w:tbl>
      <w:tblPr>
        <w:tblStyle w:val="7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883"/>
        <w:gridCol w:w="1917"/>
        <w:gridCol w:w="2177"/>
      </w:tblGrid>
      <w:tr w14:paraId="5DB4F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28" w:type="dxa"/>
            <w:gridSpan w:val="2"/>
            <w:tcBorders>
              <w:top w:val="single" w:color="auto" w:sz="12" w:space="0"/>
              <w:left w:val="single" w:color="auto" w:sz="12" w:space="0"/>
              <w:bottom w:val="single" w:color="auto" w:sz="6" w:space="0"/>
              <w:right w:val="single" w:color="auto" w:sz="6" w:space="0"/>
            </w:tcBorders>
            <w:vAlign w:val="center"/>
          </w:tcPr>
          <w:p w14:paraId="3F9E2E03">
            <w:pPr>
              <w:spacing w:line="240" w:lineRule="auto"/>
              <w:ind w:firstLine="420"/>
              <w:jc w:val="center"/>
              <w:rPr>
                <w:sz w:val="21"/>
                <w:szCs w:val="21"/>
              </w:rPr>
            </w:pPr>
            <w:r>
              <w:rPr>
                <w:sz w:val="21"/>
                <w:szCs w:val="21"/>
              </w:rPr>
              <w:t>事故因素</w:t>
            </w:r>
          </w:p>
        </w:tc>
        <w:tc>
          <w:tcPr>
            <w:tcW w:w="1917" w:type="dxa"/>
            <w:tcBorders>
              <w:top w:val="single" w:color="auto" w:sz="12" w:space="0"/>
              <w:left w:val="single" w:color="auto" w:sz="6" w:space="0"/>
              <w:bottom w:val="single" w:color="auto" w:sz="6" w:space="0"/>
              <w:right w:val="single" w:color="auto" w:sz="6" w:space="0"/>
            </w:tcBorders>
            <w:vAlign w:val="center"/>
          </w:tcPr>
          <w:p w14:paraId="7F10FFC5">
            <w:pPr>
              <w:spacing w:line="240" w:lineRule="auto"/>
              <w:ind w:firstLine="420"/>
              <w:jc w:val="center"/>
              <w:rPr>
                <w:sz w:val="21"/>
                <w:szCs w:val="21"/>
              </w:rPr>
            </w:pPr>
            <w:r>
              <w:rPr>
                <w:sz w:val="21"/>
                <w:szCs w:val="21"/>
              </w:rPr>
              <w:t>事故发生次数</w:t>
            </w:r>
          </w:p>
        </w:tc>
        <w:tc>
          <w:tcPr>
            <w:tcW w:w="2177" w:type="dxa"/>
            <w:tcBorders>
              <w:top w:val="single" w:color="auto" w:sz="12" w:space="0"/>
              <w:left w:val="single" w:color="auto" w:sz="6" w:space="0"/>
              <w:bottom w:val="single" w:color="auto" w:sz="6" w:space="0"/>
              <w:right w:val="single" w:color="auto" w:sz="12" w:space="0"/>
            </w:tcBorders>
            <w:vAlign w:val="center"/>
          </w:tcPr>
          <w:p w14:paraId="060C454F">
            <w:pPr>
              <w:spacing w:line="240" w:lineRule="auto"/>
              <w:ind w:firstLine="420"/>
              <w:jc w:val="center"/>
              <w:rPr>
                <w:sz w:val="21"/>
                <w:szCs w:val="21"/>
              </w:rPr>
            </w:pPr>
            <w:r>
              <w:rPr>
                <w:sz w:val="21"/>
                <w:szCs w:val="21"/>
              </w:rPr>
              <w:t>比例%</w:t>
            </w:r>
          </w:p>
        </w:tc>
      </w:tr>
      <w:tr w14:paraId="76272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45" w:type="dxa"/>
            <w:vMerge w:val="restart"/>
            <w:tcBorders>
              <w:top w:val="single" w:color="auto" w:sz="6" w:space="0"/>
              <w:left w:val="single" w:color="auto" w:sz="12" w:space="0"/>
              <w:bottom w:val="single" w:color="auto" w:sz="6" w:space="0"/>
              <w:right w:val="single" w:color="auto" w:sz="6" w:space="0"/>
            </w:tcBorders>
            <w:vAlign w:val="center"/>
          </w:tcPr>
          <w:p w14:paraId="1EAB6976">
            <w:pPr>
              <w:spacing w:line="240" w:lineRule="auto"/>
              <w:ind w:firstLine="420"/>
              <w:jc w:val="center"/>
              <w:rPr>
                <w:sz w:val="21"/>
                <w:szCs w:val="21"/>
                <w:lang w:eastAsia="zh-CN"/>
              </w:rPr>
            </w:pPr>
            <w:r>
              <w:rPr>
                <w:sz w:val="21"/>
                <w:szCs w:val="21"/>
              </w:rPr>
              <w:t>腐蚀</w:t>
            </w:r>
          </w:p>
        </w:tc>
        <w:tc>
          <w:tcPr>
            <w:tcW w:w="2883" w:type="dxa"/>
            <w:tcBorders>
              <w:top w:val="single" w:color="auto" w:sz="6" w:space="0"/>
              <w:left w:val="single" w:color="auto" w:sz="6" w:space="0"/>
              <w:bottom w:val="single" w:color="auto" w:sz="6" w:space="0"/>
              <w:right w:val="single" w:color="auto" w:sz="6" w:space="0"/>
            </w:tcBorders>
            <w:vAlign w:val="center"/>
          </w:tcPr>
          <w:p w14:paraId="53C669BF">
            <w:pPr>
              <w:spacing w:line="240" w:lineRule="auto"/>
              <w:ind w:firstLine="420"/>
              <w:jc w:val="center"/>
              <w:rPr>
                <w:sz w:val="21"/>
                <w:szCs w:val="21"/>
              </w:rPr>
            </w:pPr>
            <w:r>
              <w:rPr>
                <w:sz w:val="21"/>
                <w:szCs w:val="21"/>
              </w:rPr>
              <w:t>外腐蚀</w:t>
            </w:r>
          </w:p>
        </w:tc>
        <w:tc>
          <w:tcPr>
            <w:tcW w:w="1917" w:type="dxa"/>
            <w:tcBorders>
              <w:top w:val="single" w:color="auto" w:sz="6" w:space="0"/>
              <w:left w:val="single" w:color="auto" w:sz="6" w:space="0"/>
              <w:bottom w:val="single" w:color="auto" w:sz="6" w:space="0"/>
              <w:right w:val="single" w:color="auto" w:sz="6" w:space="0"/>
            </w:tcBorders>
            <w:vAlign w:val="center"/>
          </w:tcPr>
          <w:p w14:paraId="3B5F1EA3">
            <w:pPr>
              <w:spacing w:line="240" w:lineRule="auto"/>
              <w:ind w:firstLine="420"/>
              <w:jc w:val="center"/>
              <w:rPr>
                <w:sz w:val="21"/>
                <w:szCs w:val="21"/>
              </w:rPr>
            </w:pPr>
            <w:r>
              <w:rPr>
                <w:sz w:val="21"/>
                <w:szCs w:val="21"/>
              </w:rPr>
              <w:t>919</w:t>
            </w:r>
          </w:p>
        </w:tc>
        <w:tc>
          <w:tcPr>
            <w:tcW w:w="2177" w:type="dxa"/>
            <w:tcBorders>
              <w:top w:val="single" w:color="auto" w:sz="6" w:space="0"/>
              <w:left w:val="single" w:color="auto" w:sz="6" w:space="0"/>
              <w:bottom w:val="single" w:color="auto" w:sz="6" w:space="0"/>
              <w:right w:val="single" w:color="auto" w:sz="12" w:space="0"/>
            </w:tcBorders>
            <w:vAlign w:val="center"/>
          </w:tcPr>
          <w:p w14:paraId="75733D74">
            <w:pPr>
              <w:spacing w:line="240" w:lineRule="auto"/>
              <w:ind w:firstLine="420"/>
              <w:jc w:val="center"/>
              <w:rPr>
                <w:sz w:val="21"/>
                <w:szCs w:val="21"/>
              </w:rPr>
            </w:pPr>
            <w:r>
              <w:rPr>
                <w:sz w:val="21"/>
                <w:szCs w:val="21"/>
              </w:rPr>
              <w:t>32.1</w:t>
            </w:r>
          </w:p>
        </w:tc>
      </w:tr>
      <w:tr w14:paraId="456B6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45" w:type="dxa"/>
            <w:vMerge w:val="continue"/>
            <w:tcBorders>
              <w:top w:val="single" w:color="auto" w:sz="6" w:space="0"/>
              <w:left w:val="single" w:color="auto" w:sz="12" w:space="0"/>
              <w:bottom w:val="single" w:color="auto" w:sz="6" w:space="0"/>
              <w:right w:val="single" w:color="auto" w:sz="6" w:space="0"/>
            </w:tcBorders>
            <w:vAlign w:val="center"/>
          </w:tcPr>
          <w:p w14:paraId="4B0C077D">
            <w:pPr>
              <w:spacing w:line="240" w:lineRule="auto"/>
              <w:ind w:firstLine="420"/>
              <w:jc w:val="center"/>
              <w:rPr>
                <w:sz w:val="21"/>
                <w:szCs w:val="21"/>
              </w:rPr>
            </w:pPr>
          </w:p>
        </w:tc>
        <w:tc>
          <w:tcPr>
            <w:tcW w:w="2883" w:type="dxa"/>
            <w:tcBorders>
              <w:top w:val="single" w:color="auto" w:sz="6" w:space="0"/>
              <w:left w:val="single" w:color="auto" w:sz="6" w:space="0"/>
              <w:bottom w:val="single" w:color="auto" w:sz="6" w:space="0"/>
              <w:right w:val="single" w:color="auto" w:sz="6" w:space="0"/>
            </w:tcBorders>
            <w:vAlign w:val="center"/>
          </w:tcPr>
          <w:p w14:paraId="36A1FAC5">
            <w:pPr>
              <w:spacing w:line="240" w:lineRule="auto"/>
              <w:ind w:firstLine="420"/>
              <w:jc w:val="center"/>
              <w:rPr>
                <w:sz w:val="21"/>
                <w:szCs w:val="21"/>
              </w:rPr>
            </w:pPr>
            <w:r>
              <w:rPr>
                <w:sz w:val="21"/>
                <w:szCs w:val="21"/>
              </w:rPr>
              <w:t>内腐蚀</w:t>
            </w:r>
          </w:p>
        </w:tc>
        <w:tc>
          <w:tcPr>
            <w:tcW w:w="1917" w:type="dxa"/>
            <w:tcBorders>
              <w:top w:val="single" w:color="auto" w:sz="6" w:space="0"/>
              <w:left w:val="single" w:color="auto" w:sz="6" w:space="0"/>
              <w:bottom w:val="single" w:color="auto" w:sz="6" w:space="0"/>
              <w:right w:val="single" w:color="auto" w:sz="6" w:space="0"/>
            </w:tcBorders>
            <w:vAlign w:val="center"/>
          </w:tcPr>
          <w:p w14:paraId="6533CD3C">
            <w:pPr>
              <w:spacing w:line="240" w:lineRule="auto"/>
              <w:ind w:firstLine="420"/>
              <w:jc w:val="center"/>
              <w:rPr>
                <w:sz w:val="21"/>
                <w:szCs w:val="21"/>
              </w:rPr>
            </w:pPr>
            <w:r>
              <w:rPr>
                <w:sz w:val="21"/>
                <w:szCs w:val="21"/>
              </w:rPr>
              <w:t>165</w:t>
            </w:r>
          </w:p>
        </w:tc>
        <w:tc>
          <w:tcPr>
            <w:tcW w:w="2177" w:type="dxa"/>
            <w:tcBorders>
              <w:top w:val="single" w:color="auto" w:sz="6" w:space="0"/>
              <w:left w:val="single" w:color="auto" w:sz="6" w:space="0"/>
              <w:bottom w:val="single" w:color="auto" w:sz="6" w:space="0"/>
              <w:right w:val="single" w:color="auto" w:sz="12" w:space="0"/>
            </w:tcBorders>
            <w:vAlign w:val="center"/>
          </w:tcPr>
          <w:p w14:paraId="5B49215B">
            <w:pPr>
              <w:spacing w:line="240" w:lineRule="auto"/>
              <w:ind w:firstLine="420"/>
              <w:jc w:val="center"/>
              <w:rPr>
                <w:sz w:val="21"/>
                <w:szCs w:val="21"/>
              </w:rPr>
            </w:pPr>
            <w:r>
              <w:rPr>
                <w:sz w:val="21"/>
                <w:szCs w:val="21"/>
              </w:rPr>
              <w:t>5.7</w:t>
            </w:r>
          </w:p>
        </w:tc>
      </w:tr>
      <w:tr w14:paraId="3115E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45" w:type="dxa"/>
            <w:vMerge w:val="restart"/>
            <w:tcBorders>
              <w:top w:val="single" w:color="auto" w:sz="6" w:space="0"/>
              <w:left w:val="single" w:color="auto" w:sz="12" w:space="0"/>
              <w:bottom w:val="single" w:color="auto" w:sz="6" w:space="0"/>
              <w:right w:val="single" w:color="auto" w:sz="6" w:space="0"/>
            </w:tcBorders>
            <w:vAlign w:val="center"/>
          </w:tcPr>
          <w:p w14:paraId="6A352BD4">
            <w:pPr>
              <w:spacing w:line="240" w:lineRule="auto"/>
              <w:ind w:firstLine="420"/>
              <w:jc w:val="center"/>
              <w:rPr>
                <w:sz w:val="21"/>
                <w:szCs w:val="21"/>
              </w:rPr>
            </w:pPr>
            <w:r>
              <w:rPr>
                <w:sz w:val="21"/>
                <w:szCs w:val="21"/>
              </w:rPr>
              <w:t>人为因素</w:t>
            </w:r>
          </w:p>
        </w:tc>
        <w:tc>
          <w:tcPr>
            <w:tcW w:w="2883" w:type="dxa"/>
            <w:tcBorders>
              <w:top w:val="single" w:color="auto" w:sz="6" w:space="0"/>
              <w:left w:val="single" w:color="auto" w:sz="6" w:space="0"/>
              <w:bottom w:val="single" w:color="auto" w:sz="6" w:space="0"/>
              <w:right w:val="single" w:color="auto" w:sz="6" w:space="0"/>
            </w:tcBorders>
            <w:vAlign w:val="center"/>
          </w:tcPr>
          <w:p w14:paraId="5C844DAE">
            <w:pPr>
              <w:spacing w:line="240" w:lineRule="auto"/>
              <w:ind w:firstLine="420"/>
              <w:jc w:val="center"/>
              <w:rPr>
                <w:sz w:val="21"/>
                <w:szCs w:val="21"/>
              </w:rPr>
            </w:pPr>
            <w:r>
              <w:rPr>
                <w:sz w:val="21"/>
                <w:szCs w:val="21"/>
              </w:rPr>
              <w:t>第三者破坏</w:t>
            </w:r>
          </w:p>
        </w:tc>
        <w:tc>
          <w:tcPr>
            <w:tcW w:w="1917" w:type="dxa"/>
            <w:tcBorders>
              <w:top w:val="single" w:color="auto" w:sz="6" w:space="0"/>
              <w:left w:val="single" w:color="auto" w:sz="6" w:space="0"/>
              <w:bottom w:val="single" w:color="auto" w:sz="6" w:space="0"/>
              <w:right w:val="single" w:color="auto" w:sz="6" w:space="0"/>
            </w:tcBorders>
            <w:vAlign w:val="center"/>
          </w:tcPr>
          <w:p w14:paraId="545B0460">
            <w:pPr>
              <w:spacing w:line="240" w:lineRule="auto"/>
              <w:ind w:firstLine="420"/>
              <w:jc w:val="center"/>
              <w:rPr>
                <w:sz w:val="21"/>
                <w:szCs w:val="21"/>
              </w:rPr>
            </w:pPr>
            <w:r>
              <w:rPr>
                <w:sz w:val="21"/>
                <w:szCs w:val="21"/>
              </w:rPr>
              <w:t>700</w:t>
            </w:r>
          </w:p>
        </w:tc>
        <w:tc>
          <w:tcPr>
            <w:tcW w:w="2177" w:type="dxa"/>
            <w:tcBorders>
              <w:top w:val="single" w:color="auto" w:sz="6" w:space="0"/>
              <w:left w:val="single" w:color="auto" w:sz="6" w:space="0"/>
              <w:bottom w:val="single" w:color="auto" w:sz="6" w:space="0"/>
              <w:right w:val="single" w:color="auto" w:sz="12" w:space="0"/>
            </w:tcBorders>
            <w:vAlign w:val="center"/>
          </w:tcPr>
          <w:p w14:paraId="613A7326">
            <w:pPr>
              <w:spacing w:line="240" w:lineRule="auto"/>
              <w:ind w:firstLine="420"/>
              <w:jc w:val="center"/>
              <w:rPr>
                <w:sz w:val="21"/>
                <w:szCs w:val="21"/>
              </w:rPr>
            </w:pPr>
            <w:r>
              <w:rPr>
                <w:sz w:val="21"/>
                <w:szCs w:val="21"/>
              </w:rPr>
              <w:t>24.4</w:t>
            </w:r>
          </w:p>
        </w:tc>
      </w:tr>
      <w:tr w14:paraId="33658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45" w:type="dxa"/>
            <w:vMerge w:val="continue"/>
            <w:tcBorders>
              <w:top w:val="single" w:color="auto" w:sz="6" w:space="0"/>
              <w:left w:val="single" w:color="auto" w:sz="12" w:space="0"/>
              <w:bottom w:val="single" w:color="auto" w:sz="6" w:space="0"/>
              <w:right w:val="single" w:color="auto" w:sz="6" w:space="0"/>
            </w:tcBorders>
            <w:vAlign w:val="center"/>
          </w:tcPr>
          <w:p w14:paraId="4CCCB0DD">
            <w:pPr>
              <w:spacing w:line="240" w:lineRule="auto"/>
              <w:ind w:firstLine="420"/>
              <w:jc w:val="center"/>
              <w:rPr>
                <w:sz w:val="21"/>
                <w:szCs w:val="21"/>
              </w:rPr>
            </w:pPr>
          </w:p>
        </w:tc>
        <w:tc>
          <w:tcPr>
            <w:tcW w:w="2883" w:type="dxa"/>
            <w:tcBorders>
              <w:top w:val="single" w:color="auto" w:sz="6" w:space="0"/>
              <w:left w:val="single" w:color="auto" w:sz="6" w:space="0"/>
              <w:bottom w:val="single" w:color="auto" w:sz="6" w:space="0"/>
              <w:right w:val="single" w:color="auto" w:sz="6" w:space="0"/>
            </w:tcBorders>
            <w:vAlign w:val="center"/>
          </w:tcPr>
          <w:p w14:paraId="73111CE0">
            <w:pPr>
              <w:spacing w:line="240" w:lineRule="auto"/>
              <w:ind w:firstLine="420"/>
              <w:jc w:val="center"/>
              <w:rPr>
                <w:sz w:val="21"/>
                <w:szCs w:val="21"/>
              </w:rPr>
            </w:pPr>
            <w:r>
              <w:rPr>
                <w:sz w:val="21"/>
                <w:szCs w:val="21"/>
              </w:rPr>
              <w:t>操作失误</w:t>
            </w:r>
          </w:p>
        </w:tc>
        <w:tc>
          <w:tcPr>
            <w:tcW w:w="1917" w:type="dxa"/>
            <w:tcBorders>
              <w:top w:val="single" w:color="auto" w:sz="6" w:space="0"/>
              <w:left w:val="single" w:color="auto" w:sz="6" w:space="0"/>
              <w:bottom w:val="single" w:color="auto" w:sz="6" w:space="0"/>
              <w:right w:val="single" w:color="auto" w:sz="6" w:space="0"/>
            </w:tcBorders>
            <w:vAlign w:val="center"/>
          </w:tcPr>
          <w:p w14:paraId="0EE0FF20">
            <w:pPr>
              <w:spacing w:line="240" w:lineRule="auto"/>
              <w:ind w:firstLine="420"/>
              <w:jc w:val="center"/>
              <w:rPr>
                <w:sz w:val="21"/>
                <w:szCs w:val="21"/>
              </w:rPr>
            </w:pPr>
            <w:r>
              <w:rPr>
                <w:sz w:val="21"/>
                <w:szCs w:val="21"/>
              </w:rPr>
              <w:t>265</w:t>
            </w:r>
          </w:p>
        </w:tc>
        <w:tc>
          <w:tcPr>
            <w:tcW w:w="2177" w:type="dxa"/>
            <w:tcBorders>
              <w:top w:val="single" w:color="auto" w:sz="6" w:space="0"/>
              <w:left w:val="single" w:color="auto" w:sz="6" w:space="0"/>
              <w:bottom w:val="single" w:color="auto" w:sz="6" w:space="0"/>
              <w:right w:val="single" w:color="auto" w:sz="12" w:space="0"/>
            </w:tcBorders>
            <w:vAlign w:val="center"/>
          </w:tcPr>
          <w:p w14:paraId="1EFE1DC1">
            <w:pPr>
              <w:spacing w:line="240" w:lineRule="auto"/>
              <w:ind w:firstLine="420"/>
              <w:jc w:val="center"/>
              <w:rPr>
                <w:sz w:val="21"/>
                <w:szCs w:val="21"/>
              </w:rPr>
            </w:pPr>
            <w:r>
              <w:rPr>
                <w:sz w:val="21"/>
                <w:szCs w:val="21"/>
              </w:rPr>
              <w:t>7.2</w:t>
            </w:r>
          </w:p>
        </w:tc>
      </w:tr>
      <w:tr w14:paraId="7E038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28" w:type="dxa"/>
            <w:gridSpan w:val="2"/>
            <w:tcBorders>
              <w:top w:val="single" w:color="auto" w:sz="6" w:space="0"/>
              <w:left w:val="single" w:color="auto" w:sz="12" w:space="0"/>
              <w:bottom w:val="single" w:color="auto" w:sz="6" w:space="0"/>
              <w:right w:val="single" w:color="auto" w:sz="6" w:space="0"/>
            </w:tcBorders>
            <w:vAlign w:val="center"/>
          </w:tcPr>
          <w:p w14:paraId="31AFDA4D">
            <w:pPr>
              <w:spacing w:line="240" w:lineRule="auto"/>
              <w:ind w:firstLine="420"/>
              <w:jc w:val="center"/>
              <w:rPr>
                <w:sz w:val="21"/>
                <w:szCs w:val="21"/>
              </w:rPr>
            </w:pPr>
            <w:r>
              <w:rPr>
                <w:sz w:val="21"/>
                <w:szCs w:val="21"/>
              </w:rPr>
              <w:t>机械失效</w:t>
            </w:r>
          </w:p>
        </w:tc>
        <w:tc>
          <w:tcPr>
            <w:tcW w:w="1917" w:type="dxa"/>
            <w:tcBorders>
              <w:top w:val="single" w:color="auto" w:sz="6" w:space="0"/>
              <w:left w:val="single" w:color="auto" w:sz="6" w:space="0"/>
              <w:bottom w:val="single" w:color="auto" w:sz="6" w:space="0"/>
              <w:right w:val="single" w:color="auto" w:sz="6" w:space="0"/>
            </w:tcBorders>
            <w:vAlign w:val="center"/>
          </w:tcPr>
          <w:p w14:paraId="6B66B8F9">
            <w:pPr>
              <w:spacing w:line="240" w:lineRule="auto"/>
              <w:ind w:firstLine="420"/>
              <w:jc w:val="center"/>
              <w:rPr>
                <w:sz w:val="21"/>
                <w:szCs w:val="21"/>
              </w:rPr>
            </w:pPr>
            <w:r>
              <w:rPr>
                <w:sz w:val="21"/>
                <w:szCs w:val="21"/>
              </w:rPr>
              <w:t>583</w:t>
            </w:r>
          </w:p>
        </w:tc>
        <w:tc>
          <w:tcPr>
            <w:tcW w:w="2177" w:type="dxa"/>
            <w:tcBorders>
              <w:top w:val="single" w:color="auto" w:sz="6" w:space="0"/>
              <w:left w:val="single" w:color="auto" w:sz="6" w:space="0"/>
              <w:bottom w:val="single" w:color="auto" w:sz="6" w:space="0"/>
              <w:right w:val="single" w:color="auto" w:sz="12" w:space="0"/>
            </w:tcBorders>
            <w:vAlign w:val="center"/>
          </w:tcPr>
          <w:p w14:paraId="4DC99A32">
            <w:pPr>
              <w:spacing w:line="240" w:lineRule="auto"/>
              <w:ind w:firstLine="420"/>
              <w:jc w:val="center"/>
              <w:rPr>
                <w:sz w:val="21"/>
                <w:szCs w:val="21"/>
              </w:rPr>
            </w:pPr>
            <w:r>
              <w:rPr>
                <w:sz w:val="21"/>
                <w:szCs w:val="21"/>
              </w:rPr>
              <w:t>20.7</w:t>
            </w:r>
          </w:p>
        </w:tc>
      </w:tr>
      <w:tr w14:paraId="144F6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28" w:type="dxa"/>
            <w:gridSpan w:val="2"/>
            <w:tcBorders>
              <w:top w:val="single" w:color="auto" w:sz="6" w:space="0"/>
              <w:left w:val="single" w:color="auto" w:sz="12" w:space="0"/>
              <w:bottom w:val="single" w:color="auto" w:sz="6" w:space="0"/>
              <w:right w:val="single" w:color="auto" w:sz="6" w:space="0"/>
            </w:tcBorders>
            <w:vAlign w:val="center"/>
          </w:tcPr>
          <w:p w14:paraId="74C2E31C">
            <w:pPr>
              <w:spacing w:line="240" w:lineRule="auto"/>
              <w:ind w:firstLine="420"/>
              <w:jc w:val="center"/>
              <w:rPr>
                <w:sz w:val="21"/>
                <w:szCs w:val="21"/>
              </w:rPr>
            </w:pPr>
            <w:r>
              <w:rPr>
                <w:sz w:val="21"/>
                <w:szCs w:val="21"/>
              </w:rPr>
              <w:t>焊缝缺陷</w:t>
            </w:r>
          </w:p>
        </w:tc>
        <w:tc>
          <w:tcPr>
            <w:tcW w:w="1917" w:type="dxa"/>
            <w:tcBorders>
              <w:top w:val="single" w:color="auto" w:sz="6" w:space="0"/>
              <w:left w:val="single" w:color="auto" w:sz="6" w:space="0"/>
              <w:bottom w:val="single" w:color="auto" w:sz="6" w:space="0"/>
              <w:right w:val="single" w:color="auto" w:sz="6" w:space="0"/>
            </w:tcBorders>
            <w:vAlign w:val="center"/>
          </w:tcPr>
          <w:p w14:paraId="0FA6CCD1">
            <w:pPr>
              <w:spacing w:line="240" w:lineRule="auto"/>
              <w:ind w:firstLine="420"/>
              <w:jc w:val="center"/>
              <w:rPr>
                <w:sz w:val="21"/>
                <w:szCs w:val="21"/>
              </w:rPr>
            </w:pPr>
            <w:r>
              <w:rPr>
                <w:sz w:val="21"/>
                <w:szCs w:val="21"/>
              </w:rPr>
              <w:t>224</w:t>
            </w:r>
          </w:p>
        </w:tc>
        <w:tc>
          <w:tcPr>
            <w:tcW w:w="2177" w:type="dxa"/>
            <w:tcBorders>
              <w:top w:val="single" w:color="auto" w:sz="6" w:space="0"/>
              <w:left w:val="single" w:color="auto" w:sz="6" w:space="0"/>
              <w:bottom w:val="single" w:color="auto" w:sz="6" w:space="0"/>
              <w:right w:val="single" w:color="auto" w:sz="12" w:space="0"/>
            </w:tcBorders>
            <w:vAlign w:val="center"/>
          </w:tcPr>
          <w:p w14:paraId="3425AA60">
            <w:pPr>
              <w:spacing w:line="240" w:lineRule="auto"/>
              <w:ind w:firstLine="420"/>
              <w:jc w:val="center"/>
              <w:rPr>
                <w:sz w:val="21"/>
                <w:szCs w:val="21"/>
              </w:rPr>
            </w:pPr>
            <w:r>
              <w:rPr>
                <w:sz w:val="21"/>
                <w:szCs w:val="21"/>
              </w:rPr>
              <w:t>3.8</w:t>
            </w:r>
          </w:p>
        </w:tc>
      </w:tr>
      <w:tr w14:paraId="4F153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28" w:type="dxa"/>
            <w:gridSpan w:val="2"/>
            <w:tcBorders>
              <w:top w:val="single" w:color="auto" w:sz="6" w:space="0"/>
              <w:left w:val="single" w:color="auto" w:sz="12" w:space="0"/>
              <w:bottom w:val="single" w:color="auto" w:sz="6" w:space="0"/>
              <w:right w:val="single" w:color="auto" w:sz="6" w:space="0"/>
            </w:tcBorders>
            <w:vAlign w:val="center"/>
          </w:tcPr>
          <w:p w14:paraId="2084B021">
            <w:pPr>
              <w:spacing w:line="240" w:lineRule="auto"/>
              <w:ind w:firstLine="420"/>
              <w:jc w:val="center"/>
              <w:rPr>
                <w:sz w:val="21"/>
                <w:szCs w:val="21"/>
              </w:rPr>
            </w:pPr>
            <w:r>
              <w:rPr>
                <w:sz w:val="21"/>
                <w:szCs w:val="21"/>
              </w:rPr>
              <w:t>自然灾害</w:t>
            </w:r>
          </w:p>
        </w:tc>
        <w:tc>
          <w:tcPr>
            <w:tcW w:w="1917" w:type="dxa"/>
            <w:tcBorders>
              <w:top w:val="single" w:color="auto" w:sz="6" w:space="0"/>
              <w:left w:val="single" w:color="auto" w:sz="6" w:space="0"/>
              <w:bottom w:val="single" w:color="auto" w:sz="6" w:space="0"/>
              <w:right w:val="single" w:color="auto" w:sz="6" w:space="0"/>
            </w:tcBorders>
            <w:vAlign w:val="center"/>
          </w:tcPr>
          <w:p w14:paraId="6FA2D3DA">
            <w:pPr>
              <w:spacing w:line="240" w:lineRule="auto"/>
              <w:ind w:firstLine="420"/>
              <w:jc w:val="center"/>
              <w:rPr>
                <w:sz w:val="21"/>
                <w:szCs w:val="21"/>
              </w:rPr>
            </w:pPr>
            <w:r>
              <w:rPr>
                <w:sz w:val="21"/>
                <w:szCs w:val="21"/>
              </w:rPr>
              <w:t>65</w:t>
            </w:r>
          </w:p>
        </w:tc>
        <w:tc>
          <w:tcPr>
            <w:tcW w:w="2177" w:type="dxa"/>
            <w:tcBorders>
              <w:top w:val="single" w:color="auto" w:sz="6" w:space="0"/>
              <w:left w:val="single" w:color="auto" w:sz="6" w:space="0"/>
              <w:bottom w:val="single" w:color="auto" w:sz="6" w:space="0"/>
              <w:right w:val="single" w:color="auto" w:sz="12" w:space="0"/>
            </w:tcBorders>
            <w:vAlign w:val="center"/>
          </w:tcPr>
          <w:p w14:paraId="03A2ADC2">
            <w:pPr>
              <w:spacing w:line="240" w:lineRule="auto"/>
              <w:ind w:firstLine="420"/>
              <w:jc w:val="center"/>
              <w:rPr>
                <w:sz w:val="21"/>
                <w:szCs w:val="21"/>
              </w:rPr>
            </w:pPr>
            <w:r>
              <w:rPr>
                <w:sz w:val="21"/>
                <w:szCs w:val="21"/>
              </w:rPr>
              <w:t>2.3</w:t>
            </w:r>
          </w:p>
        </w:tc>
      </w:tr>
      <w:tr w14:paraId="6753C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28" w:type="dxa"/>
            <w:gridSpan w:val="2"/>
            <w:tcBorders>
              <w:top w:val="single" w:color="auto" w:sz="6" w:space="0"/>
              <w:left w:val="single" w:color="auto" w:sz="12" w:space="0"/>
              <w:bottom w:val="single" w:color="auto" w:sz="6" w:space="0"/>
              <w:right w:val="single" w:color="auto" w:sz="6" w:space="0"/>
            </w:tcBorders>
            <w:vAlign w:val="center"/>
          </w:tcPr>
          <w:p w14:paraId="422A6687">
            <w:pPr>
              <w:spacing w:line="240" w:lineRule="auto"/>
              <w:ind w:firstLine="420"/>
              <w:jc w:val="center"/>
              <w:rPr>
                <w:sz w:val="21"/>
                <w:szCs w:val="21"/>
              </w:rPr>
            </w:pPr>
            <w:r>
              <w:rPr>
                <w:sz w:val="21"/>
                <w:szCs w:val="21"/>
              </w:rPr>
              <w:t>其他因素</w:t>
            </w:r>
          </w:p>
        </w:tc>
        <w:tc>
          <w:tcPr>
            <w:tcW w:w="1917" w:type="dxa"/>
            <w:tcBorders>
              <w:top w:val="single" w:color="auto" w:sz="6" w:space="0"/>
              <w:left w:val="single" w:color="auto" w:sz="6" w:space="0"/>
              <w:bottom w:val="single" w:color="auto" w:sz="6" w:space="0"/>
              <w:right w:val="single" w:color="auto" w:sz="6" w:space="0"/>
            </w:tcBorders>
            <w:vAlign w:val="center"/>
          </w:tcPr>
          <w:p w14:paraId="7B814D21">
            <w:pPr>
              <w:spacing w:line="240" w:lineRule="auto"/>
              <w:ind w:firstLine="420"/>
              <w:jc w:val="center"/>
              <w:rPr>
                <w:sz w:val="21"/>
                <w:szCs w:val="21"/>
              </w:rPr>
            </w:pPr>
            <w:r>
              <w:rPr>
                <w:sz w:val="21"/>
                <w:szCs w:val="21"/>
              </w:rPr>
              <w:t>224</w:t>
            </w:r>
          </w:p>
        </w:tc>
        <w:tc>
          <w:tcPr>
            <w:tcW w:w="2177" w:type="dxa"/>
            <w:tcBorders>
              <w:top w:val="single" w:color="auto" w:sz="6" w:space="0"/>
              <w:left w:val="single" w:color="auto" w:sz="6" w:space="0"/>
              <w:bottom w:val="single" w:color="auto" w:sz="6" w:space="0"/>
              <w:right w:val="single" w:color="auto" w:sz="12" w:space="0"/>
            </w:tcBorders>
            <w:vAlign w:val="center"/>
          </w:tcPr>
          <w:p w14:paraId="4CFC4558">
            <w:pPr>
              <w:spacing w:line="240" w:lineRule="auto"/>
              <w:ind w:firstLine="420"/>
              <w:jc w:val="center"/>
              <w:rPr>
                <w:sz w:val="21"/>
                <w:szCs w:val="21"/>
              </w:rPr>
            </w:pPr>
            <w:r>
              <w:rPr>
                <w:sz w:val="21"/>
                <w:szCs w:val="21"/>
              </w:rPr>
              <w:t>3.8</w:t>
            </w:r>
          </w:p>
        </w:tc>
      </w:tr>
      <w:tr w14:paraId="14353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28" w:type="dxa"/>
            <w:gridSpan w:val="2"/>
            <w:tcBorders>
              <w:top w:val="single" w:color="auto" w:sz="6" w:space="0"/>
              <w:left w:val="single" w:color="auto" w:sz="12" w:space="0"/>
              <w:bottom w:val="single" w:color="auto" w:sz="12" w:space="0"/>
              <w:right w:val="single" w:color="auto" w:sz="6" w:space="0"/>
            </w:tcBorders>
            <w:vAlign w:val="center"/>
          </w:tcPr>
          <w:p w14:paraId="24FE6B7E">
            <w:pPr>
              <w:spacing w:line="240" w:lineRule="auto"/>
              <w:ind w:firstLine="420"/>
              <w:jc w:val="center"/>
              <w:rPr>
                <w:sz w:val="21"/>
                <w:szCs w:val="21"/>
              </w:rPr>
            </w:pPr>
            <w:r>
              <w:rPr>
                <w:sz w:val="21"/>
                <w:szCs w:val="21"/>
              </w:rPr>
              <w:t>总计</w:t>
            </w:r>
          </w:p>
        </w:tc>
        <w:tc>
          <w:tcPr>
            <w:tcW w:w="1917" w:type="dxa"/>
            <w:tcBorders>
              <w:top w:val="single" w:color="auto" w:sz="6" w:space="0"/>
              <w:left w:val="single" w:color="auto" w:sz="6" w:space="0"/>
              <w:bottom w:val="single" w:color="auto" w:sz="12" w:space="0"/>
              <w:right w:val="single" w:color="auto" w:sz="6" w:space="0"/>
            </w:tcBorders>
            <w:vAlign w:val="center"/>
          </w:tcPr>
          <w:p w14:paraId="44C92154">
            <w:pPr>
              <w:spacing w:line="240" w:lineRule="auto"/>
              <w:ind w:firstLine="420"/>
              <w:jc w:val="center"/>
              <w:rPr>
                <w:sz w:val="21"/>
                <w:szCs w:val="21"/>
              </w:rPr>
            </w:pPr>
            <w:r>
              <w:rPr>
                <w:sz w:val="21"/>
                <w:szCs w:val="21"/>
              </w:rPr>
              <w:t>2861</w:t>
            </w:r>
          </w:p>
        </w:tc>
        <w:tc>
          <w:tcPr>
            <w:tcW w:w="2177" w:type="dxa"/>
            <w:tcBorders>
              <w:top w:val="single" w:color="auto" w:sz="6" w:space="0"/>
              <w:left w:val="single" w:color="auto" w:sz="6" w:space="0"/>
              <w:bottom w:val="single" w:color="auto" w:sz="12" w:space="0"/>
              <w:right w:val="single" w:color="auto" w:sz="12" w:space="0"/>
            </w:tcBorders>
            <w:vAlign w:val="center"/>
          </w:tcPr>
          <w:p w14:paraId="0E81A64D">
            <w:pPr>
              <w:spacing w:line="240" w:lineRule="auto"/>
              <w:ind w:firstLine="420"/>
              <w:jc w:val="center"/>
              <w:rPr>
                <w:sz w:val="21"/>
                <w:szCs w:val="21"/>
              </w:rPr>
            </w:pPr>
            <w:r>
              <w:rPr>
                <w:sz w:val="21"/>
                <w:szCs w:val="21"/>
              </w:rPr>
              <w:t>100</w:t>
            </w:r>
          </w:p>
        </w:tc>
      </w:tr>
    </w:tbl>
    <w:p w14:paraId="6FA37640">
      <w:pPr>
        <w:ind w:firstLine="480"/>
        <w:rPr>
          <w:rFonts w:asciiTheme="minorEastAsia" w:hAnsiTheme="minorEastAsia" w:eastAsiaTheme="minorEastAsia"/>
          <w:lang w:eastAsia="zh-CN"/>
        </w:rPr>
      </w:pPr>
      <w:r>
        <w:rPr>
          <w:rFonts w:asciiTheme="minorEastAsia" w:hAnsiTheme="minorEastAsia" w:eastAsiaTheme="minorEastAsia"/>
          <w:lang w:eastAsia="zh-CN"/>
        </w:rPr>
        <w:t>此外，从以往国内油气管道事故的统计资料中还可以发现，国内油气管道事故的发生与油气管道的运行年限有密切关系。从总体情况看，1985年以前由于管材缺陷、施工质量和错误操作造成的泄漏事故所占比例较大，随着管理水平和自动化程度的提高，操作人员素质的加强及各项操作、施工规程的建立，这一类的事故的发生率有较大程度的减小，但随着管道的逐年老化，腐蚀造成的管线泄漏事故有所增加。1993年以后，随着老管线的停用和管道阴极保护措施的加强，管道腐蚀漏油次数下降，但沿线不法分子在管道上打孔盗油造成的漏油、爆管事故有所上升。</w:t>
      </w:r>
    </w:p>
    <w:p w14:paraId="00F41151">
      <w:pPr>
        <w:ind w:firstLine="480"/>
        <w:rPr>
          <w:rFonts w:asciiTheme="minorEastAsia" w:hAnsiTheme="minorEastAsia" w:eastAsiaTheme="minorEastAsia"/>
          <w:lang w:eastAsia="zh-CN"/>
        </w:rPr>
      </w:pPr>
      <w:r>
        <w:rPr>
          <w:rFonts w:asciiTheme="minorEastAsia" w:hAnsiTheme="minorEastAsia" w:eastAsiaTheme="minorEastAsia"/>
          <w:lang w:eastAsia="zh-CN"/>
        </w:rPr>
        <w:t>根据有关资料对1997</w:t>
      </w:r>
      <w:r>
        <w:rPr>
          <w:rFonts w:hint="eastAsia" w:asciiTheme="minorEastAsia" w:hAnsiTheme="minorEastAsia" w:eastAsiaTheme="minorEastAsia"/>
          <w:lang w:eastAsia="zh-CN"/>
        </w:rPr>
        <w:t>～</w:t>
      </w:r>
      <w:r>
        <w:rPr>
          <w:rFonts w:asciiTheme="minorEastAsia" w:hAnsiTheme="minorEastAsia" w:eastAsiaTheme="minorEastAsia"/>
          <w:lang w:eastAsia="zh-CN"/>
        </w:rPr>
        <w:t>2000年新闻报道中国内外所发生的11例油品泄漏和爆炸事故的结果统计结果见表11.1-6。</w:t>
      </w:r>
    </w:p>
    <w:p w14:paraId="7E161BD9">
      <w:pPr>
        <w:spacing w:line="240" w:lineRule="auto"/>
        <w:ind w:firstLine="316" w:firstLineChars="131"/>
        <w:rPr>
          <w:b/>
          <w:szCs w:val="24"/>
          <w:lang w:eastAsia="zh-CN"/>
        </w:rPr>
      </w:pPr>
      <w:r>
        <w:rPr>
          <w:b/>
          <w:szCs w:val="24"/>
          <w:lang w:eastAsia="zh-CN"/>
        </w:rPr>
        <w:t xml:space="preserve">表11.1-6 </w:t>
      </w:r>
      <w:r>
        <w:rPr>
          <w:rFonts w:hint="eastAsia"/>
          <w:b/>
          <w:szCs w:val="24"/>
          <w:lang w:eastAsia="zh-CN"/>
        </w:rPr>
        <w:t xml:space="preserve">  </w:t>
      </w:r>
      <w:r>
        <w:rPr>
          <w:b/>
          <w:szCs w:val="24"/>
          <w:lang w:eastAsia="zh-CN"/>
        </w:rPr>
        <w:t xml:space="preserve"> 1997~2000年国内外典型事故统计表</w:t>
      </w:r>
    </w:p>
    <w:tbl>
      <w:tblPr>
        <w:tblStyle w:val="7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48"/>
        <w:gridCol w:w="1440"/>
        <w:gridCol w:w="4680"/>
        <w:gridCol w:w="854"/>
      </w:tblGrid>
      <w:tr w14:paraId="76CE5A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48" w:type="dxa"/>
          </w:tcPr>
          <w:p w14:paraId="5E452490">
            <w:pPr>
              <w:spacing w:line="240" w:lineRule="auto"/>
              <w:ind w:firstLine="0" w:firstLineChars="0"/>
              <w:jc w:val="center"/>
              <w:rPr>
                <w:sz w:val="21"/>
                <w:szCs w:val="21"/>
              </w:rPr>
            </w:pPr>
            <w:r>
              <w:rPr>
                <w:sz w:val="21"/>
                <w:szCs w:val="21"/>
              </w:rPr>
              <w:t>事故地点</w:t>
            </w:r>
          </w:p>
        </w:tc>
        <w:tc>
          <w:tcPr>
            <w:tcW w:w="1440" w:type="dxa"/>
          </w:tcPr>
          <w:p w14:paraId="033151F1">
            <w:pPr>
              <w:spacing w:line="240" w:lineRule="auto"/>
              <w:ind w:firstLine="0" w:firstLineChars="0"/>
              <w:jc w:val="center"/>
              <w:rPr>
                <w:sz w:val="21"/>
                <w:szCs w:val="21"/>
              </w:rPr>
            </w:pPr>
            <w:r>
              <w:rPr>
                <w:sz w:val="21"/>
                <w:szCs w:val="21"/>
              </w:rPr>
              <w:t>事故类型</w:t>
            </w:r>
          </w:p>
        </w:tc>
        <w:tc>
          <w:tcPr>
            <w:tcW w:w="4680" w:type="dxa"/>
          </w:tcPr>
          <w:p w14:paraId="501DB9A7">
            <w:pPr>
              <w:spacing w:line="240" w:lineRule="auto"/>
              <w:ind w:firstLine="0" w:firstLineChars="0"/>
              <w:jc w:val="center"/>
              <w:rPr>
                <w:sz w:val="21"/>
                <w:szCs w:val="21"/>
              </w:rPr>
            </w:pPr>
            <w:r>
              <w:rPr>
                <w:sz w:val="21"/>
                <w:szCs w:val="21"/>
              </w:rPr>
              <w:t>事故原因</w:t>
            </w:r>
          </w:p>
        </w:tc>
        <w:tc>
          <w:tcPr>
            <w:tcW w:w="854" w:type="dxa"/>
          </w:tcPr>
          <w:p w14:paraId="30113D75">
            <w:pPr>
              <w:spacing w:line="240" w:lineRule="auto"/>
              <w:ind w:firstLine="0" w:firstLineChars="0"/>
              <w:jc w:val="center"/>
              <w:rPr>
                <w:sz w:val="21"/>
                <w:szCs w:val="21"/>
              </w:rPr>
            </w:pPr>
            <w:r>
              <w:rPr>
                <w:sz w:val="21"/>
                <w:szCs w:val="21"/>
              </w:rPr>
              <w:t>次数</w:t>
            </w:r>
          </w:p>
        </w:tc>
      </w:tr>
      <w:tr w14:paraId="2CA2CF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48" w:type="dxa"/>
            <w:vMerge w:val="restart"/>
          </w:tcPr>
          <w:p w14:paraId="01C83AAC">
            <w:pPr>
              <w:spacing w:line="240" w:lineRule="auto"/>
              <w:ind w:firstLine="0" w:firstLineChars="0"/>
              <w:jc w:val="center"/>
              <w:rPr>
                <w:sz w:val="21"/>
                <w:szCs w:val="21"/>
              </w:rPr>
            </w:pPr>
          </w:p>
          <w:p w14:paraId="364B87F0">
            <w:pPr>
              <w:spacing w:line="240" w:lineRule="auto"/>
              <w:ind w:firstLine="0" w:firstLineChars="0"/>
              <w:jc w:val="center"/>
              <w:rPr>
                <w:sz w:val="21"/>
                <w:szCs w:val="21"/>
              </w:rPr>
            </w:pPr>
          </w:p>
          <w:p w14:paraId="1E3F63B4">
            <w:pPr>
              <w:spacing w:line="240" w:lineRule="auto"/>
              <w:ind w:firstLine="0" w:firstLineChars="0"/>
              <w:jc w:val="center"/>
              <w:rPr>
                <w:sz w:val="21"/>
                <w:szCs w:val="21"/>
              </w:rPr>
            </w:pPr>
            <w:r>
              <w:rPr>
                <w:sz w:val="21"/>
                <w:szCs w:val="21"/>
              </w:rPr>
              <w:t>输油管道</w:t>
            </w:r>
          </w:p>
        </w:tc>
        <w:tc>
          <w:tcPr>
            <w:tcW w:w="1440" w:type="dxa"/>
            <w:vMerge w:val="restart"/>
          </w:tcPr>
          <w:p w14:paraId="3DA8F243">
            <w:pPr>
              <w:spacing w:line="240" w:lineRule="auto"/>
              <w:ind w:firstLine="0" w:firstLineChars="0"/>
              <w:jc w:val="center"/>
              <w:rPr>
                <w:sz w:val="21"/>
                <w:szCs w:val="21"/>
              </w:rPr>
            </w:pPr>
            <w:r>
              <w:rPr>
                <w:sz w:val="21"/>
                <w:szCs w:val="21"/>
              </w:rPr>
              <w:t>管道爆炸</w:t>
            </w:r>
          </w:p>
        </w:tc>
        <w:tc>
          <w:tcPr>
            <w:tcW w:w="4680" w:type="dxa"/>
          </w:tcPr>
          <w:p w14:paraId="636ED03C">
            <w:pPr>
              <w:spacing w:line="240" w:lineRule="auto"/>
              <w:ind w:firstLine="0" w:firstLineChars="0"/>
              <w:jc w:val="center"/>
              <w:rPr>
                <w:sz w:val="21"/>
                <w:szCs w:val="21"/>
                <w:lang w:eastAsia="zh-CN"/>
              </w:rPr>
            </w:pPr>
            <w:r>
              <w:rPr>
                <w:sz w:val="21"/>
                <w:szCs w:val="21"/>
                <w:lang w:eastAsia="zh-CN"/>
              </w:rPr>
              <w:t>电焊作业引起残油气爆炸</w:t>
            </w:r>
          </w:p>
        </w:tc>
        <w:tc>
          <w:tcPr>
            <w:tcW w:w="854" w:type="dxa"/>
          </w:tcPr>
          <w:p w14:paraId="3C164D04">
            <w:pPr>
              <w:spacing w:line="240" w:lineRule="auto"/>
              <w:ind w:firstLine="0" w:firstLineChars="0"/>
              <w:jc w:val="center"/>
              <w:rPr>
                <w:sz w:val="21"/>
                <w:szCs w:val="21"/>
              </w:rPr>
            </w:pPr>
            <w:r>
              <w:rPr>
                <w:sz w:val="21"/>
                <w:szCs w:val="21"/>
              </w:rPr>
              <w:t>1</w:t>
            </w:r>
          </w:p>
        </w:tc>
      </w:tr>
      <w:tr w14:paraId="05A981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48" w:type="dxa"/>
            <w:vMerge w:val="continue"/>
          </w:tcPr>
          <w:p w14:paraId="371E7D95">
            <w:pPr>
              <w:spacing w:line="240" w:lineRule="auto"/>
              <w:ind w:firstLine="0" w:firstLineChars="0"/>
              <w:jc w:val="center"/>
              <w:rPr>
                <w:sz w:val="21"/>
                <w:szCs w:val="21"/>
              </w:rPr>
            </w:pPr>
          </w:p>
        </w:tc>
        <w:tc>
          <w:tcPr>
            <w:tcW w:w="1440" w:type="dxa"/>
            <w:vMerge w:val="continue"/>
          </w:tcPr>
          <w:p w14:paraId="518DD393">
            <w:pPr>
              <w:spacing w:line="240" w:lineRule="auto"/>
              <w:ind w:firstLine="0" w:firstLineChars="0"/>
              <w:jc w:val="center"/>
              <w:rPr>
                <w:sz w:val="21"/>
                <w:szCs w:val="21"/>
              </w:rPr>
            </w:pPr>
          </w:p>
        </w:tc>
        <w:tc>
          <w:tcPr>
            <w:tcW w:w="4680" w:type="dxa"/>
          </w:tcPr>
          <w:p w14:paraId="18163B76">
            <w:pPr>
              <w:spacing w:line="240" w:lineRule="auto"/>
              <w:ind w:firstLine="0" w:firstLineChars="0"/>
              <w:jc w:val="center"/>
              <w:rPr>
                <w:sz w:val="21"/>
                <w:szCs w:val="21"/>
                <w:lang w:eastAsia="zh-CN"/>
              </w:rPr>
            </w:pPr>
            <w:r>
              <w:rPr>
                <w:sz w:val="21"/>
                <w:szCs w:val="21"/>
                <w:lang w:eastAsia="zh-CN"/>
              </w:rPr>
              <w:t>人为破坏导致输油油管泄漏，进而引起爆炸</w:t>
            </w:r>
          </w:p>
        </w:tc>
        <w:tc>
          <w:tcPr>
            <w:tcW w:w="854" w:type="dxa"/>
          </w:tcPr>
          <w:p w14:paraId="2280023C">
            <w:pPr>
              <w:spacing w:line="240" w:lineRule="auto"/>
              <w:ind w:firstLine="0" w:firstLineChars="0"/>
              <w:jc w:val="center"/>
              <w:rPr>
                <w:sz w:val="21"/>
                <w:szCs w:val="21"/>
              </w:rPr>
            </w:pPr>
            <w:r>
              <w:rPr>
                <w:sz w:val="21"/>
                <w:szCs w:val="21"/>
              </w:rPr>
              <w:t>5</w:t>
            </w:r>
          </w:p>
        </w:tc>
      </w:tr>
      <w:tr w14:paraId="48C864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48" w:type="dxa"/>
            <w:vMerge w:val="continue"/>
          </w:tcPr>
          <w:p w14:paraId="2AA7D207">
            <w:pPr>
              <w:spacing w:line="240" w:lineRule="auto"/>
              <w:ind w:firstLine="0" w:firstLineChars="0"/>
              <w:jc w:val="center"/>
              <w:rPr>
                <w:sz w:val="21"/>
                <w:szCs w:val="21"/>
              </w:rPr>
            </w:pPr>
          </w:p>
        </w:tc>
        <w:tc>
          <w:tcPr>
            <w:tcW w:w="1440" w:type="dxa"/>
            <w:vMerge w:val="restart"/>
          </w:tcPr>
          <w:p w14:paraId="661C1D39">
            <w:pPr>
              <w:spacing w:line="240" w:lineRule="auto"/>
              <w:ind w:firstLine="0" w:firstLineChars="0"/>
              <w:jc w:val="center"/>
              <w:rPr>
                <w:sz w:val="21"/>
                <w:szCs w:val="21"/>
              </w:rPr>
            </w:pPr>
          </w:p>
          <w:p w14:paraId="7639F2F4">
            <w:pPr>
              <w:spacing w:line="240" w:lineRule="auto"/>
              <w:ind w:firstLine="0" w:firstLineChars="0"/>
              <w:jc w:val="center"/>
              <w:rPr>
                <w:sz w:val="21"/>
                <w:szCs w:val="21"/>
              </w:rPr>
            </w:pPr>
            <w:r>
              <w:rPr>
                <w:sz w:val="21"/>
                <w:szCs w:val="21"/>
              </w:rPr>
              <w:t>油品泄漏</w:t>
            </w:r>
          </w:p>
        </w:tc>
        <w:tc>
          <w:tcPr>
            <w:tcW w:w="4680" w:type="dxa"/>
          </w:tcPr>
          <w:p w14:paraId="3D23ED7E">
            <w:pPr>
              <w:spacing w:line="240" w:lineRule="auto"/>
              <w:ind w:firstLine="0" w:firstLineChars="0"/>
              <w:jc w:val="center"/>
              <w:rPr>
                <w:sz w:val="21"/>
                <w:szCs w:val="21"/>
                <w:lang w:eastAsia="zh-CN"/>
              </w:rPr>
            </w:pPr>
            <w:r>
              <w:rPr>
                <w:sz w:val="21"/>
                <w:szCs w:val="21"/>
                <w:lang w:eastAsia="zh-CN"/>
              </w:rPr>
              <w:t>操作不当导致管道阀门破裂，进而导致原油泄漏</w:t>
            </w:r>
          </w:p>
        </w:tc>
        <w:tc>
          <w:tcPr>
            <w:tcW w:w="854" w:type="dxa"/>
          </w:tcPr>
          <w:p w14:paraId="53C90305">
            <w:pPr>
              <w:spacing w:line="240" w:lineRule="auto"/>
              <w:ind w:firstLine="0" w:firstLineChars="0"/>
              <w:jc w:val="center"/>
              <w:rPr>
                <w:sz w:val="21"/>
                <w:szCs w:val="21"/>
              </w:rPr>
            </w:pPr>
            <w:r>
              <w:rPr>
                <w:sz w:val="21"/>
                <w:szCs w:val="21"/>
              </w:rPr>
              <w:t>1</w:t>
            </w:r>
          </w:p>
        </w:tc>
      </w:tr>
      <w:tr w14:paraId="17C796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48" w:type="dxa"/>
            <w:vMerge w:val="continue"/>
          </w:tcPr>
          <w:p w14:paraId="123CC475">
            <w:pPr>
              <w:spacing w:line="240" w:lineRule="auto"/>
              <w:ind w:firstLine="0" w:firstLineChars="0"/>
              <w:jc w:val="center"/>
              <w:rPr>
                <w:sz w:val="21"/>
                <w:szCs w:val="21"/>
              </w:rPr>
            </w:pPr>
          </w:p>
        </w:tc>
        <w:tc>
          <w:tcPr>
            <w:tcW w:w="1440" w:type="dxa"/>
            <w:vMerge w:val="continue"/>
          </w:tcPr>
          <w:p w14:paraId="23C0B890">
            <w:pPr>
              <w:spacing w:line="240" w:lineRule="auto"/>
              <w:ind w:firstLine="0" w:firstLineChars="0"/>
              <w:jc w:val="center"/>
              <w:rPr>
                <w:sz w:val="21"/>
                <w:szCs w:val="21"/>
              </w:rPr>
            </w:pPr>
          </w:p>
        </w:tc>
        <w:tc>
          <w:tcPr>
            <w:tcW w:w="4680" w:type="dxa"/>
          </w:tcPr>
          <w:p w14:paraId="482E7B75">
            <w:pPr>
              <w:spacing w:line="240" w:lineRule="auto"/>
              <w:ind w:firstLine="0" w:firstLineChars="0"/>
              <w:jc w:val="center"/>
              <w:rPr>
                <w:sz w:val="21"/>
                <w:szCs w:val="21"/>
                <w:lang w:eastAsia="zh-CN"/>
              </w:rPr>
            </w:pPr>
            <w:r>
              <w:rPr>
                <w:sz w:val="21"/>
                <w:szCs w:val="21"/>
                <w:lang w:eastAsia="zh-CN"/>
              </w:rPr>
              <w:t>修路导致油管错位而泄漏</w:t>
            </w:r>
          </w:p>
        </w:tc>
        <w:tc>
          <w:tcPr>
            <w:tcW w:w="854" w:type="dxa"/>
          </w:tcPr>
          <w:p w14:paraId="024D3AC9">
            <w:pPr>
              <w:spacing w:line="240" w:lineRule="auto"/>
              <w:ind w:firstLine="0" w:firstLineChars="0"/>
              <w:jc w:val="center"/>
              <w:rPr>
                <w:sz w:val="21"/>
                <w:szCs w:val="21"/>
              </w:rPr>
            </w:pPr>
            <w:r>
              <w:rPr>
                <w:sz w:val="21"/>
                <w:szCs w:val="21"/>
              </w:rPr>
              <w:t>1</w:t>
            </w:r>
          </w:p>
        </w:tc>
      </w:tr>
      <w:tr w14:paraId="195A03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48" w:type="dxa"/>
            <w:vMerge w:val="continue"/>
          </w:tcPr>
          <w:p w14:paraId="7BA1F4FB">
            <w:pPr>
              <w:spacing w:line="240" w:lineRule="auto"/>
              <w:ind w:firstLine="0" w:firstLineChars="0"/>
              <w:jc w:val="center"/>
              <w:rPr>
                <w:sz w:val="21"/>
                <w:szCs w:val="21"/>
              </w:rPr>
            </w:pPr>
          </w:p>
        </w:tc>
        <w:tc>
          <w:tcPr>
            <w:tcW w:w="1440" w:type="dxa"/>
            <w:vMerge w:val="continue"/>
          </w:tcPr>
          <w:p w14:paraId="050304B5">
            <w:pPr>
              <w:spacing w:line="240" w:lineRule="auto"/>
              <w:ind w:firstLine="0" w:firstLineChars="0"/>
              <w:jc w:val="center"/>
              <w:rPr>
                <w:sz w:val="21"/>
                <w:szCs w:val="21"/>
              </w:rPr>
            </w:pPr>
          </w:p>
        </w:tc>
        <w:tc>
          <w:tcPr>
            <w:tcW w:w="4680" w:type="dxa"/>
          </w:tcPr>
          <w:p w14:paraId="5C0E8584">
            <w:pPr>
              <w:spacing w:line="240" w:lineRule="auto"/>
              <w:ind w:firstLine="0" w:firstLineChars="0"/>
              <w:jc w:val="center"/>
              <w:rPr>
                <w:sz w:val="21"/>
                <w:szCs w:val="21"/>
              </w:rPr>
            </w:pPr>
            <w:r>
              <w:rPr>
                <w:sz w:val="21"/>
                <w:szCs w:val="21"/>
              </w:rPr>
              <w:t>管线腐蚀导致泄漏</w:t>
            </w:r>
          </w:p>
        </w:tc>
        <w:tc>
          <w:tcPr>
            <w:tcW w:w="854" w:type="dxa"/>
          </w:tcPr>
          <w:p w14:paraId="4AB4F9F5">
            <w:pPr>
              <w:spacing w:line="240" w:lineRule="auto"/>
              <w:ind w:firstLine="0" w:firstLineChars="0"/>
              <w:jc w:val="center"/>
              <w:rPr>
                <w:sz w:val="21"/>
                <w:szCs w:val="21"/>
              </w:rPr>
            </w:pPr>
            <w:r>
              <w:rPr>
                <w:sz w:val="21"/>
                <w:szCs w:val="21"/>
              </w:rPr>
              <w:t>3</w:t>
            </w:r>
          </w:p>
        </w:tc>
      </w:tr>
    </w:tbl>
    <w:p w14:paraId="35F92A7D">
      <w:pPr>
        <w:ind w:firstLine="480"/>
        <w:rPr>
          <w:rFonts w:asciiTheme="minorEastAsia" w:hAnsiTheme="minorEastAsia" w:eastAsiaTheme="minorEastAsia"/>
          <w:lang w:eastAsia="zh-CN"/>
        </w:rPr>
      </w:pPr>
      <w:r>
        <w:rPr>
          <w:rFonts w:asciiTheme="minorEastAsia" w:hAnsiTheme="minorEastAsia" w:eastAsiaTheme="minorEastAsia"/>
          <w:lang w:eastAsia="zh-CN"/>
        </w:rPr>
        <w:t>在人为因素中，除打孔盗窃油气外，缺乏对油气输送管道进行保护，在管道沿线修建违章建筑，以及公路建设两种情况对管道的安全运行造成极大危害。</w:t>
      </w:r>
    </w:p>
    <w:p w14:paraId="6CB94491">
      <w:pPr>
        <w:ind w:firstLine="480"/>
        <w:rPr>
          <w:rFonts w:asciiTheme="minorEastAsia" w:hAnsiTheme="minorEastAsia" w:eastAsiaTheme="minorEastAsia"/>
          <w:lang w:eastAsia="zh-CN"/>
        </w:rPr>
      </w:pPr>
      <w:r>
        <w:rPr>
          <w:rFonts w:asciiTheme="minorEastAsia" w:hAnsiTheme="minorEastAsia" w:eastAsiaTheme="minorEastAsia"/>
          <w:lang w:eastAsia="zh-CN"/>
        </w:rPr>
        <w:t>近年来，随着油气集输管线里程的增加及交通建设的发展，在公路新建和扩建中，一些地方不征求输油管道部门的意见，对输油管道未采取任何保护措施，就将输油管道压在公路下或紧靠管道修建公路，对管道安全威胁极大；在管道两侧开山平地、建房修路的事件也有发生。有建设单位在平整土地时，损坏输油干线，造成管道停输，造成管道泄漏事故的发生。</w:t>
      </w:r>
    </w:p>
    <w:p w14:paraId="2CFEADFF">
      <w:pPr>
        <w:ind w:firstLine="480"/>
        <w:outlineLvl w:val="0"/>
        <w:rPr>
          <w:rFonts w:asciiTheme="minorEastAsia" w:hAnsiTheme="minorEastAsia" w:eastAsiaTheme="minorEastAsia"/>
          <w:lang w:eastAsia="zh-CN"/>
        </w:rPr>
      </w:pPr>
      <w:r>
        <w:rPr>
          <w:rFonts w:hint="eastAsia" w:asciiTheme="minorEastAsia" w:hAnsiTheme="minorEastAsia" w:eastAsiaTheme="minorEastAsia"/>
          <w:lang w:eastAsia="zh-CN"/>
        </w:rPr>
        <w:t>（3）</w:t>
      </w:r>
      <w:r>
        <w:rPr>
          <w:rFonts w:asciiTheme="minorEastAsia" w:hAnsiTheme="minorEastAsia" w:eastAsiaTheme="minorEastAsia"/>
          <w:lang w:eastAsia="zh-CN"/>
        </w:rPr>
        <w:t>站场事故风险类比调查</w:t>
      </w:r>
    </w:p>
    <w:p w14:paraId="28422B20">
      <w:pPr>
        <w:ind w:firstLine="480"/>
        <w:rPr>
          <w:rFonts w:asciiTheme="minorEastAsia" w:hAnsiTheme="minorEastAsia" w:eastAsiaTheme="minorEastAsia"/>
          <w:lang w:eastAsia="zh-CN"/>
        </w:rPr>
      </w:pPr>
      <w:r>
        <w:rPr>
          <w:rFonts w:asciiTheme="minorEastAsia" w:hAnsiTheme="minorEastAsia" w:eastAsiaTheme="minorEastAsia"/>
          <w:lang w:eastAsia="zh-CN"/>
        </w:rPr>
        <w:t>油田集输站场工艺设备集中、操作条件要求严格、处理介质均属易燃易爆物质，因此存在火灾、爆炸的事故风险性。</w:t>
      </w:r>
    </w:p>
    <w:p w14:paraId="3DA2FECC">
      <w:pPr>
        <w:ind w:firstLine="480"/>
        <w:rPr>
          <w:rFonts w:asciiTheme="minorEastAsia" w:hAnsiTheme="minorEastAsia" w:eastAsiaTheme="minorEastAsia"/>
          <w:lang w:eastAsia="zh-CN"/>
        </w:rPr>
      </w:pPr>
      <w:r>
        <w:rPr>
          <w:rFonts w:asciiTheme="minorEastAsia" w:hAnsiTheme="minorEastAsia" w:eastAsiaTheme="minorEastAsia"/>
          <w:lang w:eastAsia="zh-CN"/>
        </w:rPr>
        <w:t>石油化工系统所发生的事故中，火灾爆炸事故占28.5%，而引发事故的原因中明火占66%，由此可以确定，火灾爆炸事故是石油化工系统潜在危险性较大，需要进行重点防范的事故，而明火是导致事故发生的主要因素。</w:t>
      </w:r>
    </w:p>
    <w:p w14:paraId="53A9B088">
      <w:pPr>
        <w:ind w:firstLine="480"/>
        <w:rPr>
          <w:rFonts w:asciiTheme="minorEastAsia" w:hAnsiTheme="minorEastAsia" w:eastAsiaTheme="minorEastAsia"/>
          <w:lang w:eastAsia="zh-CN"/>
        </w:rPr>
      </w:pPr>
      <w:r>
        <w:rPr>
          <w:rFonts w:asciiTheme="minorEastAsia" w:hAnsiTheme="minorEastAsia" w:eastAsiaTheme="minorEastAsia"/>
          <w:lang w:eastAsia="zh-CN"/>
        </w:rPr>
        <w:t>另外，根据《石油化工典型事故汇编》（中国石油化工总公司安全监督办公室编，中国石化出版社）的统计，1983～1993年石油化工系统共发生典型事故293例，其中发生在各类生产装置内的事故149例，占50.85%（主要是开停工及检修时发生）贮运系统74例，占25.26%，辅助系统70例，占23.89%。从事故类别来看，人身事故92例，占34.1%，火灾、爆炸事故55例，占18.77%，设备事故55例，占18.77%，生产事故91例，占31.06%。从事故的原因来看，属于违章指挥违章作业的97例，占33.11%，属于管理、组织不善发生事故的93例，占31.74%，属于技术业务不熟练或安全基本知识较差的96例，占32.76%。违章作业、组织管理不善等是发生事故的主要风险因素。</w:t>
      </w:r>
    </w:p>
    <w:p w14:paraId="0B1E0114">
      <w:pPr>
        <w:ind w:firstLine="480"/>
        <w:rPr>
          <w:rFonts w:asciiTheme="minorEastAsia" w:hAnsiTheme="minorEastAsia" w:eastAsiaTheme="minorEastAsia"/>
          <w:lang w:eastAsia="zh-CN"/>
        </w:rPr>
      </w:pPr>
      <w:r>
        <w:rPr>
          <w:rFonts w:asciiTheme="minorEastAsia" w:hAnsiTheme="minorEastAsia" w:eastAsiaTheme="minorEastAsia"/>
          <w:lang w:eastAsia="zh-CN"/>
        </w:rPr>
        <w:t>结合本项目的具体情况，本工程油田采出的是常压油气原料，各工艺部分存在压力容器设备，在设计阶段就引起了足够的重视，对于一些不成熟的技术和设备，没有经过验证的材料和产品严禁在设计中采用，为消除事故隐患作了大量的工作，因此，发生事故的原因和概率将会和类比调查统计结果相类似。</w:t>
      </w:r>
    </w:p>
    <w:p w14:paraId="0067624E">
      <w:pPr>
        <w:pStyle w:val="3"/>
        <w:rPr>
          <w:lang w:eastAsia="zh-CN"/>
        </w:rPr>
      </w:pPr>
      <w:bookmarkStart w:id="773" w:name="_Toc338663588"/>
      <w:bookmarkStart w:id="774" w:name="_Toc408414043"/>
      <w:r>
        <w:rPr>
          <w:lang w:eastAsia="zh-CN"/>
        </w:rPr>
        <w:t>11.2评价工作等级、范围</w:t>
      </w:r>
      <w:bookmarkEnd w:id="773"/>
      <w:bookmarkEnd w:id="774"/>
    </w:p>
    <w:p w14:paraId="13707B65">
      <w:pPr>
        <w:ind w:firstLine="480"/>
        <w:rPr>
          <w:rFonts w:asciiTheme="minorEastAsia" w:hAnsiTheme="minorEastAsia" w:eastAsiaTheme="minorEastAsia"/>
          <w:lang w:eastAsia="zh-CN"/>
        </w:rPr>
      </w:pPr>
      <w:r>
        <w:rPr>
          <w:rFonts w:asciiTheme="minorEastAsia" w:hAnsiTheme="minorEastAsia" w:eastAsiaTheme="minorEastAsia"/>
          <w:lang w:eastAsia="zh-CN"/>
        </w:rPr>
        <w:t>本项目主要是原油开采及输送，由于原油与烃类没有单独的划分标准，本项目选用原油作为本次环境风险评价工作等级确定的依据。</w:t>
      </w:r>
    </w:p>
    <w:p w14:paraId="219B449A">
      <w:pPr>
        <w:ind w:firstLine="480"/>
        <w:rPr>
          <w:rFonts w:asciiTheme="minorEastAsia" w:hAnsiTheme="minorEastAsia" w:eastAsiaTheme="minorEastAsia"/>
          <w:lang w:eastAsia="zh-CN"/>
        </w:rPr>
      </w:pPr>
      <w:r>
        <w:rPr>
          <w:rFonts w:asciiTheme="minorEastAsia" w:hAnsiTheme="minorEastAsia" w:eastAsiaTheme="minorEastAsia"/>
          <w:lang w:eastAsia="zh-CN"/>
        </w:rPr>
        <w:t>根据《建设项目环境风险评价技术导则》（HJ/T169-2004）确定本项目环境风险评价工作等级为一级。</w:t>
      </w:r>
    </w:p>
    <w:p w14:paraId="10205803">
      <w:pPr>
        <w:ind w:firstLine="480"/>
        <w:rPr>
          <w:rFonts w:asciiTheme="minorEastAsia" w:hAnsiTheme="minorEastAsia" w:eastAsiaTheme="minorEastAsia"/>
          <w:lang w:eastAsia="zh-CN"/>
        </w:rPr>
      </w:pPr>
      <w:r>
        <w:rPr>
          <w:rFonts w:asciiTheme="minorEastAsia" w:hAnsiTheme="minorEastAsia" w:eastAsiaTheme="minorEastAsia"/>
          <w:lang w:eastAsia="zh-CN"/>
        </w:rPr>
        <w:t>本次评价范围以</w:t>
      </w:r>
      <w:r>
        <w:rPr>
          <w:rFonts w:hint="eastAsia" w:asciiTheme="minorEastAsia" w:hAnsiTheme="minorEastAsia" w:eastAsiaTheme="minorEastAsia"/>
          <w:lang w:eastAsia="zh-CN"/>
        </w:rPr>
        <w:t>雅斯联</w:t>
      </w:r>
      <w:r>
        <w:rPr>
          <w:rFonts w:asciiTheme="minorEastAsia" w:hAnsiTheme="minorEastAsia" w:eastAsiaTheme="minorEastAsia"/>
          <w:lang w:eastAsia="zh-CN"/>
        </w:rPr>
        <w:t>合站内储油罐为中心，半径为5</w:t>
      </w:r>
      <w:r>
        <w:rPr>
          <w:rFonts w:hint="eastAsia" w:asciiTheme="minorEastAsia" w:hAnsiTheme="minorEastAsia" w:eastAsiaTheme="minorEastAsia"/>
          <w:lang w:eastAsia="zh-CN"/>
        </w:rPr>
        <w:t>.0</w:t>
      </w:r>
      <w:r>
        <w:rPr>
          <w:rFonts w:asciiTheme="minorEastAsia" w:hAnsiTheme="minorEastAsia" w:eastAsiaTheme="minorEastAsia"/>
          <w:lang w:eastAsia="zh-CN"/>
        </w:rPr>
        <w:t>km的范围。</w:t>
      </w:r>
    </w:p>
    <w:p w14:paraId="51952040">
      <w:pPr>
        <w:pStyle w:val="3"/>
        <w:rPr>
          <w:lang w:eastAsia="zh-CN"/>
        </w:rPr>
      </w:pPr>
      <w:bookmarkStart w:id="775" w:name="_Toc338663589"/>
      <w:bookmarkStart w:id="776" w:name="_Toc408414044"/>
      <w:r>
        <w:rPr>
          <w:lang w:eastAsia="zh-CN"/>
        </w:rPr>
        <w:t>11.3源项分析</w:t>
      </w:r>
      <w:bookmarkEnd w:id="775"/>
      <w:bookmarkEnd w:id="776"/>
    </w:p>
    <w:p w14:paraId="5B61C24B">
      <w:pPr>
        <w:ind w:firstLine="480"/>
        <w:rPr>
          <w:rFonts w:asciiTheme="minorEastAsia" w:hAnsiTheme="minorEastAsia" w:eastAsiaTheme="minorEastAsia"/>
          <w:lang w:eastAsia="zh-CN"/>
        </w:rPr>
      </w:pPr>
      <w:r>
        <w:rPr>
          <w:rFonts w:asciiTheme="minorEastAsia" w:hAnsiTheme="minorEastAsia" w:eastAsiaTheme="minorEastAsia"/>
          <w:lang w:eastAsia="zh-CN"/>
        </w:rPr>
        <w:t>油田开发过程中风险源主要为井喷、火灾与爆炸、抽油杆断裂、集输管线破裂、油气管线放空作业以及暴雨或洪水造成的污油池、泥浆池污染物外溢。另外，联合站内储油罐，也是主要的风险源。</w:t>
      </w:r>
    </w:p>
    <w:p w14:paraId="51B1DD19">
      <w:pPr>
        <w:pStyle w:val="4"/>
        <w:rPr>
          <w:lang w:eastAsia="zh-CN"/>
        </w:rPr>
      </w:pPr>
      <w:bookmarkStart w:id="777" w:name="_Toc338663590"/>
      <w:bookmarkStart w:id="778" w:name="_Toc408414045"/>
      <w:r>
        <w:rPr>
          <w:lang w:eastAsia="zh-CN"/>
        </w:rPr>
        <w:t>11.3.1井喷</w:t>
      </w:r>
      <w:bookmarkEnd w:id="777"/>
      <w:bookmarkEnd w:id="778"/>
    </w:p>
    <w:p w14:paraId="704B583B">
      <w:pPr>
        <w:ind w:firstLine="480"/>
        <w:rPr>
          <w:rFonts w:asciiTheme="minorEastAsia" w:hAnsiTheme="minorEastAsia" w:eastAsiaTheme="minorEastAsia"/>
          <w:lang w:eastAsia="zh-CN"/>
        </w:rPr>
      </w:pPr>
      <w:r>
        <w:rPr>
          <w:rFonts w:asciiTheme="minorEastAsia" w:hAnsiTheme="minorEastAsia" w:eastAsiaTheme="minorEastAsia"/>
          <w:lang w:eastAsia="zh-CN"/>
        </w:rPr>
        <w:t>井喷是油田开发中的意外事故，在勘探开发、抽油或洗井作业中，遇到高压油气层时控制不及时均可发生。</w:t>
      </w:r>
    </w:p>
    <w:p w14:paraId="3DCEE184">
      <w:pPr>
        <w:ind w:firstLine="480"/>
        <w:rPr>
          <w:rFonts w:asciiTheme="minorEastAsia" w:hAnsiTheme="minorEastAsia" w:eastAsiaTheme="minorEastAsia"/>
          <w:lang w:eastAsia="zh-CN"/>
        </w:rPr>
      </w:pPr>
      <w:r>
        <w:rPr>
          <w:rFonts w:asciiTheme="minorEastAsia" w:hAnsiTheme="minorEastAsia" w:eastAsiaTheme="minorEastAsia"/>
          <w:lang w:eastAsia="zh-CN"/>
        </w:rPr>
        <w:t>发生井喷最根本的原因是井液柱压力低于地层孔隙压力，使井底压力不平衡，防止井喷的关键是及时发现溢流和及时控制溢流。大量实例表明，由于操作者直接的责任而引起的井控措施不当、违反操作规程、井控设施故障是造成井喷失控事故的主要因素，通常井喷可由以下因素引起。</w:t>
      </w:r>
    </w:p>
    <w:p w14:paraId="586FD479">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（1）</w:t>
      </w:r>
      <w:r>
        <w:rPr>
          <w:rFonts w:asciiTheme="minorEastAsia" w:hAnsiTheme="minorEastAsia" w:eastAsiaTheme="minorEastAsia"/>
          <w:lang w:eastAsia="zh-CN"/>
        </w:rPr>
        <w:t>进入油气层钻井泥浆的密度偏低，使泥浆液柱压力达不到抑制地层压力的要求，或泥浆密度附加值不移；</w:t>
      </w:r>
    </w:p>
    <w:p w14:paraId="1F28A3A0">
      <w:pPr>
        <w:ind w:firstLine="480"/>
        <w:outlineLvl w:val="0"/>
        <w:rPr>
          <w:rFonts w:asciiTheme="minorEastAsia" w:hAnsiTheme="minorEastAsia" w:eastAsiaTheme="minorEastAsia"/>
          <w:lang w:eastAsia="zh-CN"/>
        </w:rPr>
      </w:pPr>
      <w:r>
        <w:rPr>
          <w:rFonts w:hint="eastAsia" w:asciiTheme="minorEastAsia" w:hAnsiTheme="minorEastAsia" w:eastAsiaTheme="minorEastAsia"/>
          <w:lang w:eastAsia="zh-CN"/>
        </w:rPr>
        <w:t>（2）</w:t>
      </w:r>
      <w:r>
        <w:rPr>
          <w:rFonts w:asciiTheme="minorEastAsia" w:hAnsiTheme="minorEastAsia" w:eastAsiaTheme="minorEastAsia"/>
          <w:lang w:eastAsia="zh-CN"/>
        </w:rPr>
        <w:t>起下钻未及时灌满井筒内的泥浆，或起钻速度过快抽喷；</w:t>
      </w:r>
    </w:p>
    <w:p w14:paraId="119BB737">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（3）</w:t>
      </w:r>
      <w:r>
        <w:rPr>
          <w:rFonts w:asciiTheme="minorEastAsia" w:hAnsiTheme="minorEastAsia" w:eastAsiaTheme="minorEastAsia"/>
          <w:lang w:eastAsia="zh-CN"/>
        </w:rPr>
        <w:t>对地质情况掌握不够，地质差异认识不足，地层实际压力比预计值大得多；</w:t>
      </w:r>
    </w:p>
    <w:p w14:paraId="10533F6D">
      <w:pPr>
        <w:ind w:firstLine="480"/>
        <w:outlineLvl w:val="0"/>
        <w:rPr>
          <w:rFonts w:asciiTheme="minorEastAsia" w:hAnsiTheme="minorEastAsia" w:eastAsiaTheme="minorEastAsia"/>
          <w:lang w:eastAsia="zh-CN"/>
        </w:rPr>
      </w:pPr>
      <w:r>
        <w:rPr>
          <w:rFonts w:hint="eastAsia" w:asciiTheme="minorEastAsia" w:hAnsiTheme="minorEastAsia" w:eastAsiaTheme="minorEastAsia"/>
          <w:lang w:eastAsia="zh-CN"/>
        </w:rPr>
        <w:t>（4）</w:t>
      </w:r>
      <w:r>
        <w:rPr>
          <w:rFonts w:asciiTheme="minorEastAsia" w:hAnsiTheme="minorEastAsia" w:eastAsiaTheme="minorEastAsia"/>
          <w:lang w:eastAsia="zh-CN"/>
        </w:rPr>
        <w:t>井口设备装置、井身结构、油层套管、技术套管等存在内在质量问题；</w:t>
      </w:r>
    </w:p>
    <w:p w14:paraId="52DCD808">
      <w:pPr>
        <w:ind w:firstLine="480"/>
        <w:outlineLvl w:val="0"/>
        <w:rPr>
          <w:rFonts w:asciiTheme="minorEastAsia" w:hAnsiTheme="minorEastAsia" w:eastAsiaTheme="minorEastAsia"/>
          <w:lang w:eastAsia="zh-CN"/>
        </w:rPr>
      </w:pPr>
      <w:r>
        <w:rPr>
          <w:rFonts w:hint="eastAsia" w:asciiTheme="minorEastAsia" w:hAnsiTheme="minorEastAsia" w:eastAsiaTheme="minorEastAsia"/>
          <w:lang w:eastAsia="zh-CN"/>
        </w:rPr>
        <w:t>（5）</w:t>
      </w:r>
      <w:r>
        <w:rPr>
          <w:rFonts w:asciiTheme="minorEastAsia" w:hAnsiTheme="minorEastAsia" w:eastAsiaTheme="minorEastAsia"/>
          <w:lang w:eastAsia="zh-CN"/>
        </w:rPr>
        <w:t>井口未安装防喷器或防喷器的安装不符合要求；</w:t>
      </w:r>
    </w:p>
    <w:p w14:paraId="6893CB6C">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（6）</w:t>
      </w:r>
      <w:r>
        <w:rPr>
          <w:rFonts w:asciiTheme="minorEastAsia" w:hAnsiTheme="minorEastAsia" w:eastAsiaTheme="minorEastAsia"/>
          <w:lang w:eastAsia="zh-CN"/>
        </w:rPr>
        <w:t>完井固井质量出现问题；</w:t>
      </w:r>
    </w:p>
    <w:p w14:paraId="4B37B11E">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（7）</w:t>
      </w:r>
      <w:r>
        <w:rPr>
          <w:rFonts w:asciiTheme="minorEastAsia" w:hAnsiTheme="minorEastAsia" w:eastAsiaTheme="minorEastAsia"/>
          <w:lang w:eastAsia="zh-CN"/>
        </w:rPr>
        <w:t>钻井设备受地面、地下流体的侵蚀，而长期生产维护不及时，而出现损坏、破裂渗漏；</w:t>
      </w:r>
    </w:p>
    <w:p w14:paraId="072BB831">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（8）</w:t>
      </w:r>
      <w:r>
        <w:rPr>
          <w:rFonts w:asciiTheme="minorEastAsia" w:hAnsiTheme="minorEastAsia" w:eastAsiaTheme="minorEastAsia"/>
          <w:lang w:eastAsia="zh-CN"/>
        </w:rPr>
        <w:t>井下工具、封隔器胶皮失灵，解封不开，起钻时造成抽汲油气层。</w:t>
      </w:r>
    </w:p>
    <w:p w14:paraId="0782962B">
      <w:pPr>
        <w:ind w:firstLine="480"/>
        <w:rPr>
          <w:rFonts w:asciiTheme="minorEastAsia" w:hAnsiTheme="minorEastAsia" w:eastAsiaTheme="minorEastAsia"/>
          <w:lang w:eastAsia="zh-CN"/>
        </w:rPr>
      </w:pPr>
      <w:r>
        <w:rPr>
          <w:rFonts w:asciiTheme="minorEastAsia" w:hAnsiTheme="minorEastAsia" w:eastAsiaTheme="minorEastAsia"/>
          <w:lang w:eastAsia="zh-CN"/>
        </w:rPr>
        <w:t>井喷时大量的油气从井口喷出，喷出的油气流可高达20～50m，喷出气体2～60m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，原油20～1000t。例如，辽河油田86年曾发生八次井喷事故，污染水田面积达700亩。</w:t>
      </w:r>
    </w:p>
    <w:p w14:paraId="696AA4CE">
      <w:pPr>
        <w:ind w:firstLine="480"/>
        <w:rPr>
          <w:rFonts w:asciiTheme="minorEastAsia" w:hAnsiTheme="minorEastAsia" w:eastAsiaTheme="minorEastAsia"/>
          <w:lang w:eastAsia="zh-CN"/>
        </w:rPr>
      </w:pPr>
      <w:r>
        <w:rPr>
          <w:rFonts w:asciiTheme="minorEastAsia" w:hAnsiTheme="minorEastAsia" w:eastAsiaTheme="minorEastAsia"/>
          <w:lang w:eastAsia="zh-CN"/>
        </w:rPr>
        <w:t>据统计，新开采的油井井喷率约为0.3%，但随着开发时间的延长，油气从地层中采出，地层压力下降，井喷率将大大降低，同时即使发生井喷，其喷液量和含油量都要下降，对环境的污染也要大大降低。</w:t>
      </w:r>
    </w:p>
    <w:p w14:paraId="545ED64C">
      <w:pPr>
        <w:ind w:firstLine="480"/>
        <w:rPr>
          <w:rFonts w:asciiTheme="minorEastAsia" w:hAnsiTheme="minorEastAsia" w:eastAsiaTheme="minorEastAsia"/>
          <w:lang w:eastAsia="zh-CN"/>
        </w:rPr>
      </w:pPr>
      <w:r>
        <w:rPr>
          <w:rFonts w:asciiTheme="minorEastAsia" w:hAnsiTheme="minorEastAsia" w:eastAsiaTheme="minorEastAsia"/>
          <w:lang w:eastAsia="zh-CN"/>
        </w:rPr>
        <w:t>乌里雅斯太油田属于勘探期后正式生产，通过已钻井压力监测和完钻井测试，油层压力分布规律已基本掌握，储层物性及基本特征已基本清楚，所以发生井喷的机率很小，其概率小于0.1%。</w:t>
      </w:r>
    </w:p>
    <w:p w14:paraId="11AA89E5">
      <w:pPr>
        <w:pStyle w:val="4"/>
        <w:rPr>
          <w:lang w:eastAsia="zh-CN"/>
        </w:rPr>
      </w:pPr>
      <w:bookmarkStart w:id="779" w:name="_Toc408414046"/>
      <w:bookmarkStart w:id="780" w:name="_Toc338663591"/>
      <w:r>
        <w:rPr>
          <w:lang w:eastAsia="zh-CN"/>
        </w:rPr>
        <w:t>11.3.2火灾和爆炸</w:t>
      </w:r>
      <w:bookmarkEnd w:id="779"/>
      <w:bookmarkEnd w:id="780"/>
    </w:p>
    <w:p w14:paraId="3623606B">
      <w:pPr>
        <w:ind w:firstLine="480"/>
        <w:rPr>
          <w:rFonts w:asciiTheme="minorEastAsia" w:hAnsiTheme="minorEastAsia" w:eastAsiaTheme="minorEastAsia"/>
          <w:lang w:eastAsia="zh-CN"/>
        </w:rPr>
      </w:pPr>
      <w:r>
        <w:rPr>
          <w:rFonts w:asciiTheme="minorEastAsia" w:hAnsiTheme="minorEastAsia" w:eastAsiaTheme="minorEastAsia"/>
          <w:lang w:eastAsia="zh-CN"/>
        </w:rPr>
        <w:t>由于油田开采的石油和天然气均是易燃易爆物品，所以当油品和天然气逸散到外部空气中，与空气混合到一定比例，达到爆炸极限时，遇到明火即发生爆炸和火灾。井喷事故发生时，也往往容易伴随着发生大火和爆炸，除造成人员伤亡及经济损失外，对环境也将形成一定的污染，如大量的气态烃类，SO</w:t>
      </w:r>
      <w:r>
        <w:rPr>
          <w:rFonts w:asciiTheme="minorEastAsia" w:hAnsiTheme="minorEastAsia" w:eastAsiaTheme="minorEastAsia"/>
          <w:vertAlign w:val="subscript"/>
          <w:lang w:eastAsia="zh-CN"/>
        </w:rPr>
        <w:t>2</w:t>
      </w:r>
      <w:r>
        <w:rPr>
          <w:rFonts w:asciiTheme="minorEastAsia" w:hAnsiTheme="minorEastAsia" w:eastAsiaTheme="minorEastAsia"/>
          <w:lang w:eastAsia="zh-CN"/>
        </w:rPr>
        <w:t>、CO和落地原油污染。发生火灾后，火焰可达到20m高，影响范围150m～200m。</w:t>
      </w:r>
    </w:p>
    <w:p w14:paraId="5DEDB706">
      <w:pPr>
        <w:ind w:firstLine="480"/>
        <w:rPr>
          <w:rFonts w:asciiTheme="minorEastAsia" w:hAnsiTheme="minorEastAsia" w:eastAsiaTheme="minorEastAsia"/>
          <w:lang w:eastAsia="zh-CN"/>
        </w:rPr>
      </w:pPr>
      <w:r>
        <w:rPr>
          <w:rFonts w:asciiTheme="minorEastAsia" w:hAnsiTheme="minorEastAsia" w:eastAsiaTheme="minorEastAsia"/>
          <w:lang w:eastAsia="zh-CN"/>
        </w:rPr>
        <w:t>联合站内建设储油罐</w:t>
      </w:r>
      <w:r>
        <w:rPr>
          <w:rFonts w:hint="eastAsia" w:asciiTheme="minorEastAsia" w:hAnsiTheme="minorEastAsia" w:eastAsiaTheme="minorEastAsia"/>
          <w:lang w:eastAsia="zh-CN"/>
        </w:rPr>
        <w:t>3具，每罐</w:t>
      </w:r>
      <w:r>
        <w:rPr>
          <w:rFonts w:asciiTheme="minorEastAsia" w:hAnsiTheme="minorEastAsia" w:eastAsiaTheme="minorEastAsia"/>
          <w:lang w:eastAsia="zh-CN"/>
        </w:rPr>
        <w:t>体积</w:t>
      </w:r>
      <w:r>
        <w:rPr>
          <w:rFonts w:hint="eastAsia" w:asciiTheme="minorEastAsia" w:hAnsiTheme="minorEastAsia" w:eastAsiaTheme="minorEastAsia"/>
          <w:lang w:eastAsia="zh-CN"/>
        </w:rPr>
        <w:t>5</w:t>
      </w:r>
      <w:r>
        <w:rPr>
          <w:rFonts w:asciiTheme="minorEastAsia" w:hAnsiTheme="minorEastAsia" w:eastAsiaTheme="minorEastAsia"/>
          <w:lang w:eastAsia="zh-CN"/>
        </w:rPr>
        <w:t>00m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，这些储油罐也是发生火灾和爆炸的重要风险源。</w:t>
      </w:r>
    </w:p>
    <w:p w14:paraId="4E8B2404">
      <w:pPr>
        <w:ind w:firstLine="480"/>
        <w:rPr>
          <w:rFonts w:asciiTheme="minorEastAsia" w:hAnsiTheme="minorEastAsia" w:eastAsiaTheme="minorEastAsia"/>
          <w:lang w:eastAsia="zh-CN"/>
        </w:rPr>
      </w:pPr>
      <w:r>
        <w:rPr>
          <w:rFonts w:asciiTheme="minorEastAsia" w:hAnsiTheme="minorEastAsia" w:eastAsiaTheme="minorEastAsia"/>
          <w:lang w:eastAsia="zh-CN"/>
        </w:rPr>
        <w:t>通过对关键单元的重点部位、薄弱环节进行分析，具体见11.3-1，确定本项目贮存环节最大可信事故为储罐泄漏，泄漏物料主要以液相油泄漏为主，泄漏中伴有少量烃类气体，向周围环境扩散。储罐典型泄漏通常发生在罐体与外界连接部位，本次评价假定管路系统或储罐阀门损坏导致储罐泄漏。</w:t>
      </w:r>
    </w:p>
    <w:p w14:paraId="2956A118">
      <w:pPr>
        <w:spacing w:line="240" w:lineRule="auto"/>
        <w:ind w:firstLine="354" w:firstLineChars="147"/>
        <w:rPr>
          <w:b/>
          <w:lang w:eastAsia="zh-CN"/>
        </w:rPr>
      </w:pPr>
      <w:r>
        <w:rPr>
          <w:b/>
          <w:lang w:eastAsia="zh-CN"/>
        </w:rPr>
        <w:t xml:space="preserve">表11.3-1  </w:t>
      </w:r>
      <w:r>
        <w:rPr>
          <w:rFonts w:hint="eastAsia"/>
          <w:b/>
          <w:lang w:eastAsia="zh-CN"/>
        </w:rPr>
        <w:t xml:space="preserve">  </w:t>
      </w:r>
      <w:r>
        <w:rPr>
          <w:b/>
          <w:lang w:eastAsia="zh-CN"/>
        </w:rPr>
        <w:t>重点部位及薄弱环节分析一览表</w:t>
      </w:r>
    </w:p>
    <w:tbl>
      <w:tblPr>
        <w:tblStyle w:val="7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22"/>
        <w:gridCol w:w="1515"/>
        <w:gridCol w:w="1614"/>
        <w:gridCol w:w="1735"/>
        <w:gridCol w:w="2443"/>
      </w:tblGrid>
      <w:tr w14:paraId="618213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2" w:type="dxa"/>
            <w:vMerge w:val="restart"/>
            <w:vAlign w:val="center"/>
          </w:tcPr>
          <w:p w14:paraId="253272D5">
            <w:pPr>
              <w:pStyle w:val="337"/>
              <w:adjustRightInd w:val="0"/>
              <w:snapToGrid w:val="0"/>
              <w:rPr>
                <w:color w:val="auto"/>
                <w:lang w:val="en-US" w:eastAsia="en-US" w:bidi="en-US"/>
              </w:rPr>
            </w:pPr>
            <w:r>
              <w:rPr>
                <w:color w:val="auto"/>
                <w:lang w:val="en-US" w:eastAsia="en-US" w:bidi="en-US"/>
              </w:rPr>
              <w:t>重点部位</w:t>
            </w:r>
          </w:p>
        </w:tc>
        <w:tc>
          <w:tcPr>
            <w:tcW w:w="1515" w:type="dxa"/>
            <w:vMerge w:val="restart"/>
            <w:vAlign w:val="center"/>
          </w:tcPr>
          <w:p w14:paraId="426402EC">
            <w:pPr>
              <w:pStyle w:val="337"/>
              <w:adjustRightInd w:val="0"/>
              <w:snapToGrid w:val="0"/>
              <w:rPr>
                <w:color w:val="auto"/>
                <w:lang w:val="en-US" w:eastAsia="en-US" w:bidi="en-US"/>
              </w:rPr>
            </w:pPr>
            <w:r>
              <w:rPr>
                <w:color w:val="auto"/>
                <w:lang w:val="en-US" w:eastAsia="en-US" w:bidi="en-US"/>
              </w:rPr>
              <w:t>薄弱环节</w:t>
            </w:r>
          </w:p>
        </w:tc>
        <w:tc>
          <w:tcPr>
            <w:tcW w:w="5792" w:type="dxa"/>
            <w:gridSpan w:val="3"/>
            <w:vAlign w:val="center"/>
          </w:tcPr>
          <w:p w14:paraId="24D617CE">
            <w:pPr>
              <w:pStyle w:val="337"/>
              <w:adjustRightInd w:val="0"/>
              <w:snapToGrid w:val="0"/>
              <w:rPr>
                <w:color w:val="auto"/>
                <w:lang w:val="en-US" w:eastAsia="en-US" w:bidi="en-US"/>
              </w:rPr>
            </w:pPr>
            <w:r>
              <w:rPr>
                <w:color w:val="auto"/>
                <w:lang w:val="en-US" w:eastAsia="en-US" w:bidi="en-US"/>
              </w:rPr>
              <w:t>可能发生的事故</w:t>
            </w:r>
          </w:p>
        </w:tc>
      </w:tr>
      <w:tr w14:paraId="208308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2" w:type="dxa"/>
            <w:vMerge w:val="continue"/>
            <w:vAlign w:val="center"/>
          </w:tcPr>
          <w:p w14:paraId="627095BD">
            <w:pPr>
              <w:pStyle w:val="337"/>
              <w:adjustRightInd w:val="0"/>
              <w:snapToGrid w:val="0"/>
              <w:rPr>
                <w:color w:val="auto"/>
                <w:lang w:val="en-US" w:eastAsia="en-US" w:bidi="en-US"/>
              </w:rPr>
            </w:pPr>
          </w:p>
        </w:tc>
        <w:tc>
          <w:tcPr>
            <w:tcW w:w="1515" w:type="dxa"/>
            <w:vMerge w:val="continue"/>
            <w:vAlign w:val="center"/>
          </w:tcPr>
          <w:p w14:paraId="488855A7">
            <w:pPr>
              <w:pStyle w:val="337"/>
              <w:adjustRightInd w:val="0"/>
              <w:snapToGrid w:val="0"/>
              <w:rPr>
                <w:color w:val="auto"/>
                <w:lang w:val="en-US" w:eastAsia="en-US" w:bidi="en-US"/>
              </w:rPr>
            </w:pPr>
          </w:p>
        </w:tc>
        <w:tc>
          <w:tcPr>
            <w:tcW w:w="1614" w:type="dxa"/>
            <w:vAlign w:val="center"/>
          </w:tcPr>
          <w:p w14:paraId="1DC63939">
            <w:pPr>
              <w:pStyle w:val="337"/>
              <w:adjustRightInd w:val="0"/>
              <w:snapToGrid w:val="0"/>
              <w:rPr>
                <w:color w:val="auto"/>
                <w:lang w:val="en-US" w:eastAsia="en-US" w:bidi="en-US"/>
              </w:rPr>
            </w:pPr>
            <w:r>
              <w:rPr>
                <w:color w:val="auto"/>
                <w:lang w:val="en-US" w:eastAsia="en-US" w:bidi="en-US"/>
              </w:rPr>
              <w:t>原因</w:t>
            </w:r>
          </w:p>
        </w:tc>
        <w:tc>
          <w:tcPr>
            <w:tcW w:w="1735" w:type="dxa"/>
            <w:vAlign w:val="center"/>
          </w:tcPr>
          <w:p w14:paraId="7C120A4B">
            <w:pPr>
              <w:pStyle w:val="337"/>
              <w:adjustRightInd w:val="0"/>
              <w:snapToGrid w:val="0"/>
              <w:rPr>
                <w:color w:val="auto"/>
                <w:lang w:val="en-US" w:eastAsia="en-US" w:bidi="en-US"/>
              </w:rPr>
            </w:pPr>
            <w:r>
              <w:rPr>
                <w:color w:val="auto"/>
                <w:lang w:val="en-US" w:eastAsia="en-US" w:bidi="en-US"/>
              </w:rPr>
              <w:t>类型</w:t>
            </w:r>
          </w:p>
        </w:tc>
        <w:tc>
          <w:tcPr>
            <w:tcW w:w="2443" w:type="dxa"/>
            <w:vAlign w:val="center"/>
          </w:tcPr>
          <w:p w14:paraId="6FAD1161">
            <w:pPr>
              <w:pStyle w:val="337"/>
              <w:adjustRightInd w:val="0"/>
              <w:snapToGrid w:val="0"/>
              <w:rPr>
                <w:color w:val="auto"/>
                <w:lang w:val="en-US" w:eastAsia="en-US" w:bidi="en-US"/>
              </w:rPr>
            </w:pPr>
            <w:r>
              <w:rPr>
                <w:color w:val="auto"/>
                <w:lang w:val="en-US" w:eastAsia="en-US" w:bidi="en-US"/>
              </w:rPr>
              <w:t>后果</w:t>
            </w:r>
          </w:p>
        </w:tc>
      </w:tr>
      <w:tr w14:paraId="1EC9EB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95" w:hRule="atLeast"/>
          <w:jc w:val="center"/>
        </w:trPr>
        <w:tc>
          <w:tcPr>
            <w:tcW w:w="1222" w:type="dxa"/>
            <w:vAlign w:val="center"/>
          </w:tcPr>
          <w:p w14:paraId="145F417C">
            <w:pPr>
              <w:pStyle w:val="337"/>
              <w:adjustRightInd w:val="0"/>
              <w:snapToGrid w:val="0"/>
              <w:rPr>
                <w:color w:val="auto"/>
                <w:lang w:val="en-US" w:eastAsia="en-US" w:bidi="en-US"/>
              </w:rPr>
            </w:pPr>
            <w:r>
              <w:rPr>
                <w:color w:val="auto"/>
                <w:lang w:val="en-US" w:eastAsia="en-US" w:bidi="en-US"/>
              </w:rPr>
              <w:t>罐区</w:t>
            </w:r>
          </w:p>
        </w:tc>
        <w:tc>
          <w:tcPr>
            <w:tcW w:w="1515" w:type="dxa"/>
            <w:vAlign w:val="center"/>
          </w:tcPr>
          <w:p w14:paraId="30C0E8B4">
            <w:pPr>
              <w:pStyle w:val="337"/>
              <w:adjustRightInd w:val="0"/>
              <w:snapToGrid w:val="0"/>
              <w:rPr>
                <w:color w:val="auto"/>
                <w:lang w:val="en-US" w:eastAsia="en-US" w:bidi="en-US"/>
              </w:rPr>
            </w:pPr>
            <w:r>
              <w:rPr>
                <w:color w:val="auto"/>
                <w:lang w:val="en-US" w:eastAsia="en-US" w:bidi="en-US"/>
              </w:rPr>
              <w:t>罐</w:t>
            </w:r>
          </w:p>
          <w:p w14:paraId="683D4AB1">
            <w:pPr>
              <w:pStyle w:val="337"/>
              <w:adjustRightInd w:val="0"/>
              <w:snapToGrid w:val="0"/>
              <w:rPr>
                <w:color w:val="auto"/>
                <w:lang w:val="en-US" w:eastAsia="en-US" w:bidi="en-US"/>
              </w:rPr>
            </w:pPr>
            <w:r>
              <w:rPr>
                <w:color w:val="auto"/>
                <w:lang w:val="en-US" w:eastAsia="en-US" w:bidi="en-US"/>
              </w:rPr>
              <w:t>管线</w:t>
            </w:r>
          </w:p>
          <w:p w14:paraId="55D69B5B">
            <w:pPr>
              <w:pStyle w:val="337"/>
              <w:adjustRightInd w:val="0"/>
              <w:snapToGrid w:val="0"/>
              <w:rPr>
                <w:color w:val="auto"/>
                <w:lang w:val="en-US" w:eastAsia="en-US" w:bidi="en-US"/>
              </w:rPr>
            </w:pPr>
            <w:r>
              <w:rPr>
                <w:color w:val="auto"/>
                <w:lang w:val="en-US" w:eastAsia="en-US" w:bidi="en-US"/>
              </w:rPr>
              <w:t>动静密封点</w:t>
            </w:r>
          </w:p>
        </w:tc>
        <w:tc>
          <w:tcPr>
            <w:tcW w:w="1614" w:type="dxa"/>
            <w:vAlign w:val="center"/>
          </w:tcPr>
          <w:p w14:paraId="1D029C67">
            <w:pPr>
              <w:pStyle w:val="337"/>
              <w:adjustRightInd w:val="0"/>
              <w:snapToGrid w:val="0"/>
              <w:rPr>
                <w:color w:val="auto"/>
                <w:lang w:val="en-US" w:eastAsia="zh-CN" w:bidi="en-US"/>
              </w:rPr>
            </w:pPr>
            <w:r>
              <w:rPr>
                <w:color w:val="auto"/>
                <w:lang w:val="en-US" w:eastAsia="zh-CN" w:bidi="en-US"/>
              </w:rPr>
              <w:t>操作失误</w:t>
            </w:r>
          </w:p>
          <w:p w14:paraId="10604A39">
            <w:pPr>
              <w:pStyle w:val="337"/>
              <w:adjustRightInd w:val="0"/>
              <w:snapToGrid w:val="0"/>
              <w:rPr>
                <w:color w:val="auto"/>
                <w:lang w:val="en-US" w:eastAsia="zh-CN" w:bidi="en-US"/>
              </w:rPr>
            </w:pPr>
            <w:r>
              <w:rPr>
                <w:color w:val="auto"/>
                <w:lang w:val="en-US" w:eastAsia="zh-CN" w:bidi="en-US"/>
              </w:rPr>
              <w:t>维护保养不当</w:t>
            </w:r>
          </w:p>
        </w:tc>
        <w:tc>
          <w:tcPr>
            <w:tcW w:w="1735" w:type="dxa"/>
            <w:vAlign w:val="center"/>
          </w:tcPr>
          <w:p w14:paraId="3C031946">
            <w:pPr>
              <w:pStyle w:val="337"/>
              <w:adjustRightInd w:val="0"/>
              <w:snapToGrid w:val="0"/>
              <w:rPr>
                <w:color w:val="auto"/>
                <w:lang w:val="en-US" w:eastAsia="zh-CN" w:bidi="en-US"/>
              </w:rPr>
            </w:pPr>
            <w:r>
              <w:rPr>
                <w:color w:val="auto"/>
                <w:lang w:val="en-US" w:eastAsia="zh-CN" w:bidi="en-US"/>
              </w:rPr>
              <w:t>密封点损坏</w:t>
            </w:r>
          </w:p>
          <w:p w14:paraId="54742AC2">
            <w:pPr>
              <w:pStyle w:val="337"/>
              <w:adjustRightInd w:val="0"/>
              <w:snapToGrid w:val="0"/>
              <w:rPr>
                <w:color w:val="auto"/>
                <w:lang w:val="en-US" w:eastAsia="zh-CN" w:bidi="en-US"/>
              </w:rPr>
            </w:pPr>
            <w:r>
              <w:rPr>
                <w:color w:val="auto"/>
                <w:lang w:val="en-US" w:eastAsia="zh-CN" w:bidi="en-US"/>
              </w:rPr>
              <w:t>管线堵塞</w:t>
            </w:r>
          </w:p>
          <w:p w14:paraId="1BF54785">
            <w:pPr>
              <w:pStyle w:val="337"/>
              <w:adjustRightInd w:val="0"/>
              <w:snapToGrid w:val="0"/>
              <w:rPr>
                <w:color w:val="auto"/>
                <w:lang w:val="en-US" w:eastAsia="zh-CN" w:bidi="en-US"/>
              </w:rPr>
            </w:pPr>
            <w:r>
              <w:rPr>
                <w:color w:val="auto"/>
                <w:lang w:val="en-US" w:eastAsia="zh-CN" w:bidi="en-US"/>
              </w:rPr>
              <w:t>漏料</w:t>
            </w:r>
          </w:p>
        </w:tc>
        <w:tc>
          <w:tcPr>
            <w:tcW w:w="2443" w:type="dxa"/>
            <w:vAlign w:val="center"/>
          </w:tcPr>
          <w:p w14:paraId="04A8357D">
            <w:pPr>
              <w:pStyle w:val="337"/>
              <w:adjustRightInd w:val="0"/>
              <w:snapToGrid w:val="0"/>
              <w:rPr>
                <w:color w:val="auto"/>
                <w:lang w:val="en-US" w:eastAsia="zh-CN" w:bidi="en-US"/>
              </w:rPr>
            </w:pPr>
            <w:r>
              <w:rPr>
                <w:color w:val="auto"/>
                <w:lang w:val="en-US" w:eastAsia="zh-CN" w:bidi="en-US"/>
              </w:rPr>
              <w:t>物料泄漏</w:t>
            </w:r>
          </w:p>
          <w:p w14:paraId="32BC147F">
            <w:pPr>
              <w:pStyle w:val="337"/>
              <w:adjustRightInd w:val="0"/>
              <w:snapToGrid w:val="0"/>
              <w:rPr>
                <w:color w:val="auto"/>
                <w:lang w:val="en-US" w:eastAsia="zh-CN" w:bidi="en-US"/>
              </w:rPr>
            </w:pPr>
            <w:r>
              <w:rPr>
                <w:color w:val="auto"/>
                <w:lang w:val="en-US" w:eastAsia="zh-CN" w:bidi="en-US"/>
              </w:rPr>
              <w:t>遇火源发生火灾、爆炸</w:t>
            </w:r>
          </w:p>
        </w:tc>
      </w:tr>
    </w:tbl>
    <w:p w14:paraId="6B69B44C">
      <w:pPr>
        <w:pStyle w:val="4"/>
        <w:rPr>
          <w:lang w:eastAsia="zh-CN"/>
        </w:rPr>
      </w:pPr>
      <w:bookmarkStart w:id="781" w:name="_Toc338663592"/>
      <w:bookmarkStart w:id="782" w:name="_Toc408414047"/>
      <w:r>
        <w:rPr>
          <w:lang w:eastAsia="zh-CN"/>
        </w:rPr>
        <w:t>11.3.3管线破裂及放空作业</w:t>
      </w:r>
      <w:bookmarkEnd w:id="781"/>
      <w:bookmarkEnd w:id="782"/>
    </w:p>
    <w:p w14:paraId="62A8570A">
      <w:pPr>
        <w:ind w:firstLine="480"/>
        <w:rPr>
          <w:rFonts w:asciiTheme="minorEastAsia" w:hAnsiTheme="minorEastAsia" w:eastAsiaTheme="minorEastAsia"/>
          <w:lang w:eastAsia="zh-CN"/>
        </w:rPr>
      </w:pPr>
      <w:r>
        <w:rPr>
          <w:rFonts w:asciiTheme="minorEastAsia" w:hAnsiTheme="minorEastAsia" w:eastAsiaTheme="minorEastAsia"/>
          <w:lang w:eastAsia="zh-CN"/>
        </w:rPr>
        <w:t>评价油区内的管线，由于腐蚀，地面挖掘损坏、自然灾害或管线内压力过高，均会造成管线破裂、油气泄漏。另外，在操作过程中，由于管线内压力过高，操作人员进行放空都会造成不同程度的污染。据国内外资料统计，油气管道的事故率一般为0.9次/公里·年，泄漏率为百万分之四。</w:t>
      </w:r>
    </w:p>
    <w:p w14:paraId="0049A8A1">
      <w:pPr>
        <w:ind w:firstLine="480"/>
        <w:rPr>
          <w:rFonts w:asciiTheme="minorEastAsia" w:hAnsiTheme="minorEastAsia" w:eastAsiaTheme="minorEastAsia"/>
          <w:lang w:eastAsia="zh-CN"/>
        </w:rPr>
      </w:pPr>
      <w:r>
        <w:rPr>
          <w:rFonts w:asciiTheme="minorEastAsia" w:hAnsiTheme="minorEastAsia" w:eastAsiaTheme="minorEastAsia"/>
          <w:lang w:eastAsia="zh-CN"/>
        </w:rPr>
        <w:t>因此，油田建设应加强管理，杜绝任何形式的放空作业，同时，还应加强防腐，及时更新管道设备，尽量减少管道破裂现象。</w:t>
      </w:r>
    </w:p>
    <w:p w14:paraId="369F1602">
      <w:pPr>
        <w:pStyle w:val="4"/>
        <w:rPr>
          <w:lang w:eastAsia="zh-CN"/>
        </w:rPr>
      </w:pPr>
      <w:bookmarkStart w:id="783" w:name="_Toc408414048"/>
      <w:bookmarkStart w:id="784" w:name="_Toc338663593"/>
      <w:r>
        <w:rPr>
          <w:lang w:eastAsia="zh-CN"/>
        </w:rPr>
        <w:t>11.3.4机械损坏事故</w:t>
      </w:r>
      <w:bookmarkEnd w:id="783"/>
      <w:bookmarkEnd w:id="784"/>
    </w:p>
    <w:p w14:paraId="112EC3BE">
      <w:pPr>
        <w:ind w:firstLine="480"/>
        <w:rPr>
          <w:rFonts w:asciiTheme="minorEastAsia" w:hAnsiTheme="minorEastAsia" w:eastAsiaTheme="minorEastAsia"/>
          <w:lang w:eastAsia="zh-CN"/>
        </w:rPr>
      </w:pPr>
      <w:r>
        <w:rPr>
          <w:rFonts w:asciiTheme="minorEastAsia" w:hAnsiTheme="minorEastAsia" w:eastAsiaTheme="minorEastAsia"/>
          <w:lang w:eastAsia="zh-CN"/>
        </w:rPr>
        <w:t>抽油杆断裂是采油过程中偶发性事故，事故发生后，原油从井口溢出造成污染。在采油生产过程中应加强对设备机械的维护，避免抽油杆断裂事故的发生。</w:t>
      </w:r>
    </w:p>
    <w:p w14:paraId="1814CE67">
      <w:pPr>
        <w:pStyle w:val="4"/>
        <w:rPr>
          <w:lang w:eastAsia="zh-CN"/>
        </w:rPr>
      </w:pPr>
      <w:bookmarkStart w:id="785" w:name="_Toc408414049"/>
      <w:bookmarkStart w:id="786" w:name="_Toc338663594"/>
      <w:r>
        <w:rPr>
          <w:lang w:eastAsia="zh-CN"/>
        </w:rPr>
        <w:t>11.3.5洪涝灾害</w:t>
      </w:r>
      <w:bookmarkEnd w:id="785"/>
      <w:bookmarkEnd w:id="786"/>
    </w:p>
    <w:p w14:paraId="65AFAA2A">
      <w:pPr>
        <w:ind w:firstLine="480"/>
        <w:rPr>
          <w:rFonts w:asciiTheme="minorEastAsia" w:hAnsiTheme="minorEastAsia" w:eastAsiaTheme="minorEastAsia"/>
          <w:lang w:eastAsia="zh-CN"/>
        </w:rPr>
      </w:pPr>
      <w:r>
        <w:rPr>
          <w:rFonts w:asciiTheme="minorEastAsia" w:hAnsiTheme="minorEastAsia" w:eastAsiaTheme="minorEastAsia"/>
          <w:lang w:eastAsia="zh-CN"/>
        </w:rPr>
        <w:t>受洪涝灾害影响最大的是井场上的泥浆和污油池。按照规定，在洪涝期来到之前，应将井场两池中污染物清理干净，并垫上新土覆盖，若未进行以上处理，则雨水将会将两类池中的油及其它污染物漫延开，污染油区的土壤及植被。本项目处于干旱半干旱地区，地降水少而蒸发强烈，年降水量远低于年蒸发量，发生暴雨、洪涝灾害的可能性很小。在油田生产运营过程中特别是雨季，应加强井场管理。由于井喷、管线爆裂、洪涝灾害等事故的产生具有很大的不确定性，本次的风险分析，将主要考虑雅斯联合站</w:t>
      </w:r>
      <w:r>
        <w:rPr>
          <w:rFonts w:hint="eastAsia" w:asciiTheme="minorEastAsia" w:hAnsiTheme="minorEastAsia" w:eastAsiaTheme="minorEastAsia"/>
          <w:lang w:eastAsia="zh-CN"/>
        </w:rPr>
        <w:t>3具</w:t>
      </w:r>
      <w:r>
        <w:rPr>
          <w:rFonts w:asciiTheme="minorEastAsia" w:hAnsiTheme="minorEastAsia" w:eastAsiaTheme="minorEastAsia"/>
          <w:lang w:eastAsia="zh-CN"/>
        </w:rPr>
        <w:t>储油罐。对储油罐固有的、潜在的污染事故的危险程度进行分析，并对突发性污染事故进行影响预测。</w:t>
      </w:r>
    </w:p>
    <w:p w14:paraId="66D23CD0">
      <w:pPr>
        <w:pStyle w:val="4"/>
        <w:rPr>
          <w:lang w:eastAsia="zh-CN"/>
        </w:rPr>
      </w:pPr>
      <w:bookmarkStart w:id="787" w:name="_Toc408414050"/>
      <w:bookmarkStart w:id="788" w:name="_Toc338663595"/>
      <w:r>
        <w:rPr>
          <w:lang w:eastAsia="zh-CN"/>
        </w:rPr>
        <w:t>11.3.6风险事故概率估算</w:t>
      </w:r>
      <w:bookmarkEnd w:id="787"/>
      <w:bookmarkEnd w:id="788"/>
    </w:p>
    <w:p w14:paraId="727885E1">
      <w:pPr>
        <w:ind w:firstLine="480"/>
        <w:rPr>
          <w:rFonts w:asciiTheme="minorEastAsia" w:hAnsiTheme="minorEastAsia" w:eastAsiaTheme="minorEastAsia"/>
          <w:lang w:eastAsia="zh-CN"/>
        </w:rPr>
      </w:pPr>
      <w:r>
        <w:rPr>
          <w:rFonts w:asciiTheme="minorEastAsia" w:hAnsiTheme="minorEastAsia" w:eastAsiaTheme="minorEastAsia"/>
          <w:lang w:eastAsia="zh-CN"/>
        </w:rPr>
        <w:t>根据《环境风险评价实用技术与方法》中统计数据，目前国内石油化工装置典型事故风险概率在1×10</w:t>
      </w:r>
      <w:r>
        <w:rPr>
          <w:rFonts w:asciiTheme="minorEastAsia" w:hAnsiTheme="minorEastAsia" w:eastAsiaTheme="minorEastAsia"/>
          <w:vertAlign w:val="superscript"/>
          <w:lang w:eastAsia="zh-CN"/>
        </w:rPr>
        <w:t>-5</w:t>
      </w:r>
      <w:r>
        <w:rPr>
          <w:rFonts w:asciiTheme="minorEastAsia" w:hAnsiTheme="minorEastAsia" w:eastAsiaTheme="minorEastAsia"/>
          <w:lang w:eastAsia="zh-CN"/>
        </w:rPr>
        <w:t>次/年左右，乌里雅斯太油田开发项目可类比其它现有生产、储运装置发生风险事故的原因和概率，因为本项目是原油储罐，工程风险事故发生概率应低于国内石油化工典型事故概率。因此本次风险评价确定本项目风险事故概率为1×10</w:t>
      </w:r>
      <w:r>
        <w:rPr>
          <w:rFonts w:asciiTheme="minorEastAsia" w:hAnsiTheme="minorEastAsia" w:eastAsiaTheme="minorEastAsia"/>
          <w:vertAlign w:val="superscript"/>
          <w:lang w:eastAsia="zh-CN"/>
        </w:rPr>
        <w:t>-5</w:t>
      </w:r>
      <w:r>
        <w:rPr>
          <w:rFonts w:asciiTheme="minorEastAsia" w:hAnsiTheme="minorEastAsia" w:eastAsiaTheme="minorEastAsia"/>
          <w:lang w:eastAsia="zh-CN"/>
        </w:rPr>
        <w:t>次/年。到目前为止还没有着火的油罐引燃邻近的油罐案例。</w:t>
      </w:r>
    </w:p>
    <w:p w14:paraId="0662D2DF">
      <w:pPr>
        <w:pStyle w:val="3"/>
        <w:rPr>
          <w:lang w:eastAsia="zh-CN"/>
        </w:rPr>
      </w:pPr>
      <w:bookmarkStart w:id="789" w:name="_Toc338663596"/>
      <w:bookmarkStart w:id="790" w:name="_Toc408414051"/>
      <w:r>
        <w:rPr>
          <w:lang w:eastAsia="zh-CN"/>
        </w:rPr>
        <w:t>11.4风险计算和预测</w:t>
      </w:r>
      <w:bookmarkEnd w:id="789"/>
      <w:bookmarkEnd w:id="790"/>
    </w:p>
    <w:p w14:paraId="528B2678">
      <w:pPr>
        <w:ind w:firstLine="480"/>
        <w:rPr>
          <w:rFonts w:asciiTheme="minorEastAsia" w:hAnsiTheme="minorEastAsia" w:eastAsiaTheme="minorEastAsia"/>
          <w:lang w:eastAsia="zh-CN"/>
        </w:rPr>
      </w:pPr>
      <w:r>
        <w:rPr>
          <w:rFonts w:asciiTheme="minorEastAsia" w:hAnsiTheme="minorEastAsia" w:eastAsiaTheme="minorEastAsia"/>
          <w:lang w:eastAsia="zh-CN"/>
        </w:rPr>
        <w:t>储油罐事故风险后果计算所应用的预测模型按照《建设项目环境风险评价技术导则》（HJ/T169-2004）中规定和推荐的预测模型来进行项目事故风险后果的预测工作，涉及火灾爆炸问题的预测模式选用相关安全评价软件进行后果计算工作。</w:t>
      </w:r>
    </w:p>
    <w:p w14:paraId="7D1B2607">
      <w:pPr>
        <w:pStyle w:val="4"/>
        <w:rPr>
          <w:lang w:eastAsia="zh-CN"/>
        </w:rPr>
      </w:pPr>
      <w:bookmarkStart w:id="791" w:name="_Toc408414052"/>
      <w:bookmarkStart w:id="792" w:name="_Toc338663597"/>
      <w:r>
        <w:rPr>
          <w:lang w:eastAsia="zh-CN"/>
        </w:rPr>
        <w:t>11.4.1罐区泄漏</w:t>
      </w:r>
      <w:bookmarkEnd w:id="791"/>
      <w:bookmarkEnd w:id="792"/>
    </w:p>
    <w:p w14:paraId="42A563FB">
      <w:pPr>
        <w:ind w:firstLine="480"/>
        <w:rPr>
          <w:lang w:eastAsia="zh-CN"/>
        </w:rPr>
      </w:pPr>
      <w:r>
        <w:rPr>
          <w:lang w:eastAsia="zh-CN"/>
        </w:rPr>
        <w:t>储罐典型泄漏通常发生在罐体与外界连接部位，本次评价假定管路系统或储罐阀门损坏导致储罐泄漏。</w:t>
      </w:r>
    </w:p>
    <w:p w14:paraId="5D5CD1BA">
      <w:pPr>
        <w:ind w:firstLine="480"/>
        <w:rPr>
          <w:lang w:eastAsia="zh-CN"/>
        </w:rPr>
      </w:pPr>
      <w:r>
        <w:rPr>
          <w:lang w:eastAsia="zh-CN"/>
        </w:rPr>
        <w:t>储油罐为内浮顶罐，单罐最大容积为</w:t>
      </w:r>
      <w:r>
        <w:rPr>
          <w:rFonts w:hint="eastAsia"/>
          <w:lang w:eastAsia="zh-CN"/>
        </w:rPr>
        <w:t>5</w:t>
      </w:r>
      <w:r>
        <w:rPr>
          <w:lang w:eastAsia="zh-CN"/>
        </w:rPr>
        <w:t>00m</w:t>
      </w:r>
      <w:r>
        <w:rPr>
          <w:vertAlign w:val="superscript"/>
          <w:lang w:eastAsia="zh-CN"/>
        </w:rPr>
        <w:t>3</w:t>
      </w:r>
      <w:r>
        <w:rPr>
          <w:lang w:eastAsia="zh-CN"/>
        </w:rPr>
        <w:t xml:space="preserve">，假定有一个储罐发生泄漏后，安全系统报警，操作人员在20min内使储罐泄漏得到制止。    </w:t>
      </w:r>
    </w:p>
    <w:p w14:paraId="05AE0269">
      <w:pPr>
        <w:ind w:firstLine="480"/>
      </w:pPr>
      <w:r>
        <w:t>液体泄漏速率采用柏努利（Bernoulli）方程计算：</w:t>
      </w:r>
    </w:p>
    <w:p w14:paraId="222E2CBD">
      <w:pPr>
        <w:ind w:firstLine="1680" w:firstLineChars="700"/>
      </w:pPr>
      <w:r>
        <w:rPr>
          <w:position w:val="-10"/>
        </w:rPr>
        <w:object>
          <v:shape id="_x0000_i1030" o:spt="75" type="#_x0000_t75" style="height:17.25pt;width:9pt;" o:ole="t" filled="f" o:preferrelative="t" stroked="f" coordsize="21600,21600">
            <v:path/>
            <v:fill on="f" focussize="0,0"/>
            <v:stroke on="f" joinstyle="miter"/>
            <v:imagedata r:id="rId49" o:title=""/>
            <o:lock v:ext="edit" aspectratio="t"/>
            <w10:wrap type="none"/>
            <w10:anchorlock/>
          </v:shape>
          <o:OLEObject Type="Embed" ProgID="Equation.3" ShapeID="_x0000_i1030" DrawAspect="Content" ObjectID="_1468075732" r:id="rId48">
            <o:LockedField>false</o:LockedField>
          </o:OLEObject>
        </w:object>
      </w:r>
      <w:r>
        <w:rPr>
          <w:position w:val="-30"/>
        </w:rPr>
        <w:object>
          <v:shape id="_x0000_i1031" o:spt="75" type="#_x0000_t75" style="height:36.75pt;width:149.25pt;" o:ole="t" filled="f" o:preferrelative="t" stroked="f" coordsize="21600,21600">
            <v:path/>
            <v:fill on="f" focussize="0,0"/>
            <v:stroke on="f" joinstyle="miter"/>
            <v:imagedata r:id="rId51" o:title=""/>
            <o:lock v:ext="edit" aspectratio="t"/>
            <w10:wrap type="none"/>
            <w10:anchorlock/>
          </v:shape>
          <o:OLEObject Type="Embed" ProgID="Equation.3" ShapeID="_x0000_i1031" DrawAspect="Content" ObjectID="_1468075733" r:id="rId50">
            <o:LockedField>false</o:LockedField>
          </o:OLEObject>
        </w:object>
      </w:r>
    </w:p>
    <w:p w14:paraId="0AA9AB47">
      <w:pPr>
        <w:autoSpaceDE w:val="0"/>
        <w:autoSpaceDN w:val="0"/>
        <w:ind w:firstLine="480"/>
      </w:pPr>
      <w:r>
        <w:t>式中：</w:t>
      </w:r>
      <w:r>
        <w:object>
          <v:shape id="_x0000_i1032" o:spt="75" type="#_x0000_t75" style="height:12pt;width:12.75pt;" o:ole="t" filled="f" o:preferrelative="t" stroked="f" coordsize="21600,21600">
            <v:path/>
            <v:fill on="f" focussize="0,0"/>
            <v:stroke on="f" joinstyle="miter"/>
            <v:imagedata r:id="rId53" o:title=""/>
            <o:lock v:ext="edit" aspectratio="t"/>
            <w10:wrap type="none"/>
            <w10:anchorlock/>
          </v:shape>
          <o:OLEObject Type="Embed" ProgID="Equation.3" ShapeID="_x0000_i1032" DrawAspect="Content" ObjectID="_1468075734" r:id="rId52">
            <o:LockedField>false</o:LockedField>
          </o:OLEObject>
        </w:object>
      </w:r>
      <w:r>
        <w:t>——液体泄漏速度，㎏/s；</w:t>
      </w:r>
    </w:p>
    <w:p w14:paraId="4A09BC06">
      <w:pPr>
        <w:autoSpaceDE w:val="0"/>
        <w:autoSpaceDN w:val="0"/>
        <w:ind w:firstLine="1200" w:firstLineChars="500"/>
        <w:rPr>
          <w:lang w:eastAsia="zh-CN"/>
        </w:rPr>
      </w:pPr>
      <w:r>
        <w:object>
          <v:shape id="_x0000_i1033" o:spt="75" type="#_x0000_t75" style="height:11.25pt;width:12pt;" o:ole="t" filled="f" o:preferrelative="t" stroked="f" coordsize="21600,21600">
            <v:path/>
            <v:fill on="f" focussize="0,0"/>
            <v:stroke on="f" joinstyle="miter"/>
            <v:imagedata r:id="rId55" o:title=""/>
            <o:lock v:ext="edit" aspectratio="t"/>
            <w10:wrap type="none"/>
            <w10:anchorlock/>
          </v:shape>
          <o:OLEObject Type="Embed" ProgID="Equation.3" ShapeID="_x0000_i1033" DrawAspect="Content" ObjectID="_1468075735" r:id="rId54">
            <o:LockedField>false</o:LockedField>
          </o:OLEObject>
        </w:object>
      </w:r>
      <w:r>
        <w:rPr>
          <w:lang w:eastAsia="zh-CN"/>
        </w:rPr>
        <w:t>——液体泄漏系数，此值常用0.6～0.64；</w:t>
      </w:r>
    </w:p>
    <w:p w14:paraId="2C5741EC">
      <w:pPr>
        <w:autoSpaceDE w:val="0"/>
        <w:autoSpaceDN w:val="0"/>
        <w:ind w:firstLine="1200" w:firstLineChars="500"/>
        <w:rPr>
          <w:lang w:eastAsia="zh-CN"/>
        </w:rPr>
      </w:pPr>
      <w:r>
        <w:rPr>
          <w:lang w:eastAsia="zh-CN" w:bidi="ar-SA"/>
        </w:rPr>
        <w:drawing>
          <wp:inline distT="0" distB="0" distL="0" distR="0">
            <wp:extent cx="142875" cy="142875"/>
            <wp:effectExtent l="19050" t="0" r="9525" b="0"/>
            <wp:docPr id="2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5"/>
                    <pic:cNvPicPr>
                      <a:picLocks noChangeAspect="1" noChangeArrowheads="1"/>
                    </pic:cNvPicPr>
                  </pic:nvPicPr>
                  <pic:blipFill>
                    <a:blip r:embed="rId56"/>
                    <a:srcRect/>
                    <a:stretch>
                      <a:fillRect/>
                    </a:stretch>
                  </pic:blipFill>
                  <pic:spPr>
                    <a:xfrm>
                      <a:off x="0" y="0"/>
                      <a:ext cx="142875" cy="142875"/>
                    </a:xfrm>
                    <a:prstGeom prst="rect">
                      <a:avLst/>
                    </a:prstGeom>
                    <a:noFill/>
                    <a:ln w="9525">
                      <a:noFill/>
                      <a:miter lim="800000"/>
                      <a:headEnd/>
                      <a:tailEnd/>
                    </a:ln>
                  </pic:spPr>
                </pic:pic>
              </a:graphicData>
            </a:graphic>
          </wp:inline>
        </w:drawing>
      </w:r>
      <w:r>
        <w:rPr>
          <w:lang w:eastAsia="zh-CN"/>
        </w:rPr>
        <w:t>——裂口面积，m</w:t>
      </w:r>
      <w:r>
        <w:rPr>
          <w:vertAlign w:val="superscript"/>
          <w:lang w:eastAsia="zh-CN"/>
        </w:rPr>
        <w:t>2</w:t>
      </w:r>
      <w:r>
        <w:rPr>
          <w:lang w:eastAsia="zh-CN"/>
        </w:rPr>
        <w:t>；</w:t>
      </w:r>
    </w:p>
    <w:p w14:paraId="10E5678E">
      <w:pPr>
        <w:autoSpaceDE w:val="0"/>
        <w:autoSpaceDN w:val="0"/>
        <w:ind w:firstLine="1200" w:firstLineChars="500"/>
        <w:rPr>
          <w:lang w:eastAsia="zh-CN"/>
        </w:rPr>
      </w:pPr>
      <w:r>
        <w:rPr>
          <w:lang w:eastAsia="zh-CN" w:bidi="ar-SA"/>
        </w:rPr>
        <w:drawing>
          <wp:inline distT="0" distB="0" distL="0" distR="0">
            <wp:extent cx="142875" cy="152400"/>
            <wp:effectExtent l="19050" t="0" r="0" b="0"/>
            <wp:docPr id="2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6"/>
                    <pic:cNvPicPr>
                      <a:picLocks noChangeAspect="1" noChangeArrowheads="1"/>
                    </pic:cNvPicPr>
                  </pic:nvPicPr>
                  <pic:blipFill>
                    <a:blip r:embed="rId57"/>
                    <a:srcRect/>
                    <a:stretch>
                      <a:fillRect/>
                    </a:stretch>
                  </pic:blipFill>
                  <pic:spPr>
                    <a:xfrm>
                      <a:off x="0" y="0"/>
                      <a:ext cx="142875" cy="152400"/>
                    </a:xfrm>
                    <a:prstGeom prst="rect">
                      <a:avLst/>
                    </a:prstGeom>
                    <a:noFill/>
                    <a:ln w="9525">
                      <a:noFill/>
                      <a:miter lim="800000"/>
                      <a:headEnd/>
                      <a:tailEnd/>
                    </a:ln>
                  </pic:spPr>
                </pic:pic>
              </a:graphicData>
            </a:graphic>
          </wp:inline>
        </w:drawing>
      </w:r>
      <w:r>
        <w:rPr>
          <w:lang w:eastAsia="zh-CN"/>
        </w:rPr>
        <w:t>——容器内介质压力，Pa；</w:t>
      </w:r>
    </w:p>
    <w:p w14:paraId="7D1BBE19">
      <w:pPr>
        <w:autoSpaceDE w:val="0"/>
        <w:autoSpaceDN w:val="0"/>
        <w:ind w:firstLine="1200" w:firstLineChars="500"/>
        <w:rPr>
          <w:lang w:eastAsia="zh-CN"/>
        </w:rPr>
      </w:pPr>
      <w:r>
        <w:rPr>
          <w:lang w:eastAsia="zh-CN" w:bidi="ar-SA"/>
        </w:rPr>
        <w:drawing>
          <wp:inline distT="0" distB="0" distL="0" distR="0">
            <wp:extent cx="161925" cy="152400"/>
            <wp:effectExtent l="19050" t="0" r="9525" b="0"/>
            <wp:docPr id="2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7"/>
                    <pic:cNvPicPr>
                      <a:picLocks noChangeAspect="1" noChangeArrowheads="1"/>
                    </pic:cNvPicPr>
                  </pic:nvPicPr>
                  <pic:blipFill>
                    <a:blip r:embed="rId58"/>
                    <a:srcRect/>
                    <a:stretch>
                      <a:fillRect/>
                    </a:stretch>
                  </pic:blipFill>
                  <pic:spPr>
                    <a:xfrm>
                      <a:off x="0" y="0"/>
                      <a:ext cx="161925" cy="152400"/>
                    </a:xfrm>
                    <a:prstGeom prst="rect">
                      <a:avLst/>
                    </a:prstGeom>
                    <a:noFill/>
                    <a:ln w="9525">
                      <a:noFill/>
                      <a:miter lim="800000"/>
                      <a:headEnd/>
                      <a:tailEnd/>
                    </a:ln>
                  </pic:spPr>
                </pic:pic>
              </a:graphicData>
            </a:graphic>
          </wp:inline>
        </w:drawing>
      </w:r>
      <w:r>
        <w:rPr>
          <w:lang w:eastAsia="zh-CN"/>
        </w:rPr>
        <w:t>——环境压力，Pa；</w:t>
      </w:r>
    </w:p>
    <w:p w14:paraId="75E3A7BF">
      <w:pPr>
        <w:autoSpaceDE w:val="0"/>
        <w:autoSpaceDN w:val="0"/>
        <w:ind w:firstLine="1200" w:firstLineChars="500"/>
        <w:rPr>
          <w:lang w:eastAsia="zh-CN"/>
        </w:rPr>
      </w:pPr>
      <w:r>
        <w:object>
          <v:shape id="_x0000_i1034" o:spt="75" type="#_x0000_t75" style="height:11.25pt;width:9.75pt;" o:ole="t" filled="f" o:preferrelative="t" stroked="f" coordsize="21600,21600">
            <v:path/>
            <v:fill on="f" focussize="0,0"/>
            <v:stroke on="f" joinstyle="miter"/>
            <v:imagedata r:id="rId60" o:title=""/>
            <o:lock v:ext="edit" aspectratio="t"/>
            <w10:wrap type="none"/>
            <w10:anchorlock/>
          </v:shape>
          <o:OLEObject Type="Embed" ProgID="Equation.3" ShapeID="_x0000_i1034" DrawAspect="Content" ObjectID="_1468075736" r:id="rId59">
            <o:LockedField>false</o:LockedField>
          </o:OLEObject>
        </w:object>
      </w:r>
      <w:r>
        <w:rPr>
          <w:lang w:eastAsia="zh-CN"/>
        </w:rPr>
        <w:t>——重力加速度；</w:t>
      </w:r>
    </w:p>
    <w:p w14:paraId="2BC44963">
      <w:pPr>
        <w:autoSpaceDE w:val="0"/>
        <w:autoSpaceDN w:val="0"/>
        <w:ind w:firstLine="1200" w:firstLineChars="500"/>
      </w:pPr>
      <w:r>
        <w:object>
          <v:shape id="_x0000_i1035" o:spt="75" type="#_x0000_t75" style="height:12pt;width:9.75pt;" o:ole="t" filled="f" o:preferrelative="t" stroked="f" coordsize="21600,21600">
            <v:path/>
            <v:fill on="f" focussize="0,0"/>
            <v:stroke on="f" joinstyle="miter"/>
            <v:imagedata r:id="rId62" o:title=""/>
            <o:lock v:ext="edit" aspectratio="t"/>
            <w10:wrap type="none"/>
            <w10:anchorlock/>
          </v:shape>
          <o:OLEObject Type="Embed" ProgID="Equation.3" ShapeID="_x0000_i1035" DrawAspect="Content" ObjectID="_1468075737" r:id="rId61">
            <o:LockedField>false</o:LockedField>
          </o:OLEObject>
        </w:object>
      </w:r>
      <w:r>
        <w:t>——裂口之上液位高度，m。</w:t>
      </w:r>
    </w:p>
    <w:p w14:paraId="3BCD3F02">
      <w:pPr>
        <w:autoSpaceDE w:val="0"/>
        <w:autoSpaceDN w:val="0"/>
        <w:ind w:firstLine="480"/>
        <w:rPr>
          <w:lang w:eastAsia="zh-CN"/>
        </w:rPr>
      </w:pPr>
      <w:r>
        <w:t>其中：C</w:t>
      </w:r>
      <w:r>
        <w:rPr>
          <w:sz w:val="18"/>
          <w:szCs w:val="18"/>
        </w:rPr>
        <w:t>d</w:t>
      </w:r>
      <w:r>
        <w:t>=0.62、孔径为100m、ρ=925kg/m</w:t>
      </w:r>
      <w:r>
        <w:rPr>
          <w:vertAlign w:val="superscript"/>
        </w:rPr>
        <w:t>3</w:t>
      </w:r>
      <w:r>
        <w:t>、P=1.01×10</w:t>
      </w:r>
      <w:r>
        <w:rPr>
          <w:vertAlign w:val="superscript"/>
        </w:rPr>
        <w:t>5</w:t>
      </w:r>
      <w:r>
        <w:t>Pa、h=10.0m。</w:t>
      </w:r>
      <w:r>
        <w:rPr>
          <w:lang w:eastAsia="zh-CN"/>
        </w:rPr>
        <w:t>具体见表11.4-1。</w:t>
      </w:r>
    </w:p>
    <w:p w14:paraId="6DEEECEF">
      <w:pPr>
        <w:spacing w:line="240" w:lineRule="auto"/>
        <w:ind w:firstLine="708" w:firstLineChars="294"/>
        <w:rPr>
          <w:b/>
          <w:lang w:eastAsia="zh-CN"/>
        </w:rPr>
      </w:pPr>
      <w:r>
        <w:rPr>
          <w:b/>
          <w:lang w:eastAsia="zh-CN"/>
        </w:rPr>
        <w:t xml:space="preserve">表11.4-1  </w:t>
      </w:r>
      <w:r>
        <w:rPr>
          <w:rFonts w:hint="eastAsia"/>
          <w:b/>
          <w:lang w:eastAsia="zh-CN"/>
        </w:rPr>
        <w:t xml:space="preserve">    </w:t>
      </w:r>
      <w:r>
        <w:rPr>
          <w:b/>
          <w:lang w:eastAsia="zh-CN"/>
        </w:rPr>
        <w:t>贮存风险事故源项一览表</w:t>
      </w:r>
    </w:p>
    <w:tbl>
      <w:tblPr>
        <w:tblStyle w:val="7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529"/>
        <w:gridCol w:w="1711"/>
        <w:gridCol w:w="1955"/>
        <w:gridCol w:w="2334"/>
      </w:tblGrid>
      <w:tr w14:paraId="24E5EA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529" w:type="dxa"/>
            <w:vAlign w:val="center"/>
          </w:tcPr>
          <w:p w14:paraId="26B5B376">
            <w:pPr>
              <w:pStyle w:val="337"/>
              <w:adjustRightInd w:val="0"/>
              <w:snapToGrid w:val="0"/>
              <w:spacing w:line="360" w:lineRule="auto"/>
              <w:rPr>
                <w:color w:val="auto"/>
                <w:lang w:val="en-US" w:eastAsia="en-US" w:bidi="en-US"/>
              </w:rPr>
            </w:pPr>
            <w:r>
              <w:rPr>
                <w:color w:val="auto"/>
                <w:lang w:val="en-US" w:eastAsia="en-US" w:bidi="en-US"/>
              </w:rPr>
              <w:t>发生事故位置</w:t>
            </w:r>
          </w:p>
        </w:tc>
        <w:tc>
          <w:tcPr>
            <w:tcW w:w="1711" w:type="dxa"/>
            <w:vAlign w:val="center"/>
          </w:tcPr>
          <w:p w14:paraId="7FAD6B63">
            <w:pPr>
              <w:pStyle w:val="337"/>
              <w:adjustRightInd w:val="0"/>
              <w:snapToGrid w:val="0"/>
              <w:spacing w:line="360" w:lineRule="auto"/>
              <w:rPr>
                <w:color w:val="auto"/>
                <w:lang w:val="en-US" w:eastAsia="en-US" w:bidi="en-US"/>
              </w:rPr>
            </w:pPr>
            <w:r>
              <w:rPr>
                <w:color w:val="auto"/>
                <w:lang w:val="en-US" w:eastAsia="en-US" w:bidi="en-US"/>
              </w:rPr>
              <w:t>事故类别</w:t>
            </w:r>
          </w:p>
        </w:tc>
        <w:tc>
          <w:tcPr>
            <w:tcW w:w="1955" w:type="dxa"/>
            <w:vAlign w:val="center"/>
          </w:tcPr>
          <w:p w14:paraId="7F823F74">
            <w:pPr>
              <w:pStyle w:val="337"/>
              <w:adjustRightInd w:val="0"/>
              <w:snapToGrid w:val="0"/>
              <w:spacing w:line="360" w:lineRule="auto"/>
              <w:rPr>
                <w:color w:val="auto"/>
                <w:lang w:val="en-US" w:eastAsia="en-US" w:bidi="en-US"/>
              </w:rPr>
            </w:pPr>
            <w:r>
              <w:rPr>
                <w:color w:val="auto"/>
                <w:lang w:val="en-US" w:eastAsia="en-US" w:bidi="en-US"/>
              </w:rPr>
              <w:t>释放速率</w:t>
            </w:r>
          </w:p>
        </w:tc>
        <w:tc>
          <w:tcPr>
            <w:tcW w:w="2334" w:type="dxa"/>
            <w:vAlign w:val="center"/>
          </w:tcPr>
          <w:p w14:paraId="776D66C6">
            <w:pPr>
              <w:pStyle w:val="337"/>
              <w:adjustRightInd w:val="0"/>
              <w:snapToGrid w:val="0"/>
              <w:spacing w:line="360" w:lineRule="auto"/>
              <w:rPr>
                <w:color w:val="auto"/>
                <w:lang w:val="en-US" w:eastAsia="en-US" w:bidi="en-US"/>
              </w:rPr>
            </w:pPr>
            <w:r>
              <w:rPr>
                <w:color w:val="auto"/>
                <w:lang w:val="en-US" w:eastAsia="en-US" w:bidi="en-US"/>
              </w:rPr>
              <w:t>持续时间（min）</w:t>
            </w:r>
          </w:p>
        </w:tc>
      </w:tr>
      <w:tr w14:paraId="1178B3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2529" w:type="dxa"/>
            <w:vAlign w:val="center"/>
          </w:tcPr>
          <w:p w14:paraId="014B909A">
            <w:pPr>
              <w:pStyle w:val="337"/>
              <w:adjustRightInd w:val="0"/>
              <w:snapToGrid w:val="0"/>
              <w:spacing w:line="360" w:lineRule="auto"/>
              <w:rPr>
                <w:color w:val="auto"/>
                <w:lang w:val="en-US" w:eastAsia="en-US" w:bidi="en-US"/>
              </w:rPr>
            </w:pPr>
            <w:r>
              <w:rPr>
                <w:color w:val="auto"/>
                <w:lang w:val="en-US" w:eastAsia="en-US" w:bidi="en-US"/>
              </w:rPr>
              <w:t>油储罐</w:t>
            </w:r>
          </w:p>
        </w:tc>
        <w:tc>
          <w:tcPr>
            <w:tcW w:w="1711" w:type="dxa"/>
            <w:vAlign w:val="center"/>
          </w:tcPr>
          <w:p w14:paraId="1767642F">
            <w:pPr>
              <w:pStyle w:val="337"/>
              <w:adjustRightInd w:val="0"/>
              <w:snapToGrid w:val="0"/>
              <w:spacing w:line="360" w:lineRule="auto"/>
              <w:rPr>
                <w:color w:val="auto"/>
                <w:lang w:val="en-US" w:eastAsia="en-US" w:bidi="en-US"/>
              </w:rPr>
            </w:pPr>
            <w:r>
              <w:rPr>
                <w:color w:val="auto"/>
                <w:lang w:val="en-US" w:eastAsia="en-US" w:bidi="en-US"/>
              </w:rPr>
              <w:t>泄漏</w:t>
            </w:r>
          </w:p>
        </w:tc>
        <w:tc>
          <w:tcPr>
            <w:tcW w:w="1955" w:type="dxa"/>
            <w:vAlign w:val="center"/>
          </w:tcPr>
          <w:p w14:paraId="548444D4">
            <w:pPr>
              <w:pStyle w:val="337"/>
              <w:adjustRightInd w:val="0"/>
              <w:snapToGrid w:val="0"/>
              <w:spacing w:line="360" w:lineRule="auto"/>
              <w:rPr>
                <w:color w:val="auto"/>
                <w:lang w:val="en-US" w:eastAsia="en-US" w:bidi="en-US"/>
              </w:rPr>
            </w:pPr>
            <w:r>
              <w:rPr>
                <w:color w:val="auto"/>
                <w:lang w:val="en-US" w:eastAsia="en-US" w:bidi="en-US"/>
              </w:rPr>
              <w:t>38g/s</w:t>
            </w:r>
          </w:p>
        </w:tc>
        <w:tc>
          <w:tcPr>
            <w:tcW w:w="2334" w:type="dxa"/>
            <w:vAlign w:val="center"/>
          </w:tcPr>
          <w:p w14:paraId="5E49DF62">
            <w:pPr>
              <w:pStyle w:val="337"/>
              <w:adjustRightInd w:val="0"/>
              <w:snapToGrid w:val="0"/>
              <w:spacing w:line="360" w:lineRule="auto"/>
              <w:rPr>
                <w:color w:val="auto"/>
                <w:lang w:val="en-US" w:eastAsia="en-US" w:bidi="en-US"/>
              </w:rPr>
            </w:pPr>
            <w:r>
              <w:rPr>
                <w:color w:val="auto"/>
                <w:lang w:val="en-US" w:eastAsia="en-US" w:bidi="en-US"/>
              </w:rPr>
              <w:t>15</w:t>
            </w:r>
          </w:p>
        </w:tc>
      </w:tr>
    </w:tbl>
    <w:p w14:paraId="73713EB8">
      <w:pPr>
        <w:autoSpaceDE w:val="0"/>
        <w:autoSpaceDN w:val="0"/>
        <w:spacing w:beforeLines="50"/>
        <w:ind w:firstLine="480"/>
        <w:rPr>
          <w:lang w:eastAsia="zh-CN"/>
        </w:rPr>
      </w:pPr>
      <w:r>
        <w:rPr>
          <w:lang w:eastAsia="zh-CN"/>
        </w:rPr>
        <w:t>经过计算油储罐泄漏速度为38g/s，泄漏量为34.2kg。</w:t>
      </w:r>
      <w:bookmarkStart w:id="793" w:name="_Toc338663598"/>
    </w:p>
    <w:p w14:paraId="1D8AA7E2">
      <w:pPr>
        <w:pStyle w:val="4"/>
        <w:rPr>
          <w:lang w:eastAsia="zh-CN"/>
        </w:rPr>
      </w:pPr>
      <w:bookmarkStart w:id="794" w:name="_Toc408414053"/>
      <w:r>
        <w:rPr>
          <w:lang w:eastAsia="zh-CN"/>
        </w:rPr>
        <w:t>11.4.2储罐池火</w:t>
      </w:r>
      <w:bookmarkEnd w:id="793"/>
      <w:bookmarkEnd w:id="794"/>
    </w:p>
    <w:p w14:paraId="6F12F5F8">
      <w:pPr>
        <w:ind w:firstLine="480"/>
        <w:rPr>
          <w:rFonts w:asciiTheme="minorEastAsia" w:hAnsiTheme="minorEastAsia" w:eastAsiaTheme="minorEastAsia"/>
          <w:lang w:eastAsia="zh-CN"/>
        </w:rPr>
      </w:pPr>
      <w:r>
        <w:rPr>
          <w:rFonts w:asciiTheme="minorEastAsia" w:hAnsiTheme="minorEastAsia" w:eastAsiaTheme="minorEastAsia"/>
          <w:lang w:eastAsia="zh-CN"/>
        </w:rPr>
        <w:t>本次风险中的火灾、爆炸的热辐射、超压范围，使用相关安全预测评价软件对识别出来的风险源进行泄漏发生火灾的后果预测。</w:t>
      </w:r>
    </w:p>
    <w:p w14:paraId="7BBD8A92">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1、池火</w:t>
      </w:r>
    </w:p>
    <w:p w14:paraId="2FE8C020">
      <w:pPr>
        <w:ind w:firstLine="480"/>
        <w:rPr>
          <w:rFonts w:asciiTheme="minorEastAsia" w:hAnsiTheme="minorEastAsia" w:eastAsiaTheme="minorEastAsia"/>
          <w:lang w:eastAsia="zh-CN"/>
        </w:rPr>
      </w:pPr>
      <w:r>
        <w:rPr>
          <w:rFonts w:asciiTheme="minorEastAsia" w:hAnsiTheme="minorEastAsia" w:eastAsiaTheme="minorEastAsia"/>
          <w:lang w:eastAsia="zh-CN"/>
        </w:rPr>
        <w:t>池火是一种常见的火灾形式，是可燃液体液面上的自然燃烧。泄漏到地面上，防火堤内液体的火灾、敞开的容器内液体的燃</w:t>
      </w:r>
      <w:r>
        <w:rPr>
          <w:rFonts w:hint="eastAsia" w:asciiTheme="minorEastAsia" w:hAnsiTheme="minorEastAsia" w:eastAsiaTheme="minorEastAsia"/>
          <w:lang w:eastAsia="zh-CN"/>
        </w:rPr>
        <w:t>烧</w:t>
      </w:r>
      <w:r>
        <w:rPr>
          <w:rFonts w:asciiTheme="minorEastAsia" w:hAnsiTheme="minorEastAsia" w:eastAsiaTheme="minorEastAsia"/>
          <w:lang w:eastAsia="zh-CN"/>
        </w:rPr>
        <w:t>均称为池火。池火模型一般按圆形液面计算。当燃烧速度等于泄漏速度时，液池直径达到最大。</w:t>
      </w:r>
    </w:p>
    <w:p w14:paraId="0355A163">
      <w:pPr>
        <w:ind w:firstLine="480"/>
        <w:rPr>
          <w:rFonts w:asciiTheme="minorEastAsia" w:hAnsiTheme="minorEastAsia" w:eastAsiaTheme="minorEastAsia"/>
          <w:lang w:eastAsia="zh-CN"/>
        </w:rPr>
      </w:pPr>
      <w:r>
        <w:rPr>
          <w:rFonts w:asciiTheme="minorEastAsia" w:hAnsiTheme="minorEastAsia" w:eastAsiaTheme="minorEastAsia"/>
          <w:lang w:eastAsia="zh-CN"/>
        </w:rPr>
        <w:t>液体单位面积燃烧速率的计算公式，当液体沸点高于环境温度时：</w:t>
      </w:r>
    </w:p>
    <w:p w14:paraId="2CA4DD5B">
      <w:pPr>
        <w:ind w:firstLine="480"/>
        <w:rPr>
          <w:bCs/>
        </w:rPr>
      </w:pPr>
      <w:r>
        <w:rPr>
          <w:bCs/>
        </w:rPr>
        <w:t>式中：</w:t>
      </w:r>
      <w:r>
        <w:rPr>
          <w:bCs/>
          <w:position w:val="-14"/>
        </w:rPr>
        <w:object>
          <v:shape id="_x0000_i1036" o:spt="75" type="#_x0000_t75" style="height:21.75pt;width:21.75pt;" o:ole="t" filled="f" o:preferrelative="t" stroked="f" coordsize="21600,21600">
            <v:path/>
            <v:fill on="f" focussize="0,0"/>
            <v:stroke on="f" joinstyle="miter"/>
            <v:imagedata r:id="rId64" o:title=""/>
            <o:lock v:ext="edit" aspectratio="t"/>
            <w10:wrap type="none"/>
            <w10:anchorlock/>
          </v:shape>
          <o:OLEObject Type="Embed" ProgID="Equation.3" ShapeID="_x0000_i1036" DrawAspect="Content" ObjectID="_1468075738" r:id="rId63">
            <o:LockedField>false</o:LockedField>
          </o:OLEObject>
        </w:object>
      </w:r>
      <w:r>
        <w:rPr>
          <w:bCs/>
        </w:rPr>
        <w:t>——液体单位面积燃烧速率，kg/(m</w:t>
      </w:r>
      <w:r>
        <w:rPr>
          <w:bCs/>
          <w:vertAlign w:val="superscript"/>
        </w:rPr>
        <w:t>2</w:t>
      </w:r>
      <w:r>
        <w:rPr>
          <w:bCs/>
        </w:rPr>
        <w:t>·s)；</w:t>
      </w:r>
    </w:p>
    <w:p w14:paraId="79EDCC61">
      <w:pPr>
        <w:ind w:firstLine="480"/>
        <w:rPr>
          <w:bCs/>
        </w:rPr>
      </w:pPr>
      <w:r>
        <w:rPr>
          <w:bCs/>
        </w:rPr>
        <w:t>　　　</w:t>
      </w:r>
      <w:r>
        <w:rPr>
          <w:rFonts w:hint="eastAsia"/>
          <w:bCs/>
          <w:lang w:eastAsia="zh-CN"/>
        </w:rPr>
        <w:t xml:space="preserve"> </w:t>
      </w:r>
      <w:r>
        <w:rPr>
          <w:bCs/>
        </w:rPr>
        <w:t>c</w:t>
      </w:r>
      <w:r>
        <w:rPr>
          <w:bCs/>
          <w:sz w:val="15"/>
          <w:szCs w:val="15"/>
        </w:rPr>
        <w:t xml:space="preserve"> </w:t>
      </w:r>
      <w:r>
        <w:rPr>
          <w:bCs/>
        </w:rPr>
        <w:t>——常数，0.001kg/(m</w:t>
      </w:r>
      <w:r>
        <w:rPr>
          <w:bCs/>
          <w:vertAlign w:val="superscript"/>
        </w:rPr>
        <w:t>2</w:t>
      </w:r>
      <w:r>
        <w:rPr>
          <w:bCs/>
        </w:rPr>
        <w:t>·s)；</w:t>
      </w:r>
    </w:p>
    <w:p w14:paraId="50CCFCDE">
      <w:pPr>
        <w:ind w:left="821" w:leftChars="342" w:firstLine="480"/>
        <w:rPr>
          <w:bCs/>
          <w:lang w:eastAsia="zh-CN"/>
        </w:rPr>
      </w:pPr>
      <w:r>
        <w:rPr>
          <w:bCs/>
          <w:lang w:eastAsia="zh-CN"/>
        </w:rPr>
        <w:t>H</w:t>
      </w:r>
      <w:r>
        <w:rPr>
          <w:bCs/>
          <w:sz w:val="18"/>
          <w:szCs w:val="18"/>
          <w:lang w:eastAsia="zh-CN"/>
        </w:rPr>
        <w:t>c</w:t>
      </w:r>
      <w:r>
        <w:rPr>
          <w:bCs/>
          <w:lang w:eastAsia="zh-CN"/>
        </w:rPr>
        <w:t>——燃</w:t>
      </w:r>
      <w:r>
        <w:rPr>
          <w:rFonts w:hint="eastAsia"/>
          <w:bCs/>
          <w:lang w:eastAsia="zh-CN"/>
        </w:rPr>
        <w:t>烧</w:t>
      </w:r>
      <w:r>
        <w:rPr>
          <w:bCs/>
          <w:lang w:eastAsia="zh-CN"/>
        </w:rPr>
        <w:t>热kJ/kg，非甲烷烃取46000000J/kg，氢气和轻烃混合物取94500000；</w:t>
      </w:r>
    </w:p>
    <w:p w14:paraId="4DEA7D2E">
      <w:pPr>
        <w:ind w:firstLine="1200" w:firstLineChars="500"/>
        <w:rPr>
          <w:bCs/>
          <w:lang w:eastAsia="zh-CN"/>
        </w:rPr>
      </w:pPr>
      <w:r>
        <w:rPr>
          <w:bCs/>
          <w:lang w:eastAsia="zh-CN"/>
        </w:rPr>
        <w:t>H</w:t>
      </w:r>
      <w:r>
        <w:rPr>
          <w:bCs/>
          <w:sz w:val="18"/>
          <w:szCs w:val="18"/>
          <w:lang w:eastAsia="zh-CN"/>
        </w:rPr>
        <w:t>v</w:t>
      </w:r>
      <w:r>
        <w:rPr>
          <w:bCs/>
          <w:lang w:eastAsia="zh-CN"/>
        </w:rPr>
        <w:t>——液体在常压沸点下的蒸发热kJ/kg；</w:t>
      </w:r>
    </w:p>
    <w:p w14:paraId="05B88B86">
      <w:pPr>
        <w:ind w:firstLine="1200" w:firstLineChars="500"/>
        <w:rPr>
          <w:bCs/>
          <w:lang w:eastAsia="zh-CN"/>
        </w:rPr>
      </w:pPr>
      <w:r>
        <w:rPr>
          <w:bCs/>
          <w:lang w:eastAsia="zh-CN"/>
        </w:rPr>
        <w:t>C</w:t>
      </w:r>
      <w:r>
        <w:rPr>
          <w:bCs/>
          <w:sz w:val="18"/>
          <w:szCs w:val="18"/>
          <w:lang w:eastAsia="zh-CN"/>
        </w:rPr>
        <w:t>p</w:t>
      </w:r>
      <w:r>
        <w:rPr>
          <w:bCs/>
          <w:lang w:eastAsia="zh-CN"/>
        </w:rPr>
        <w:t>——恒压比热，约80J/mol·k；</w:t>
      </w:r>
    </w:p>
    <w:p w14:paraId="54632757">
      <w:pPr>
        <w:ind w:firstLine="1200" w:firstLineChars="500"/>
        <w:rPr>
          <w:bCs/>
          <w:lang w:eastAsia="zh-CN"/>
        </w:rPr>
      </w:pPr>
      <w:r>
        <w:rPr>
          <w:bCs/>
          <w:lang w:eastAsia="zh-CN"/>
        </w:rPr>
        <w:t>T</w:t>
      </w:r>
      <w:r>
        <w:rPr>
          <w:bCs/>
          <w:sz w:val="18"/>
          <w:szCs w:val="18"/>
          <w:lang w:eastAsia="zh-CN"/>
        </w:rPr>
        <w:t>b</w:t>
      </w:r>
      <w:r>
        <w:rPr>
          <w:bCs/>
          <w:lang w:eastAsia="zh-CN"/>
        </w:rPr>
        <w:t>——油料沸点，K；</w:t>
      </w:r>
    </w:p>
    <w:p w14:paraId="1F35FD08">
      <w:pPr>
        <w:ind w:firstLine="1200" w:firstLineChars="500"/>
        <w:rPr>
          <w:bCs/>
          <w:lang w:eastAsia="zh-CN"/>
        </w:rPr>
      </w:pPr>
      <w:r>
        <w:rPr>
          <w:bCs/>
          <w:lang w:eastAsia="zh-CN"/>
        </w:rPr>
        <w:t>T</w:t>
      </w:r>
      <w:r>
        <w:rPr>
          <w:bCs/>
          <w:sz w:val="18"/>
          <w:szCs w:val="18"/>
          <w:lang w:eastAsia="zh-CN"/>
        </w:rPr>
        <w:t>a</w:t>
      </w:r>
      <w:r>
        <w:rPr>
          <w:bCs/>
          <w:lang w:eastAsia="zh-CN"/>
        </w:rPr>
        <w:t>——周围温度，K。</w:t>
      </w:r>
    </w:p>
    <w:p w14:paraId="1F400BA2">
      <w:pPr>
        <w:ind w:firstLine="480"/>
        <w:rPr>
          <w:bCs/>
          <w:lang w:eastAsia="zh-CN"/>
        </w:rPr>
      </w:pPr>
      <w:r>
        <w:rPr>
          <w:bCs/>
          <w:lang w:eastAsia="zh-CN"/>
        </w:rPr>
        <w:t>池周围距池x处的热辐强度为：</w:t>
      </w:r>
    </w:p>
    <w:p w14:paraId="5CE12825">
      <w:pPr>
        <w:ind w:firstLine="1920" w:firstLineChars="800"/>
        <w:rPr>
          <w:bCs/>
        </w:rPr>
      </w:pPr>
      <w:r>
        <w:rPr>
          <w:bCs/>
          <w:position w:val="-24"/>
        </w:rPr>
        <w:object>
          <v:shape id="_x0000_i1037" o:spt="75" type="#_x0000_t75" style="height:38.25pt;width:75.75pt;" o:ole="t" filled="f" o:preferrelative="t" stroked="f" coordsize="21600,21600">
            <v:path/>
            <v:fill on="f" focussize="0,0"/>
            <v:stroke on="f" joinstyle="miter"/>
            <v:imagedata r:id="rId66" o:title=""/>
            <o:lock v:ext="edit" aspectratio="t"/>
            <w10:wrap type="none"/>
            <w10:anchorlock/>
          </v:shape>
          <o:OLEObject Type="Embed" ProgID="Equation.3" ShapeID="_x0000_i1037" DrawAspect="Content" ObjectID="_1468075739" r:id="rId65">
            <o:LockedField>false</o:LockedField>
          </o:OLEObject>
        </w:object>
      </w:r>
    </w:p>
    <w:p w14:paraId="21091C00">
      <w:pPr>
        <w:ind w:firstLine="480"/>
        <w:rPr>
          <w:bCs/>
          <w:lang w:eastAsia="zh-CN"/>
        </w:rPr>
      </w:pPr>
      <w:r>
        <w:rPr>
          <w:bCs/>
          <w:lang w:eastAsia="zh-CN"/>
        </w:rPr>
        <w:t>式中：q－接收点热辐射通量，W/m</w:t>
      </w:r>
      <w:r>
        <w:rPr>
          <w:bCs/>
          <w:vertAlign w:val="superscript"/>
          <w:lang w:eastAsia="zh-CN"/>
        </w:rPr>
        <w:t>2</w:t>
      </w:r>
      <w:r>
        <w:rPr>
          <w:bCs/>
          <w:lang w:eastAsia="zh-CN"/>
        </w:rPr>
        <w:t>；</w:t>
      </w:r>
    </w:p>
    <w:p w14:paraId="6C9F0E27">
      <w:pPr>
        <w:ind w:firstLine="1200" w:firstLineChars="500"/>
        <w:rPr>
          <w:bCs/>
          <w:lang w:eastAsia="zh-CN"/>
        </w:rPr>
      </w:pPr>
      <w:r>
        <w:rPr>
          <w:bCs/>
          <w:lang w:eastAsia="zh-CN"/>
        </w:rPr>
        <w:t>f－热辐射系数，范围为0.13～0.35，保守取值为0.3；</w:t>
      </w:r>
    </w:p>
    <w:p w14:paraId="486A6B67">
      <w:pPr>
        <w:ind w:firstLine="1200" w:firstLineChars="500"/>
        <w:rPr>
          <w:bCs/>
          <w:lang w:eastAsia="zh-CN"/>
        </w:rPr>
      </w:pPr>
      <w:r>
        <w:rPr>
          <w:bCs/>
        </w:rPr>
        <w:t>τ</w:t>
      </w:r>
      <w:r>
        <w:rPr>
          <w:bCs/>
          <w:lang w:eastAsia="zh-CN"/>
        </w:rPr>
        <w:t>－大气透射率，取1。</w:t>
      </w:r>
    </w:p>
    <w:p w14:paraId="5815967E">
      <w:pPr>
        <w:ind w:firstLine="480"/>
        <w:outlineLvl w:val="0"/>
        <w:rPr>
          <w:bCs/>
          <w:lang w:eastAsia="zh-CN"/>
        </w:rPr>
      </w:pPr>
      <w:r>
        <w:rPr>
          <w:bCs/>
          <w:lang w:eastAsia="zh-CN"/>
        </w:rPr>
        <w:t>2、热辐射伤害概率</w:t>
      </w:r>
    </w:p>
    <w:p w14:paraId="25D4907F">
      <w:pPr>
        <w:ind w:firstLine="480"/>
        <w:rPr>
          <w:bCs/>
          <w:lang w:eastAsia="zh-CN"/>
        </w:rPr>
      </w:pPr>
      <w:r>
        <w:rPr>
          <w:bCs/>
          <w:lang w:eastAsia="zh-CN"/>
        </w:rPr>
        <w:t>热辐射伤害常用概率模型描述。概率与伤害百分率的关系为：</w:t>
      </w:r>
    </w:p>
    <w:p w14:paraId="47FD4970">
      <w:pPr>
        <w:ind w:firstLine="1920" w:firstLineChars="800"/>
        <w:rPr>
          <w:bCs/>
        </w:rPr>
      </w:pPr>
      <w:r>
        <w:rPr>
          <w:bCs/>
          <w:position w:val="-24"/>
        </w:rPr>
        <w:object>
          <v:shape id="_x0000_i1038" o:spt="75" type="#_x0000_t75" style="height:34.5pt;width:111.75pt;" o:ole="t" filled="f" o:preferrelative="t" stroked="f" coordsize="21600,21600">
            <v:path/>
            <v:fill on="f" focussize="0,0"/>
            <v:stroke on="f" joinstyle="miter"/>
            <v:imagedata r:id="rId68" o:title=""/>
            <o:lock v:ext="edit" aspectratio="t"/>
            <w10:wrap type="none"/>
            <w10:anchorlock/>
          </v:shape>
          <o:OLEObject Type="Embed" ProgID="Equation.3" ShapeID="_x0000_i1038" DrawAspect="Content" ObjectID="_1468075740" r:id="rId67">
            <o:LockedField>false</o:LockedField>
          </o:OLEObject>
        </w:object>
      </w:r>
    </w:p>
    <w:p w14:paraId="71362841">
      <w:pPr>
        <w:ind w:firstLine="480"/>
        <w:rPr>
          <w:bCs/>
          <w:lang w:eastAsia="zh-CN"/>
        </w:rPr>
      </w:pPr>
      <w:r>
        <w:rPr>
          <w:bCs/>
          <w:lang w:eastAsia="zh-CN"/>
        </w:rPr>
        <w:t>当Pr＝5时，伤害百分率为50%。</w:t>
      </w:r>
    </w:p>
    <w:p w14:paraId="58D1B39D">
      <w:pPr>
        <w:ind w:firstLine="480"/>
        <w:rPr>
          <w:bCs/>
          <w:lang w:eastAsia="zh-CN"/>
        </w:rPr>
      </w:pPr>
      <w:r>
        <w:rPr>
          <w:bCs/>
          <w:lang w:eastAsia="zh-CN"/>
        </w:rPr>
        <w:t>3、结果</w:t>
      </w:r>
    </w:p>
    <w:p w14:paraId="03F8752D">
      <w:pPr>
        <w:ind w:firstLine="480"/>
        <w:rPr>
          <w:bCs/>
          <w:lang w:eastAsia="zh-CN"/>
        </w:rPr>
      </w:pPr>
      <w:r>
        <w:rPr>
          <w:bCs/>
          <w:lang w:eastAsia="zh-CN"/>
        </w:rPr>
        <w:t>对于项目原油储罐可能发生池火灾的风险事故进行了预测计算，计算结果见表11.4-2。</w:t>
      </w:r>
    </w:p>
    <w:p w14:paraId="138AC1EE">
      <w:pPr>
        <w:spacing w:line="240" w:lineRule="auto"/>
        <w:ind w:firstLine="354" w:firstLineChars="147"/>
        <w:rPr>
          <w:b/>
          <w:bCs/>
          <w:lang w:eastAsia="zh-CN"/>
        </w:rPr>
      </w:pPr>
      <w:r>
        <w:rPr>
          <w:b/>
          <w:bCs/>
          <w:lang w:eastAsia="zh-CN"/>
        </w:rPr>
        <w:t xml:space="preserve">表11.4-2  </w:t>
      </w:r>
      <w:r>
        <w:rPr>
          <w:rFonts w:hint="eastAsia"/>
          <w:b/>
          <w:bCs/>
          <w:lang w:eastAsia="zh-CN"/>
        </w:rPr>
        <w:t xml:space="preserve">  </w:t>
      </w:r>
      <w:r>
        <w:rPr>
          <w:b/>
          <w:bCs/>
          <w:lang w:eastAsia="zh-CN"/>
        </w:rPr>
        <w:t>距离油池不同距离处的辐射热值表</w:t>
      </w:r>
    </w:p>
    <w:tbl>
      <w:tblPr>
        <w:tblStyle w:val="7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61"/>
        <w:gridCol w:w="822"/>
        <w:gridCol w:w="822"/>
        <w:gridCol w:w="716"/>
        <w:gridCol w:w="716"/>
        <w:gridCol w:w="716"/>
        <w:gridCol w:w="716"/>
        <w:gridCol w:w="716"/>
        <w:gridCol w:w="716"/>
        <w:gridCol w:w="716"/>
      </w:tblGrid>
      <w:tr w14:paraId="711AF1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61" w:type="dxa"/>
            <w:vAlign w:val="center"/>
          </w:tcPr>
          <w:p w14:paraId="15E8A9C6">
            <w:pPr>
              <w:pStyle w:val="337"/>
              <w:adjustRightInd w:val="0"/>
              <w:snapToGrid w:val="0"/>
              <w:rPr>
                <w:color w:val="auto"/>
                <w:lang w:val="en-US" w:eastAsia="en-US" w:bidi="en-US"/>
              </w:rPr>
            </w:pPr>
            <w:r>
              <w:rPr>
                <w:color w:val="auto"/>
                <w:lang w:val="en-US" w:eastAsia="en-US" w:bidi="en-US"/>
              </w:rPr>
              <w:t>辐射热(</w:t>
            </w:r>
            <w:r>
              <w:rPr>
                <w:rFonts w:hint="eastAsia"/>
                <w:color w:val="auto"/>
                <w:lang w:val="en-US" w:eastAsia="zh-CN" w:bidi="en-US"/>
              </w:rPr>
              <w:t>k</w:t>
            </w:r>
            <w:r>
              <w:rPr>
                <w:color w:val="auto"/>
                <w:lang w:val="en-US" w:eastAsia="en-US" w:bidi="en-US"/>
              </w:rPr>
              <w:t>w/m</w:t>
            </w:r>
            <w:r>
              <w:rPr>
                <w:color w:val="auto"/>
                <w:vertAlign w:val="superscript"/>
                <w:lang w:val="en-US" w:eastAsia="en-US" w:bidi="en-US"/>
              </w:rPr>
              <w:t>2</w:t>
            </w:r>
            <w:r>
              <w:rPr>
                <w:color w:val="auto"/>
                <w:lang w:val="en-US" w:eastAsia="en-US" w:bidi="en-US"/>
              </w:rPr>
              <w:t>)</w:t>
            </w:r>
          </w:p>
        </w:tc>
        <w:tc>
          <w:tcPr>
            <w:tcW w:w="822" w:type="dxa"/>
            <w:vAlign w:val="center"/>
          </w:tcPr>
          <w:p w14:paraId="59D29366">
            <w:pPr>
              <w:pStyle w:val="337"/>
              <w:adjustRightInd w:val="0"/>
              <w:snapToGrid w:val="0"/>
              <w:rPr>
                <w:color w:val="auto"/>
                <w:lang w:val="en-US" w:eastAsia="en-US" w:bidi="en-US"/>
              </w:rPr>
            </w:pPr>
            <w:r>
              <w:rPr>
                <w:color w:val="auto"/>
                <w:lang w:val="en-US" w:eastAsia="en-US" w:bidi="en-US"/>
              </w:rPr>
              <w:t>58.1</w:t>
            </w:r>
          </w:p>
        </w:tc>
        <w:tc>
          <w:tcPr>
            <w:tcW w:w="822" w:type="dxa"/>
            <w:vAlign w:val="center"/>
          </w:tcPr>
          <w:p w14:paraId="1DB1EF00">
            <w:pPr>
              <w:pStyle w:val="337"/>
              <w:adjustRightInd w:val="0"/>
              <w:snapToGrid w:val="0"/>
              <w:rPr>
                <w:color w:val="auto"/>
                <w:lang w:val="en-US" w:eastAsia="en-US" w:bidi="en-US"/>
              </w:rPr>
            </w:pPr>
            <w:r>
              <w:rPr>
                <w:color w:val="auto"/>
                <w:lang w:val="en-US" w:eastAsia="en-US" w:bidi="en-US"/>
              </w:rPr>
              <w:t>30.6</w:t>
            </w:r>
          </w:p>
        </w:tc>
        <w:tc>
          <w:tcPr>
            <w:tcW w:w="716" w:type="dxa"/>
            <w:vAlign w:val="center"/>
          </w:tcPr>
          <w:p w14:paraId="4324AF52">
            <w:pPr>
              <w:pStyle w:val="337"/>
              <w:adjustRightInd w:val="0"/>
              <w:snapToGrid w:val="0"/>
              <w:rPr>
                <w:color w:val="auto"/>
                <w:lang w:val="en-US" w:eastAsia="en-US" w:bidi="en-US"/>
              </w:rPr>
            </w:pPr>
            <w:r>
              <w:rPr>
                <w:color w:val="auto"/>
                <w:lang w:val="en-US" w:eastAsia="en-US" w:bidi="en-US"/>
              </w:rPr>
              <w:t>8.1</w:t>
            </w:r>
          </w:p>
        </w:tc>
        <w:tc>
          <w:tcPr>
            <w:tcW w:w="716" w:type="dxa"/>
            <w:vAlign w:val="center"/>
          </w:tcPr>
          <w:p w14:paraId="187F3F10">
            <w:pPr>
              <w:pStyle w:val="337"/>
              <w:adjustRightInd w:val="0"/>
              <w:snapToGrid w:val="0"/>
              <w:rPr>
                <w:color w:val="auto"/>
                <w:lang w:val="en-US" w:eastAsia="en-US" w:bidi="en-US"/>
              </w:rPr>
            </w:pPr>
            <w:r>
              <w:rPr>
                <w:color w:val="auto"/>
                <w:lang w:val="en-US" w:eastAsia="en-US" w:bidi="en-US"/>
              </w:rPr>
              <w:t>3.1</w:t>
            </w:r>
          </w:p>
        </w:tc>
        <w:tc>
          <w:tcPr>
            <w:tcW w:w="716" w:type="dxa"/>
            <w:vAlign w:val="center"/>
          </w:tcPr>
          <w:p w14:paraId="2D2A6DFB">
            <w:pPr>
              <w:pStyle w:val="337"/>
              <w:adjustRightInd w:val="0"/>
              <w:snapToGrid w:val="0"/>
              <w:rPr>
                <w:color w:val="auto"/>
                <w:lang w:val="en-US" w:eastAsia="en-US" w:bidi="en-US"/>
              </w:rPr>
            </w:pPr>
            <w:r>
              <w:rPr>
                <w:color w:val="auto"/>
                <w:lang w:val="en-US" w:eastAsia="en-US" w:bidi="en-US"/>
              </w:rPr>
              <w:t>1.7</w:t>
            </w:r>
          </w:p>
        </w:tc>
        <w:tc>
          <w:tcPr>
            <w:tcW w:w="716" w:type="dxa"/>
            <w:vAlign w:val="center"/>
          </w:tcPr>
          <w:p w14:paraId="3AE58AA0">
            <w:pPr>
              <w:pStyle w:val="337"/>
              <w:adjustRightInd w:val="0"/>
              <w:snapToGrid w:val="0"/>
              <w:rPr>
                <w:color w:val="auto"/>
                <w:lang w:val="en-US" w:eastAsia="en-US" w:bidi="en-US"/>
              </w:rPr>
            </w:pPr>
            <w:r>
              <w:rPr>
                <w:color w:val="auto"/>
                <w:lang w:val="en-US" w:eastAsia="en-US" w:bidi="en-US"/>
              </w:rPr>
              <w:t>1.1</w:t>
            </w:r>
          </w:p>
        </w:tc>
        <w:tc>
          <w:tcPr>
            <w:tcW w:w="716" w:type="dxa"/>
            <w:vAlign w:val="center"/>
          </w:tcPr>
          <w:p w14:paraId="4028E0EC">
            <w:pPr>
              <w:pStyle w:val="337"/>
              <w:adjustRightInd w:val="0"/>
              <w:snapToGrid w:val="0"/>
              <w:rPr>
                <w:color w:val="auto"/>
                <w:lang w:val="en-US" w:eastAsia="en-US" w:bidi="en-US"/>
              </w:rPr>
            </w:pPr>
            <w:r>
              <w:rPr>
                <w:color w:val="auto"/>
                <w:lang w:val="en-US" w:eastAsia="en-US" w:bidi="en-US"/>
              </w:rPr>
              <w:t>0.7</w:t>
            </w:r>
          </w:p>
        </w:tc>
        <w:tc>
          <w:tcPr>
            <w:tcW w:w="716" w:type="dxa"/>
            <w:vAlign w:val="center"/>
          </w:tcPr>
          <w:p w14:paraId="62096561">
            <w:pPr>
              <w:pStyle w:val="337"/>
              <w:adjustRightInd w:val="0"/>
              <w:snapToGrid w:val="0"/>
              <w:rPr>
                <w:color w:val="auto"/>
                <w:lang w:val="en-US" w:eastAsia="en-US" w:bidi="en-US"/>
              </w:rPr>
            </w:pPr>
            <w:r>
              <w:rPr>
                <w:color w:val="auto"/>
                <w:lang w:val="en-US" w:eastAsia="en-US" w:bidi="en-US"/>
              </w:rPr>
              <w:t>0.5</w:t>
            </w:r>
          </w:p>
        </w:tc>
        <w:tc>
          <w:tcPr>
            <w:tcW w:w="716" w:type="dxa"/>
            <w:vAlign w:val="center"/>
          </w:tcPr>
          <w:p w14:paraId="73E80394">
            <w:pPr>
              <w:pStyle w:val="337"/>
              <w:adjustRightInd w:val="0"/>
              <w:snapToGrid w:val="0"/>
              <w:rPr>
                <w:color w:val="auto"/>
                <w:lang w:val="en-US" w:eastAsia="en-US" w:bidi="en-US"/>
              </w:rPr>
            </w:pPr>
            <w:r>
              <w:rPr>
                <w:color w:val="auto"/>
                <w:lang w:val="en-US" w:eastAsia="en-US" w:bidi="en-US"/>
              </w:rPr>
              <w:t>0.4</w:t>
            </w:r>
          </w:p>
        </w:tc>
      </w:tr>
      <w:tr w14:paraId="7371F7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661" w:type="dxa"/>
            <w:vAlign w:val="center"/>
          </w:tcPr>
          <w:p w14:paraId="28EE9053">
            <w:pPr>
              <w:pStyle w:val="337"/>
              <w:adjustRightInd w:val="0"/>
              <w:snapToGrid w:val="0"/>
              <w:rPr>
                <w:color w:val="auto"/>
                <w:lang w:val="en-US" w:eastAsia="en-US" w:bidi="en-US"/>
              </w:rPr>
            </w:pPr>
            <w:r>
              <w:rPr>
                <w:color w:val="auto"/>
                <w:lang w:val="en-US" w:eastAsia="en-US" w:bidi="en-US"/>
              </w:rPr>
              <w:t>距离(m)</w:t>
            </w:r>
          </w:p>
        </w:tc>
        <w:tc>
          <w:tcPr>
            <w:tcW w:w="822" w:type="dxa"/>
            <w:vAlign w:val="center"/>
          </w:tcPr>
          <w:p w14:paraId="46AB8B44">
            <w:pPr>
              <w:pStyle w:val="337"/>
              <w:adjustRightInd w:val="0"/>
              <w:snapToGrid w:val="0"/>
              <w:rPr>
                <w:color w:val="auto"/>
                <w:lang w:val="en-US" w:eastAsia="en-US" w:bidi="en-US"/>
              </w:rPr>
            </w:pPr>
            <w:r>
              <w:rPr>
                <w:color w:val="auto"/>
                <w:lang w:val="en-US" w:eastAsia="en-US" w:bidi="en-US"/>
              </w:rPr>
              <w:t>60</w:t>
            </w:r>
          </w:p>
        </w:tc>
        <w:tc>
          <w:tcPr>
            <w:tcW w:w="822" w:type="dxa"/>
            <w:vAlign w:val="center"/>
          </w:tcPr>
          <w:p w14:paraId="1123163B">
            <w:pPr>
              <w:pStyle w:val="337"/>
              <w:adjustRightInd w:val="0"/>
              <w:snapToGrid w:val="0"/>
              <w:rPr>
                <w:color w:val="auto"/>
                <w:lang w:val="en-US" w:eastAsia="en-US" w:bidi="en-US"/>
              </w:rPr>
            </w:pPr>
            <w:r>
              <w:rPr>
                <w:color w:val="auto"/>
                <w:lang w:val="en-US" w:eastAsia="en-US" w:bidi="en-US"/>
              </w:rPr>
              <w:t>100</w:t>
            </w:r>
          </w:p>
        </w:tc>
        <w:tc>
          <w:tcPr>
            <w:tcW w:w="716" w:type="dxa"/>
            <w:vAlign w:val="center"/>
          </w:tcPr>
          <w:p w14:paraId="75434FD0">
            <w:pPr>
              <w:pStyle w:val="337"/>
              <w:adjustRightInd w:val="0"/>
              <w:snapToGrid w:val="0"/>
              <w:rPr>
                <w:color w:val="auto"/>
                <w:lang w:val="en-US" w:eastAsia="en-US" w:bidi="en-US"/>
              </w:rPr>
            </w:pPr>
            <w:r>
              <w:rPr>
                <w:color w:val="auto"/>
                <w:lang w:val="en-US" w:eastAsia="en-US" w:bidi="en-US"/>
              </w:rPr>
              <w:t>170</w:t>
            </w:r>
          </w:p>
        </w:tc>
        <w:tc>
          <w:tcPr>
            <w:tcW w:w="716" w:type="dxa"/>
            <w:vAlign w:val="center"/>
          </w:tcPr>
          <w:p w14:paraId="742A341B">
            <w:pPr>
              <w:pStyle w:val="337"/>
              <w:adjustRightInd w:val="0"/>
              <w:snapToGrid w:val="0"/>
              <w:rPr>
                <w:color w:val="auto"/>
                <w:lang w:val="en-US" w:eastAsia="en-US" w:bidi="en-US"/>
              </w:rPr>
            </w:pPr>
            <w:r>
              <w:rPr>
                <w:color w:val="auto"/>
                <w:lang w:val="en-US" w:eastAsia="en-US" w:bidi="en-US"/>
              </w:rPr>
              <w:t>300</w:t>
            </w:r>
          </w:p>
        </w:tc>
        <w:tc>
          <w:tcPr>
            <w:tcW w:w="716" w:type="dxa"/>
            <w:vAlign w:val="center"/>
          </w:tcPr>
          <w:p w14:paraId="5BB38327">
            <w:pPr>
              <w:pStyle w:val="337"/>
              <w:adjustRightInd w:val="0"/>
              <w:snapToGrid w:val="0"/>
              <w:rPr>
                <w:color w:val="auto"/>
                <w:lang w:val="en-US" w:eastAsia="en-US" w:bidi="en-US"/>
              </w:rPr>
            </w:pPr>
            <w:r>
              <w:rPr>
                <w:color w:val="auto"/>
                <w:lang w:val="en-US" w:eastAsia="en-US" w:bidi="en-US"/>
              </w:rPr>
              <w:t>400</w:t>
            </w:r>
          </w:p>
        </w:tc>
        <w:tc>
          <w:tcPr>
            <w:tcW w:w="716" w:type="dxa"/>
            <w:vAlign w:val="center"/>
          </w:tcPr>
          <w:p w14:paraId="2C7D854C">
            <w:pPr>
              <w:pStyle w:val="337"/>
              <w:adjustRightInd w:val="0"/>
              <w:snapToGrid w:val="0"/>
              <w:rPr>
                <w:color w:val="auto"/>
                <w:lang w:val="en-US" w:eastAsia="en-US" w:bidi="en-US"/>
              </w:rPr>
            </w:pPr>
            <w:r>
              <w:rPr>
                <w:color w:val="auto"/>
                <w:lang w:val="en-US" w:eastAsia="en-US" w:bidi="en-US"/>
              </w:rPr>
              <w:t>500</w:t>
            </w:r>
          </w:p>
        </w:tc>
        <w:tc>
          <w:tcPr>
            <w:tcW w:w="716" w:type="dxa"/>
            <w:vAlign w:val="center"/>
          </w:tcPr>
          <w:p w14:paraId="7EE43E00">
            <w:pPr>
              <w:pStyle w:val="337"/>
              <w:adjustRightInd w:val="0"/>
              <w:snapToGrid w:val="0"/>
              <w:rPr>
                <w:color w:val="auto"/>
                <w:lang w:val="en-US" w:eastAsia="en-US" w:bidi="en-US"/>
              </w:rPr>
            </w:pPr>
            <w:r>
              <w:rPr>
                <w:color w:val="auto"/>
                <w:lang w:val="en-US" w:eastAsia="en-US" w:bidi="en-US"/>
              </w:rPr>
              <w:t>600</w:t>
            </w:r>
          </w:p>
        </w:tc>
        <w:tc>
          <w:tcPr>
            <w:tcW w:w="716" w:type="dxa"/>
            <w:vAlign w:val="center"/>
          </w:tcPr>
          <w:p w14:paraId="0494145A">
            <w:pPr>
              <w:pStyle w:val="337"/>
              <w:adjustRightInd w:val="0"/>
              <w:snapToGrid w:val="0"/>
              <w:rPr>
                <w:color w:val="auto"/>
                <w:lang w:val="en-US" w:eastAsia="en-US" w:bidi="en-US"/>
              </w:rPr>
            </w:pPr>
            <w:r>
              <w:rPr>
                <w:color w:val="auto"/>
                <w:lang w:val="en-US" w:eastAsia="en-US" w:bidi="en-US"/>
              </w:rPr>
              <w:t>700</w:t>
            </w:r>
          </w:p>
        </w:tc>
        <w:tc>
          <w:tcPr>
            <w:tcW w:w="716" w:type="dxa"/>
            <w:vAlign w:val="center"/>
          </w:tcPr>
          <w:p w14:paraId="40436C30">
            <w:pPr>
              <w:pStyle w:val="337"/>
              <w:adjustRightInd w:val="0"/>
              <w:snapToGrid w:val="0"/>
              <w:rPr>
                <w:color w:val="auto"/>
                <w:lang w:val="en-US" w:eastAsia="en-US" w:bidi="en-US"/>
              </w:rPr>
            </w:pPr>
            <w:r>
              <w:rPr>
                <w:color w:val="auto"/>
                <w:lang w:val="en-US" w:eastAsia="en-US" w:bidi="en-US"/>
              </w:rPr>
              <w:t>800</w:t>
            </w:r>
          </w:p>
        </w:tc>
      </w:tr>
    </w:tbl>
    <w:p w14:paraId="31964FE6">
      <w:pPr>
        <w:ind w:firstLine="480"/>
        <w:rPr>
          <w:lang w:eastAsia="zh-CN"/>
        </w:rPr>
      </w:pPr>
      <w:r>
        <w:rPr>
          <w:lang w:eastAsia="zh-CN"/>
        </w:rPr>
        <w:t>一般辐射热量小于4.6kw/m</w:t>
      </w:r>
      <w:r>
        <w:rPr>
          <w:vertAlign w:val="superscript"/>
          <w:lang w:eastAsia="zh-CN"/>
        </w:rPr>
        <w:t>2</w:t>
      </w:r>
      <w:r>
        <w:rPr>
          <w:lang w:eastAsia="zh-CN"/>
        </w:rPr>
        <w:t>一般不会引起火灾，辐射热量达到8.1kw/m</w:t>
      </w:r>
      <w:r>
        <w:rPr>
          <w:vertAlign w:val="superscript"/>
          <w:lang w:eastAsia="zh-CN"/>
        </w:rPr>
        <w:t>2</w:t>
      </w:r>
      <w:r>
        <w:rPr>
          <w:lang w:eastAsia="zh-CN"/>
        </w:rPr>
        <w:t>时则会引起杉木板起火，达到58.1kw/m</w:t>
      </w:r>
      <w:r>
        <w:rPr>
          <w:vertAlign w:val="superscript"/>
          <w:lang w:eastAsia="zh-CN"/>
        </w:rPr>
        <w:t>2</w:t>
      </w:r>
      <w:r>
        <w:rPr>
          <w:lang w:eastAsia="zh-CN"/>
        </w:rPr>
        <w:t>时，则会引起钢材变形。一般人能承受的热辐射强度约为1.7kw/m</w:t>
      </w:r>
      <w:r>
        <w:rPr>
          <w:vertAlign w:val="superscript"/>
          <w:lang w:eastAsia="zh-CN"/>
        </w:rPr>
        <w:t>2</w:t>
      </w:r>
      <w:r>
        <w:rPr>
          <w:lang w:eastAsia="zh-CN"/>
        </w:rPr>
        <w:t>。</w:t>
      </w:r>
    </w:p>
    <w:p w14:paraId="096C2A7B">
      <w:pPr>
        <w:ind w:firstLine="480"/>
        <w:rPr>
          <w:lang w:eastAsia="zh-CN"/>
        </w:rPr>
      </w:pPr>
      <w:r>
        <w:rPr>
          <w:lang w:eastAsia="zh-CN"/>
        </w:rPr>
        <w:t>由表11.4-2给出的预测计算结果可知：当发生油池火灾时，在距离油池400m左右的地方，其辐射热可以降低为1.7kw/m</w:t>
      </w:r>
      <w:r>
        <w:rPr>
          <w:vertAlign w:val="superscript"/>
          <w:lang w:eastAsia="zh-CN"/>
        </w:rPr>
        <w:t>2</w:t>
      </w:r>
      <w:r>
        <w:rPr>
          <w:lang w:eastAsia="zh-CN"/>
        </w:rPr>
        <w:t>达到人能够承受的热辐射值。即距离油池400m以外的地方，对人是安全的</w:t>
      </w:r>
      <w:r>
        <w:rPr>
          <w:rFonts w:hint="eastAsia"/>
          <w:lang w:eastAsia="zh-CN"/>
        </w:rPr>
        <w:t>，本储油罐400m范围内无居民，因此影响较小。</w:t>
      </w:r>
    </w:p>
    <w:p w14:paraId="4307345C">
      <w:pPr>
        <w:ind w:firstLine="480"/>
        <w:rPr>
          <w:lang w:eastAsia="zh-CN"/>
        </w:rPr>
      </w:pPr>
      <w:r>
        <w:rPr>
          <w:lang w:eastAsia="zh-CN"/>
        </w:rPr>
        <w:t>依据目前国内外有关的储罐池火灾事故统计资料表明，还没有发生在原油浮顶罐发生池火灾事故时，其热辐射会造成满足《油库设计规范》（GB50074-2002）标准要求的原油的罐间距0.4D的其它原油储罐火灾事故的案例。</w:t>
      </w:r>
    </w:p>
    <w:p w14:paraId="4ECA06F1">
      <w:pPr>
        <w:pStyle w:val="4"/>
        <w:rPr>
          <w:lang w:eastAsia="zh-CN"/>
        </w:rPr>
      </w:pPr>
      <w:bookmarkStart w:id="795" w:name="_Toc408414054"/>
      <w:bookmarkStart w:id="796" w:name="_Toc338663599"/>
      <w:r>
        <w:rPr>
          <w:lang w:eastAsia="zh-CN"/>
        </w:rPr>
        <w:t>11.4.3原油池火燃烧产生的伴生污染</w:t>
      </w:r>
      <w:bookmarkEnd w:id="795"/>
      <w:bookmarkEnd w:id="796"/>
    </w:p>
    <w:p w14:paraId="2B8238A6">
      <w:pPr>
        <w:ind w:firstLine="480"/>
        <w:rPr>
          <w:lang w:eastAsia="zh-CN"/>
        </w:rPr>
      </w:pPr>
      <w:r>
        <w:rPr>
          <w:lang w:eastAsia="zh-CN"/>
        </w:rPr>
        <w:t>本项目原油燃烧速率参考大庆原油燃烧速率以及重油燃烧速率的平均值，取值为62 g/m</w:t>
      </w:r>
      <w:r>
        <w:rPr>
          <w:vertAlign w:val="superscript"/>
          <w:lang w:eastAsia="zh-CN"/>
        </w:rPr>
        <w:t>2</w:t>
      </w:r>
      <w:r>
        <w:rPr>
          <w:lang w:eastAsia="zh-CN"/>
        </w:rPr>
        <w:t>·s。根据围堰面积及高度，</w:t>
      </w:r>
      <w:r>
        <w:rPr>
          <w:rFonts w:hint="eastAsia"/>
          <w:lang w:eastAsia="zh-CN"/>
        </w:rPr>
        <w:t>在采取灭火等措施的条件下，</w:t>
      </w:r>
      <w:r>
        <w:rPr>
          <w:lang w:eastAsia="zh-CN"/>
        </w:rPr>
        <w:t>本项目储罐原油</w:t>
      </w:r>
      <w:r>
        <w:rPr>
          <w:rFonts w:hint="eastAsia"/>
          <w:lang w:eastAsia="zh-CN"/>
        </w:rPr>
        <w:t>最大</w:t>
      </w:r>
      <w:r>
        <w:rPr>
          <w:lang w:eastAsia="zh-CN"/>
        </w:rPr>
        <w:t>燃烧时间为120分钟。</w:t>
      </w:r>
    </w:p>
    <w:p w14:paraId="2395B85E">
      <w:pPr>
        <w:ind w:firstLine="480"/>
        <w:rPr>
          <w:lang w:eastAsia="zh-CN"/>
        </w:rPr>
      </w:pPr>
      <w:r>
        <w:rPr>
          <w:lang w:eastAsia="zh-CN"/>
        </w:rPr>
        <w:t>乌里雅斯太油田</w:t>
      </w:r>
      <w:r>
        <w:rPr>
          <w:rFonts w:hint="eastAsia"/>
          <w:lang w:eastAsia="zh-CN"/>
        </w:rPr>
        <w:t>雅斯联合站</w:t>
      </w:r>
      <w:r>
        <w:rPr>
          <w:lang w:eastAsia="zh-CN"/>
        </w:rPr>
        <w:t>的储油罐区在发生风险事故时，由于原油燃烧将会产生CO、CO</w:t>
      </w:r>
      <w:r>
        <w:rPr>
          <w:vertAlign w:val="subscript"/>
          <w:lang w:eastAsia="zh-CN"/>
        </w:rPr>
        <w:t>2</w:t>
      </w:r>
      <w:r>
        <w:rPr>
          <w:lang w:eastAsia="zh-CN"/>
        </w:rPr>
        <w:t>、SO</w:t>
      </w:r>
      <w:r>
        <w:rPr>
          <w:vertAlign w:val="subscript"/>
          <w:lang w:eastAsia="zh-CN"/>
        </w:rPr>
        <w:t>2</w:t>
      </w:r>
      <w:r>
        <w:rPr>
          <w:lang w:eastAsia="zh-CN"/>
        </w:rPr>
        <w:t>等伴生污染。毒性较强气体为CO、SO</w:t>
      </w:r>
      <w:r>
        <w:rPr>
          <w:vertAlign w:val="subscript"/>
          <w:lang w:eastAsia="zh-CN"/>
        </w:rPr>
        <w:t>2</w:t>
      </w:r>
      <w:r>
        <w:rPr>
          <w:lang w:eastAsia="zh-CN"/>
        </w:rPr>
        <w:t>。本项目原油中含硫率很低，</w:t>
      </w:r>
      <w:r>
        <w:rPr>
          <w:rFonts w:hint="eastAsia"/>
          <w:lang w:eastAsia="zh-CN"/>
        </w:rPr>
        <w:t>故</w:t>
      </w:r>
      <w:r>
        <w:rPr>
          <w:lang w:eastAsia="zh-CN"/>
        </w:rPr>
        <w:t>在此不进行SO</w:t>
      </w:r>
      <w:r>
        <w:rPr>
          <w:vertAlign w:val="subscript"/>
          <w:lang w:eastAsia="zh-CN"/>
        </w:rPr>
        <w:t>2</w:t>
      </w:r>
      <w:r>
        <w:rPr>
          <w:lang w:eastAsia="zh-CN"/>
        </w:rPr>
        <w:t>的致死浓度计算。</w:t>
      </w:r>
    </w:p>
    <w:p w14:paraId="039B0710">
      <w:pPr>
        <w:ind w:firstLine="480"/>
        <w:rPr>
          <w:lang w:eastAsia="zh-CN"/>
        </w:rPr>
      </w:pPr>
      <w:r>
        <w:rPr>
          <w:lang w:eastAsia="zh-CN"/>
        </w:rPr>
        <w:t>原油燃烧产生的CO污染物依据类比有关资料数据得到源强为348kg/h。通过计算，得出本项目预测结果：</w:t>
      </w:r>
    </w:p>
    <w:p w14:paraId="51046EE2">
      <w:pPr>
        <w:ind w:firstLine="480"/>
        <w:rPr>
          <w:lang w:eastAsia="zh-CN"/>
        </w:rPr>
      </w:pPr>
      <w:r>
        <w:rPr>
          <w:lang w:eastAsia="zh-CN"/>
        </w:rPr>
        <w:t>所有气象下最大落地浓度距离为142m，最大浓度为235 mg/m</w:t>
      </w:r>
      <w:r>
        <w:rPr>
          <w:vertAlign w:val="superscript"/>
          <w:lang w:eastAsia="zh-CN"/>
        </w:rPr>
        <w:t>3</w:t>
      </w:r>
      <w:r>
        <w:rPr>
          <w:lang w:eastAsia="zh-CN"/>
        </w:rPr>
        <w:t>。</w:t>
      </w:r>
    </w:p>
    <w:p w14:paraId="20065230">
      <w:pPr>
        <w:ind w:firstLine="480"/>
        <w:rPr>
          <w:lang w:eastAsia="zh-CN"/>
        </w:rPr>
      </w:pPr>
      <w:r>
        <w:rPr>
          <w:lang w:eastAsia="zh-CN"/>
        </w:rPr>
        <w:t>在D类稳定度下最大落地浓度距离为163m，最大浓度为131.2mg/m</w:t>
      </w:r>
      <w:r>
        <w:rPr>
          <w:vertAlign w:val="superscript"/>
          <w:lang w:eastAsia="zh-CN"/>
        </w:rPr>
        <w:t>3</w:t>
      </w:r>
      <w:r>
        <w:rPr>
          <w:lang w:eastAsia="zh-CN"/>
        </w:rPr>
        <w:t>。</w:t>
      </w:r>
    </w:p>
    <w:p w14:paraId="711D839E">
      <w:pPr>
        <w:ind w:firstLine="480"/>
        <w:rPr>
          <w:lang w:eastAsia="zh-CN"/>
        </w:rPr>
      </w:pPr>
      <w:r>
        <w:rPr>
          <w:lang w:eastAsia="zh-CN"/>
        </w:rPr>
        <w:t>在E类稳定度下最大落地浓度距离为211m，最大浓度为124.6mg/m</w:t>
      </w:r>
      <w:r>
        <w:rPr>
          <w:vertAlign w:val="superscript"/>
          <w:lang w:eastAsia="zh-CN"/>
        </w:rPr>
        <w:t>3</w:t>
      </w:r>
      <w:r>
        <w:rPr>
          <w:lang w:eastAsia="zh-CN"/>
        </w:rPr>
        <w:t>。</w:t>
      </w:r>
    </w:p>
    <w:p w14:paraId="2E449999">
      <w:pPr>
        <w:ind w:firstLine="480"/>
        <w:rPr>
          <w:lang w:eastAsia="zh-CN"/>
        </w:rPr>
      </w:pPr>
      <w:r>
        <w:rPr>
          <w:lang w:eastAsia="zh-CN"/>
        </w:rPr>
        <w:t>本项目池火产生的最大CO污染物浓度低于其半致死LC</w:t>
      </w:r>
      <w:r>
        <w:rPr>
          <w:vertAlign w:val="subscript"/>
          <w:lang w:eastAsia="zh-CN"/>
        </w:rPr>
        <w:t>50</w:t>
      </w:r>
      <w:r>
        <w:rPr>
          <w:lang w:eastAsia="zh-CN"/>
        </w:rPr>
        <w:t>的2069mg/m</w:t>
      </w:r>
      <w:r>
        <w:rPr>
          <w:vertAlign w:val="superscript"/>
          <w:lang w:eastAsia="zh-CN"/>
        </w:rPr>
        <w:t>3</w:t>
      </w:r>
      <w:r>
        <w:rPr>
          <w:lang w:eastAsia="zh-CN"/>
        </w:rPr>
        <w:t>，没有致死半径。在最不利条件下发生火灾</w:t>
      </w:r>
      <w:r>
        <w:rPr>
          <w:rFonts w:hint="eastAsia"/>
          <w:lang w:eastAsia="zh-CN"/>
        </w:rPr>
        <w:t>，</w:t>
      </w:r>
      <w:r>
        <w:rPr>
          <w:lang w:eastAsia="zh-CN"/>
        </w:rPr>
        <w:t>则该污染物对该区域有一定影响。</w:t>
      </w:r>
    </w:p>
    <w:p w14:paraId="05632595">
      <w:pPr>
        <w:pStyle w:val="3"/>
        <w:rPr>
          <w:lang w:eastAsia="zh-CN"/>
        </w:rPr>
      </w:pPr>
      <w:bookmarkStart w:id="797" w:name="_Toc338663600"/>
      <w:bookmarkStart w:id="798" w:name="_Toc408414055"/>
      <w:r>
        <w:rPr>
          <w:lang w:eastAsia="zh-CN"/>
        </w:rPr>
        <w:t>11.5环境风险分析</w:t>
      </w:r>
      <w:bookmarkEnd w:id="797"/>
      <w:bookmarkEnd w:id="798"/>
    </w:p>
    <w:p w14:paraId="386CFD26">
      <w:pPr>
        <w:ind w:firstLine="480"/>
        <w:rPr>
          <w:rFonts w:asciiTheme="minorEastAsia" w:hAnsiTheme="minorEastAsia" w:eastAsiaTheme="minorEastAsia"/>
          <w:lang w:eastAsia="zh-CN"/>
        </w:rPr>
      </w:pPr>
      <w:bookmarkStart w:id="799" w:name="_Toc338663601"/>
      <w:r>
        <w:rPr>
          <w:rFonts w:asciiTheme="minorEastAsia" w:hAnsiTheme="minorEastAsia" w:eastAsiaTheme="minorEastAsia"/>
          <w:lang w:eastAsia="zh-CN"/>
        </w:rPr>
        <w:t>1、对大气环境的影响</w:t>
      </w:r>
      <w:bookmarkEnd w:id="799"/>
    </w:p>
    <w:p w14:paraId="7A420866">
      <w:pPr>
        <w:ind w:firstLine="480"/>
        <w:rPr>
          <w:rFonts w:asciiTheme="minorEastAsia" w:hAnsiTheme="minorEastAsia" w:eastAsiaTheme="minorEastAsia"/>
          <w:lang w:eastAsia="zh-CN"/>
        </w:rPr>
      </w:pPr>
      <w:r>
        <w:rPr>
          <w:rFonts w:asciiTheme="minorEastAsia" w:hAnsiTheme="minorEastAsia" w:eastAsiaTheme="minorEastAsia"/>
          <w:lang w:eastAsia="zh-CN"/>
        </w:rPr>
        <w:t>事故条件下原油泄漏，其中的烃组分挥发进入大气造成烃类污染，若引发火灾事故，将对局部环境空气造成严重污染，但由于泄漏事故具有发生机率小，持续时间较短及间断排放的特性，同时该区块地处辽阔的草原，一次性事故形成的局部大气污染在一定的气象条件下会逐步自然净化，对周围大气环境的影响很小。</w:t>
      </w:r>
    </w:p>
    <w:p w14:paraId="4DEED789">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2、对土壤环境的影响</w:t>
      </w:r>
    </w:p>
    <w:p w14:paraId="6CAF2B7D">
      <w:pPr>
        <w:ind w:firstLine="480"/>
        <w:rPr>
          <w:rFonts w:asciiTheme="minorEastAsia" w:hAnsiTheme="minorEastAsia" w:eastAsiaTheme="minorEastAsia"/>
          <w:lang w:eastAsia="zh-CN"/>
        </w:rPr>
      </w:pPr>
      <w:r>
        <w:rPr>
          <w:rFonts w:asciiTheme="minorEastAsia" w:hAnsiTheme="minorEastAsia" w:eastAsiaTheme="minorEastAsia"/>
          <w:lang w:eastAsia="zh-CN"/>
        </w:rPr>
        <w:t>由于本项目无地表水体，事故状态下，泄漏原油在地表形成落地油，主要为石油类对土壤环境造成一定的影响，表现为降低土壤透气、透水性，消耗土壤氮素，使植物生长受阻，体内残留量增加，改变土壤微生物种群结构，恶化土壤植物及土壤食物链系统的环境质量等。参照《大庆油田开发建设对土壤环境的影响研究》的研究结果可知：</w:t>
      </w:r>
    </w:p>
    <w:p w14:paraId="05207F51">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（1）</w:t>
      </w:r>
      <w:r>
        <w:rPr>
          <w:rFonts w:asciiTheme="minorEastAsia" w:hAnsiTheme="minorEastAsia" w:eastAsiaTheme="minorEastAsia"/>
          <w:lang w:eastAsia="zh-CN"/>
        </w:rPr>
        <w:t>石油类污染物在土壤中绝大部分集中在0～10cm及10～30cm层位中，且主要积聚在土壤表层80cm以内；</w:t>
      </w:r>
    </w:p>
    <w:p w14:paraId="0395AF93">
      <w:pPr>
        <w:ind w:firstLine="480"/>
        <w:outlineLvl w:val="0"/>
        <w:rPr>
          <w:rFonts w:asciiTheme="minorEastAsia" w:hAnsiTheme="minorEastAsia" w:eastAsiaTheme="minorEastAsia"/>
          <w:lang w:eastAsia="zh-CN"/>
        </w:rPr>
      </w:pPr>
      <w:r>
        <w:rPr>
          <w:rFonts w:hint="eastAsia" w:asciiTheme="minorEastAsia" w:hAnsiTheme="minorEastAsia" w:eastAsiaTheme="minorEastAsia"/>
          <w:lang w:eastAsia="zh-CN"/>
        </w:rPr>
        <w:t>（2）</w:t>
      </w:r>
      <w:r>
        <w:rPr>
          <w:rFonts w:asciiTheme="minorEastAsia" w:hAnsiTheme="minorEastAsia" w:eastAsiaTheme="minorEastAsia"/>
          <w:lang w:eastAsia="zh-CN"/>
        </w:rPr>
        <w:t>遗落在土壤中的原油并非全部残留在土壤中，其中有部分会得到净化；</w:t>
      </w:r>
    </w:p>
    <w:p w14:paraId="5911FFEE">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（3）</w:t>
      </w:r>
      <w:r>
        <w:rPr>
          <w:rFonts w:asciiTheme="minorEastAsia" w:hAnsiTheme="minorEastAsia" w:eastAsiaTheme="minorEastAsia"/>
          <w:lang w:eastAsia="zh-CN"/>
        </w:rPr>
        <w:t>根据对中国石油华北油田公司运行多年的油田土壤类比调查及监测的结果，石油对土壤的污染程度与距井口距离成反比，即离井越近，土壤中石油的含量越多，污染程度越重；从平面上看，石油污染物集中在离井20～30m的范围内，约占总量的90%以上。在此范围之外，土壤中的石油含量迅速降低，在离井100m处已经接近背景值，即在距井场100m以外的范围内，对土壤及植被等生态环境无影响。</w:t>
      </w:r>
    </w:p>
    <w:p w14:paraId="2B2F495A">
      <w:pPr>
        <w:ind w:firstLine="480"/>
        <w:rPr>
          <w:rFonts w:asciiTheme="minorEastAsia" w:hAnsiTheme="minorEastAsia" w:eastAsiaTheme="minorEastAsia"/>
          <w:lang w:eastAsia="zh-CN"/>
        </w:rPr>
      </w:pPr>
      <w:r>
        <w:rPr>
          <w:rFonts w:asciiTheme="minorEastAsia" w:hAnsiTheme="minorEastAsia" w:eastAsiaTheme="minorEastAsia"/>
          <w:lang w:eastAsia="zh-CN"/>
        </w:rPr>
        <w:t>3、对地下水环境的影响</w:t>
      </w:r>
    </w:p>
    <w:p w14:paraId="4CED468C">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（1）</w:t>
      </w:r>
      <w:r>
        <w:rPr>
          <w:rFonts w:asciiTheme="minorEastAsia" w:hAnsiTheme="minorEastAsia" w:eastAsiaTheme="minorEastAsia"/>
          <w:lang w:eastAsia="zh-CN"/>
        </w:rPr>
        <w:t>对浅层地下水影响</w:t>
      </w:r>
    </w:p>
    <w:p w14:paraId="4D32BB4A">
      <w:pPr>
        <w:ind w:firstLine="480"/>
        <w:rPr>
          <w:rFonts w:asciiTheme="minorEastAsia" w:hAnsiTheme="minorEastAsia" w:eastAsiaTheme="minorEastAsia"/>
          <w:lang w:eastAsia="zh-CN"/>
        </w:rPr>
      </w:pPr>
      <w:r>
        <w:rPr>
          <w:rFonts w:asciiTheme="minorEastAsia" w:hAnsiTheme="minorEastAsia" w:eastAsiaTheme="minorEastAsia"/>
          <w:lang w:eastAsia="zh-CN"/>
        </w:rPr>
        <w:t>资料研究结果表明包气带对泄漏的原油具有一定的降解净化作用，石油类污染物在一般土壤中绝大部分集中在0～20cm及20～40cm层位中，且主要积聚在土壤表层80cm以内，一般很难下渗至1m以下；另外，该区域</w:t>
      </w:r>
      <w:r>
        <w:rPr>
          <w:rFonts w:hint="eastAsia" w:asciiTheme="minorEastAsia" w:hAnsiTheme="minorEastAsia" w:eastAsiaTheme="minorEastAsia"/>
          <w:lang w:eastAsia="zh-CN"/>
        </w:rPr>
        <w:t>地下水埋深大于1m</w:t>
      </w:r>
      <w:r>
        <w:rPr>
          <w:rFonts w:asciiTheme="minorEastAsia" w:hAnsiTheme="minorEastAsia" w:eastAsiaTheme="minorEastAsia"/>
          <w:lang w:eastAsia="zh-CN"/>
        </w:rPr>
        <w:t>。由此可见，</w:t>
      </w:r>
      <w:r>
        <w:rPr>
          <w:rFonts w:hint="eastAsia" w:asciiTheme="minorEastAsia" w:hAnsiTheme="minorEastAsia" w:eastAsiaTheme="minorEastAsia"/>
          <w:lang w:eastAsia="zh-CN"/>
        </w:rPr>
        <w:t>泄漏原油</w:t>
      </w:r>
      <w:r>
        <w:rPr>
          <w:rFonts w:asciiTheme="minorEastAsia" w:hAnsiTheme="minorEastAsia" w:eastAsiaTheme="minorEastAsia"/>
          <w:lang w:eastAsia="zh-CN"/>
        </w:rPr>
        <w:t xml:space="preserve">一般不会对潜水含水层造成影响。 </w:t>
      </w:r>
    </w:p>
    <w:p w14:paraId="0B90FD7A">
      <w:pPr>
        <w:ind w:firstLine="480"/>
        <w:outlineLvl w:val="0"/>
        <w:rPr>
          <w:rFonts w:asciiTheme="minorEastAsia" w:hAnsiTheme="minorEastAsia" w:eastAsiaTheme="minorEastAsia"/>
          <w:lang w:eastAsia="zh-CN"/>
        </w:rPr>
      </w:pPr>
      <w:bookmarkStart w:id="800" w:name="_Toc338663603"/>
      <w:r>
        <w:rPr>
          <w:rFonts w:hint="eastAsia" w:asciiTheme="minorEastAsia" w:hAnsiTheme="minorEastAsia" w:eastAsiaTheme="minorEastAsia"/>
          <w:lang w:eastAsia="zh-CN"/>
        </w:rPr>
        <w:t>（2）</w:t>
      </w:r>
      <w:r>
        <w:rPr>
          <w:rFonts w:asciiTheme="minorEastAsia" w:hAnsiTheme="minorEastAsia" w:eastAsiaTheme="minorEastAsia"/>
          <w:lang w:eastAsia="zh-CN"/>
        </w:rPr>
        <w:t>对深层地下水影响</w:t>
      </w:r>
    </w:p>
    <w:p w14:paraId="22F34D16">
      <w:pPr>
        <w:ind w:firstLine="480"/>
        <w:rPr>
          <w:rFonts w:asciiTheme="minorEastAsia" w:hAnsiTheme="minorEastAsia" w:eastAsiaTheme="minorEastAsia"/>
          <w:lang w:eastAsia="zh-CN"/>
        </w:rPr>
      </w:pPr>
      <w:r>
        <w:rPr>
          <w:rFonts w:asciiTheme="minorEastAsia" w:hAnsiTheme="minorEastAsia" w:eastAsiaTheme="minorEastAsia"/>
          <w:lang w:eastAsia="zh-CN"/>
        </w:rPr>
        <w:t>一般情况下风险事故造成的油、水不会直接影响地下水，但注水井的质量如果存在隐患则对深层地下水具有潜在性的影响，且深层地下水一经污染不易恢复，应引起足够的重视。</w:t>
      </w:r>
    </w:p>
    <w:p w14:paraId="712E4A73">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4、对生态环境的影响</w:t>
      </w:r>
      <w:bookmarkEnd w:id="800"/>
    </w:p>
    <w:p w14:paraId="07732B16">
      <w:pPr>
        <w:ind w:firstLine="480"/>
        <w:rPr>
          <w:rFonts w:asciiTheme="minorEastAsia" w:hAnsiTheme="minorEastAsia" w:eastAsiaTheme="minorEastAsia"/>
          <w:lang w:eastAsia="zh-CN"/>
        </w:rPr>
      </w:pPr>
      <w:r>
        <w:rPr>
          <w:rFonts w:asciiTheme="minorEastAsia" w:hAnsiTheme="minorEastAsia" w:eastAsiaTheme="minorEastAsia"/>
          <w:lang w:eastAsia="zh-CN"/>
        </w:rPr>
        <w:t>原油和含油污水的事故性泄漏对生态环境的影响比较显著，导致土壤抗蚀能力下降，土地风沙化严重。泄漏原油流入土壤孔隙，可降低土壤的通透性，抑制土壤中酶活性，使土壤中生物减少。一般情况下，原油集中于土壤表层0～20cm范围内，造成土地肥力下降，改变土壤的理化性质，影响土壤正常的结构和功能。</w:t>
      </w:r>
    </w:p>
    <w:p w14:paraId="04B0C33A">
      <w:pPr>
        <w:ind w:firstLine="480"/>
        <w:rPr>
          <w:rFonts w:asciiTheme="minorEastAsia" w:hAnsiTheme="minorEastAsia" w:eastAsiaTheme="minorEastAsia"/>
          <w:lang w:eastAsia="zh-CN"/>
        </w:rPr>
      </w:pPr>
      <w:r>
        <w:rPr>
          <w:rFonts w:asciiTheme="minorEastAsia" w:hAnsiTheme="minorEastAsia" w:eastAsiaTheme="minorEastAsia"/>
          <w:lang w:eastAsia="zh-CN"/>
        </w:rPr>
        <w:t>事故性原油的泄漏可影响草原生态环境，减少牧草产量。其危害最显著的表现为植物，原油粘附于枝叶，阻止植物进行光合作用，可使植物枯萎死亡；在土壤中粘附于植物根系，可阻止植物吸收水分和矿物质而死亡。</w:t>
      </w:r>
    </w:p>
    <w:p w14:paraId="70592E4C">
      <w:pPr>
        <w:ind w:firstLine="480"/>
        <w:rPr>
          <w:rFonts w:asciiTheme="minorEastAsia" w:hAnsiTheme="minorEastAsia" w:eastAsiaTheme="minorEastAsia"/>
          <w:lang w:eastAsia="zh-CN"/>
        </w:rPr>
      </w:pPr>
      <w:r>
        <w:rPr>
          <w:rFonts w:asciiTheme="minorEastAsia" w:hAnsiTheme="minorEastAsia" w:eastAsiaTheme="minorEastAsia"/>
          <w:lang w:eastAsia="zh-CN"/>
        </w:rPr>
        <w:t>根据上述工程分析，本油田开发过程中，正常生产情况下无原油落地，因此对区域内土壤无影响，但在事故状态下会产生落地原油，通过及时清理、回收等措施加以控制，使污染程度降至最小。</w:t>
      </w:r>
    </w:p>
    <w:p w14:paraId="43E12D67">
      <w:pPr>
        <w:pStyle w:val="3"/>
        <w:rPr>
          <w:lang w:eastAsia="zh-CN"/>
        </w:rPr>
      </w:pPr>
      <w:bookmarkStart w:id="801" w:name="_Toc338663604"/>
      <w:bookmarkStart w:id="802" w:name="_Toc408414056"/>
      <w:r>
        <w:rPr>
          <w:lang w:eastAsia="zh-CN"/>
        </w:rPr>
        <w:t>11.6风险管理及减缓风险措施</w:t>
      </w:r>
      <w:bookmarkEnd w:id="801"/>
      <w:bookmarkEnd w:id="802"/>
    </w:p>
    <w:p w14:paraId="72A6497F">
      <w:pPr>
        <w:pStyle w:val="4"/>
        <w:rPr>
          <w:lang w:eastAsia="zh-CN"/>
        </w:rPr>
      </w:pPr>
      <w:bookmarkStart w:id="803" w:name="_Toc338663605"/>
      <w:bookmarkStart w:id="804" w:name="_Toc408414057"/>
      <w:r>
        <w:rPr>
          <w:lang w:eastAsia="zh-CN"/>
        </w:rPr>
        <w:t>11.6.1事故减缓措施</w:t>
      </w:r>
      <w:bookmarkEnd w:id="803"/>
      <w:bookmarkEnd w:id="804"/>
    </w:p>
    <w:p w14:paraId="1D441FE9">
      <w:pPr>
        <w:ind w:firstLine="480"/>
        <w:rPr>
          <w:rFonts w:asciiTheme="minorEastAsia" w:hAnsiTheme="minorEastAsia" w:eastAsiaTheme="minorEastAsia"/>
          <w:lang w:eastAsia="zh-CN"/>
        </w:rPr>
      </w:pPr>
      <w:r>
        <w:rPr>
          <w:rFonts w:asciiTheme="minorEastAsia" w:hAnsiTheme="minorEastAsia" w:eastAsiaTheme="minorEastAsia"/>
          <w:lang w:eastAsia="zh-CN"/>
        </w:rPr>
        <w:t>1、钻井、井下作业事故风险减缓措施</w:t>
      </w:r>
    </w:p>
    <w:p w14:paraId="6AE6D4DE">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（1）</w:t>
      </w:r>
      <w:r>
        <w:rPr>
          <w:rFonts w:asciiTheme="minorEastAsia" w:hAnsiTheme="minorEastAsia" w:eastAsiaTheme="minorEastAsia"/>
          <w:lang w:eastAsia="zh-CN"/>
        </w:rPr>
        <w:t>设计、生产中采取有效预防措施，严格遵守钻井、井下作业的安全规定，在井口安装防喷器和控制装置，杜绝井喷的发生。</w:t>
      </w:r>
    </w:p>
    <w:p w14:paraId="1DCC05DF">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（2）</w:t>
      </w:r>
      <w:r>
        <w:rPr>
          <w:rFonts w:asciiTheme="minorEastAsia" w:hAnsiTheme="minorEastAsia" w:eastAsiaTheme="minorEastAsia"/>
          <w:lang w:eastAsia="zh-CN"/>
        </w:rPr>
        <w:t>抓好井场建设，根据气候特点，做好井场的防护规划，泥浆池严格按照设计施工，并制订严格的井场岗位责任制，有效防范雨季泥浆池外溢事故的发生。另外，所有的泥浆池必须进行防渗处理。</w:t>
      </w:r>
    </w:p>
    <w:p w14:paraId="360020E4">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（3）</w:t>
      </w:r>
      <w:r>
        <w:rPr>
          <w:rFonts w:asciiTheme="minorEastAsia" w:hAnsiTheme="minorEastAsia" w:eastAsiaTheme="minorEastAsia"/>
          <w:lang w:eastAsia="zh-CN"/>
        </w:rPr>
        <w:t>使用的泥浆参数必须符合钻井地质技术的规定要求。泥浆比重和粘度要经常进行检查，罐内每周不得少于一次，在危险的油气层中钻井时每30min检查一次。</w:t>
      </w:r>
    </w:p>
    <w:p w14:paraId="6234FB81">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（4）</w:t>
      </w:r>
      <w:r>
        <w:rPr>
          <w:rFonts w:asciiTheme="minorEastAsia" w:hAnsiTheme="minorEastAsia" w:eastAsiaTheme="minorEastAsia"/>
          <w:lang w:eastAsia="zh-CN"/>
        </w:rPr>
        <w:t>在钻开油气层前必须加重泥浆的密度，使泥浆的液柱压力大于地层压力约3MPa～5MPa，井场的重泥浆储备量必须为井筒容积的1.5～2倍，并且还应储备足够量的泥浆加重剂。</w:t>
      </w:r>
    </w:p>
    <w:p w14:paraId="6221227F">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（5）</w:t>
      </w:r>
      <w:r>
        <w:rPr>
          <w:rFonts w:asciiTheme="minorEastAsia" w:hAnsiTheme="minorEastAsia" w:eastAsiaTheme="minorEastAsia"/>
          <w:lang w:eastAsia="zh-CN"/>
        </w:rPr>
        <w:t>井控操作实行持证上岗，各岗位的钻井人员有明确的分工，并且应经过井控专业培训。在气油层中钻进，每班进行一次防喷操作演习。</w:t>
      </w:r>
    </w:p>
    <w:p w14:paraId="6B2C81E8">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（6）</w:t>
      </w:r>
      <w:r>
        <w:rPr>
          <w:rFonts w:asciiTheme="minorEastAsia" w:hAnsiTheme="minorEastAsia" w:eastAsiaTheme="minorEastAsia"/>
          <w:lang w:eastAsia="zh-CN"/>
        </w:rPr>
        <w:t>井场设置明显的禁止烟火标志；井场钻井设备及电器设备、照明灯具符合防火防爆的安全要求，井场安装探照灯，以备井喷时钻台照明。</w:t>
      </w:r>
    </w:p>
    <w:p w14:paraId="35E7B6EB">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（7）</w:t>
      </w:r>
      <w:r>
        <w:rPr>
          <w:rFonts w:asciiTheme="minorEastAsia" w:hAnsiTheme="minorEastAsia" w:eastAsiaTheme="minorEastAsia"/>
          <w:lang w:eastAsia="zh-CN"/>
        </w:rPr>
        <w:t>定时清除柴油机排气管内的积炭，以防井喷时排气管进出火星引起着火，排气管出口与井口相距不少于15m。</w:t>
      </w:r>
    </w:p>
    <w:p w14:paraId="02D354B1">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（8）</w:t>
      </w:r>
      <w:r>
        <w:rPr>
          <w:rFonts w:asciiTheme="minorEastAsia" w:hAnsiTheme="minorEastAsia" w:eastAsiaTheme="minorEastAsia"/>
          <w:lang w:eastAsia="zh-CN"/>
        </w:rPr>
        <w:t>按消防规定配备泡沫灭火器、干粉灭火器、消防铁锹和其它消防器材。</w:t>
      </w:r>
    </w:p>
    <w:p w14:paraId="64447CA9">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（9）</w:t>
      </w:r>
      <w:r>
        <w:rPr>
          <w:rFonts w:asciiTheme="minorEastAsia" w:hAnsiTheme="minorEastAsia" w:eastAsiaTheme="minorEastAsia"/>
          <w:lang w:eastAsia="zh-CN"/>
        </w:rPr>
        <w:t>井下作业之前，在井场周围划分高压区和低压区，高压泵、高压汇管、井口装置等高压设备均布置于高压区内，施工过程中，高压区无关人员全部撤离，并设置安全警戒岗。</w:t>
      </w:r>
    </w:p>
    <w:p w14:paraId="7CC6890C">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（10）</w:t>
      </w:r>
      <w:r>
        <w:rPr>
          <w:rFonts w:asciiTheme="minorEastAsia" w:hAnsiTheme="minorEastAsia" w:eastAsiaTheme="minorEastAsia"/>
          <w:lang w:eastAsia="zh-CN"/>
        </w:rPr>
        <w:t>每一次井下作业施工前，必须对高压汇管进行试压，试压压力大于施工压力5MPa，施工后必须探伤，更换不符合要求的汇管。</w:t>
      </w:r>
    </w:p>
    <w:p w14:paraId="6654A471">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（11）</w:t>
      </w:r>
      <w:r>
        <w:rPr>
          <w:rFonts w:asciiTheme="minorEastAsia" w:hAnsiTheme="minorEastAsia" w:eastAsiaTheme="minorEastAsia"/>
          <w:lang w:eastAsia="zh-CN"/>
        </w:rPr>
        <w:t>完善和加强油井压力监测系统，安装可靠的封井器，降低井喷率。井喷是油田开发的特有事故，在勘探钻井、采油及洗井作业过程中均有可能发生井喷。为防止井喷事故，必须在油井井口安装封井器及相应的压力传送指示系统，一旦油井压力升高，可立即关井，避免井喷发生。</w:t>
      </w:r>
    </w:p>
    <w:p w14:paraId="4F88CAB5">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2、油品集输事故风险减缓措施</w:t>
      </w:r>
    </w:p>
    <w:p w14:paraId="663A047B">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（1）</w:t>
      </w:r>
      <w:r>
        <w:rPr>
          <w:rFonts w:asciiTheme="minorEastAsia" w:hAnsiTheme="minorEastAsia" w:eastAsiaTheme="minorEastAsia"/>
          <w:lang w:eastAsia="zh-CN"/>
        </w:rPr>
        <w:t>集输管线敷设前，应加强对管材和焊接质量的检查，严禁使用不合格产品。对焊接质量严格检验，防止焊接缺陷造成泄漏事故的发生。</w:t>
      </w:r>
    </w:p>
    <w:p w14:paraId="28C726A8">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（2）</w:t>
      </w:r>
      <w:r>
        <w:rPr>
          <w:rFonts w:asciiTheme="minorEastAsia" w:hAnsiTheme="minorEastAsia" w:eastAsiaTheme="minorEastAsia"/>
          <w:lang w:eastAsia="zh-CN"/>
        </w:rPr>
        <w:t>在集输管线的敷设线路上应设置永久性标志，包括里程桩、转角桩、交叉标志和警示牌等。</w:t>
      </w:r>
    </w:p>
    <w:p w14:paraId="6BA93437">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（3）</w:t>
      </w:r>
      <w:r>
        <w:rPr>
          <w:rFonts w:asciiTheme="minorEastAsia" w:hAnsiTheme="minorEastAsia" w:eastAsiaTheme="minorEastAsia"/>
          <w:lang w:eastAsia="zh-CN"/>
        </w:rPr>
        <w:t>管线穿越活动断裂带时，应确定断层走向，使管道与断层有一个理想的交角，使埋地管线在断层错位作用下单纯受拉，从而增强管线抵抗断层位移和保持管身结构完整的能力。</w:t>
      </w:r>
    </w:p>
    <w:p w14:paraId="3408CE0B">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（4）</w:t>
      </w:r>
      <w:r>
        <w:rPr>
          <w:rFonts w:asciiTheme="minorEastAsia" w:hAnsiTheme="minorEastAsia" w:eastAsiaTheme="minorEastAsia"/>
          <w:lang w:eastAsia="zh-CN"/>
        </w:rPr>
        <w:t>按规定进行设备维修、保养，及时更换易损及老化部件，防止油气泄漏事故的发生。</w:t>
      </w:r>
    </w:p>
    <w:p w14:paraId="185713F3">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（5）</w:t>
      </w:r>
      <w:r>
        <w:rPr>
          <w:rFonts w:asciiTheme="minorEastAsia" w:hAnsiTheme="minorEastAsia" w:eastAsiaTheme="minorEastAsia"/>
          <w:lang w:eastAsia="zh-CN"/>
        </w:rPr>
        <w:t>加强自动控制系统的管理和控制，严格控制压力平衡。</w:t>
      </w:r>
    </w:p>
    <w:p w14:paraId="3D609A6F">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（6）</w:t>
      </w:r>
      <w:r>
        <w:rPr>
          <w:rFonts w:asciiTheme="minorEastAsia" w:hAnsiTheme="minorEastAsia" w:eastAsiaTheme="minorEastAsia"/>
          <w:lang w:eastAsia="zh-CN"/>
        </w:rPr>
        <w:t>完善各站场的环境保护工程，及时清除、处理各种污染物，保持安全设施的完好，杜绝火灾的发生。</w:t>
      </w:r>
    </w:p>
    <w:p w14:paraId="575B0C27">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（7）</w:t>
      </w:r>
      <w:r>
        <w:rPr>
          <w:rFonts w:asciiTheme="minorEastAsia" w:hAnsiTheme="minorEastAsia" w:eastAsiaTheme="minorEastAsia"/>
          <w:lang w:eastAsia="zh-CN"/>
        </w:rPr>
        <w:t>在集输系统运行期间，严格控制输送油气的性质，定期清管，排除管内的积水和污物，以减轻管道内腐蚀；定期对管线进行超声波检查，对壁厚低于规定要求的管段应及时更换，消除爆管的隐患；定期对集输管线上的安全保护设施，如截断阀、安全阀、放空系统等进行检查，使管道在超压时能够得到安全处理，在管道破裂时能够及时截断上下游管段，以减少事故时油气的释放量，使危害影响范围减小到最低程度。</w:t>
      </w:r>
    </w:p>
    <w:p w14:paraId="7BCB8763">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（8）</w:t>
      </w:r>
      <w:r>
        <w:rPr>
          <w:rFonts w:asciiTheme="minorEastAsia" w:hAnsiTheme="minorEastAsia" w:eastAsiaTheme="minorEastAsia"/>
          <w:lang w:eastAsia="zh-CN"/>
        </w:rPr>
        <w:t>定期对管线进行巡视，应加强管线和警戒标志的管理工作。</w:t>
      </w:r>
    </w:p>
    <w:p w14:paraId="52890AD6">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3、站场事故风险减缓措施</w:t>
      </w:r>
    </w:p>
    <w:p w14:paraId="0209E4A5">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（1）</w:t>
      </w:r>
      <w:r>
        <w:rPr>
          <w:rFonts w:asciiTheme="minorEastAsia" w:hAnsiTheme="minorEastAsia" w:eastAsiaTheme="minorEastAsia"/>
          <w:lang w:eastAsia="zh-CN"/>
        </w:rPr>
        <w:t>平面布局科学合理：平面布置中尽量将火灾危险性相近的设施集中布置，并保持规定的防火距离；将全厂的明火点控制到最少，并布置在油气生产区场地边缘部位；有油气散发的场所布置在有明火或散发火花地点的当地全年最小频率风向的上风侧。</w:t>
      </w:r>
    </w:p>
    <w:p w14:paraId="10FA7083">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（2）</w:t>
      </w:r>
      <w:r>
        <w:rPr>
          <w:rFonts w:asciiTheme="minorEastAsia" w:hAnsiTheme="minorEastAsia" w:eastAsiaTheme="minorEastAsia"/>
          <w:lang w:eastAsia="zh-CN"/>
        </w:rPr>
        <w:t>在建、构筑物区域内设置接地装置，必要时可加装消雷器。工艺设备、塔、架等设置防静电接地装置；变压器等采用避雷器作为防雷保护。</w:t>
      </w:r>
    </w:p>
    <w:p w14:paraId="0855DD67">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（3）</w:t>
      </w:r>
      <w:r>
        <w:rPr>
          <w:rFonts w:asciiTheme="minorEastAsia" w:hAnsiTheme="minorEastAsia" w:eastAsiaTheme="minorEastAsia"/>
          <w:lang w:eastAsia="zh-CN"/>
        </w:rPr>
        <w:t>按规定配置齐全各类消防设施，并定期进行检查，保持完好可用。</w:t>
      </w:r>
    </w:p>
    <w:p w14:paraId="1985B28C">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（4）</w:t>
      </w:r>
      <w:r>
        <w:rPr>
          <w:rFonts w:asciiTheme="minorEastAsia" w:hAnsiTheme="minorEastAsia" w:eastAsiaTheme="minorEastAsia"/>
          <w:lang w:eastAsia="zh-CN"/>
        </w:rPr>
        <w:t>站场内的装置区、泵房等均为爆炸火灾危险区域，区域内的配电设备均应采用防爆型；根据各建筑物的不同防爆等级采取相应的防爆措施。</w:t>
      </w:r>
    </w:p>
    <w:p w14:paraId="0423E889">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（5）</w:t>
      </w:r>
      <w:r>
        <w:rPr>
          <w:rFonts w:asciiTheme="minorEastAsia" w:hAnsiTheme="minorEastAsia" w:eastAsiaTheme="minorEastAsia"/>
          <w:lang w:eastAsia="zh-CN"/>
        </w:rPr>
        <w:t>在可能产生易燃易爆介质泄漏的地方，设置可燃气体检测报警器，以便及时发现事故隐患。</w:t>
      </w:r>
    </w:p>
    <w:p w14:paraId="4CBB99C6">
      <w:pPr>
        <w:pStyle w:val="4"/>
        <w:rPr>
          <w:lang w:eastAsia="zh-CN"/>
        </w:rPr>
      </w:pPr>
      <w:bookmarkStart w:id="805" w:name="_Toc338663606"/>
      <w:bookmarkStart w:id="806" w:name="_Toc408414058"/>
      <w:r>
        <w:rPr>
          <w:lang w:eastAsia="zh-CN"/>
        </w:rPr>
        <w:t>11.6.2储油罐火灾及爆炸事故管理</w:t>
      </w:r>
      <w:bookmarkEnd w:id="805"/>
      <w:bookmarkEnd w:id="806"/>
    </w:p>
    <w:p w14:paraId="4F4E77E7">
      <w:pPr>
        <w:ind w:firstLine="480"/>
        <w:rPr>
          <w:rFonts w:asciiTheme="minorEastAsia" w:hAnsiTheme="minorEastAsia" w:eastAsiaTheme="minorEastAsia"/>
          <w:lang w:eastAsia="zh-CN"/>
        </w:rPr>
      </w:pPr>
      <w:r>
        <w:rPr>
          <w:rFonts w:asciiTheme="minorEastAsia" w:hAnsiTheme="minorEastAsia" w:eastAsiaTheme="minorEastAsia"/>
          <w:lang w:eastAsia="zh-CN"/>
        </w:rPr>
        <w:t>根据前面的分析，</w:t>
      </w:r>
      <w:r>
        <w:rPr>
          <w:rFonts w:hint="eastAsia" w:asciiTheme="minorEastAsia" w:hAnsiTheme="minorEastAsia" w:eastAsiaTheme="minorEastAsia"/>
          <w:lang w:eastAsia="zh-CN"/>
        </w:rPr>
        <w:t>雅斯联合站</w:t>
      </w:r>
      <w:r>
        <w:rPr>
          <w:rFonts w:asciiTheme="minorEastAsia" w:hAnsiTheme="minorEastAsia" w:eastAsiaTheme="minorEastAsia"/>
          <w:lang w:eastAsia="zh-CN"/>
        </w:rPr>
        <w:t>内储油罐</w:t>
      </w:r>
      <w:r>
        <w:rPr>
          <w:rFonts w:hint="eastAsia" w:asciiTheme="minorEastAsia" w:hAnsiTheme="minorEastAsia" w:eastAsiaTheme="minorEastAsia"/>
          <w:lang w:eastAsia="zh-CN"/>
        </w:rPr>
        <w:t>3具</w:t>
      </w:r>
      <w:r>
        <w:rPr>
          <w:rFonts w:asciiTheme="minorEastAsia" w:hAnsiTheme="minorEastAsia" w:eastAsiaTheme="minorEastAsia"/>
          <w:lang w:eastAsia="zh-CN"/>
        </w:rPr>
        <w:t>，这些储油罐将是发生火灾和爆炸的重要风险源。而且伴随油品的燃烧和爆炸，将形成有毒有害物质的非正常排放并在大气中迅速扩散，导致更大范围内的环境空气污染，污染的后果也更加恶劣，甚至对周围环境中的动植物和人体健康造成损害。</w:t>
      </w:r>
    </w:p>
    <w:p w14:paraId="3A7A8FD6">
      <w:pPr>
        <w:ind w:firstLine="480"/>
        <w:rPr>
          <w:rFonts w:asciiTheme="minorEastAsia" w:hAnsiTheme="minorEastAsia" w:eastAsiaTheme="minorEastAsia"/>
          <w:lang w:eastAsia="zh-CN"/>
        </w:rPr>
      </w:pPr>
      <w:r>
        <w:rPr>
          <w:rFonts w:asciiTheme="minorEastAsia" w:hAnsiTheme="minorEastAsia" w:eastAsiaTheme="minorEastAsia"/>
          <w:lang w:eastAsia="zh-CN"/>
        </w:rPr>
        <w:t>因此，无论从安全角度还是从环境保护角度，都必须高度重视和切实做好储油罐区的防火、防爆工作。</w:t>
      </w:r>
    </w:p>
    <w:p w14:paraId="07D95A62">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1、火灾和爆炸发生的原因</w:t>
      </w:r>
    </w:p>
    <w:p w14:paraId="1A3EA39D">
      <w:pPr>
        <w:ind w:firstLine="480"/>
        <w:rPr>
          <w:rFonts w:asciiTheme="minorEastAsia" w:hAnsiTheme="minorEastAsia" w:eastAsiaTheme="minorEastAsia"/>
          <w:lang w:eastAsia="zh-CN"/>
        </w:rPr>
      </w:pPr>
      <w:r>
        <w:rPr>
          <w:rFonts w:asciiTheme="minorEastAsia" w:hAnsiTheme="minorEastAsia" w:eastAsiaTheme="minorEastAsia"/>
          <w:lang w:eastAsia="zh-CN"/>
        </w:rPr>
        <w:t>油罐失火、爆炸的主观原因往往是有关人员的思想不重视，麻痹大意，制度不严，管理不善，违反操作规程等；客观原因则主要涉及：</w:t>
      </w:r>
    </w:p>
    <w:p w14:paraId="1760FAC0">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（1）</w:t>
      </w:r>
      <w:r>
        <w:rPr>
          <w:rFonts w:asciiTheme="minorEastAsia" w:hAnsiTheme="minorEastAsia" w:eastAsiaTheme="minorEastAsia"/>
          <w:lang w:eastAsia="zh-CN"/>
        </w:rPr>
        <w:t>电气设备短路、触头分离、外壳接地不良等原因引起弧光和火花，或电气设备发热部分超过最高允许温度；</w:t>
      </w:r>
    </w:p>
    <w:p w14:paraId="68CFAC27">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（2）</w:t>
      </w:r>
      <w:r>
        <w:rPr>
          <w:rFonts w:asciiTheme="minorEastAsia" w:hAnsiTheme="minorEastAsia" w:eastAsiaTheme="minorEastAsia"/>
          <w:lang w:eastAsia="zh-CN"/>
        </w:rPr>
        <w:t>当金属撞击引起火花；</w:t>
      </w:r>
    </w:p>
    <w:p w14:paraId="64741AD1">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（3）</w:t>
      </w:r>
      <w:r>
        <w:rPr>
          <w:rFonts w:asciiTheme="minorEastAsia" w:hAnsiTheme="minorEastAsia" w:eastAsiaTheme="minorEastAsia"/>
          <w:lang w:eastAsia="zh-CN"/>
        </w:rPr>
        <w:t>静电和雷电；</w:t>
      </w:r>
    </w:p>
    <w:p w14:paraId="12F87003">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（4）</w:t>
      </w:r>
      <w:r>
        <w:rPr>
          <w:rFonts w:asciiTheme="minorEastAsia" w:hAnsiTheme="minorEastAsia" w:eastAsiaTheme="minorEastAsia"/>
          <w:lang w:eastAsia="zh-CN"/>
        </w:rPr>
        <w:t>可燃物的自燃，如油罐中含硫油品沉积物在清除时自燃，堆积的含油垃圾自燃；</w:t>
      </w:r>
    </w:p>
    <w:p w14:paraId="4107EB18">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（5）</w:t>
      </w:r>
      <w:r>
        <w:rPr>
          <w:rFonts w:asciiTheme="minorEastAsia" w:hAnsiTheme="minorEastAsia" w:eastAsiaTheme="minorEastAsia"/>
          <w:lang w:eastAsia="zh-CN"/>
        </w:rPr>
        <w:t>油罐腐蚀泄漏等；</w:t>
      </w:r>
    </w:p>
    <w:p w14:paraId="573655AC">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（6）</w:t>
      </w:r>
      <w:r>
        <w:rPr>
          <w:rFonts w:asciiTheme="minorEastAsia" w:hAnsiTheme="minorEastAsia" w:eastAsiaTheme="minorEastAsia"/>
          <w:lang w:eastAsia="zh-CN"/>
        </w:rPr>
        <w:t>事故池出现泄漏</w:t>
      </w:r>
    </w:p>
    <w:p w14:paraId="3942A806">
      <w:pPr>
        <w:ind w:firstLine="480"/>
        <w:rPr>
          <w:rFonts w:asciiTheme="minorEastAsia" w:hAnsiTheme="minorEastAsia" w:eastAsiaTheme="minorEastAsia"/>
          <w:lang w:eastAsia="zh-CN"/>
        </w:rPr>
      </w:pPr>
      <w:r>
        <w:rPr>
          <w:rFonts w:asciiTheme="minorEastAsia" w:hAnsiTheme="minorEastAsia" w:eastAsiaTheme="minorEastAsia"/>
          <w:lang w:eastAsia="zh-CN"/>
        </w:rPr>
        <w:t>2、油罐区失火、爆炸预防措施</w:t>
      </w:r>
    </w:p>
    <w:p w14:paraId="38168CD4">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（1）</w:t>
      </w:r>
      <w:r>
        <w:rPr>
          <w:rFonts w:asciiTheme="minorEastAsia" w:hAnsiTheme="minorEastAsia" w:eastAsiaTheme="minorEastAsia"/>
          <w:lang w:eastAsia="zh-CN"/>
        </w:rPr>
        <w:t>切实加强油罐区的科学管理，建立健全各项规章制度，增强操作人员的责任心和安全意识等手段，最大程度的防止事故的发生。同时，建立群众性的消防组织，制定防火规章和消防方案，划分消防区域，规定火警信号，定期组织防火教育和消防演习，使工人熟练使用消防器材。</w:t>
      </w:r>
    </w:p>
    <w:p w14:paraId="42D29825">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（2）</w:t>
      </w:r>
      <w:r>
        <w:rPr>
          <w:rFonts w:asciiTheme="minorEastAsia" w:hAnsiTheme="minorEastAsia" w:eastAsiaTheme="minorEastAsia"/>
          <w:lang w:eastAsia="zh-CN"/>
        </w:rPr>
        <w:t>断绝火源：在防火禁区内不准携带火种，不准吸烟，不准汽车、骡马以及铁轮车在禁区内行驶，防止金属撞击发生火星等。照明不得使用明火，也不得使用普通电气设备照明。为了防止电气设备由于短路、触头分离等原因引起火花，在禁区内必须使用防爆型电气设备。</w:t>
      </w:r>
    </w:p>
    <w:p w14:paraId="7A030286">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（3）</w:t>
      </w:r>
      <w:r>
        <w:rPr>
          <w:rFonts w:asciiTheme="minorEastAsia" w:hAnsiTheme="minorEastAsia" w:eastAsiaTheme="minorEastAsia"/>
          <w:lang w:eastAsia="zh-CN"/>
        </w:rPr>
        <w:t>作好危险作业的防火：在油罐区进行电焊、气焊、锻造等明火作业时，必须严格按规章制度进行，并应采取有效的用火安全措施。</w:t>
      </w:r>
    </w:p>
    <w:p w14:paraId="3B3A574F">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（4）</w:t>
      </w:r>
      <w:r>
        <w:rPr>
          <w:rFonts w:asciiTheme="minorEastAsia" w:hAnsiTheme="minorEastAsia" w:eastAsiaTheme="minorEastAsia"/>
          <w:lang w:eastAsia="zh-CN"/>
        </w:rPr>
        <w:t>及时处理各种可燃物：</w:t>
      </w:r>
    </w:p>
    <w:p w14:paraId="36B5764A">
      <w:pPr>
        <w:ind w:firstLine="480"/>
        <w:outlineLvl w:val="0"/>
        <w:rPr>
          <w:rFonts w:asciiTheme="minorEastAsia" w:hAnsiTheme="minorEastAsia" w:eastAsiaTheme="minorEastAsia"/>
          <w:lang w:eastAsia="zh-CN"/>
        </w:rPr>
      </w:pPr>
      <w:r>
        <w:rPr>
          <w:rFonts w:hint="eastAsia" w:asciiTheme="minorEastAsia" w:hAnsiTheme="minorEastAsia" w:eastAsiaTheme="minorEastAsia"/>
          <w:lang w:eastAsia="zh-CN"/>
        </w:rPr>
        <w:t>（5）</w:t>
      </w:r>
      <w:r>
        <w:rPr>
          <w:rFonts w:asciiTheme="minorEastAsia" w:hAnsiTheme="minorEastAsia" w:eastAsiaTheme="minorEastAsia"/>
          <w:lang w:eastAsia="zh-CN"/>
        </w:rPr>
        <w:t>油罐区静电的生产防护措施</w:t>
      </w:r>
    </w:p>
    <w:p w14:paraId="71E5F561">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①</w:t>
      </w:r>
      <w:r>
        <w:rPr>
          <w:rFonts w:asciiTheme="minorEastAsia" w:hAnsiTheme="minorEastAsia" w:eastAsiaTheme="minorEastAsia"/>
          <w:lang w:eastAsia="zh-CN"/>
        </w:rPr>
        <w:t>油品管线安装过滤器时，从过滤器到放油口最少应有30秒的缓冲时间，以使由于阻力增大而产生的静电在这一时间内衰减到安全要求的静电压。</w:t>
      </w:r>
    </w:p>
    <w:p w14:paraId="6A89E92A">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②</w:t>
      </w:r>
      <w:r>
        <w:rPr>
          <w:rFonts w:asciiTheme="minorEastAsia" w:hAnsiTheme="minorEastAsia" w:eastAsiaTheme="minorEastAsia"/>
          <w:lang w:eastAsia="zh-CN"/>
        </w:rPr>
        <w:t xml:space="preserve">采样、测温器最好选用金属制品盒和导电性绳索，并且在采样、测温过程中不应猛拉快提，避免对油面搅动过大而产生静电。  </w:t>
      </w:r>
    </w:p>
    <w:p w14:paraId="75796E1C">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③</w:t>
      </w:r>
      <w:r>
        <w:rPr>
          <w:rFonts w:asciiTheme="minorEastAsia" w:hAnsiTheme="minorEastAsia" w:eastAsiaTheme="minorEastAsia"/>
          <w:lang w:eastAsia="zh-CN"/>
        </w:rPr>
        <w:t>油品管线清扫禁止使用压缩空气。</w:t>
      </w:r>
    </w:p>
    <w:p w14:paraId="428DE89B">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④</w:t>
      </w:r>
      <w:r>
        <w:rPr>
          <w:rFonts w:asciiTheme="minorEastAsia" w:hAnsiTheme="minorEastAsia" w:eastAsiaTheme="minorEastAsia"/>
          <w:lang w:eastAsia="zh-CN"/>
        </w:rPr>
        <w:t>在易燃易爆区内，禁止使用化纤材料制品进行擦洗作业，禁止工作人员穿着化纤类材料制成的服装。</w:t>
      </w:r>
    </w:p>
    <w:p w14:paraId="78D60A63">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（6）</w:t>
      </w:r>
      <w:r>
        <w:rPr>
          <w:rFonts w:asciiTheme="minorEastAsia" w:hAnsiTheme="minorEastAsia" w:eastAsiaTheme="minorEastAsia"/>
          <w:lang w:eastAsia="zh-CN"/>
        </w:rPr>
        <w:t>油罐防雷措施</w:t>
      </w:r>
    </w:p>
    <w:p w14:paraId="1933DD85">
      <w:pPr>
        <w:ind w:firstLine="480"/>
        <w:rPr>
          <w:rFonts w:asciiTheme="minorEastAsia" w:hAnsiTheme="minorEastAsia" w:eastAsiaTheme="minorEastAsia"/>
          <w:lang w:eastAsia="zh-CN"/>
        </w:rPr>
      </w:pPr>
      <w:r>
        <w:rPr>
          <w:rFonts w:asciiTheme="minorEastAsia" w:hAnsiTheme="minorEastAsia" w:eastAsiaTheme="minorEastAsia"/>
          <w:lang w:eastAsia="zh-CN"/>
        </w:rPr>
        <w:t>油品与大气接触的面积较大，储罐内油品蒸气与空气的混合气体可能会达到爆炸极限，遇雷击极易着火，因此必须设置避雷针，并将罐体良好接地。</w:t>
      </w:r>
    </w:p>
    <w:p w14:paraId="33FD8CC2">
      <w:pPr>
        <w:pStyle w:val="3"/>
        <w:rPr>
          <w:lang w:eastAsia="zh-CN"/>
        </w:rPr>
      </w:pPr>
      <w:bookmarkStart w:id="807" w:name="_Toc338663607"/>
      <w:bookmarkStart w:id="808" w:name="_Toc408414059"/>
      <w:r>
        <w:rPr>
          <w:lang w:eastAsia="zh-CN"/>
        </w:rPr>
        <w:t>11.7风险防范措施</w:t>
      </w:r>
      <w:bookmarkEnd w:id="807"/>
      <w:bookmarkEnd w:id="808"/>
    </w:p>
    <w:p w14:paraId="158248AB">
      <w:pPr>
        <w:ind w:firstLine="480"/>
        <w:rPr>
          <w:rFonts w:asciiTheme="minorEastAsia" w:hAnsiTheme="minorEastAsia" w:eastAsiaTheme="minorEastAsia"/>
          <w:lang w:eastAsia="zh-CN"/>
        </w:rPr>
      </w:pPr>
      <w:r>
        <w:rPr>
          <w:rFonts w:asciiTheme="minorEastAsia" w:hAnsiTheme="minorEastAsia" w:eastAsiaTheme="minorEastAsia"/>
          <w:lang w:eastAsia="zh-CN"/>
        </w:rPr>
        <w:t>根据国家及中石</w:t>
      </w:r>
      <w:r>
        <w:rPr>
          <w:rFonts w:hint="eastAsia" w:asciiTheme="minorEastAsia" w:hAnsiTheme="minorEastAsia" w:eastAsiaTheme="minorEastAsia"/>
          <w:lang w:eastAsia="zh-CN"/>
        </w:rPr>
        <w:t>油</w:t>
      </w:r>
      <w:r>
        <w:rPr>
          <w:rFonts w:asciiTheme="minorEastAsia" w:hAnsiTheme="minorEastAsia" w:eastAsiaTheme="minorEastAsia"/>
          <w:lang w:eastAsia="zh-CN"/>
        </w:rPr>
        <w:t>公司的总体要求，结合国内外油田开发与风险事故发生的实际，拟定乌里雅斯太油田开发项目风险防范措施主要应选择在油储罐。乌里雅斯太油田拟将应急防范措施分为</w:t>
      </w:r>
      <w:r>
        <w:rPr>
          <w:rFonts w:hint="eastAsia" w:asciiTheme="minorEastAsia" w:hAnsiTheme="minorEastAsia" w:eastAsiaTheme="minorEastAsia"/>
          <w:lang w:eastAsia="zh-CN"/>
        </w:rPr>
        <w:t>二</w:t>
      </w:r>
      <w:r>
        <w:rPr>
          <w:rFonts w:asciiTheme="minorEastAsia" w:hAnsiTheme="minorEastAsia" w:eastAsiaTheme="minorEastAsia"/>
          <w:lang w:eastAsia="zh-CN"/>
        </w:rPr>
        <w:t>级防控体系，即：一级防控措施将污染物控制在罐区；二级防控措施将污染控制在事故缓冲池，使事故状态下不发生污染事件。</w:t>
      </w:r>
    </w:p>
    <w:p w14:paraId="38EEEEC8">
      <w:pPr>
        <w:pStyle w:val="4"/>
        <w:rPr>
          <w:lang w:eastAsia="zh-CN"/>
        </w:rPr>
      </w:pPr>
      <w:bookmarkStart w:id="809" w:name="_Toc408414060"/>
      <w:bookmarkStart w:id="810" w:name="_Toc338663608"/>
      <w:r>
        <w:rPr>
          <w:lang w:eastAsia="zh-CN"/>
        </w:rPr>
        <w:t>11.7.1一级防控</w:t>
      </w:r>
      <w:bookmarkEnd w:id="809"/>
      <w:bookmarkEnd w:id="810"/>
    </w:p>
    <w:p w14:paraId="130CF94E">
      <w:pPr>
        <w:ind w:firstLine="480"/>
        <w:rPr>
          <w:rFonts w:asciiTheme="minorEastAsia" w:hAnsiTheme="minorEastAsia" w:eastAsiaTheme="minorEastAsia"/>
          <w:lang w:eastAsia="zh-CN"/>
        </w:rPr>
      </w:pPr>
      <w:r>
        <w:rPr>
          <w:rFonts w:asciiTheme="minorEastAsia" w:hAnsiTheme="minorEastAsia" w:eastAsiaTheme="minorEastAsia"/>
          <w:lang w:eastAsia="zh-CN"/>
        </w:rPr>
        <w:t>一级防控措施将污染物控制在罐区，主要在罐区修建隔油池。隔油池用来保证高浓度废水不直接进入含油废水处理系统。具体措施见表11.7-1。</w:t>
      </w:r>
    </w:p>
    <w:p w14:paraId="4C4CEF5B">
      <w:pPr>
        <w:spacing w:line="240" w:lineRule="auto"/>
        <w:ind w:firstLine="236" w:firstLineChars="98"/>
        <w:rPr>
          <w:b/>
          <w:bCs/>
          <w:lang w:eastAsia="zh-CN"/>
        </w:rPr>
      </w:pPr>
      <w:r>
        <w:rPr>
          <w:b/>
          <w:bCs/>
          <w:lang w:eastAsia="zh-CN"/>
        </w:rPr>
        <w:t xml:space="preserve">表11.7-1  </w:t>
      </w:r>
      <w:r>
        <w:rPr>
          <w:rFonts w:hint="eastAsia"/>
          <w:b/>
          <w:bCs/>
          <w:lang w:eastAsia="zh-CN"/>
        </w:rPr>
        <w:t xml:space="preserve">  </w:t>
      </w:r>
      <w:r>
        <w:rPr>
          <w:b/>
          <w:bCs/>
          <w:lang w:eastAsia="zh-CN"/>
        </w:rPr>
        <w:t>一级防控措施一览表</w:t>
      </w:r>
    </w:p>
    <w:tbl>
      <w:tblPr>
        <w:tblStyle w:val="7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81"/>
        <w:gridCol w:w="1482"/>
        <w:gridCol w:w="4029"/>
        <w:gridCol w:w="1537"/>
      </w:tblGrid>
      <w:tr w14:paraId="7E29EE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81" w:type="dxa"/>
            <w:vAlign w:val="center"/>
          </w:tcPr>
          <w:p w14:paraId="18894760">
            <w:pPr>
              <w:pStyle w:val="337"/>
              <w:adjustRightInd w:val="0"/>
              <w:snapToGrid w:val="0"/>
              <w:rPr>
                <w:color w:val="auto"/>
                <w:lang w:val="en-US" w:eastAsia="en-US" w:bidi="en-US"/>
              </w:rPr>
            </w:pPr>
            <w:r>
              <w:rPr>
                <w:color w:val="auto"/>
                <w:lang w:val="en-US" w:eastAsia="en-US" w:bidi="en-US"/>
              </w:rPr>
              <w:t>项目</w:t>
            </w:r>
          </w:p>
        </w:tc>
        <w:tc>
          <w:tcPr>
            <w:tcW w:w="1482" w:type="dxa"/>
            <w:vAlign w:val="center"/>
          </w:tcPr>
          <w:p w14:paraId="7A5D5DE4">
            <w:pPr>
              <w:pStyle w:val="337"/>
              <w:adjustRightInd w:val="0"/>
              <w:snapToGrid w:val="0"/>
              <w:rPr>
                <w:color w:val="auto"/>
                <w:lang w:val="en-US" w:eastAsia="en-US" w:bidi="en-US"/>
              </w:rPr>
            </w:pPr>
            <w:r>
              <w:rPr>
                <w:color w:val="auto"/>
                <w:lang w:val="en-US" w:eastAsia="en-US" w:bidi="en-US"/>
              </w:rPr>
              <w:t>部位</w:t>
            </w:r>
          </w:p>
        </w:tc>
        <w:tc>
          <w:tcPr>
            <w:tcW w:w="4029" w:type="dxa"/>
            <w:vAlign w:val="center"/>
          </w:tcPr>
          <w:p w14:paraId="264CD86B">
            <w:pPr>
              <w:pStyle w:val="337"/>
              <w:adjustRightInd w:val="0"/>
              <w:snapToGrid w:val="0"/>
              <w:rPr>
                <w:color w:val="auto"/>
                <w:lang w:val="en-US" w:eastAsia="en-US" w:bidi="en-US"/>
              </w:rPr>
            </w:pPr>
            <w:r>
              <w:rPr>
                <w:color w:val="auto"/>
                <w:lang w:val="en-US" w:eastAsia="en-US" w:bidi="en-US"/>
              </w:rPr>
              <w:t>风险防控设施</w:t>
            </w:r>
          </w:p>
        </w:tc>
        <w:tc>
          <w:tcPr>
            <w:tcW w:w="1537" w:type="dxa"/>
            <w:vAlign w:val="center"/>
          </w:tcPr>
          <w:p w14:paraId="5E0346E4">
            <w:pPr>
              <w:pStyle w:val="337"/>
              <w:adjustRightInd w:val="0"/>
              <w:snapToGrid w:val="0"/>
              <w:rPr>
                <w:color w:val="auto"/>
                <w:lang w:val="en-US" w:eastAsia="en-US" w:bidi="en-US"/>
              </w:rPr>
            </w:pPr>
            <w:r>
              <w:rPr>
                <w:color w:val="auto"/>
                <w:lang w:val="en-US" w:eastAsia="en-US" w:bidi="en-US"/>
              </w:rPr>
              <w:t>规格</w:t>
            </w:r>
          </w:p>
        </w:tc>
      </w:tr>
      <w:tr w14:paraId="55AF44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81" w:type="dxa"/>
            <w:vAlign w:val="center"/>
          </w:tcPr>
          <w:p w14:paraId="56D2B203">
            <w:pPr>
              <w:pStyle w:val="337"/>
              <w:adjustRightInd w:val="0"/>
              <w:snapToGrid w:val="0"/>
              <w:rPr>
                <w:color w:val="auto"/>
                <w:lang w:val="en-US" w:eastAsia="en-US" w:bidi="en-US"/>
              </w:rPr>
            </w:pPr>
            <w:r>
              <w:rPr>
                <w:color w:val="auto"/>
                <w:lang w:val="en-US" w:eastAsia="en-US" w:bidi="en-US"/>
              </w:rPr>
              <w:t>隔油池</w:t>
            </w:r>
          </w:p>
        </w:tc>
        <w:tc>
          <w:tcPr>
            <w:tcW w:w="1482" w:type="dxa"/>
            <w:vAlign w:val="center"/>
          </w:tcPr>
          <w:p w14:paraId="6AC264ED">
            <w:pPr>
              <w:pStyle w:val="337"/>
              <w:adjustRightInd w:val="0"/>
              <w:snapToGrid w:val="0"/>
              <w:rPr>
                <w:color w:val="auto"/>
                <w:lang w:val="en-US" w:eastAsia="en-US" w:bidi="en-US"/>
              </w:rPr>
            </w:pPr>
            <w:r>
              <w:rPr>
                <w:color w:val="auto"/>
                <w:lang w:val="en-US" w:eastAsia="en-US" w:bidi="en-US"/>
              </w:rPr>
              <w:t>油储罐区</w:t>
            </w:r>
          </w:p>
        </w:tc>
        <w:tc>
          <w:tcPr>
            <w:tcW w:w="4029" w:type="dxa"/>
            <w:vAlign w:val="center"/>
          </w:tcPr>
          <w:p w14:paraId="6481E4AC">
            <w:pPr>
              <w:pStyle w:val="337"/>
              <w:adjustRightInd w:val="0"/>
              <w:snapToGrid w:val="0"/>
              <w:rPr>
                <w:color w:val="auto"/>
                <w:lang w:val="en-US" w:eastAsia="en-US" w:bidi="en-US"/>
              </w:rPr>
            </w:pPr>
            <w:r>
              <w:rPr>
                <w:color w:val="auto"/>
                <w:lang w:val="en-US" w:eastAsia="en-US" w:bidi="en-US"/>
              </w:rPr>
              <w:t>油罐储区建隔油池1座</w:t>
            </w:r>
          </w:p>
        </w:tc>
        <w:tc>
          <w:tcPr>
            <w:tcW w:w="1537" w:type="dxa"/>
            <w:vAlign w:val="center"/>
          </w:tcPr>
          <w:p w14:paraId="034E26D0">
            <w:pPr>
              <w:pStyle w:val="337"/>
              <w:adjustRightInd w:val="0"/>
              <w:snapToGrid w:val="0"/>
              <w:rPr>
                <w:color w:val="auto"/>
                <w:lang w:val="en-US" w:eastAsia="en-US" w:bidi="en-US"/>
              </w:rPr>
            </w:pPr>
            <w:r>
              <w:rPr>
                <w:color w:val="auto"/>
                <w:lang w:val="en-US" w:eastAsia="zh-CN" w:bidi="en-US"/>
              </w:rPr>
              <w:t>5</w:t>
            </w:r>
            <w:r>
              <w:rPr>
                <w:color w:val="auto"/>
                <w:lang w:val="en-US" w:eastAsia="en-US" w:bidi="en-US"/>
              </w:rPr>
              <w:t>×</w:t>
            </w:r>
            <w:r>
              <w:rPr>
                <w:color w:val="auto"/>
                <w:lang w:val="en-US" w:eastAsia="zh-CN" w:bidi="en-US"/>
              </w:rPr>
              <w:t>5</w:t>
            </w:r>
            <w:r>
              <w:rPr>
                <w:color w:val="auto"/>
                <w:lang w:val="en-US" w:eastAsia="en-US" w:bidi="en-US"/>
              </w:rPr>
              <w:t>×</w:t>
            </w:r>
            <w:r>
              <w:rPr>
                <w:color w:val="auto"/>
                <w:lang w:val="en-US" w:eastAsia="zh-CN" w:bidi="en-US"/>
              </w:rPr>
              <w:t>3</w:t>
            </w:r>
            <w:r>
              <w:rPr>
                <w:color w:val="auto"/>
                <w:lang w:val="en-US" w:eastAsia="en-US" w:bidi="en-US"/>
              </w:rPr>
              <w:t>m</w:t>
            </w:r>
            <w:r>
              <w:rPr>
                <w:color w:val="auto"/>
                <w:vertAlign w:val="superscript"/>
                <w:lang w:val="en-US" w:eastAsia="en-US" w:bidi="en-US"/>
              </w:rPr>
              <w:t>3</w:t>
            </w:r>
          </w:p>
        </w:tc>
      </w:tr>
      <w:tr w14:paraId="03034C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481" w:type="dxa"/>
            <w:vAlign w:val="center"/>
          </w:tcPr>
          <w:p w14:paraId="3B7ED9B1">
            <w:pPr>
              <w:pStyle w:val="337"/>
              <w:adjustRightInd w:val="0"/>
              <w:snapToGrid w:val="0"/>
              <w:rPr>
                <w:color w:val="auto"/>
                <w:lang w:val="en-US" w:eastAsia="en-US" w:bidi="en-US"/>
              </w:rPr>
            </w:pPr>
            <w:r>
              <w:rPr>
                <w:color w:val="auto"/>
                <w:lang w:val="en-US" w:eastAsia="en-US" w:bidi="en-US"/>
              </w:rPr>
              <w:t>自动切水器</w:t>
            </w:r>
          </w:p>
        </w:tc>
        <w:tc>
          <w:tcPr>
            <w:tcW w:w="1482" w:type="dxa"/>
            <w:vAlign w:val="center"/>
          </w:tcPr>
          <w:p w14:paraId="6EAB99E2">
            <w:pPr>
              <w:pStyle w:val="337"/>
              <w:adjustRightInd w:val="0"/>
              <w:snapToGrid w:val="0"/>
              <w:rPr>
                <w:color w:val="auto"/>
                <w:lang w:val="en-US" w:eastAsia="en-US" w:bidi="en-US"/>
              </w:rPr>
            </w:pPr>
            <w:r>
              <w:rPr>
                <w:color w:val="auto"/>
                <w:lang w:val="en-US" w:eastAsia="en-US" w:bidi="en-US"/>
              </w:rPr>
              <w:t>储运罐区</w:t>
            </w:r>
          </w:p>
        </w:tc>
        <w:tc>
          <w:tcPr>
            <w:tcW w:w="4029" w:type="dxa"/>
            <w:vAlign w:val="center"/>
          </w:tcPr>
          <w:p w14:paraId="56F58D68">
            <w:pPr>
              <w:pStyle w:val="337"/>
              <w:adjustRightInd w:val="0"/>
              <w:snapToGrid w:val="0"/>
              <w:rPr>
                <w:color w:val="auto"/>
                <w:lang w:val="en-US" w:eastAsia="zh-CN" w:bidi="en-US"/>
              </w:rPr>
            </w:pPr>
            <w:r>
              <w:rPr>
                <w:color w:val="auto"/>
                <w:lang w:val="en-US" w:eastAsia="zh-CN" w:bidi="en-US"/>
              </w:rPr>
              <w:t>罐区内安装2台油罐自动切水器</w:t>
            </w:r>
          </w:p>
        </w:tc>
        <w:tc>
          <w:tcPr>
            <w:tcW w:w="1537" w:type="dxa"/>
            <w:vAlign w:val="center"/>
          </w:tcPr>
          <w:p w14:paraId="46FC203D">
            <w:pPr>
              <w:pStyle w:val="337"/>
              <w:adjustRightInd w:val="0"/>
              <w:snapToGrid w:val="0"/>
              <w:rPr>
                <w:color w:val="auto"/>
                <w:lang w:val="en-US" w:eastAsia="zh-CN" w:bidi="en-US"/>
              </w:rPr>
            </w:pPr>
          </w:p>
        </w:tc>
      </w:tr>
    </w:tbl>
    <w:p w14:paraId="3A72939D">
      <w:pPr>
        <w:pStyle w:val="4"/>
        <w:rPr>
          <w:lang w:eastAsia="zh-CN"/>
        </w:rPr>
      </w:pPr>
      <w:bookmarkStart w:id="811" w:name="_Toc338663609"/>
      <w:bookmarkStart w:id="812" w:name="_Toc408414061"/>
      <w:r>
        <w:rPr>
          <w:lang w:eastAsia="zh-CN"/>
        </w:rPr>
        <w:t>11.7.2二级防控</w:t>
      </w:r>
      <w:bookmarkEnd w:id="811"/>
      <w:bookmarkEnd w:id="812"/>
    </w:p>
    <w:p w14:paraId="400D5537">
      <w:pPr>
        <w:ind w:firstLine="480"/>
        <w:rPr>
          <w:lang w:eastAsia="zh-CN"/>
        </w:rPr>
      </w:pPr>
      <w:bookmarkStart w:id="813" w:name="_Toc338663610"/>
      <w:r>
        <w:rPr>
          <w:lang w:eastAsia="zh-CN"/>
        </w:rPr>
        <w:t>二级防控措施将污染控制在缓冲池。在</w:t>
      </w:r>
      <w:r>
        <w:rPr>
          <w:rFonts w:hint="eastAsia"/>
          <w:lang w:eastAsia="zh-CN"/>
        </w:rPr>
        <w:t>雅斯联合站</w:t>
      </w:r>
      <w:r>
        <w:rPr>
          <w:lang w:eastAsia="zh-CN"/>
        </w:rPr>
        <w:t>修建</w:t>
      </w:r>
      <w:r>
        <w:rPr>
          <w:rFonts w:hint="eastAsia"/>
          <w:lang w:eastAsia="zh-CN"/>
        </w:rPr>
        <w:t>5</w:t>
      </w:r>
      <w:r>
        <w:rPr>
          <w:lang w:eastAsia="zh-CN"/>
        </w:rPr>
        <w:t>00m</w:t>
      </w:r>
      <w:r>
        <w:rPr>
          <w:vertAlign w:val="superscript"/>
          <w:lang w:eastAsia="zh-CN"/>
        </w:rPr>
        <w:t>3</w:t>
      </w:r>
      <w:r>
        <w:rPr>
          <w:lang w:eastAsia="zh-CN"/>
        </w:rPr>
        <w:t>的溢流堰及应急缓冲池1座（</w:t>
      </w:r>
      <w:r>
        <w:rPr>
          <w:rFonts w:hint="eastAsia"/>
          <w:lang w:eastAsia="zh-CN"/>
        </w:rPr>
        <w:t>5</w:t>
      </w:r>
      <w:r>
        <w:rPr>
          <w:lang w:eastAsia="zh-CN"/>
        </w:rPr>
        <w:t>×5×3m</w:t>
      </w:r>
      <w:r>
        <w:rPr>
          <w:vertAlign w:val="superscript"/>
          <w:lang w:eastAsia="zh-CN"/>
        </w:rPr>
        <w:t>3</w:t>
      </w:r>
      <w:r>
        <w:rPr>
          <w:lang w:eastAsia="zh-CN"/>
        </w:rPr>
        <w:t>）。当装置区或罐区发生重大事故时，将从围堰收集来的污水储存在缓冲池内，在可控的条件下，再将污水排进含油废水处理系统进行处理，达标后回用。</w:t>
      </w:r>
    </w:p>
    <w:p w14:paraId="1BDFDA38">
      <w:pPr>
        <w:pStyle w:val="4"/>
        <w:rPr>
          <w:lang w:eastAsia="zh-CN"/>
        </w:rPr>
      </w:pPr>
      <w:bookmarkStart w:id="814" w:name="_Toc408414062"/>
      <w:r>
        <w:rPr>
          <w:lang w:eastAsia="zh-CN"/>
        </w:rPr>
        <w:t>11.7.3风险防范物资</w:t>
      </w:r>
      <w:bookmarkEnd w:id="813"/>
      <w:bookmarkEnd w:id="814"/>
    </w:p>
    <w:p w14:paraId="3AA6F743">
      <w:pPr>
        <w:ind w:firstLine="480"/>
        <w:rPr>
          <w:lang w:eastAsia="zh-CN"/>
        </w:rPr>
      </w:pPr>
      <w:r>
        <w:rPr>
          <w:lang w:eastAsia="zh-CN"/>
        </w:rPr>
        <w:t>应急监测由具有资质的环境监测机构承担。需要配备应急物资：吸油毡10箱、吸油粉10袋、轻重型防化服各5套、防酸服5套。乌里雅斯太油田运行过程中应有风险防范物资准备。</w:t>
      </w:r>
    </w:p>
    <w:p w14:paraId="10DF368B">
      <w:pPr>
        <w:pStyle w:val="3"/>
        <w:rPr>
          <w:lang w:eastAsia="zh-CN"/>
        </w:rPr>
      </w:pPr>
      <w:bookmarkStart w:id="815" w:name="_Toc338663611"/>
      <w:bookmarkStart w:id="816" w:name="_Toc408414063"/>
      <w:r>
        <w:rPr>
          <w:lang w:eastAsia="zh-CN"/>
        </w:rPr>
        <w:t>11.8应急预案</w:t>
      </w:r>
      <w:bookmarkEnd w:id="815"/>
      <w:bookmarkEnd w:id="816"/>
    </w:p>
    <w:p w14:paraId="370A95F6">
      <w:pPr>
        <w:pStyle w:val="4"/>
        <w:rPr>
          <w:lang w:eastAsia="zh-CN"/>
        </w:rPr>
      </w:pPr>
      <w:bookmarkStart w:id="817" w:name="_Toc408414064"/>
      <w:bookmarkStart w:id="818" w:name="_Toc338663612"/>
      <w:r>
        <w:rPr>
          <w:lang w:eastAsia="zh-CN"/>
        </w:rPr>
        <w:t>11.8.1应急处理方法</w:t>
      </w:r>
      <w:bookmarkEnd w:id="817"/>
      <w:bookmarkEnd w:id="818"/>
    </w:p>
    <w:p w14:paraId="1E928CAD">
      <w:pPr>
        <w:ind w:firstLine="480"/>
        <w:rPr>
          <w:rFonts w:asciiTheme="minorEastAsia" w:hAnsiTheme="minorEastAsia" w:eastAsiaTheme="minorEastAsia"/>
          <w:lang w:eastAsia="zh-CN"/>
        </w:rPr>
      </w:pPr>
      <w:r>
        <w:rPr>
          <w:rFonts w:asciiTheme="minorEastAsia" w:hAnsiTheme="minorEastAsia" w:eastAsiaTheme="minorEastAsia"/>
          <w:lang w:eastAsia="zh-CN"/>
        </w:rPr>
        <w:t>1、油泄漏应急处理措施</w:t>
      </w:r>
    </w:p>
    <w:p w14:paraId="665595B2">
      <w:pPr>
        <w:ind w:firstLine="480"/>
        <w:rPr>
          <w:rFonts w:asciiTheme="minorEastAsia" w:hAnsiTheme="minorEastAsia" w:eastAsiaTheme="minorEastAsia"/>
          <w:lang w:eastAsia="zh-CN"/>
        </w:rPr>
      </w:pPr>
      <w:r>
        <w:rPr>
          <w:rFonts w:asciiTheme="minorEastAsia" w:hAnsiTheme="minorEastAsia" w:eastAsiaTheme="minorEastAsia"/>
          <w:lang w:eastAsia="zh-CN"/>
        </w:rPr>
        <w:t>迅速撤离泄漏污染区人员至安全区处，并进行隔离，严格限制出入，切断火源。尽可能切断泄漏源。防止流入下水道、排洪沟等限制性空间。小量泄漏时可用沙土等惰性材料掩埋，大量泄漏时应引入退料池，用抗溶性泡沫覆盖，并用防爆泵抽取转移至槽车或专用容器收集器内外运处理。</w:t>
      </w:r>
    </w:p>
    <w:p w14:paraId="0CFA9D4D">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2、油火灾应急处理措施</w:t>
      </w:r>
    </w:p>
    <w:p w14:paraId="4A01A91C">
      <w:pPr>
        <w:ind w:firstLine="480"/>
        <w:rPr>
          <w:rFonts w:asciiTheme="minorEastAsia" w:hAnsiTheme="minorEastAsia" w:eastAsiaTheme="minorEastAsia"/>
          <w:lang w:eastAsia="zh-CN"/>
        </w:rPr>
      </w:pPr>
      <w:r>
        <w:rPr>
          <w:rFonts w:asciiTheme="minorEastAsia" w:hAnsiTheme="minorEastAsia" w:eastAsiaTheme="minorEastAsia"/>
          <w:lang w:eastAsia="zh-CN"/>
        </w:rPr>
        <w:t>小火时用干粉、二氧化碳、沙土、雾状水或泡沫等灭火剂。大火时用雾状水或泡沫灭火。不可使用大水柱来灭火；对火场附近的油罐或容器进行喷水冷却，以防止压力升高、爆炸。同时考虑移走附近其它的可燃液体。处在火场中的容器若已经变色或从安全泄压装置中产生声音，必须马上撤离。</w:t>
      </w:r>
    </w:p>
    <w:p w14:paraId="78759AB5">
      <w:pPr>
        <w:pStyle w:val="4"/>
        <w:rPr>
          <w:lang w:eastAsia="zh-CN"/>
        </w:rPr>
      </w:pPr>
      <w:bookmarkStart w:id="819" w:name="_Toc338663613"/>
      <w:bookmarkStart w:id="820" w:name="_Toc408414065"/>
      <w:r>
        <w:rPr>
          <w:lang w:eastAsia="zh-CN"/>
        </w:rPr>
        <w:t>11.8.2应急计划区</w:t>
      </w:r>
      <w:bookmarkEnd w:id="819"/>
      <w:bookmarkEnd w:id="820"/>
    </w:p>
    <w:p w14:paraId="3318E17B">
      <w:pPr>
        <w:ind w:firstLine="480"/>
        <w:rPr>
          <w:lang w:eastAsia="zh-CN"/>
        </w:rPr>
      </w:pPr>
      <w:r>
        <w:rPr>
          <w:lang w:eastAsia="zh-CN"/>
        </w:rPr>
        <w:t>根据环境风险识别结果，火灾、爆炸事故为本工程的最大可信事故，因此本预案将重点针对以上几个方面划定应急计划区：</w:t>
      </w:r>
    </w:p>
    <w:p w14:paraId="747E2FEC">
      <w:pPr>
        <w:ind w:firstLine="480"/>
        <w:outlineLvl w:val="0"/>
        <w:rPr>
          <w:lang w:eastAsia="zh-CN"/>
        </w:rPr>
      </w:pPr>
      <w:r>
        <w:rPr>
          <w:lang w:eastAsia="zh-CN"/>
        </w:rPr>
        <w:t>1、主体应急计划区：乌里雅斯太油田联合站内储油罐；</w:t>
      </w:r>
    </w:p>
    <w:p w14:paraId="58984B44">
      <w:pPr>
        <w:ind w:firstLine="480"/>
        <w:rPr>
          <w:lang w:eastAsia="zh-CN"/>
        </w:rPr>
      </w:pPr>
      <w:r>
        <w:rPr>
          <w:lang w:eastAsia="zh-CN"/>
        </w:rPr>
        <w:t>2、应急计划保护区：周边牧户。</w:t>
      </w:r>
    </w:p>
    <w:p w14:paraId="0BB1A8F3">
      <w:pPr>
        <w:pStyle w:val="4"/>
        <w:rPr>
          <w:lang w:eastAsia="zh-CN"/>
        </w:rPr>
      </w:pPr>
      <w:bookmarkStart w:id="821" w:name="_Toc408414066"/>
      <w:bookmarkStart w:id="822" w:name="_Toc338663614"/>
      <w:r>
        <w:rPr>
          <w:lang w:eastAsia="zh-CN"/>
        </w:rPr>
        <w:t>11.8.3应急组织机构及人员</w:t>
      </w:r>
      <w:bookmarkEnd w:id="821"/>
      <w:bookmarkEnd w:id="822"/>
    </w:p>
    <w:p w14:paraId="2F462A18">
      <w:pPr>
        <w:ind w:firstLine="480"/>
        <w:rPr>
          <w:lang w:eastAsia="zh-CN"/>
        </w:rPr>
      </w:pPr>
      <w:r>
        <w:rPr>
          <w:lang w:eastAsia="zh-CN"/>
        </w:rPr>
        <w:t>乌里雅斯太油田应成立应急组织管理机构，应急组织管理机构成员应包括厂区主要领导和技术人员，政府成员，具有相应专业知识的专家以及相关人员组成，对每人的职责有明确分工，具体到职责、分工、协作关系，做到人人心中有数。经过处理事故培训的人员要轮流值班，并建立严格交接班制度。</w:t>
      </w:r>
    </w:p>
    <w:p w14:paraId="15A1DB52">
      <w:pPr>
        <w:ind w:firstLine="480"/>
        <w:rPr>
          <w:lang w:eastAsia="zh-CN"/>
        </w:rPr>
      </w:pPr>
      <w:r>
        <w:rPr>
          <w:lang w:eastAsia="zh-CN"/>
        </w:rPr>
        <w:t>应急组织管理机构负责编制各类可能发生的风险事故的应急计划，并负责传达到指挥和控制人员、应急服务部门、可能受到影响的员工和其他可能受到影响的相关方，负责对突发性事故进行应急处理。</w:t>
      </w:r>
    </w:p>
    <w:p w14:paraId="4AE34D49">
      <w:pPr>
        <w:pStyle w:val="4"/>
        <w:rPr>
          <w:lang w:eastAsia="zh-CN"/>
        </w:rPr>
      </w:pPr>
      <w:bookmarkStart w:id="823" w:name="_Toc408414067"/>
      <w:bookmarkStart w:id="824" w:name="_Toc338663615"/>
      <w:r>
        <w:rPr>
          <w:lang w:eastAsia="zh-CN"/>
        </w:rPr>
        <w:t>11.8.4应急状态分类及应急响应程序</w:t>
      </w:r>
      <w:bookmarkEnd w:id="823"/>
      <w:bookmarkEnd w:id="824"/>
    </w:p>
    <w:p w14:paraId="4B5F91D9">
      <w:pPr>
        <w:ind w:firstLine="480"/>
        <w:rPr>
          <w:rFonts w:asciiTheme="minorEastAsia" w:hAnsiTheme="minorEastAsia" w:eastAsiaTheme="minorEastAsia"/>
          <w:lang w:eastAsia="zh-CN"/>
        </w:rPr>
      </w:pPr>
      <w:r>
        <w:rPr>
          <w:rFonts w:asciiTheme="minorEastAsia" w:hAnsiTheme="minorEastAsia" w:eastAsiaTheme="minorEastAsia"/>
          <w:lang w:eastAsia="zh-CN"/>
        </w:rPr>
        <w:t>对应于风险事故的分级，应急预案也相应的分为四级响应机制，由低到高为Ⅳ级（一般事故）、Ⅲ级（较大事故）、Ⅱ级（重大事故）、Ⅰ级（特大事故）。</w:t>
      </w:r>
    </w:p>
    <w:p w14:paraId="3FF38B7E">
      <w:pPr>
        <w:ind w:firstLine="480"/>
        <w:rPr>
          <w:rFonts w:asciiTheme="minorEastAsia" w:hAnsiTheme="minorEastAsia" w:eastAsiaTheme="minorEastAsia"/>
          <w:lang w:eastAsia="zh-CN"/>
        </w:rPr>
      </w:pPr>
      <w:r>
        <w:rPr>
          <w:rFonts w:asciiTheme="minorEastAsia" w:hAnsiTheme="minorEastAsia" w:eastAsiaTheme="minorEastAsia"/>
          <w:lang w:eastAsia="zh-CN"/>
        </w:rPr>
        <w:t>1、指挥职责：负责厂的应急总体组织指挥。</w:t>
      </w:r>
    </w:p>
    <w:p w14:paraId="73054FC2">
      <w:pPr>
        <w:ind w:firstLine="480"/>
        <w:rPr>
          <w:rFonts w:asciiTheme="minorEastAsia" w:hAnsiTheme="minorEastAsia" w:eastAsiaTheme="minorEastAsia"/>
          <w:lang w:eastAsia="zh-CN"/>
        </w:rPr>
      </w:pPr>
      <w:r>
        <w:rPr>
          <w:rFonts w:asciiTheme="minorEastAsia" w:hAnsiTheme="minorEastAsia" w:eastAsiaTheme="minorEastAsia"/>
          <w:lang w:eastAsia="zh-CN"/>
        </w:rPr>
        <w:t>·接到报警后，根据实际情况，及时通知总厂有关领导和主要科室领导。</w:t>
      </w:r>
    </w:p>
    <w:p w14:paraId="0250B88B">
      <w:pPr>
        <w:ind w:firstLine="480"/>
        <w:rPr>
          <w:rFonts w:asciiTheme="minorEastAsia" w:hAnsiTheme="minorEastAsia" w:eastAsiaTheme="minorEastAsia"/>
          <w:lang w:eastAsia="zh-CN"/>
        </w:rPr>
      </w:pPr>
      <w:r>
        <w:rPr>
          <w:rFonts w:asciiTheme="minorEastAsia" w:hAnsiTheme="minorEastAsia" w:eastAsiaTheme="minorEastAsia"/>
          <w:lang w:eastAsia="zh-CN"/>
        </w:rPr>
        <w:t>·依事故发生的地点、性质等情况，做好生产、物料的组织安排和调度。</w:t>
      </w:r>
    </w:p>
    <w:p w14:paraId="40785E5A">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2、灭火救护组职责</w:t>
      </w:r>
    </w:p>
    <w:p w14:paraId="704BDE5E">
      <w:pPr>
        <w:ind w:firstLine="480"/>
        <w:rPr>
          <w:rFonts w:asciiTheme="minorEastAsia" w:hAnsiTheme="minorEastAsia" w:eastAsiaTheme="minorEastAsia"/>
          <w:lang w:eastAsia="zh-CN"/>
        </w:rPr>
      </w:pPr>
      <w:r>
        <w:rPr>
          <w:rFonts w:asciiTheme="minorEastAsia" w:hAnsiTheme="minorEastAsia" w:eastAsiaTheme="minorEastAsia"/>
          <w:lang w:eastAsia="zh-CN"/>
        </w:rPr>
        <w:t>灭火救护组按指挥或指挥部的命令履行下列职责：</w:t>
      </w:r>
    </w:p>
    <w:p w14:paraId="605CBFA9">
      <w:pPr>
        <w:ind w:firstLine="480"/>
        <w:rPr>
          <w:rFonts w:asciiTheme="minorEastAsia" w:hAnsiTheme="minorEastAsia" w:eastAsiaTheme="minorEastAsia"/>
          <w:lang w:eastAsia="zh-CN"/>
        </w:rPr>
      </w:pPr>
      <w:r>
        <w:rPr>
          <w:rFonts w:asciiTheme="minorEastAsia" w:hAnsiTheme="minorEastAsia" w:eastAsiaTheme="minorEastAsia"/>
          <w:lang w:eastAsia="zh-CN"/>
        </w:rPr>
        <w:t>·全面了解火情、施救、伤者救护、物资供给、人力配备等情况，及时向指挥部汇报。</w:t>
      </w:r>
    </w:p>
    <w:p w14:paraId="30E77804">
      <w:pPr>
        <w:ind w:firstLine="480"/>
        <w:rPr>
          <w:rFonts w:asciiTheme="minorEastAsia" w:hAnsiTheme="minorEastAsia" w:eastAsiaTheme="minorEastAsia"/>
          <w:lang w:eastAsia="zh-CN"/>
        </w:rPr>
      </w:pPr>
      <w:r>
        <w:rPr>
          <w:rFonts w:asciiTheme="minorEastAsia" w:hAnsiTheme="minorEastAsia" w:eastAsiaTheme="minorEastAsia"/>
          <w:lang w:eastAsia="zh-CN"/>
        </w:rPr>
        <w:t>·根据事故对环境影响的程度，采取有效措施，防止事故对环境造成重大污染。</w:t>
      </w:r>
    </w:p>
    <w:p w14:paraId="25E0B4E4">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3、抢险抢修组职责</w:t>
      </w:r>
    </w:p>
    <w:p w14:paraId="563ED3D8">
      <w:pPr>
        <w:ind w:firstLine="480"/>
        <w:rPr>
          <w:rFonts w:asciiTheme="minorEastAsia" w:hAnsiTheme="minorEastAsia" w:eastAsiaTheme="minorEastAsia"/>
          <w:lang w:eastAsia="zh-CN"/>
        </w:rPr>
      </w:pPr>
      <w:r>
        <w:rPr>
          <w:rFonts w:asciiTheme="minorEastAsia" w:hAnsiTheme="minorEastAsia" w:eastAsiaTheme="minorEastAsia"/>
          <w:lang w:eastAsia="zh-CN"/>
        </w:rPr>
        <w:t>抢险抢修组组织电气、仪表、维修等单位进行恢复通讯、供电、供水、供汽和关键设备的排险和抢修。负责组织事故后现场清理和设备、设施抢修及恢复运行。</w:t>
      </w:r>
    </w:p>
    <w:p w14:paraId="30390CA2">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4、物资供应组职责</w:t>
      </w:r>
    </w:p>
    <w:p w14:paraId="22235734">
      <w:pPr>
        <w:ind w:firstLine="480"/>
        <w:rPr>
          <w:rFonts w:asciiTheme="minorEastAsia" w:hAnsiTheme="minorEastAsia" w:eastAsiaTheme="minorEastAsia"/>
          <w:lang w:eastAsia="zh-CN"/>
        </w:rPr>
      </w:pPr>
      <w:r>
        <w:rPr>
          <w:rFonts w:asciiTheme="minorEastAsia" w:hAnsiTheme="minorEastAsia" w:eastAsiaTheme="minorEastAsia"/>
          <w:lang w:eastAsia="zh-CN"/>
        </w:rPr>
        <w:t>物资供应组负责各种抢险救灾物资的组织和供应。</w:t>
      </w:r>
    </w:p>
    <w:p w14:paraId="14A8CF23">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5、保卫警戒组职责</w:t>
      </w:r>
    </w:p>
    <w:p w14:paraId="2EFD443E">
      <w:pPr>
        <w:ind w:firstLine="480"/>
        <w:rPr>
          <w:rFonts w:asciiTheme="minorEastAsia" w:hAnsiTheme="minorEastAsia" w:eastAsiaTheme="minorEastAsia"/>
          <w:lang w:eastAsia="zh-CN"/>
        </w:rPr>
      </w:pPr>
      <w:r>
        <w:rPr>
          <w:rFonts w:asciiTheme="minorEastAsia" w:hAnsiTheme="minorEastAsia" w:eastAsiaTheme="minorEastAsia"/>
          <w:lang w:eastAsia="zh-CN"/>
        </w:rPr>
        <w:t>负责事故应急状态下的现场警戒和保卫，维持现场秩序，保证人员安全撤离。</w:t>
      </w:r>
    </w:p>
    <w:p w14:paraId="5D952180">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6、应急信息专家组职责</w:t>
      </w:r>
    </w:p>
    <w:p w14:paraId="62D7D9E3">
      <w:pPr>
        <w:ind w:firstLine="480"/>
        <w:rPr>
          <w:rFonts w:asciiTheme="minorEastAsia" w:hAnsiTheme="minorEastAsia" w:eastAsiaTheme="minorEastAsia"/>
          <w:lang w:eastAsia="zh-CN"/>
        </w:rPr>
      </w:pPr>
      <w:r>
        <w:rPr>
          <w:rFonts w:asciiTheme="minorEastAsia" w:hAnsiTheme="minorEastAsia" w:eastAsiaTheme="minorEastAsia"/>
          <w:lang w:eastAsia="zh-CN"/>
        </w:rPr>
        <w:t>参与施救方案的确定，及时向指挥部提供施救所需的技术信息，为救援决策提供依据和方案，为事故预案的制定、修订提供技术支持。</w:t>
      </w:r>
    </w:p>
    <w:p w14:paraId="3A2AB054">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7、善后处理组职责</w:t>
      </w:r>
    </w:p>
    <w:p w14:paraId="7C60ABAE">
      <w:pPr>
        <w:ind w:firstLine="480"/>
        <w:rPr>
          <w:rFonts w:asciiTheme="minorEastAsia" w:hAnsiTheme="minorEastAsia" w:eastAsiaTheme="minorEastAsia"/>
          <w:lang w:eastAsia="zh-CN"/>
        </w:rPr>
      </w:pPr>
      <w:r>
        <w:rPr>
          <w:rFonts w:asciiTheme="minorEastAsia" w:hAnsiTheme="minorEastAsia" w:eastAsiaTheme="minorEastAsia"/>
          <w:lang w:eastAsia="zh-CN"/>
        </w:rPr>
        <w:t>善后处理组负责人身伤亡事故善后处理和环境污染理赔工作。</w:t>
      </w:r>
    </w:p>
    <w:p w14:paraId="1E72C197">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8、事故调查组职责</w:t>
      </w:r>
    </w:p>
    <w:p w14:paraId="4C4AE48B">
      <w:pPr>
        <w:ind w:firstLine="480"/>
        <w:rPr>
          <w:rFonts w:asciiTheme="minorEastAsia" w:hAnsiTheme="minorEastAsia" w:eastAsiaTheme="minorEastAsia"/>
          <w:lang w:eastAsia="zh-CN"/>
        </w:rPr>
      </w:pPr>
      <w:r>
        <w:rPr>
          <w:rFonts w:asciiTheme="minorEastAsia" w:hAnsiTheme="minorEastAsia" w:eastAsiaTheme="minorEastAsia"/>
          <w:lang w:eastAsia="zh-CN"/>
        </w:rPr>
        <w:t>事故调查组负责对事故现场进行事故调查、取证工作，分析事故原因，明确事故责任者，统计事故经济损失，提出事故处理意见和防范措施的建议，编写事故报告。</w:t>
      </w:r>
    </w:p>
    <w:p w14:paraId="7E1A4578">
      <w:pPr>
        <w:pStyle w:val="4"/>
        <w:rPr>
          <w:lang w:eastAsia="zh-CN"/>
        </w:rPr>
      </w:pPr>
      <w:bookmarkStart w:id="825" w:name="_Toc338663616"/>
      <w:bookmarkStart w:id="826" w:name="_Toc408414068"/>
      <w:r>
        <w:rPr>
          <w:lang w:eastAsia="zh-CN"/>
        </w:rPr>
        <w:t>11.8.5应急救援保障</w:t>
      </w:r>
      <w:bookmarkEnd w:id="825"/>
      <w:bookmarkEnd w:id="826"/>
    </w:p>
    <w:p w14:paraId="5289AA5B">
      <w:pPr>
        <w:ind w:firstLine="480"/>
        <w:rPr>
          <w:rFonts w:asciiTheme="minorEastAsia" w:hAnsiTheme="minorEastAsia" w:eastAsiaTheme="minorEastAsia"/>
          <w:lang w:eastAsia="zh-CN"/>
        </w:rPr>
      </w:pPr>
      <w:r>
        <w:rPr>
          <w:rFonts w:asciiTheme="minorEastAsia" w:hAnsiTheme="minorEastAsia" w:eastAsiaTheme="minorEastAsia"/>
          <w:lang w:eastAsia="zh-CN"/>
        </w:rPr>
        <w:t>应急救援保障措施主要包括：</w:t>
      </w:r>
    </w:p>
    <w:p w14:paraId="431426C5">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①</w:t>
      </w:r>
      <w:r>
        <w:rPr>
          <w:rFonts w:asciiTheme="minorEastAsia" w:hAnsiTheme="minorEastAsia" w:eastAsiaTheme="minorEastAsia"/>
          <w:lang w:eastAsia="zh-CN"/>
        </w:rPr>
        <w:t>防火灾、爆炸事故应急设施、设备与材料，例如：消火栓、消防水炮、室外箱式消火栓、小型灭火设备等消防设施；</w:t>
      </w:r>
      <w:r>
        <w:rPr>
          <w:rFonts w:hint="eastAsia" w:asciiTheme="minorEastAsia" w:hAnsiTheme="minorEastAsia" w:eastAsiaTheme="minorEastAsia"/>
          <w:lang w:eastAsia="zh-CN"/>
        </w:rPr>
        <w:t>②</w:t>
      </w:r>
      <w:r>
        <w:rPr>
          <w:rFonts w:asciiTheme="minorEastAsia" w:hAnsiTheme="minorEastAsia" w:eastAsiaTheme="minorEastAsia"/>
          <w:lang w:eastAsia="zh-CN"/>
        </w:rPr>
        <w:t>防有毒有害物料外溢、扩散的应急设施、设备与材料，例如：水幕、喷淋设施等。</w:t>
      </w:r>
    </w:p>
    <w:p w14:paraId="149C5324">
      <w:pPr>
        <w:pStyle w:val="4"/>
        <w:rPr>
          <w:lang w:eastAsia="zh-CN"/>
        </w:rPr>
      </w:pPr>
      <w:bookmarkStart w:id="827" w:name="_Toc338663617"/>
      <w:bookmarkStart w:id="828" w:name="_Toc408414069"/>
      <w:r>
        <w:rPr>
          <w:lang w:eastAsia="zh-CN"/>
        </w:rPr>
        <w:t>11.8.6应急报警程序、通讯联络方式</w:t>
      </w:r>
      <w:bookmarkEnd w:id="827"/>
      <w:bookmarkEnd w:id="828"/>
    </w:p>
    <w:p w14:paraId="56DC648C">
      <w:pPr>
        <w:ind w:firstLine="480"/>
        <w:rPr>
          <w:lang w:eastAsia="zh-CN"/>
        </w:rPr>
      </w:pPr>
      <w:r>
        <w:rPr>
          <w:lang w:eastAsia="zh-CN"/>
        </w:rPr>
        <w:t>一旦油储罐发生泄漏、火灾时，岗位人员首先采取自身保护措施并严格快速执行报警程序。</w:t>
      </w:r>
    </w:p>
    <w:p w14:paraId="1A9CA538">
      <w:pPr>
        <w:ind w:firstLine="480"/>
        <w:rPr>
          <w:lang w:eastAsia="zh-CN"/>
        </w:rPr>
      </w:pPr>
      <w:r>
        <w:rPr>
          <w:lang w:eastAsia="zh-CN"/>
        </w:rPr>
        <w:t>处理期间根据事态的发展，企业应急领导现场对事故险情进行评估，根据评估结果确定是否需要协助救援，并由企业调度通知公司应急领导小组。</w:t>
      </w:r>
    </w:p>
    <w:p w14:paraId="067F4FB9">
      <w:pPr>
        <w:pStyle w:val="4"/>
        <w:rPr>
          <w:lang w:eastAsia="zh-CN"/>
        </w:rPr>
      </w:pPr>
      <w:bookmarkStart w:id="829" w:name="_Toc338663618"/>
      <w:bookmarkStart w:id="830" w:name="_Toc408414070"/>
      <w:r>
        <w:rPr>
          <w:lang w:eastAsia="zh-CN"/>
        </w:rPr>
        <w:t>11.8.7应急环境监测与评估</w:t>
      </w:r>
      <w:bookmarkEnd w:id="829"/>
      <w:bookmarkEnd w:id="830"/>
    </w:p>
    <w:p w14:paraId="2CDC482D">
      <w:pPr>
        <w:ind w:firstLine="480"/>
        <w:rPr>
          <w:lang w:eastAsia="zh-CN"/>
        </w:rPr>
      </w:pPr>
      <w:r>
        <w:rPr>
          <w:lang w:eastAsia="zh-CN"/>
        </w:rPr>
        <w:t>事故发生后，由</w:t>
      </w:r>
      <w:r>
        <w:rPr>
          <w:rFonts w:hint="eastAsia"/>
          <w:lang w:eastAsia="zh-CN"/>
        </w:rPr>
        <w:t>当地有资质的监测机构</w:t>
      </w:r>
      <w:r>
        <w:rPr>
          <w:lang w:eastAsia="zh-CN"/>
        </w:rPr>
        <w:t>对事故现场进行监测，根据不同的事故工况，设定相应的监测方案。监测方案见表11.8-1。</w:t>
      </w:r>
    </w:p>
    <w:p w14:paraId="501F7E54">
      <w:pPr>
        <w:spacing w:line="240" w:lineRule="auto"/>
        <w:ind w:firstLine="241" w:firstLineChars="100"/>
        <w:rPr>
          <w:b/>
          <w:lang w:eastAsia="zh-CN"/>
        </w:rPr>
      </w:pPr>
      <w:r>
        <w:rPr>
          <w:b/>
          <w:lang w:eastAsia="zh-CN"/>
        </w:rPr>
        <w:t xml:space="preserve">表11.8-1  </w:t>
      </w:r>
      <w:r>
        <w:rPr>
          <w:rFonts w:hint="eastAsia"/>
          <w:b/>
          <w:lang w:eastAsia="zh-CN"/>
        </w:rPr>
        <w:t xml:space="preserve">   </w:t>
      </w:r>
      <w:r>
        <w:rPr>
          <w:b/>
          <w:lang w:eastAsia="zh-CN"/>
        </w:rPr>
        <w:t>风险事故环境监测方案表</w:t>
      </w:r>
    </w:p>
    <w:tbl>
      <w:tblPr>
        <w:tblStyle w:val="7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04"/>
        <w:gridCol w:w="2335"/>
        <w:gridCol w:w="1934"/>
        <w:gridCol w:w="2956"/>
      </w:tblGrid>
      <w:tr w14:paraId="5D11C9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04" w:type="dxa"/>
            <w:vAlign w:val="center"/>
          </w:tcPr>
          <w:p w14:paraId="60E08F3B">
            <w:pPr>
              <w:pStyle w:val="395"/>
              <w:widowControl w:val="0"/>
              <w:adjustRightInd w:val="0"/>
              <w:snapToGrid w:val="0"/>
              <w:spacing w:line="240" w:lineRule="auto"/>
              <w:rPr>
                <w:color w:val="auto"/>
                <w:szCs w:val="21"/>
              </w:rPr>
            </w:pPr>
            <w:r>
              <w:rPr>
                <w:color w:val="auto"/>
                <w:szCs w:val="21"/>
              </w:rPr>
              <w:t>监测要素</w:t>
            </w:r>
          </w:p>
        </w:tc>
        <w:tc>
          <w:tcPr>
            <w:tcW w:w="2335" w:type="dxa"/>
            <w:vAlign w:val="center"/>
          </w:tcPr>
          <w:p w14:paraId="4F75B611">
            <w:pPr>
              <w:pStyle w:val="395"/>
              <w:widowControl w:val="0"/>
              <w:adjustRightInd w:val="0"/>
              <w:snapToGrid w:val="0"/>
              <w:spacing w:line="240" w:lineRule="auto"/>
              <w:rPr>
                <w:color w:val="auto"/>
                <w:szCs w:val="21"/>
              </w:rPr>
            </w:pPr>
            <w:r>
              <w:rPr>
                <w:color w:val="auto"/>
                <w:szCs w:val="21"/>
              </w:rPr>
              <w:t>监测项目</w:t>
            </w:r>
          </w:p>
        </w:tc>
        <w:tc>
          <w:tcPr>
            <w:tcW w:w="1934" w:type="dxa"/>
            <w:vAlign w:val="center"/>
          </w:tcPr>
          <w:p w14:paraId="2CFE04BA">
            <w:pPr>
              <w:pStyle w:val="395"/>
              <w:widowControl w:val="0"/>
              <w:adjustRightInd w:val="0"/>
              <w:snapToGrid w:val="0"/>
              <w:spacing w:line="240" w:lineRule="auto"/>
              <w:rPr>
                <w:color w:val="auto"/>
                <w:szCs w:val="21"/>
              </w:rPr>
            </w:pPr>
            <w:r>
              <w:rPr>
                <w:color w:val="auto"/>
                <w:szCs w:val="21"/>
              </w:rPr>
              <w:t>监测频次</w:t>
            </w:r>
          </w:p>
        </w:tc>
        <w:tc>
          <w:tcPr>
            <w:tcW w:w="2956" w:type="dxa"/>
            <w:vAlign w:val="center"/>
          </w:tcPr>
          <w:p w14:paraId="6D1368CE">
            <w:pPr>
              <w:pStyle w:val="395"/>
              <w:widowControl w:val="0"/>
              <w:adjustRightInd w:val="0"/>
              <w:snapToGrid w:val="0"/>
              <w:spacing w:line="240" w:lineRule="auto"/>
              <w:rPr>
                <w:color w:val="auto"/>
                <w:szCs w:val="21"/>
              </w:rPr>
            </w:pPr>
            <w:r>
              <w:rPr>
                <w:color w:val="auto"/>
                <w:szCs w:val="21"/>
              </w:rPr>
              <w:t>监测点设置</w:t>
            </w:r>
          </w:p>
        </w:tc>
      </w:tr>
      <w:tr w14:paraId="7936F1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04" w:type="dxa"/>
            <w:vAlign w:val="center"/>
          </w:tcPr>
          <w:p w14:paraId="3F466180">
            <w:pPr>
              <w:pStyle w:val="395"/>
              <w:widowControl w:val="0"/>
              <w:adjustRightInd w:val="0"/>
              <w:snapToGrid w:val="0"/>
              <w:spacing w:line="240" w:lineRule="auto"/>
              <w:rPr>
                <w:color w:val="auto"/>
                <w:szCs w:val="21"/>
              </w:rPr>
            </w:pPr>
            <w:r>
              <w:rPr>
                <w:color w:val="auto"/>
                <w:szCs w:val="21"/>
              </w:rPr>
              <w:t>环境空气</w:t>
            </w:r>
          </w:p>
        </w:tc>
        <w:tc>
          <w:tcPr>
            <w:tcW w:w="2335" w:type="dxa"/>
            <w:vAlign w:val="center"/>
          </w:tcPr>
          <w:p w14:paraId="388F2139">
            <w:pPr>
              <w:pStyle w:val="395"/>
              <w:widowControl w:val="0"/>
              <w:adjustRightInd w:val="0"/>
              <w:snapToGrid w:val="0"/>
              <w:spacing w:line="240" w:lineRule="auto"/>
              <w:rPr>
                <w:color w:val="auto"/>
                <w:szCs w:val="21"/>
              </w:rPr>
            </w:pPr>
            <w:r>
              <w:rPr>
                <w:color w:val="auto"/>
                <w:szCs w:val="21"/>
              </w:rPr>
              <w:t>SO</w:t>
            </w:r>
            <w:r>
              <w:rPr>
                <w:color w:val="auto"/>
                <w:szCs w:val="21"/>
                <w:vertAlign w:val="subscript"/>
              </w:rPr>
              <w:t>2</w:t>
            </w:r>
            <w:r>
              <w:rPr>
                <w:color w:val="auto"/>
                <w:szCs w:val="21"/>
              </w:rPr>
              <w:t>、</w:t>
            </w:r>
            <w:r>
              <w:rPr>
                <w:rFonts w:hint="eastAsia"/>
                <w:color w:val="auto"/>
                <w:szCs w:val="21"/>
              </w:rPr>
              <w:t>NOx、</w:t>
            </w:r>
            <w:r>
              <w:rPr>
                <w:color w:val="auto"/>
                <w:szCs w:val="21"/>
              </w:rPr>
              <w:t>非甲烷总烃</w:t>
            </w:r>
          </w:p>
        </w:tc>
        <w:tc>
          <w:tcPr>
            <w:tcW w:w="1934" w:type="dxa"/>
            <w:vAlign w:val="center"/>
          </w:tcPr>
          <w:p w14:paraId="62F40337">
            <w:pPr>
              <w:pStyle w:val="395"/>
              <w:widowControl w:val="0"/>
              <w:adjustRightInd w:val="0"/>
              <w:snapToGrid w:val="0"/>
              <w:spacing w:line="240" w:lineRule="auto"/>
              <w:rPr>
                <w:color w:val="auto"/>
                <w:szCs w:val="21"/>
              </w:rPr>
            </w:pPr>
            <w:r>
              <w:rPr>
                <w:color w:val="auto"/>
                <w:szCs w:val="21"/>
              </w:rPr>
              <w:t>每小时一次</w:t>
            </w:r>
          </w:p>
        </w:tc>
        <w:tc>
          <w:tcPr>
            <w:tcW w:w="2956" w:type="dxa"/>
            <w:vAlign w:val="center"/>
          </w:tcPr>
          <w:p w14:paraId="78637F14">
            <w:pPr>
              <w:pStyle w:val="395"/>
              <w:widowControl w:val="0"/>
              <w:adjustRightInd w:val="0"/>
              <w:snapToGrid w:val="0"/>
              <w:spacing w:line="240" w:lineRule="auto"/>
              <w:rPr>
                <w:color w:val="auto"/>
                <w:szCs w:val="21"/>
              </w:rPr>
            </w:pPr>
            <w:r>
              <w:rPr>
                <w:color w:val="auto"/>
                <w:szCs w:val="21"/>
              </w:rPr>
              <w:t>附近牧户</w:t>
            </w:r>
          </w:p>
        </w:tc>
      </w:tr>
      <w:tr w14:paraId="4E967D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04" w:type="dxa"/>
            <w:vAlign w:val="center"/>
          </w:tcPr>
          <w:p w14:paraId="0CC62800">
            <w:pPr>
              <w:pStyle w:val="395"/>
              <w:widowControl w:val="0"/>
              <w:adjustRightInd w:val="0"/>
              <w:snapToGrid w:val="0"/>
              <w:spacing w:line="240" w:lineRule="auto"/>
              <w:rPr>
                <w:color w:val="auto"/>
                <w:szCs w:val="21"/>
              </w:rPr>
            </w:pPr>
            <w:r>
              <w:rPr>
                <w:color w:val="auto"/>
                <w:szCs w:val="21"/>
              </w:rPr>
              <w:t>声环境</w:t>
            </w:r>
          </w:p>
        </w:tc>
        <w:tc>
          <w:tcPr>
            <w:tcW w:w="2335" w:type="dxa"/>
            <w:vAlign w:val="center"/>
          </w:tcPr>
          <w:p w14:paraId="245D3EE2">
            <w:pPr>
              <w:pStyle w:val="395"/>
              <w:widowControl w:val="0"/>
              <w:adjustRightInd w:val="0"/>
              <w:snapToGrid w:val="0"/>
              <w:spacing w:line="240" w:lineRule="auto"/>
              <w:rPr>
                <w:color w:val="auto"/>
                <w:szCs w:val="21"/>
              </w:rPr>
            </w:pPr>
            <w:r>
              <w:rPr>
                <w:color w:val="auto"/>
                <w:szCs w:val="21"/>
              </w:rPr>
              <w:t>等效声级</w:t>
            </w:r>
          </w:p>
        </w:tc>
        <w:tc>
          <w:tcPr>
            <w:tcW w:w="1934" w:type="dxa"/>
            <w:vAlign w:val="center"/>
          </w:tcPr>
          <w:p w14:paraId="307F22D7">
            <w:pPr>
              <w:pStyle w:val="395"/>
              <w:widowControl w:val="0"/>
              <w:adjustRightInd w:val="0"/>
              <w:snapToGrid w:val="0"/>
              <w:spacing w:line="240" w:lineRule="auto"/>
              <w:rPr>
                <w:color w:val="auto"/>
                <w:szCs w:val="21"/>
              </w:rPr>
            </w:pPr>
            <w:r>
              <w:rPr>
                <w:color w:val="auto"/>
                <w:szCs w:val="21"/>
              </w:rPr>
              <w:t>每小时一次</w:t>
            </w:r>
          </w:p>
        </w:tc>
        <w:tc>
          <w:tcPr>
            <w:tcW w:w="2956" w:type="dxa"/>
            <w:vAlign w:val="center"/>
          </w:tcPr>
          <w:p w14:paraId="3D321F7C">
            <w:pPr>
              <w:pStyle w:val="395"/>
              <w:widowControl w:val="0"/>
              <w:adjustRightInd w:val="0"/>
              <w:snapToGrid w:val="0"/>
              <w:spacing w:line="240" w:lineRule="auto"/>
              <w:rPr>
                <w:color w:val="auto"/>
                <w:szCs w:val="21"/>
              </w:rPr>
            </w:pPr>
            <w:r>
              <w:rPr>
                <w:color w:val="auto"/>
                <w:szCs w:val="21"/>
              </w:rPr>
              <w:t>附近居牧户</w:t>
            </w:r>
          </w:p>
        </w:tc>
      </w:tr>
      <w:tr w14:paraId="717250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04" w:type="dxa"/>
            <w:vAlign w:val="center"/>
          </w:tcPr>
          <w:p w14:paraId="183AEBA4">
            <w:pPr>
              <w:pStyle w:val="395"/>
              <w:widowControl w:val="0"/>
              <w:adjustRightInd w:val="0"/>
              <w:snapToGrid w:val="0"/>
              <w:spacing w:line="240" w:lineRule="auto"/>
              <w:rPr>
                <w:color w:val="auto"/>
                <w:szCs w:val="21"/>
              </w:rPr>
            </w:pPr>
            <w:r>
              <w:rPr>
                <w:color w:val="auto"/>
                <w:szCs w:val="21"/>
              </w:rPr>
              <w:t>地下水</w:t>
            </w:r>
          </w:p>
        </w:tc>
        <w:tc>
          <w:tcPr>
            <w:tcW w:w="2335" w:type="dxa"/>
            <w:vAlign w:val="center"/>
          </w:tcPr>
          <w:p w14:paraId="4E3156B4">
            <w:pPr>
              <w:pStyle w:val="395"/>
              <w:widowControl w:val="0"/>
              <w:adjustRightInd w:val="0"/>
              <w:snapToGrid w:val="0"/>
              <w:spacing w:line="240" w:lineRule="auto"/>
              <w:rPr>
                <w:color w:val="auto"/>
                <w:szCs w:val="21"/>
              </w:rPr>
            </w:pPr>
            <w:r>
              <w:rPr>
                <w:color w:val="auto"/>
                <w:szCs w:val="21"/>
              </w:rPr>
              <w:t>pH、COD、石油类</w:t>
            </w:r>
          </w:p>
        </w:tc>
        <w:tc>
          <w:tcPr>
            <w:tcW w:w="1934" w:type="dxa"/>
            <w:vAlign w:val="center"/>
          </w:tcPr>
          <w:p w14:paraId="11B9C3A7">
            <w:pPr>
              <w:pStyle w:val="395"/>
              <w:widowControl w:val="0"/>
              <w:adjustRightInd w:val="0"/>
              <w:snapToGrid w:val="0"/>
              <w:spacing w:line="240" w:lineRule="auto"/>
              <w:rPr>
                <w:color w:val="auto"/>
                <w:szCs w:val="21"/>
              </w:rPr>
            </w:pPr>
            <w:r>
              <w:rPr>
                <w:color w:val="auto"/>
                <w:szCs w:val="21"/>
              </w:rPr>
              <w:t>每日一次</w:t>
            </w:r>
          </w:p>
        </w:tc>
        <w:tc>
          <w:tcPr>
            <w:tcW w:w="2956" w:type="dxa"/>
            <w:vAlign w:val="center"/>
          </w:tcPr>
          <w:p w14:paraId="5E590671">
            <w:pPr>
              <w:pStyle w:val="395"/>
              <w:widowControl w:val="0"/>
              <w:adjustRightInd w:val="0"/>
              <w:snapToGrid w:val="0"/>
              <w:spacing w:line="240" w:lineRule="auto"/>
              <w:rPr>
                <w:color w:val="auto"/>
                <w:szCs w:val="21"/>
              </w:rPr>
            </w:pPr>
            <w:r>
              <w:rPr>
                <w:color w:val="auto"/>
                <w:szCs w:val="21"/>
              </w:rPr>
              <w:t>附近水井</w:t>
            </w:r>
          </w:p>
        </w:tc>
      </w:tr>
      <w:tr w14:paraId="76507E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04" w:type="dxa"/>
            <w:vAlign w:val="center"/>
          </w:tcPr>
          <w:p w14:paraId="39BA895B">
            <w:pPr>
              <w:pStyle w:val="395"/>
              <w:widowControl w:val="0"/>
              <w:adjustRightInd w:val="0"/>
              <w:snapToGrid w:val="0"/>
              <w:spacing w:line="240" w:lineRule="auto"/>
              <w:rPr>
                <w:color w:val="auto"/>
                <w:szCs w:val="21"/>
              </w:rPr>
            </w:pPr>
            <w:r>
              <w:rPr>
                <w:color w:val="auto"/>
                <w:szCs w:val="21"/>
              </w:rPr>
              <w:t>土壤</w:t>
            </w:r>
          </w:p>
        </w:tc>
        <w:tc>
          <w:tcPr>
            <w:tcW w:w="2335" w:type="dxa"/>
            <w:vAlign w:val="center"/>
          </w:tcPr>
          <w:p w14:paraId="18F6F7A2">
            <w:pPr>
              <w:pStyle w:val="395"/>
              <w:widowControl w:val="0"/>
              <w:adjustRightInd w:val="0"/>
              <w:snapToGrid w:val="0"/>
              <w:spacing w:line="240" w:lineRule="auto"/>
              <w:rPr>
                <w:color w:val="auto"/>
                <w:szCs w:val="21"/>
              </w:rPr>
            </w:pPr>
            <w:r>
              <w:rPr>
                <w:color w:val="auto"/>
                <w:szCs w:val="21"/>
              </w:rPr>
              <w:t>石油类</w:t>
            </w:r>
          </w:p>
        </w:tc>
        <w:tc>
          <w:tcPr>
            <w:tcW w:w="1934" w:type="dxa"/>
            <w:vAlign w:val="center"/>
          </w:tcPr>
          <w:p w14:paraId="43759FED">
            <w:pPr>
              <w:pStyle w:val="395"/>
              <w:widowControl w:val="0"/>
              <w:adjustRightInd w:val="0"/>
              <w:snapToGrid w:val="0"/>
              <w:spacing w:line="240" w:lineRule="auto"/>
              <w:rPr>
                <w:color w:val="auto"/>
                <w:szCs w:val="21"/>
              </w:rPr>
            </w:pPr>
            <w:r>
              <w:rPr>
                <w:color w:val="auto"/>
                <w:szCs w:val="21"/>
              </w:rPr>
              <w:t>每日一次</w:t>
            </w:r>
          </w:p>
        </w:tc>
        <w:tc>
          <w:tcPr>
            <w:tcW w:w="2956" w:type="dxa"/>
            <w:vAlign w:val="center"/>
          </w:tcPr>
          <w:p w14:paraId="29E924F4">
            <w:pPr>
              <w:pStyle w:val="395"/>
              <w:widowControl w:val="0"/>
              <w:adjustRightInd w:val="0"/>
              <w:snapToGrid w:val="0"/>
              <w:spacing w:line="240" w:lineRule="auto"/>
              <w:rPr>
                <w:color w:val="auto"/>
                <w:szCs w:val="21"/>
              </w:rPr>
            </w:pPr>
            <w:r>
              <w:rPr>
                <w:color w:val="auto"/>
                <w:szCs w:val="21"/>
              </w:rPr>
              <w:t>距离井区较近的草地</w:t>
            </w:r>
          </w:p>
        </w:tc>
      </w:tr>
    </w:tbl>
    <w:p w14:paraId="4EE5B827">
      <w:pPr>
        <w:spacing w:beforeLines="50"/>
        <w:ind w:firstLine="480"/>
        <w:rPr>
          <w:lang w:eastAsia="zh-CN"/>
        </w:rPr>
      </w:pPr>
      <w:r>
        <w:rPr>
          <w:lang w:eastAsia="zh-CN"/>
        </w:rPr>
        <w:t>根据监测结果，确认事故范围内不同地点有毒物质达到的不同危害程度，如己达到半致死吸入浓度，则应立即组织现场人员的疏散工作，通过指挥部门，联络医疗、卫生等各相关部门人员实施救援工作。如地表水体、地下水体受到污染，则应通过指挥部门与当地政府、水利部门、卫生部门等进行联系，启动应急措施，防止造成社会危害和恐慌。</w:t>
      </w:r>
    </w:p>
    <w:p w14:paraId="15ABA317">
      <w:pPr>
        <w:pStyle w:val="4"/>
        <w:rPr>
          <w:lang w:eastAsia="zh-CN"/>
        </w:rPr>
      </w:pPr>
      <w:bookmarkStart w:id="831" w:name="_Toc408414071"/>
      <w:bookmarkStart w:id="832" w:name="_Toc338663619"/>
      <w:r>
        <w:rPr>
          <w:lang w:eastAsia="zh-CN"/>
        </w:rPr>
        <w:t>11.8.8人员紧急撤离、疏散计划</w:t>
      </w:r>
      <w:bookmarkEnd w:id="831"/>
      <w:bookmarkEnd w:id="832"/>
    </w:p>
    <w:p w14:paraId="721FAE97">
      <w:pPr>
        <w:ind w:firstLine="480"/>
        <w:rPr>
          <w:rFonts w:asciiTheme="minorEastAsia" w:hAnsiTheme="minorEastAsia" w:eastAsiaTheme="minorEastAsia"/>
          <w:lang w:eastAsia="zh-CN"/>
        </w:rPr>
      </w:pPr>
      <w:r>
        <w:rPr>
          <w:rFonts w:asciiTheme="minorEastAsia" w:hAnsiTheme="minorEastAsia" w:eastAsiaTheme="minorEastAsia"/>
          <w:lang w:eastAsia="zh-CN"/>
        </w:rPr>
        <w:t>1、事故现场</w:t>
      </w:r>
    </w:p>
    <w:p w14:paraId="1E783C57">
      <w:pPr>
        <w:ind w:firstLine="480"/>
        <w:rPr>
          <w:rFonts w:asciiTheme="minorEastAsia" w:hAnsiTheme="minorEastAsia" w:eastAsiaTheme="minorEastAsia"/>
          <w:lang w:eastAsia="zh-CN"/>
        </w:rPr>
      </w:pPr>
      <w:r>
        <w:rPr>
          <w:rFonts w:asciiTheme="minorEastAsia" w:hAnsiTheme="minorEastAsia" w:eastAsiaTheme="minorEastAsia"/>
          <w:lang w:eastAsia="zh-CN"/>
        </w:rPr>
        <w:t>发生重大事故，可能对厂区内、外人群安全构成</w:t>
      </w:r>
      <w:r>
        <w:rPr>
          <w:rFonts w:hint="eastAsia" w:asciiTheme="minorEastAsia" w:hAnsiTheme="minorEastAsia" w:eastAsiaTheme="minorEastAsia"/>
          <w:lang w:eastAsia="zh-CN"/>
        </w:rPr>
        <w:t>威胁</w:t>
      </w:r>
      <w:r>
        <w:rPr>
          <w:rFonts w:asciiTheme="minorEastAsia" w:hAnsiTheme="minorEastAsia" w:eastAsiaTheme="minorEastAsia"/>
          <w:lang w:eastAsia="zh-CN"/>
        </w:rPr>
        <w:t>时，必须在厂指挥部指挥下，由现场保卫警戒组组织人员，利用广播、扩音器、警笛、警戒标志等方式和信号向公众报警，紧急疏散与事故应急救援无关的人员。应在厂区内最高建筑物上设立“风向标”，根据不同事故，制定具体的疏散方向、距离和集中地点，总的原则是疏散安全点处于当时的上风向。员工在警报发出后，应无条件关闭正在操作的电气设备，按“紧疏散示意图”离开操作地点到指定地点集合。</w:t>
      </w:r>
    </w:p>
    <w:p w14:paraId="0C2E8202">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2、邻近居民区及社会公共场所</w:t>
      </w:r>
    </w:p>
    <w:p w14:paraId="2B79A1AA">
      <w:pPr>
        <w:ind w:firstLine="480"/>
        <w:rPr>
          <w:rFonts w:asciiTheme="minorEastAsia" w:hAnsiTheme="minorEastAsia" w:eastAsiaTheme="minorEastAsia"/>
          <w:lang w:eastAsia="zh-CN"/>
        </w:rPr>
      </w:pPr>
      <w:r>
        <w:rPr>
          <w:rFonts w:asciiTheme="minorEastAsia" w:hAnsiTheme="minorEastAsia" w:eastAsiaTheme="minorEastAsia"/>
          <w:lang w:eastAsia="zh-CN"/>
        </w:rPr>
        <w:t>发生重大事故，可能对邻近居民区和社会公共场所构成</w:t>
      </w:r>
      <w:r>
        <w:rPr>
          <w:rFonts w:hint="eastAsia" w:asciiTheme="minorEastAsia" w:hAnsiTheme="minorEastAsia" w:eastAsiaTheme="minorEastAsia"/>
          <w:lang w:eastAsia="zh-CN"/>
        </w:rPr>
        <w:t>威胁</w:t>
      </w:r>
      <w:r>
        <w:rPr>
          <w:rFonts w:asciiTheme="minorEastAsia" w:hAnsiTheme="minorEastAsia" w:eastAsiaTheme="minorEastAsia"/>
          <w:lang w:eastAsia="zh-CN"/>
        </w:rPr>
        <w:t>时，必须在指挥部指挥下，紧急疏散与事故应急救援无关的人员。其基本程序与事故现场相似，总的原则是疏疏散安全点处于事故发生时的上风向影响范围之外。在疏散过程中做好受伤人员的救助工作。</w:t>
      </w:r>
    </w:p>
    <w:p w14:paraId="7B5EE59A">
      <w:pPr>
        <w:pStyle w:val="4"/>
        <w:rPr>
          <w:lang w:eastAsia="zh-CN"/>
        </w:rPr>
      </w:pPr>
      <w:bookmarkStart w:id="833" w:name="_Toc408414072"/>
      <w:bookmarkStart w:id="834" w:name="_Toc338663620"/>
      <w:r>
        <w:rPr>
          <w:lang w:eastAsia="zh-CN"/>
        </w:rPr>
        <w:t>11.8.9事故应急救援关闭程序与恢复措施</w:t>
      </w:r>
      <w:bookmarkEnd w:id="833"/>
      <w:bookmarkEnd w:id="834"/>
    </w:p>
    <w:p w14:paraId="2155BD0C">
      <w:pPr>
        <w:ind w:firstLine="480"/>
        <w:rPr>
          <w:rFonts w:asciiTheme="minorEastAsia" w:hAnsiTheme="minorEastAsia" w:eastAsiaTheme="minorEastAsia"/>
          <w:lang w:eastAsia="zh-CN"/>
        </w:rPr>
      </w:pPr>
      <w:r>
        <w:rPr>
          <w:rFonts w:asciiTheme="minorEastAsia" w:hAnsiTheme="minorEastAsia" w:eastAsiaTheme="minorEastAsia"/>
          <w:lang w:eastAsia="zh-CN"/>
        </w:rPr>
        <w:t>1、事故应急程序关闭</w:t>
      </w:r>
    </w:p>
    <w:p w14:paraId="4E4C74CE">
      <w:pPr>
        <w:ind w:firstLine="480"/>
        <w:rPr>
          <w:rFonts w:asciiTheme="minorEastAsia" w:hAnsiTheme="minorEastAsia" w:eastAsiaTheme="minorEastAsia"/>
          <w:lang w:eastAsia="zh-CN"/>
        </w:rPr>
      </w:pPr>
      <w:r>
        <w:rPr>
          <w:rFonts w:asciiTheme="minorEastAsia" w:hAnsiTheme="minorEastAsia" w:eastAsiaTheme="minorEastAsia"/>
          <w:lang w:eastAsia="zh-CN"/>
        </w:rPr>
        <w:t>突发事故结束后，由事故应急指挥领导小组协同地方政府相关部门迅速成立事故调查小组，根据事故现场的实际情况，结合环境监测部门的监测结果，适时宣布关闭事故应急救援程序。同时要求有关部门负责事故现场的善后处理及邻近区域解除事故警戒和善后恢复措施。公司应制定事故后恢复正常工作和生活的措施，并组织实施。</w:t>
      </w:r>
    </w:p>
    <w:p w14:paraId="1CA99957">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2、事故调查与后评价</w:t>
      </w:r>
    </w:p>
    <w:p w14:paraId="5A5B6A2A">
      <w:pPr>
        <w:ind w:firstLine="480"/>
        <w:rPr>
          <w:rFonts w:asciiTheme="minorEastAsia" w:hAnsiTheme="minorEastAsia" w:eastAsiaTheme="minorEastAsia"/>
          <w:lang w:eastAsia="zh-CN"/>
        </w:rPr>
      </w:pPr>
      <w:r>
        <w:rPr>
          <w:rFonts w:asciiTheme="minorEastAsia" w:hAnsiTheme="minorEastAsia" w:eastAsiaTheme="minorEastAsia"/>
          <w:lang w:eastAsia="zh-CN"/>
        </w:rPr>
        <w:t>事故结束后，按照《事故管理规定》事故单位组织评价单位和有关专家进行事故调查。主要调查内容包括：发生事故的单位、时间、地点、事故原因、事故损失情况、应急抢险预案实施效果、事故环境影响范围、程度及可接受性评价分析，并根据结果提出事故经验总结、应急预案修改方案、环境恢复措施及建议等。</w:t>
      </w:r>
    </w:p>
    <w:p w14:paraId="0405DCAF">
      <w:pPr>
        <w:pStyle w:val="4"/>
        <w:rPr>
          <w:lang w:eastAsia="zh-CN"/>
        </w:rPr>
      </w:pPr>
      <w:bookmarkStart w:id="835" w:name="_Toc338663621"/>
      <w:bookmarkStart w:id="836" w:name="_Toc408414073"/>
      <w:r>
        <w:rPr>
          <w:lang w:eastAsia="zh-CN"/>
        </w:rPr>
        <w:t>11.8.10应急计划培训</w:t>
      </w:r>
      <w:bookmarkEnd w:id="835"/>
      <w:bookmarkEnd w:id="836"/>
    </w:p>
    <w:p w14:paraId="713A5403">
      <w:pPr>
        <w:ind w:firstLine="480"/>
        <w:rPr>
          <w:rFonts w:asciiTheme="minorEastAsia" w:hAnsiTheme="minorEastAsia" w:eastAsiaTheme="minorEastAsia"/>
          <w:lang w:eastAsia="zh-CN"/>
        </w:rPr>
      </w:pPr>
      <w:r>
        <w:rPr>
          <w:rFonts w:asciiTheme="minorEastAsia" w:hAnsiTheme="minorEastAsia" w:eastAsiaTheme="minorEastAsia"/>
          <w:lang w:eastAsia="zh-CN"/>
        </w:rPr>
        <w:t>从油田整体考虑，上至公司高层管理人员下至普通岗位员工，必须定期组织安全环保培训，经培训合格，才能正式持证上岗，对于关键岗位应选派熟悉应急预案的有经验技术人员负责。</w:t>
      </w:r>
    </w:p>
    <w:p w14:paraId="7A3386A9">
      <w:pPr>
        <w:ind w:firstLine="480"/>
        <w:rPr>
          <w:rFonts w:asciiTheme="minorEastAsia" w:hAnsiTheme="minorEastAsia" w:eastAsiaTheme="minorEastAsia"/>
          <w:lang w:eastAsia="zh-CN"/>
        </w:rPr>
      </w:pPr>
      <w:r>
        <w:rPr>
          <w:rFonts w:asciiTheme="minorEastAsia" w:hAnsiTheme="minorEastAsia" w:eastAsiaTheme="minorEastAsia"/>
          <w:lang w:eastAsia="zh-CN"/>
        </w:rPr>
        <w:t>应根据应急反应方案定期（半年一次）进行采油</w:t>
      </w:r>
      <w:r>
        <w:rPr>
          <w:rFonts w:hint="eastAsia" w:asciiTheme="minorEastAsia" w:hAnsiTheme="minorEastAsia" w:eastAsiaTheme="minorEastAsia"/>
          <w:lang w:eastAsia="zh-CN"/>
        </w:rPr>
        <w:t>作业区</w:t>
      </w:r>
      <w:r>
        <w:rPr>
          <w:rFonts w:asciiTheme="minorEastAsia" w:hAnsiTheme="minorEastAsia" w:eastAsiaTheme="minorEastAsia"/>
          <w:lang w:eastAsia="zh-CN"/>
        </w:rPr>
        <w:t>的事故应急预案演练，检查和提高应急指挥的水平和队员的反应能力，及时发现组织、器材及人员等方面的问题，及时作出改进，以保证应急反应的有效进行。</w:t>
      </w:r>
    </w:p>
    <w:p w14:paraId="75AC9073">
      <w:pPr>
        <w:pStyle w:val="4"/>
        <w:rPr>
          <w:lang w:eastAsia="zh-CN"/>
        </w:rPr>
      </w:pPr>
      <w:bookmarkStart w:id="837" w:name="_Toc338663622"/>
      <w:bookmarkStart w:id="838" w:name="_Toc408414074"/>
      <w:r>
        <w:rPr>
          <w:lang w:eastAsia="zh-CN"/>
        </w:rPr>
        <w:t>11.8.11公众教育和信息</w:t>
      </w:r>
      <w:bookmarkEnd w:id="837"/>
      <w:bookmarkEnd w:id="838"/>
    </w:p>
    <w:p w14:paraId="6CA48EE3">
      <w:pPr>
        <w:ind w:firstLine="480"/>
        <w:rPr>
          <w:rFonts w:asciiTheme="minorEastAsia" w:hAnsiTheme="minorEastAsia" w:eastAsiaTheme="minorEastAsia"/>
          <w:lang w:eastAsia="zh-CN"/>
        </w:rPr>
      </w:pPr>
      <w:r>
        <w:rPr>
          <w:rFonts w:asciiTheme="minorEastAsia" w:hAnsiTheme="minorEastAsia" w:eastAsiaTheme="minorEastAsia"/>
          <w:lang w:eastAsia="zh-CN"/>
        </w:rPr>
        <w:t>项目</w:t>
      </w:r>
      <w:r>
        <w:rPr>
          <w:rFonts w:hint="eastAsia" w:asciiTheme="minorEastAsia" w:hAnsiTheme="minorEastAsia" w:eastAsiaTheme="minorEastAsia"/>
          <w:lang w:eastAsia="zh-CN"/>
        </w:rPr>
        <w:t>所在地的村庄、居民</w:t>
      </w:r>
      <w:r>
        <w:rPr>
          <w:rFonts w:asciiTheme="minorEastAsia" w:hAnsiTheme="minorEastAsia" w:eastAsiaTheme="minorEastAsia"/>
          <w:lang w:eastAsia="zh-CN"/>
        </w:rPr>
        <w:t>等，</w:t>
      </w:r>
      <w:r>
        <w:rPr>
          <w:rFonts w:hint="eastAsia" w:asciiTheme="minorEastAsia" w:hAnsiTheme="minorEastAsia" w:eastAsiaTheme="minorEastAsia"/>
          <w:lang w:eastAsia="zh-CN"/>
        </w:rPr>
        <w:t>采油作业区</w:t>
      </w:r>
      <w:r>
        <w:rPr>
          <w:rFonts w:asciiTheme="minorEastAsia" w:hAnsiTheme="minorEastAsia" w:eastAsiaTheme="minorEastAsia"/>
          <w:lang w:eastAsia="zh-CN"/>
        </w:rPr>
        <w:t>的安全环保科应负责与地方环保部门、民政局、居委会建立起良好的公共安全健康应急预防体系，定期或不定期组织周围居民开展安全、健康、环保培训教育，将事故应急措施、方案以及撤离方案等及时传达给居民，并且经常组织事故情况下的应急演练。重大事故应急救援预案主要内容见表11.8-2。</w:t>
      </w:r>
    </w:p>
    <w:p w14:paraId="36A22665">
      <w:pPr>
        <w:spacing w:line="240" w:lineRule="auto"/>
        <w:ind w:firstLine="482"/>
        <w:rPr>
          <w:b/>
          <w:lang w:eastAsia="zh-CN"/>
        </w:rPr>
      </w:pPr>
      <w:r>
        <w:rPr>
          <w:b/>
          <w:lang w:eastAsia="zh-CN"/>
        </w:rPr>
        <w:t xml:space="preserve">表11.8-2  </w:t>
      </w:r>
      <w:r>
        <w:rPr>
          <w:rFonts w:hint="eastAsia"/>
          <w:b/>
          <w:lang w:eastAsia="zh-CN"/>
        </w:rPr>
        <w:t xml:space="preserve">    </w:t>
      </w:r>
      <w:r>
        <w:rPr>
          <w:b/>
          <w:lang w:eastAsia="zh-CN"/>
        </w:rPr>
        <w:t>应急预案主要内容</w:t>
      </w:r>
    </w:p>
    <w:tbl>
      <w:tblPr>
        <w:tblStyle w:val="7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5"/>
        <w:gridCol w:w="2269"/>
        <w:gridCol w:w="5585"/>
      </w:tblGrid>
      <w:tr w14:paraId="62F44E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75" w:type="dxa"/>
            <w:vAlign w:val="center"/>
          </w:tcPr>
          <w:p w14:paraId="00889858">
            <w:pPr>
              <w:pStyle w:val="337"/>
              <w:adjustRightInd w:val="0"/>
              <w:snapToGrid w:val="0"/>
              <w:rPr>
                <w:color w:val="auto"/>
                <w:lang w:val="en-US" w:eastAsia="en-US" w:bidi="en-US"/>
              </w:rPr>
            </w:pPr>
            <w:r>
              <w:rPr>
                <w:color w:val="auto"/>
                <w:lang w:val="en-US" w:eastAsia="en-US" w:bidi="en-US"/>
              </w:rPr>
              <w:t>序号</w:t>
            </w:r>
          </w:p>
        </w:tc>
        <w:tc>
          <w:tcPr>
            <w:tcW w:w="2269" w:type="dxa"/>
            <w:vAlign w:val="center"/>
          </w:tcPr>
          <w:p w14:paraId="71A8CBAA">
            <w:pPr>
              <w:pStyle w:val="337"/>
              <w:adjustRightInd w:val="0"/>
              <w:snapToGrid w:val="0"/>
              <w:rPr>
                <w:color w:val="auto"/>
                <w:lang w:val="en-US" w:eastAsia="en-US" w:bidi="en-US"/>
              </w:rPr>
            </w:pPr>
            <w:r>
              <w:rPr>
                <w:color w:val="auto"/>
                <w:lang w:val="en-US" w:eastAsia="en-US" w:bidi="en-US"/>
              </w:rPr>
              <w:t>项目</w:t>
            </w:r>
          </w:p>
        </w:tc>
        <w:tc>
          <w:tcPr>
            <w:tcW w:w="5585" w:type="dxa"/>
            <w:vAlign w:val="center"/>
          </w:tcPr>
          <w:p w14:paraId="456E02C3">
            <w:pPr>
              <w:pStyle w:val="337"/>
              <w:adjustRightInd w:val="0"/>
              <w:snapToGrid w:val="0"/>
              <w:rPr>
                <w:color w:val="auto"/>
                <w:lang w:val="en-US" w:eastAsia="en-US" w:bidi="en-US"/>
              </w:rPr>
            </w:pPr>
            <w:r>
              <w:rPr>
                <w:color w:val="auto"/>
                <w:lang w:val="en-US" w:eastAsia="en-US" w:bidi="en-US"/>
              </w:rPr>
              <w:t>内容及要求</w:t>
            </w:r>
          </w:p>
        </w:tc>
      </w:tr>
      <w:tr w14:paraId="3BCA47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75" w:type="dxa"/>
            <w:vAlign w:val="center"/>
          </w:tcPr>
          <w:p w14:paraId="2A9225CF">
            <w:pPr>
              <w:pStyle w:val="337"/>
              <w:adjustRightInd w:val="0"/>
              <w:snapToGrid w:val="0"/>
              <w:rPr>
                <w:color w:val="auto"/>
                <w:lang w:val="en-US" w:eastAsia="en-US" w:bidi="en-US"/>
              </w:rPr>
            </w:pPr>
            <w:r>
              <w:rPr>
                <w:color w:val="auto"/>
                <w:lang w:val="en-US" w:eastAsia="en-US" w:bidi="en-US"/>
              </w:rPr>
              <w:t>1</w:t>
            </w:r>
          </w:p>
        </w:tc>
        <w:tc>
          <w:tcPr>
            <w:tcW w:w="2269" w:type="dxa"/>
            <w:vAlign w:val="center"/>
          </w:tcPr>
          <w:p w14:paraId="1CB01385">
            <w:pPr>
              <w:pStyle w:val="337"/>
              <w:adjustRightInd w:val="0"/>
              <w:snapToGrid w:val="0"/>
              <w:rPr>
                <w:color w:val="auto"/>
                <w:lang w:val="en-US" w:eastAsia="en-US" w:bidi="en-US"/>
              </w:rPr>
            </w:pPr>
            <w:r>
              <w:rPr>
                <w:color w:val="auto"/>
                <w:lang w:val="en-US" w:eastAsia="en-US" w:bidi="en-US"/>
              </w:rPr>
              <w:t>应急计划区</w:t>
            </w:r>
          </w:p>
        </w:tc>
        <w:tc>
          <w:tcPr>
            <w:tcW w:w="5585" w:type="dxa"/>
            <w:vAlign w:val="center"/>
          </w:tcPr>
          <w:p w14:paraId="121E08CC">
            <w:pPr>
              <w:pStyle w:val="337"/>
              <w:adjustRightInd w:val="0"/>
              <w:snapToGrid w:val="0"/>
              <w:rPr>
                <w:color w:val="auto"/>
                <w:lang w:val="en-US" w:eastAsia="zh-CN" w:bidi="en-US"/>
              </w:rPr>
            </w:pPr>
            <w:r>
              <w:rPr>
                <w:color w:val="auto"/>
                <w:lang w:val="en-US" w:eastAsia="zh-CN" w:bidi="en-US"/>
              </w:rPr>
              <w:t>危险目标：生产装置区和贮罐区(见重大危险源辨识汇总表)</w:t>
            </w:r>
          </w:p>
          <w:p w14:paraId="1BF248ED">
            <w:pPr>
              <w:pStyle w:val="337"/>
              <w:adjustRightInd w:val="0"/>
              <w:snapToGrid w:val="0"/>
              <w:rPr>
                <w:color w:val="auto"/>
                <w:lang w:val="en-US" w:eastAsia="zh-CN" w:bidi="en-US"/>
              </w:rPr>
            </w:pPr>
            <w:r>
              <w:rPr>
                <w:color w:val="auto"/>
                <w:lang w:val="en-US" w:eastAsia="zh-CN" w:bidi="en-US"/>
              </w:rPr>
              <w:t>环境保护目标：站内有站前区、控制室、水电汽供应及通讯站、罐区等，站外居民、草原等。</w:t>
            </w:r>
          </w:p>
        </w:tc>
      </w:tr>
      <w:tr w14:paraId="32D887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75" w:type="dxa"/>
            <w:vAlign w:val="center"/>
          </w:tcPr>
          <w:p w14:paraId="0DA0A634">
            <w:pPr>
              <w:pStyle w:val="337"/>
              <w:adjustRightInd w:val="0"/>
              <w:snapToGrid w:val="0"/>
              <w:rPr>
                <w:color w:val="auto"/>
                <w:lang w:val="en-US" w:eastAsia="en-US" w:bidi="en-US"/>
              </w:rPr>
            </w:pPr>
            <w:r>
              <w:rPr>
                <w:color w:val="auto"/>
                <w:lang w:val="en-US" w:eastAsia="en-US" w:bidi="en-US"/>
              </w:rPr>
              <w:t>2</w:t>
            </w:r>
          </w:p>
        </w:tc>
        <w:tc>
          <w:tcPr>
            <w:tcW w:w="2269" w:type="dxa"/>
            <w:vAlign w:val="center"/>
          </w:tcPr>
          <w:p w14:paraId="4861D676">
            <w:pPr>
              <w:pStyle w:val="337"/>
              <w:adjustRightInd w:val="0"/>
              <w:snapToGrid w:val="0"/>
              <w:rPr>
                <w:color w:val="auto"/>
                <w:lang w:val="en-US" w:eastAsia="en-US" w:bidi="en-US"/>
              </w:rPr>
            </w:pPr>
            <w:r>
              <w:rPr>
                <w:color w:val="auto"/>
                <w:lang w:val="en-US" w:eastAsia="en-US" w:bidi="en-US"/>
              </w:rPr>
              <w:t>应急组织机构、人员</w:t>
            </w:r>
          </w:p>
        </w:tc>
        <w:tc>
          <w:tcPr>
            <w:tcW w:w="5585" w:type="dxa"/>
            <w:vAlign w:val="center"/>
          </w:tcPr>
          <w:p w14:paraId="22384B0D">
            <w:pPr>
              <w:pStyle w:val="337"/>
              <w:adjustRightInd w:val="0"/>
              <w:snapToGrid w:val="0"/>
              <w:rPr>
                <w:color w:val="auto"/>
                <w:lang w:val="en-US" w:eastAsia="zh-CN" w:bidi="en-US"/>
              </w:rPr>
            </w:pPr>
            <w:r>
              <w:rPr>
                <w:color w:val="auto"/>
                <w:lang w:val="en-US" w:eastAsia="zh-CN" w:bidi="en-US"/>
              </w:rPr>
              <w:t>站区应急组织机构、人员，地区应急组织机构、人员</w:t>
            </w:r>
          </w:p>
        </w:tc>
      </w:tr>
      <w:tr w14:paraId="5AEAD4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75" w:type="dxa"/>
            <w:vAlign w:val="center"/>
          </w:tcPr>
          <w:p w14:paraId="6B2998FF">
            <w:pPr>
              <w:pStyle w:val="337"/>
              <w:adjustRightInd w:val="0"/>
              <w:snapToGrid w:val="0"/>
              <w:rPr>
                <w:color w:val="auto"/>
                <w:lang w:val="en-US" w:eastAsia="en-US" w:bidi="en-US"/>
              </w:rPr>
            </w:pPr>
            <w:r>
              <w:rPr>
                <w:color w:val="auto"/>
                <w:lang w:val="en-US" w:eastAsia="en-US" w:bidi="en-US"/>
              </w:rPr>
              <w:t>3</w:t>
            </w:r>
          </w:p>
        </w:tc>
        <w:tc>
          <w:tcPr>
            <w:tcW w:w="2269" w:type="dxa"/>
            <w:vAlign w:val="center"/>
          </w:tcPr>
          <w:p w14:paraId="4FA2F541">
            <w:pPr>
              <w:pStyle w:val="337"/>
              <w:adjustRightInd w:val="0"/>
              <w:snapToGrid w:val="0"/>
              <w:rPr>
                <w:color w:val="auto"/>
                <w:lang w:val="en-US" w:eastAsia="en-US" w:bidi="en-US"/>
              </w:rPr>
            </w:pPr>
            <w:r>
              <w:rPr>
                <w:color w:val="auto"/>
                <w:lang w:val="en-US" w:eastAsia="en-US" w:bidi="en-US"/>
              </w:rPr>
              <w:t>预案分级响应条件</w:t>
            </w:r>
          </w:p>
        </w:tc>
        <w:tc>
          <w:tcPr>
            <w:tcW w:w="5585" w:type="dxa"/>
            <w:vAlign w:val="center"/>
          </w:tcPr>
          <w:p w14:paraId="5D0C793C">
            <w:pPr>
              <w:pStyle w:val="337"/>
              <w:adjustRightInd w:val="0"/>
              <w:snapToGrid w:val="0"/>
              <w:rPr>
                <w:color w:val="auto"/>
                <w:lang w:val="en-US" w:eastAsia="zh-CN" w:bidi="en-US"/>
              </w:rPr>
            </w:pPr>
            <w:r>
              <w:rPr>
                <w:color w:val="auto"/>
                <w:lang w:val="en-US" w:eastAsia="zh-CN" w:bidi="en-US"/>
              </w:rPr>
              <w:t>规定预案级别，分级响应程序</w:t>
            </w:r>
          </w:p>
        </w:tc>
      </w:tr>
      <w:tr w14:paraId="25CEFA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75" w:type="dxa"/>
            <w:vAlign w:val="center"/>
          </w:tcPr>
          <w:p w14:paraId="3FA75BC7">
            <w:pPr>
              <w:pStyle w:val="337"/>
              <w:adjustRightInd w:val="0"/>
              <w:snapToGrid w:val="0"/>
              <w:rPr>
                <w:color w:val="auto"/>
                <w:lang w:val="en-US" w:eastAsia="en-US" w:bidi="en-US"/>
              </w:rPr>
            </w:pPr>
            <w:r>
              <w:rPr>
                <w:color w:val="auto"/>
                <w:lang w:val="en-US" w:eastAsia="en-US" w:bidi="en-US"/>
              </w:rPr>
              <w:t>4</w:t>
            </w:r>
          </w:p>
        </w:tc>
        <w:tc>
          <w:tcPr>
            <w:tcW w:w="2269" w:type="dxa"/>
            <w:vAlign w:val="center"/>
          </w:tcPr>
          <w:p w14:paraId="0221AFA5">
            <w:pPr>
              <w:pStyle w:val="337"/>
              <w:adjustRightInd w:val="0"/>
              <w:snapToGrid w:val="0"/>
              <w:rPr>
                <w:color w:val="auto"/>
                <w:lang w:val="en-US" w:eastAsia="en-US" w:bidi="en-US"/>
              </w:rPr>
            </w:pPr>
            <w:r>
              <w:rPr>
                <w:color w:val="auto"/>
                <w:lang w:val="en-US" w:eastAsia="en-US" w:bidi="en-US"/>
              </w:rPr>
              <w:t>应急救援保障</w:t>
            </w:r>
          </w:p>
        </w:tc>
        <w:tc>
          <w:tcPr>
            <w:tcW w:w="5585" w:type="dxa"/>
            <w:vAlign w:val="center"/>
          </w:tcPr>
          <w:p w14:paraId="349D000D">
            <w:pPr>
              <w:pStyle w:val="337"/>
              <w:adjustRightInd w:val="0"/>
              <w:snapToGrid w:val="0"/>
              <w:rPr>
                <w:color w:val="auto"/>
                <w:lang w:val="en-US" w:eastAsia="zh-CN" w:bidi="en-US"/>
              </w:rPr>
            </w:pPr>
            <w:r>
              <w:rPr>
                <w:color w:val="auto"/>
                <w:lang w:val="en-US" w:eastAsia="zh-CN" w:bidi="en-US"/>
              </w:rPr>
              <w:t>应急设施，设备与器材等</w:t>
            </w:r>
          </w:p>
        </w:tc>
      </w:tr>
      <w:tr w14:paraId="039C2E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75" w:type="dxa"/>
            <w:vAlign w:val="center"/>
          </w:tcPr>
          <w:p w14:paraId="0C5595F6">
            <w:pPr>
              <w:pStyle w:val="337"/>
              <w:adjustRightInd w:val="0"/>
              <w:snapToGrid w:val="0"/>
              <w:rPr>
                <w:color w:val="auto"/>
                <w:lang w:val="en-US" w:eastAsia="en-US" w:bidi="en-US"/>
              </w:rPr>
            </w:pPr>
            <w:r>
              <w:rPr>
                <w:color w:val="auto"/>
                <w:lang w:val="en-US" w:eastAsia="en-US" w:bidi="en-US"/>
              </w:rPr>
              <w:t>5</w:t>
            </w:r>
          </w:p>
        </w:tc>
        <w:tc>
          <w:tcPr>
            <w:tcW w:w="2269" w:type="dxa"/>
            <w:vAlign w:val="center"/>
          </w:tcPr>
          <w:p w14:paraId="120AF55B">
            <w:pPr>
              <w:pStyle w:val="337"/>
              <w:adjustRightInd w:val="0"/>
              <w:snapToGrid w:val="0"/>
              <w:rPr>
                <w:color w:val="auto"/>
                <w:lang w:val="en-US" w:eastAsia="en-US" w:bidi="en-US"/>
              </w:rPr>
            </w:pPr>
            <w:r>
              <w:rPr>
                <w:color w:val="auto"/>
                <w:lang w:val="en-US" w:eastAsia="en-US" w:bidi="en-US"/>
              </w:rPr>
              <w:t>报警、通讯联络方式</w:t>
            </w:r>
          </w:p>
        </w:tc>
        <w:tc>
          <w:tcPr>
            <w:tcW w:w="5585" w:type="dxa"/>
            <w:vAlign w:val="center"/>
          </w:tcPr>
          <w:p w14:paraId="79DA909D">
            <w:pPr>
              <w:pStyle w:val="337"/>
              <w:adjustRightInd w:val="0"/>
              <w:snapToGrid w:val="0"/>
              <w:rPr>
                <w:color w:val="auto"/>
                <w:lang w:val="en-US" w:eastAsia="zh-CN" w:bidi="en-US"/>
              </w:rPr>
            </w:pPr>
            <w:r>
              <w:rPr>
                <w:color w:val="auto"/>
                <w:lang w:val="en-US" w:eastAsia="zh-CN" w:bidi="en-US"/>
              </w:rPr>
              <w:t>规定应急状态下的报警通讯方式、通知方式和交通保障、管制等相关内容</w:t>
            </w:r>
          </w:p>
        </w:tc>
      </w:tr>
      <w:tr w14:paraId="2AE09C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75" w:type="dxa"/>
            <w:vAlign w:val="center"/>
          </w:tcPr>
          <w:p w14:paraId="0776F21D">
            <w:pPr>
              <w:pStyle w:val="337"/>
              <w:adjustRightInd w:val="0"/>
              <w:snapToGrid w:val="0"/>
              <w:rPr>
                <w:color w:val="auto"/>
                <w:lang w:val="en-US" w:eastAsia="en-US" w:bidi="en-US"/>
              </w:rPr>
            </w:pPr>
            <w:r>
              <w:rPr>
                <w:color w:val="auto"/>
                <w:lang w:val="en-US" w:eastAsia="en-US" w:bidi="en-US"/>
              </w:rPr>
              <w:t>6</w:t>
            </w:r>
          </w:p>
        </w:tc>
        <w:tc>
          <w:tcPr>
            <w:tcW w:w="2269" w:type="dxa"/>
            <w:vAlign w:val="center"/>
          </w:tcPr>
          <w:p w14:paraId="42A8FE47">
            <w:pPr>
              <w:pStyle w:val="337"/>
              <w:adjustRightInd w:val="0"/>
              <w:snapToGrid w:val="0"/>
              <w:rPr>
                <w:color w:val="auto"/>
                <w:lang w:val="en-US" w:eastAsia="zh-CN" w:bidi="en-US"/>
              </w:rPr>
            </w:pPr>
            <w:r>
              <w:rPr>
                <w:color w:val="auto"/>
                <w:lang w:val="en-US" w:eastAsia="zh-CN" w:bidi="en-US"/>
              </w:rPr>
              <w:t>应急环境监测、抢险、救援及控制措施</w:t>
            </w:r>
          </w:p>
        </w:tc>
        <w:tc>
          <w:tcPr>
            <w:tcW w:w="5585" w:type="dxa"/>
            <w:vAlign w:val="center"/>
          </w:tcPr>
          <w:p w14:paraId="2E37CE13">
            <w:pPr>
              <w:pStyle w:val="337"/>
              <w:adjustRightInd w:val="0"/>
              <w:snapToGrid w:val="0"/>
              <w:rPr>
                <w:color w:val="auto"/>
                <w:lang w:val="en-US" w:eastAsia="zh-CN" w:bidi="en-US"/>
              </w:rPr>
            </w:pPr>
            <w:r>
              <w:rPr>
                <w:color w:val="auto"/>
                <w:lang w:val="en-US" w:eastAsia="zh-CN" w:bidi="en-US"/>
              </w:rPr>
              <w:t>由专业队伍负责对事故现场进行侦察监测，对事故性质、参数与后果进行评估，为指挥部门提供决策依据</w:t>
            </w:r>
          </w:p>
        </w:tc>
      </w:tr>
      <w:tr w14:paraId="7E0199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75" w:type="dxa"/>
            <w:vAlign w:val="center"/>
          </w:tcPr>
          <w:p w14:paraId="68F209E7">
            <w:pPr>
              <w:pStyle w:val="337"/>
              <w:adjustRightInd w:val="0"/>
              <w:snapToGrid w:val="0"/>
              <w:rPr>
                <w:color w:val="auto"/>
                <w:lang w:val="en-US" w:eastAsia="en-US" w:bidi="en-US"/>
              </w:rPr>
            </w:pPr>
            <w:r>
              <w:rPr>
                <w:color w:val="auto"/>
                <w:lang w:val="en-US" w:eastAsia="en-US" w:bidi="en-US"/>
              </w:rPr>
              <w:t>7</w:t>
            </w:r>
          </w:p>
        </w:tc>
        <w:tc>
          <w:tcPr>
            <w:tcW w:w="2269" w:type="dxa"/>
            <w:vAlign w:val="center"/>
          </w:tcPr>
          <w:p w14:paraId="0163D77B">
            <w:pPr>
              <w:pStyle w:val="337"/>
              <w:adjustRightInd w:val="0"/>
              <w:snapToGrid w:val="0"/>
              <w:rPr>
                <w:color w:val="auto"/>
                <w:lang w:val="en-US" w:eastAsia="zh-CN" w:bidi="en-US"/>
              </w:rPr>
            </w:pPr>
            <w:r>
              <w:rPr>
                <w:color w:val="auto"/>
                <w:lang w:val="en-US" w:eastAsia="zh-CN" w:bidi="en-US"/>
              </w:rPr>
              <w:t>应急检测、防护措施、清除泄漏措施和器材</w:t>
            </w:r>
          </w:p>
        </w:tc>
        <w:tc>
          <w:tcPr>
            <w:tcW w:w="5585" w:type="dxa"/>
            <w:vAlign w:val="center"/>
          </w:tcPr>
          <w:p w14:paraId="2932EF90">
            <w:pPr>
              <w:pStyle w:val="337"/>
              <w:adjustRightInd w:val="0"/>
              <w:snapToGrid w:val="0"/>
              <w:rPr>
                <w:color w:val="auto"/>
                <w:lang w:val="en-US" w:eastAsia="zh-CN" w:bidi="en-US"/>
              </w:rPr>
            </w:pPr>
            <w:r>
              <w:rPr>
                <w:color w:val="auto"/>
                <w:lang w:val="en-US" w:eastAsia="zh-CN" w:bidi="en-US"/>
              </w:rPr>
              <w:t>防火区域控制：事故现场，邻近区域和草原；清除污染措施：事故现场，邻近区域；清除污染设备及配置。</w:t>
            </w:r>
          </w:p>
        </w:tc>
      </w:tr>
      <w:tr w14:paraId="28EEE8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75" w:type="dxa"/>
            <w:vAlign w:val="center"/>
          </w:tcPr>
          <w:p w14:paraId="4D41C35A">
            <w:pPr>
              <w:pStyle w:val="337"/>
              <w:adjustRightInd w:val="0"/>
              <w:snapToGrid w:val="0"/>
              <w:rPr>
                <w:color w:val="auto"/>
                <w:lang w:val="en-US" w:eastAsia="en-US" w:bidi="en-US"/>
              </w:rPr>
            </w:pPr>
            <w:r>
              <w:rPr>
                <w:color w:val="auto"/>
                <w:lang w:val="en-US" w:eastAsia="en-US" w:bidi="en-US"/>
              </w:rPr>
              <w:t>8</w:t>
            </w:r>
          </w:p>
        </w:tc>
        <w:tc>
          <w:tcPr>
            <w:tcW w:w="2269" w:type="dxa"/>
            <w:vAlign w:val="center"/>
          </w:tcPr>
          <w:p w14:paraId="68EB2DE2">
            <w:pPr>
              <w:pStyle w:val="337"/>
              <w:adjustRightInd w:val="0"/>
              <w:snapToGrid w:val="0"/>
              <w:rPr>
                <w:color w:val="auto"/>
                <w:lang w:val="en-US" w:eastAsia="zh-CN" w:bidi="en-US"/>
              </w:rPr>
            </w:pPr>
            <w:r>
              <w:rPr>
                <w:color w:val="auto"/>
                <w:lang w:val="en-US" w:eastAsia="zh-CN" w:bidi="en-US"/>
              </w:rPr>
              <w:t>人员紧急撤离、疏散，应急剂量控制、撤离组织计划</w:t>
            </w:r>
          </w:p>
        </w:tc>
        <w:tc>
          <w:tcPr>
            <w:tcW w:w="5585" w:type="dxa"/>
            <w:vAlign w:val="center"/>
          </w:tcPr>
          <w:p w14:paraId="7EE7EF8F">
            <w:pPr>
              <w:pStyle w:val="337"/>
              <w:adjustRightInd w:val="0"/>
              <w:snapToGrid w:val="0"/>
              <w:rPr>
                <w:color w:val="auto"/>
                <w:lang w:val="en-US" w:eastAsia="zh-CN" w:bidi="en-US"/>
              </w:rPr>
            </w:pPr>
            <w:r>
              <w:rPr>
                <w:color w:val="auto"/>
                <w:lang w:val="en-US" w:eastAsia="zh-CN" w:bidi="en-US"/>
              </w:rPr>
              <w:t>毒物应急剂量控制规定：事故现场，站区邻近区；撤离组织计划，医疗救护，公众健康</w:t>
            </w:r>
          </w:p>
        </w:tc>
      </w:tr>
      <w:tr w14:paraId="510F13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75" w:type="dxa"/>
            <w:vAlign w:val="center"/>
          </w:tcPr>
          <w:p w14:paraId="50BF94CF">
            <w:pPr>
              <w:pStyle w:val="337"/>
              <w:adjustRightInd w:val="0"/>
              <w:snapToGrid w:val="0"/>
              <w:rPr>
                <w:color w:val="auto"/>
                <w:lang w:val="en-US" w:eastAsia="en-US" w:bidi="en-US"/>
              </w:rPr>
            </w:pPr>
            <w:r>
              <w:rPr>
                <w:color w:val="auto"/>
                <w:lang w:val="en-US" w:eastAsia="en-US" w:bidi="en-US"/>
              </w:rPr>
              <w:t>9</w:t>
            </w:r>
          </w:p>
        </w:tc>
        <w:tc>
          <w:tcPr>
            <w:tcW w:w="2269" w:type="dxa"/>
            <w:vAlign w:val="center"/>
          </w:tcPr>
          <w:p w14:paraId="5B927BAD">
            <w:pPr>
              <w:pStyle w:val="337"/>
              <w:adjustRightInd w:val="0"/>
              <w:snapToGrid w:val="0"/>
              <w:rPr>
                <w:color w:val="auto"/>
                <w:lang w:val="en-US" w:eastAsia="zh-CN" w:bidi="en-US"/>
              </w:rPr>
            </w:pPr>
            <w:r>
              <w:rPr>
                <w:color w:val="auto"/>
                <w:lang w:val="en-US" w:eastAsia="zh-CN" w:bidi="en-US"/>
              </w:rPr>
              <w:t>事故应急救援关闭程序与恢复措施</w:t>
            </w:r>
          </w:p>
        </w:tc>
        <w:tc>
          <w:tcPr>
            <w:tcW w:w="5585" w:type="dxa"/>
            <w:vAlign w:val="center"/>
          </w:tcPr>
          <w:p w14:paraId="6E89C677">
            <w:pPr>
              <w:pStyle w:val="337"/>
              <w:adjustRightInd w:val="0"/>
              <w:snapToGrid w:val="0"/>
              <w:rPr>
                <w:color w:val="auto"/>
                <w:lang w:val="en-US" w:eastAsia="zh-CN" w:bidi="en-US"/>
              </w:rPr>
            </w:pPr>
            <w:r>
              <w:rPr>
                <w:color w:val="auto"/>
                <w:lang w:val="en-US" w:eastAsia="zh-CN" w:bidi="en-US"/>
              </w:rPr>
              <w:t>规定应急状态终止程序；事故现场善后处理，恢复措施；邻近区域解除事故警戒及善后恢复措施</w:t>
            </w:r>
          </w:p>
        </w:tc>
      </w:tr>
      <w:tr w14:paraId="58A5B7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75" w:type="dxa"/>
            <w:vAlign w:val="center"/>
          </w:tcPr>
          <w:p w14:paraId="08F3FA8B">
            <w:pPr>
              <w:pStyle w:val="337"/>
              <w:adjustRightInd w:val="0"/>
              <w:snapToGrid w:val="0"/>
              <w:rPr>
                <w:color w:val="auto"/>
                <w:lang w:val="en-US" w:eastAsia="en-US" w:bidi="en-US"/>
              </w:rPr>
            </w:pPr>
            <w:r>
              <w:rPr>
                <w:color w:val="auto"/>
                <w:lang w:val="en-US" w:eastAsia="en-US" w:bidi="en-US"/>
              </w:rPr>
              <w:t>10</w:t>
            </w:r>
          </w:p>
        </w:tc>
        <w:tc>
          <w:tcPr>
            <w:tcW w:w="2269" w:type="dxa"/>
            <w:vAlign w:val="center"/>
          </w:tcPr>
          <w:p w14:paraId="57360EAF">
            <w:pPr>
              <w:pStyle w:val="337"/>
              <w:adjustRightInd w:val="0"/>
              <w:snapToGrid w:val="0"/>
              <w:rPr>
                <w:color w:val="auto"/>
                <w:lang w:val="en-US" w:eastAsia="en-US" w:bidi="en-US"/>
              </w:rPr>
            </w:pPr>
            <w:r>
              <w:rPr>
                <w:color w:val="auto"/>
                <w:lang w:val="en-US" w:eastAsia="en-US" w:bidi="en-US"/>
              </w:rPr>
              <w:t>应急培训计划</w:t>
            </w:r>
          </w:p>
        </w:tc>
        <w:tc>
          <w:tcPr>
            <w:tcW w:w="5585" w:type="dxa"/>
            <w:vAlign w:val="center"/>
          </w:tcPr>
          <w:p w14:paraId="462000B6">
            <w:pPr>
              <w:pStyle w:val="337"/>
              <w:adjustRightInd w:val="0"/>
              <w:snapToGrid w:val="0"/>
              <w:rPr>
                <w:color w:val="auto"/>
                <w:lang w:val="en-US" w:eastAsia="zh-CN" w:bidi="en-US"/>
              </w:rPr>
            </w:pPr>
            <w:r>
              <w:rPr>
                <w:color w:val="auto"/>
                <w:lang w:val="en-US" w:eastAsia="zh-CN" w:bidi="en-US"/>
              </w:rPr>
              <w:t>人员培训，</w:t>
            </w:r>
            <w:r>
              <w:rPr>
                <w:rFonts w:hint="eastAsia"/>
                <w:color w:val="auto"/>
                <w:lang w:val="en-US" w:eastAsia="zh-CN" w:bidi="en-US"/>
              </w:rPr>
              <w:t>应</w:t>
            </w:r>
            <w:r>
              <w:rPr>
                <w:color w:val="auto"/>
                <w:lang w:val="en-US" w:eastAsia="zh-CN" w:bidi="en-US"/>
              </w:rPr>
              <w:t>急预案演练</w:t>
            </w:r>
          </w:p>
        </w:tc>
      </w:tr>
      <w:tr w14:paraId="28CF1F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75" w:type="dxa"/>
            <w:vAlign w:val="center"/>
          </w:tcPr>
          <w:p w14:paraId="683F93DA">
            <w:pPr>
              <w:pStyle w:val="337"/>
              <w:adjustRightInd w:val="0"/>
              <w:snapToGrid w:val="0"/>
              <w:rPr>
                <w:color w:val="auto"/>
                <w:lang w:val="en-US" w:eastAsia="en-US" w:bidi="en-US"/>
              </w:rPr>
            </w:pPr>
            <w:r>
              <w:rPr>
                <w:color w:val="auto"/>
                <w:lang w:val="en-US" w:eastAsia="en-US" w:bidi="en-US"/>
              </w:rPr>
              <w:t>11</w:t>
            </w:r>
          </w:p>
        </w:tc>
        <w:tc>
          <w:tcPr>
            <w:tcW w:w="2269" w:type="dxa"/>
            <w:vAlign w:val="center"/>
          </w:tcPr>
          <w:p w14:paraId="45D5A327">
            <w:pPr>
              <w:pStyle w:val="337"/>
              <w:adjustRightInd w:val="0"/>
              <w:snapToGrid w:val="0"/>
              <w:rPr>
                <w:color w:val="auto"/>
                <w:lang w:val="en-US" w:eastAsia="en-US" w:bidi="en-US"/>
              </w:rPr>
            </w:pPr>
            <w:r>
              <w:rPr>
                <w:color w:val="auto"/>
                <w:lang w:val="en-US" w:eastAsia="en-US" w:bidi="en-US"/>
              </w:rPr>
              <w:t>公众教育和信息</w:t>
            </w:r>
          </w:p>
        </w:tc>
        <w:tc>
          <w:tcPr>
            <w:tcW w:w="5585" w:type="dxa"/>
            <w:vAlign w:val="center"/>
          </w:tcPr>
          <w:p w14:paraId="28B5260D">
            <w:pPr>
              <w:pStyle w:val="337"/>
              <w:adjustRightInd w:val="0"/>
              <w:snapToGrid w:val="0"/>
              <w:rPr>
                <w:color w:val="auto"/>
                <w:lang w:val="en-US" w:eastAsia="zh-CN" w:bidi="en-US"/>
              </w:rPr>
            </w:pPr>
            <w:r>
              <w:rPr>
                <w:color w:val="auto"/>
                <w:lang w:val="en-US" w:eastAsia="zh-CN" w:bidi="en-US"/>
              </w:rPr>
              <w:t>公众教育和信息发布。</w:t>
            </w:r>
          </w:p>
        </w:tc>
      </w:tr>
    </w:tbl>
    <w:p w14:paraId="08886B3F">
      <w:pPr>
        <w:pStyle w:val="476"/>
        <w:ind w:firstLine="480"/>
      </w:pPr>
    </w:p>
    <w:p w14:paraId="2B8C2C50">
      <w:pPr>
        <w:pStyle w:val="3"/>
        <w:rPr>
          <w:lang w:eastAsia="zh-CN"/>
        </w:rPr>
      </w:pPr>
      <w:bookmarkStart w:id="839" w:name="_Toc408414075"/>
      <w:r>
        <w:rPr>
          <w:lang w:eastAsia="zh-CN"/>
        </w:rPr>
        <w:t>11.9草原防火环境影响分析及措施</w:t>
      </w:r>
      <w:bookmarkEnd w:id="839"/>
    </w:p>
    <w:p w14:paraId="07887F67">
      <w:pPr>
        <w:pStyle w:val="4"/>
        <w:rPr>
          <w:lang w:eastAsia="zh-CN"/>
        </w:rPr>
      </w:pPr>
      <w:bookmarkStart w:id="840" w:name="_Toc408414076"/>
      <w:r>
        <w:rPr>
          <w:lang w:eastAsia="zh-CN"/>
        </w:rPr>
        <w:t>11.9.1草原火灾影响</w:t>
      </w:r>
      <w:bookmarkEnd w:id="840"/>
    </w:p>
    <w:p w14:paraId="31ABCA45">
      <w:pPr>
        <w:ind w:firstLine="480"/>
        <w:rPr>
          <w:rFonts w:asciiTheme="minorEastAsia" w:hAnsiTheme="minorEastAsia" w:eastAsiaTheme="minorEastAsia"/>
          <w:lang w:eastAsia="zh-CN"/>
        </w:rPr>
      </w:pPr>
      <w:r>
        <w:rPr>
          <w:rFonts w:asciiTheme="minorEastAsia" w:hAnsiTheme="minorEastAsia" w:eastAsiaTheme="minorEastAsia"/>
          <w:lang w:eastAsia="zh-CN"/>
        </w:rPr>
        <w:t>火灾是影响森林草原资源的最重要的因素，大火倾刻之间可烧毁大面积森林草原，烧死幼苗、幼树、种子；改变森林结构，促使森林劣势更替；高强度火灾可使地表腐殖层和地下泥炭燃烧，因土肥流失、种源断绝而形成草木不生的裸地；春秋干旱季节高强度火灾可使草原退化，浅根性、可食性草类锐减，阳面，徒坡地带连年过火，造成地表植被破坏，常因含水、蓄水能力降低，养分流失而导至地带性荒漠；大面积森林草原火灾的发生不仅破坏了人们赖以生存和发展的环境。由于本项目为油田，产生的原油为易燃易爆物，一旦发生火灾，井喷、挂线爆裂、存储设施爆炸泄漏，将对周围环境造成严重破坏。同时因扑救火灾往往要用大量的人力、物力、财力乃至人身伤亡做代价。</w:t>
      </w:r>
    </w:p>
    <w:p w14:paraId="37659E22">
      <w:pPr>
        <w:pStyle w:val="4"/>
        <w:rPr>
          <w:lang w:eastAsia="zh-CN"/>
        </w:rPr>
      </w:pPr>
      <w:bookmarkStart w:id="841" w:name="_Toc408414077"/>
      <w:r>
        <w:rPr>
          <w:lang w:eastAsia="zh-CN"/>
        </w:rPr>
        <w:t>11.9.2草原防火措施</w:t>
      </w:r>
      <w:bookmarkEnd w:id="841"/>
    </w:p>
    <w:p w14:paraId="2CC49B1E">
      <w:pPr>
        <w:ind w:firstLine="480"/>
        <w:rPr>
          <w:rFonts w:asciiTheme="minorEastAsia" w:hAnsiTheme="minorEastAsia" w:eastAsiaTheme="minorEastAsia"/>
          <w:lang w:eastAsia="zh-CN"/>
        </w:rPr>
      </w:pPr>
      <w:r>
        <w:rPr>
          <w:rFonts w:asciiTheme="minorEastAsia" w:hAnsiTheme="minorEastAsia" w:eastAsiaTheme="minorEastAsia"/>
          <w:lang w:eastAsia="zh-CN"/>
        </w:rPr>
        <w:t>1、加强草原防火意识教育</w:t>
      </w:r>
    </w:p>
    <w:p w14:paraId="3F781588">
      <w:pPr>
        <w:ind w:firstLine="480"/>
        <w:rPr>
          <w:rFonts w:asciiTheme="minorEastAsia" w:hAnsiTheme="minorEastAsia" w:eastAsiaTheme="minorEastAsia"/>
          <w:lang w:eastAsia="zh-CN"/>
        </w:rPr>
      </w:pPr>
      <w:r>
        <w:rPr>
          <w:rFonts w:asciiTheme="minorEastAsia" w:hAnsiTheme="minorEastAsia" w:eastAsiaTheme="minorEastAsia"/>
          <w:lang w:eastAsia="zh-CN"/>
        </w:rPr>
        <w:t>支持和提倡草原防火的科学防治方法与先进防火技术；</w:t>
      </w:r>
    </w:p>
    <w:p w14:paraId="43E93385">
      <w:pPr>
        <w:ind w:firstLine="480"/>
        <w:rPr>
          <w:rFonts w:asciiTheme="minorEastAsia" w:hAnsiTheme="minorEastAsia" w:eastAsiaTheme="minorEastAsia"/>
          <w:lang w:eastAsia="zh-CN"/>
        </w:rPr>
      </w:pPr>
      <w:r>
        <w:rPr>
          <w:rFonts w:asciiTheme="minorEastAsia" w:hAnsiTheme="minorEastAsia" w:eastAsiaTheme="minorEastAsia"/>
          <w:lang w:eastAsia="zh-CN"/>
        </w:rPr>
        <w:t>组织学习草原防火知识，提高全体施工人员的草原防火意识；</w:t>
      </w:r>
    </w:p>
    <w:p w14:paraId="454508D0">
      <w:pPr>
        <w:ind w:firstLine="480"/>
        <w:rPr>
          <w:rFonts w:asciiTheme="minorEastAsia" w:hAnsiTheme="minorEastAsia" w:eastAsiaTheme="minorEastAsia"/>
          <w:lang w:eastAsia="zh-CN"/>
        </w:rPr>
      </w:pPr>
      <w:r>
        <w:rPr>
          <w:rFonts w:asciiTheme="minorEastAsia" w:hAnsiTheme="minorEastAsia" w:eastAsiaTheme="minorEastAsia"/>
          <w:lang w:eastAsia="zh-CN"/>
        </w:rPr>
        <w:t>认真提倡预防和扑救草原火灾，是公民应尽的义务，主人翁责任意识。</w:t>
      </w:r>
    </w:p>
    <w:p w14:paraId="6931EE07">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2、防火措施</w:t>
      </w:r>
    </w:p>
    <w:p w14:paraId="1BD4E1D2">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（1）</w:t>
      </w:r>
      <w:r>
        <w:rPr>
          <w:rFonts w:asciiTheme="minorEastAsia" w:hAnsiTheme="minorEastAsia" w:eastAsiaTheme="minorEastAsia"/>
          <w:lang w:eastAsia="zh-CN"/>
        </w:rPr>
        <w:t>从项目部到工作队、现场及个人，要逐级制定草原防火责任区，确定草原防火目标，监理草原防火责任制度，加强草原防火工作的组织建设，并不定时的进行检查、监督草原防火工作。</w:t>
      </w:r>
    </w:p>
    <w:p w14:paraId="003C28AB">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（2）</w:t>
      </w:r>
      <w:r>
        <w:rPr>
          <w:rFonts w:asciiTheme="minorEastAsia" w:hAnsiTheme="minorEastAsia" w:eastAsiaTheme="minorEastAsia"/>
          <w:lang w:eastAsia="zh-CN"/>
        </w:rPr>
        <w:t>根据本地区的自然条件和草原火灾发生规律，各队认真做好草原防火工作。</w:t>
      </w:r>
    </w:p>
    <w:p w14:paraId="1E175CC3">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（3）</w:t>
      </w:r>
      <w:r>
        <w:rPr>
          <w:rFonts w:asciiTheme="minorEastAsia" w:hAnsiTheme="minorEastAsia" w:eastAsiaTheme="minorEastAsia"/>
          <w:lang w:eastAsia="zh-CN"/>
        </w:rPr>
        <w:t>草原防火期内，在草原上禁止野外用火；因特殊情况需要用火的，必须遵守下列规定：</w:t>
      </w:r>
    </w:p>
    <w:p w14:paraId="1FB1202C">
      <w:pPr>
        <w:ind w:firstLine="480"/>
        <w:rPr>
          <w:rFonts w:asciiTheme="minorEastAsia" w:hAnsiTheme="minorEastAsia" w:eastAsiaTheme="minorEastAsia"/>
          <w:lang w:eastAsia="zh-CN"/>
        </w:rPr>
      </w:pPr>
      <w:r>
        <w:rPr>
          <w:rFonts w:asciiTheme="minorEastAsia" w:hAnsiTheme="minorEastAsia" w:eastAsiaTheme="minorEastAsia"/>
          <w:lang w:eastAsia="zh-CN"/>
        </w:rPr>
        <w:t>工程施工的用火，施工队应当确定专人负责，事先开好防火隔离带，准备扑火工具，落实防火措施，严防失火。</w:t>
      </w:r>
    </w:p>
    <w:p w14:paraId="03F9F915">
      <w:pPr>
        <w:ind w:firstLine="480"/>
        <w:rPr>
          <w:rFonts w:asciiTheme="minorEastAsia" w:hAnsiTheme="minorEastAsia" w:eastAsiaTheme="minorEastAsia"/>
          <w:lang w:eastAsia="zh-CN"/>
        </w:rPr>
      </w:pPr>
      <w:r>
        <w:rPr>
          <w:rFonts w:asciiTheme="minorEastAsia" w:hAnsiTheme="minorEastAsia" w:eastAsiaTheme="minorEastAsia"/>
          <w:lang w:eastAsia="zh-CN"/>
        </w:rPr>
        <w:t>草原上驻地的生活性用火，应当在指定的安全地点用火，并采取必要的防火措施，用火后必须彻底熄灭余火。</w:t>
      </w:r>
    </w:p>
    <w:p w14:paraId="63649296">
      <w:pPr>
        <w:ind w:firstLine="480"/>
        <w:rPr>
          <w:rFonts w:asciiTheme="minorEastAsia" w:hAnsiTheme="minorEastAsia" w:eastAsiaTheme="minorEastAsia"/>
          <w:lang w:eastAsia="zh-CN"/>
        </w:rPr>
      </w:pPr>
      <w:r>
        <w:rPr>
          <w:rFonts w:asciiTheme="minorEastAsia" w:hAnsiTheme="minorEastAsia" w:eastAsiaTheme="minorEastAsia"/>
          <w:lang w:eastAsia="zh-CN"/>
        </w:rPr>
        <w:t>进入草原防火管制区的人员，必须服从专人的防火管制。</w:t>
      </w:r>
    </w:p>
    <w:p w14:paraId="183991E4">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（4）</w:t>
      </w:r>
      <w:r>
        <w:rPr>
          <w:rFonts w:asciiTheme="minorEastAsia" w:hAnsiTheme="minorEastAsia" w:eastAsiaTheme="minorEastAsia"/>
          <w:lang w:eastAsia="zh-CN"/>
        </w:rPr>
        <w:t>草原防火期内，在草原上作业和 通过草原的各种机动车辆，采取有效办法，严防漏火、喷火和机动闸瓦脱落引起火灾。行驶在草原上的材料运输汽车司机和乘务人员进行防火安全教育，严防随意丢弃火种。</w:t>
      </w:r>
    </w:p>
    <w:p w14:paraId="11B03603">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（5）</w:t>
      </w:r>
      <w:r>
        <w:rPr>
          <w:rFonts w:asciiTheme="minorEastAsia" w:hAnsiTheme="minorEastAsia" w:eastAsiaTheme="minorEastAsia"/>
          <w:lang w:eastAsia="zh-CN"/>
        </w:rPr>
        <w:t>在草场上操作机械设备的人员，必须遵守防火安全操作规程，严防失火。</w:t>
      </w:r>
    </w:p>
    <w:p w14:paraId="09FF99F8">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（6）</w:t>
      </w:r>
      <w:r>
        <w:rPr>
          <w:rFonts w:asciiTheme="minorEastAsia" w:hAnsiTheme="minorEastAsia" w:eastAsiaTheme="minorEastAsia"/>
          <w:lang w:eastAsia="zh-CN"/>
        </w:rPr>
        <w:t>配备草原防火交通工具、灭火器械和观察、通信器材等，修筑防火隔离带，储备必要的防火物质。</w:t>
      </w:r>
    </w:p>
    <w:p w14:paraId="00A7C564">
      <w:pPr>
        <w:pStyle w:val="3"/>
        <w:rPr>
          <w:lang w:eastAsia="zh-CN"/>
        </w:rPr>
      </w:pPr>
      <w:bookmarkStart w:id="842" w:name="_Toc408414078"/>
      <w:r>
        <w:rPr>
          <w:lang w:eastAsia="zh-CN"/>
        </w:rPr>
        <w:t>11.10放射性物质</w:t>
      </w:r>
      <w:bookmarkEnd w:id="842"/>
    </w:p>
    <w:p w14:paraId="19547299">
      <w:pPr>
        <w:ind w:firstLine="480"/>
        <w:rPr>
          <w:lang w:eastAsia="zh-CN"/>
        </w:rPr>
      </w:pPr>
      <w:r>
        <w:rPr>
          <w:lang w:eastAsia="zh-CN"/>
        </w:rPr>
        <w:t>本项目在测井过程中需要用到放射性物质以测油藏情况。</w:t>
      </w:r>
    </w:p>
    <w:p w14:paraId="6DE64B55">
      <w:pPr>
        <w:ind w:firstLine="480"/>
        <w:rPr>
          <w:lang w:eastAsia="zh-CN"/>
        </w:rPr>
      </w:pPr>
      <w:r>
        <w:rPr>
          <w:lang w:eastAsia="zh-CN"/>
        </w:rPr>
        <w:t>二连分公司测试大队根据分公司地质研究所录取资料的要求，目前使用同位素131Ba 和131I进行同位素及相关流量测井工作。</w:t>
      </w:r>
    </w:p>
    <w:p w14:paraId="1F03FBA7">
      <w:pPr>
        <w:ind w:firstLine="480"/>
        <w:rPr>
          <w:lang w:eastAsia="zh-CN"/>
        </w:rPr>
      </w:pPr>
      <w:r>
        <w:rPr>
          <w:lang w:eastAsia="zh-CN"/>
        </w:rPr>
        <w:t>131Ba购置于河南省同新科技有限责任公司，该公司位于河南郑州市，该公司不安排送货，因此须由测试大队派车前往位于郑州的该公司拉运，拉运前电话联系需求数量，确定其同位素最近出炉日期，安排拉运。</w:t>
      </w:r>
    </w:p>
    <w:p w14:paraId="138757B0">
      <w:pPr>
        <w:ind w:firstLine="480"/>
        <w:rPr>
          <w:lang w:eastAsia="zh-CN"/>
        </w:rPr>
      </w:pPr>
      <w:r>
        <w:rPr>
          <w:lang w:eastAsia="zh-CN"/>
        </w:rPr>
        <w:t>131I液体购置于原子高科股份有限公司，该公司位于北京市，该公司只能安排火车运送，每次运送至张家口火车站，由测试大队派车前往接货。</w:t>
      </w:r>
    </w:p>
    <w:p w14:paraId="08C94EAB">
      <w:pPr>
        <w:ind w:firstLine="480"/>
        <w:rPr>
          <w:lang w:eastAsia="zh-CN"/>
        </w:rPr>
      </w:pPr>
      <w:r>
        <w:rPr>
          <w:lang w:eastAsia="zh-CN"/>
        </w:rPr>
        <w:t>拉运同位素使用专用车辆，拉运时按照国家相关规定带齐《非密闭放射性物质转让审批表》、放射性人员工作证，并指定具备资质的人员押运。同位素拉运严格按国家有关规定执行，定人、定车、定路线、定时间，大队安全组对执行拉运同位素任务的车辆全程监控。</w:t>
      </w:r>
    </w:p>
    <w:p w14:paraId="20C3BE8A">
      <w:pPr>
        <w:ind w:firstLine="480"/>
        <w:rPr>
          <w:lang w:eastAsia="zh-CN"/>
        </w:rPr>
      </w:pPr>
      <w:r>
        <w:rPr>
          <w:lang w:eastAsia="zh-CN"/>
        </w:rPr>
        <w:t>除按国家有关法律法规严格执行外，结合实际制定了《放射性物品安全管理实施细则》、《放射源使用程序和使用登记制度》、《放射性工作人员安全培训计划和工作制度》、《放射性物品风险应急预案》等多项安全制度。</w:t>
      </w:r>
    </w:p>
    <w:p w14:paraId="79E063AE">
      <w:pPr>
        <w:ind w:firstLine="480"/>
        <w:rPr>
          <w:lang w:eastAsia="zh-CN"/>
        </w:rPr>
      </w:pPr>
      <w:r>
        <w:rPr>
          <w:lang w:eastAsia="zh-CN"/>
        </w:rPr>
        <w:t>日常管理过程中，测试大队严格执行和落实各项制度。</w:t>
      </w:r>
    </w:p>
    <w:p w14:paraId="3BAE4056">
      <w:pPr>
        <w:ind w:firstLine="480"/>
        <w:rPr>
          <w:lang w:eastAsia="zh-CN"/>
        </w:rPr>
      </w:pPr>
      <w:r>
        <w:rPr>
          <w:lang w:eastAsia="zh-CN"/>
        </w:rPr>
        <w:t>1、放射性物品存放于周围500m范围无居民的源库，并放置于铅罐内。源库采用三道防护门及带有监控探头的自动报警装置进行防护，并有专人进行管理，大队定期开展各项检查；</w:t>
      </w:r>
    </w:p>
    <w:p w14:paraId="509BDD2D">
      <w:pPr>
        <w:ind w:firstLine="480"/>
        <w:rPr>
          <w:lang w:eastAsia="zh-CN"/>
        </w:rPr>
      </w:pPr>
      <w:r>
        <w:rPr>
          <w:lang w:eastAsia="zh-CN"/>
        </w:rPr>
        <w:t>为放射性同位素建立台账，账目清楚，出入库均有专人负责，现场使用量均记录清楚；</w:t>
      </w:r>
    </w:p>
    <w:p w14:paraId="29536D0E">
      <w:pPr>
        <w:ind w:firstLine="480"/>
        <w:rPr>
          <w:lang w:eastAsia="zh-CN"/>
        </w:rPr>
      </w:pPr>
      <w:r>
        <w:rPr>
          <w:lang w:eastAsia="zh-CN"/>
        </w:rPr>
        <w:t>为工作人员配备铅防护衣、防护手套、个人剂量计。</w:t>
      </w:r>
    </w:p>
    <w:p w14:paraId="4A1084DC">
      <w:pPr>
        <w:ind w:firstLine="480"/>
        <w:rPr>
          <w:lang w:eastAsia="zh-CN"/>
        </w:rPr>
      </w:pPr>
      <w:r>
        <w:rPr>
          <w:lang w:eastAsia="zh-CN"/>
        </w:rPr>
        <w:t>放射性工作人员严格按要求每年参加放射性人员体检。</w:t>
      </w:r>
    </w:p>
    <w:p w14:paraId="06A30CCC">
      <w:pPr>
        <w:ind w:firstLine="480"/>
        <w:rPr>
          <w:lang w:eastAsia="zh-CN"/>
        </w:rPr>
      </w:pPr>
      <w:r>
        <w:rPr>
          <w:lang w:eastAsia="zh-CN"/>
        </w:rPr>
        <w:t>2、同位素施工现场严格按操作规程操作，采用释放器投放同位素。</w:t>
      </w:r>
    </w:p>
    <w:p w14:paraId="026F9579">
      <w:pPr>
        <w:ind w:firstLine="480"/>
        <w:rPr>
          <w:lang w:eastAsia="zh-CN"/>
        </w:rPr>
      </w:pPr>
      <w:r>
        <w:rPr>
          <w:lang w:eastAsia="zh-CN"/>
        </w:rPr>
        <w:t>3、从事同位素工作人员每两年参加一次自治区组织的培训并取得放射性人员工作证后方可上岗，大队内部利用周安全会对从事放射性工作的人员进行规章制度、操作规程、应急预案等的培训。</w:t>
      </w:r>
    </w:p>
    <w:p w14:paraId="29AF3100">
      <w:pPr>
        <w:pStyle w:val="3"/>
        <w:rPr>
          <w:lang w:eastAsia="zh-CN"/>
        </w:rPr>
      </w:pPr>
      <w:bookmarkStart w:id="843" w:name="_Toc408414079"/>
      <w:r>
        <w:rPr>
          <w:lang w:eastAsia="zh-CN"/>
        </w:rPr>
        <w:t>11.11建立安全、消防及环保部门联动机制</w:t>
      </w:r>
      <w:bookmarkEnd w:id="843"/>
    </w:p>
    <w:p w14:paraId="2467B3AB">
      <w:pPr>
        <w:ind w:firstLine="480"/>
        <w:rPr>
          <w:lang w:eastAsia="zh-CN"/>
        </w:rPr>
        <w:sectPr>
          <w:pgSz w:w="11907" w:h="16840"/>
          <w:pgMar w:top="1440" w:right="1797" w:bottom="1440" w:left="1797" w:header="851" w:footer="992" w:gutter="0"/>
          <w:cols w:space="720" w:num="1"/>
          <w:docGrid w:linePitch="319" w:charSpace="0"/>
        </w:sectPr>
      </w:pPr>
      <w:r>
        <w:rPr>
          <w:lang w:eastAsia="zh-CN"/>
        </w:rPr>
        <w:t>一旦安全、消防或者环保等突发环境事件，地方环保局与地方消防支队两方指挥中心将立即联动、快速妥善处置。以“信息互通、资源共享、相互协作”为原则，建立起长期、稳定、高效的环保和消防应急联动机制。各种自然灾害和人为活动带来的环境风险、环境隐患不断增多，呈现突发环境事件多发的趋势，其中涉及化学品的突发环境事件呈现数量增加、类型多样、构成复杂的态势，尤其是涉及化学品的突发环境事件危害重、处置难、影响大，社会各界广泛关注，对应急救援处置工作提出了新的更高要求。因此，建立应急联动工作机制，不仅十分必要，而且非常迫切，是快速妥善处置突发环境事件、维护人民群众生命财产安全的需要。消防部门在处置泄漏事故、火灾扑救等方面具有专业救援设备和能力优势；环保部门在环保专业技术力量、环境监测设备等方面有优势，两部门的协调联动，就是军事化和专业化的有机结合。</w:t>
      </w:r>
      <w:r>
        <w:rPr>
          <w:lang w:eastAsia="zh-CN"/>
        </w:rPr>
        <w:br w:type="textWrapping"/>
      </w:r>
    </w:p>
    <w:p w14:paraId="57EE8417">
      <w:pPr>
        <w:pStyle w:val="380"/>
        <w:spacing w:before="0" w:after="0"/>
        <w:rPr>
          <w:rFonts w:cs="Times New Roman"/>
          <w:lang w:eastAsia="zh-CN"/>
        </w:rPr>
      </w:pPr>
      <w:bookmarkStart w:id="844" w:name="_Toc408414080"/>
      <w:r>
        <w:rPr>
          <w:rFonts w:cs="Times New Roman"/>
          <w:lang w:eastAsia="zh-CN"/>
        </w:rPr>
        <w:t>12清洁生产与</w:t>
      </w:r>
      <w:bookmarkEnd w:id="766"/>
      <w:r>
        <w:rPr>
          <w:rFonts w:cs="Times New Roman"/>
          <w:lang w:eastAsia="zh-CN"/>
        </w:rPr>
        <w:t>污染物总量控制</w:t>
      </w:r>
      <w:bookmarkEnd w:id="844"/>
    </w:p>
    <w:p w14:paraId="3CDEC8E9">
      <w:pPr>
        <w:ind w:firstLine="480"/>
        <w:rPr>
          <w:snapToGrid w:val="0"/>
          <w:lang w:eastAsia="zh-CN"/>
        </w:rPr>
      </w:pPr>
      <w:r>
        <w:rPr>
          <w:snapToGrid w:val="0"/>
          <w:lang w:eastAsia="zh-CN"/>
        </w:rPr>
        <w:t>本项目的清洁生产分析主要从工艺路线选择、清洁生产措施、清洁生产技术指标和循环经济等方面进行分析。具体到本工程的主要生产行为，包括原油输送、储存及站场</w:t>
      </w:r>
      <w:r>
        <w:rPr>
          <w:rFonts w:hint="eastAsia"/>
          <w:snapToGrid w:val="0"/>
          <w:lang w:eastAsia="zh-CN"/>
        </w:rPr>
        <w:t>主要污染物排放</w:t>
      </w:r>
      <w:r>
        <w:rPr>
          <w:snapToGrid w:val="0"/>
          <w:lang w:eastAsia="zh-CN"/>
        </w:rPr>
        <w:t>等问题。</w:t>
      </w:r>
    </w:p>
    <w:p w14:paraId="106F6CE5">
      <w:pPr>
        <w:pStyle w:val="3"/>
        <w:rPr>
          <w:lang w:eastAsia="zh-CN"/>
        </w:rPr>
      </w:pPr>
      <w:bookmarkStart w:id="845" w:name="_Toc408414081"/>
      <w:bookmarkStart w:id="846" w:name="_Toc189535412"/>
      <w:bookmarkStart w:id="847" w:name="_Toc77923868"/>
      <w:bookmarkStart w:id="848" w:name="_Toc248649422"/>
      <w:bookmarkStart w:id="849" w:name="_Toc78775136"/>
      <w:bookmarkStart w:id="850" w:name="_Toc109128003"/>
      <w:r>
        <w:rPr>
          <w:lang w:eastAsia="zh-CN"/>
        </w:rPr>
        <w:t>12.1清洁生产</w:t>
      </w:r>
      <w:bookmarkEnd w:id="845"/>
    </w:p>
    <w:bookmarkEnd w:id="846"/>
    <w:bookmarkEnd w:id="847"/>
    <w:bookmarkEnd w:id="848"/>
    <w:bookmarkEnd w:id="849"/>
    <w:bookmarkEnd w:id="850"/>
    <w:p w14:paraId="5D0FEACA">
      <w:pPr>
        <w:pStyle w:val="4"/>
        <w:rPr>
          <w:lang w:eastAsia="zh-CN"/>
        </w:rPr>
      </w:pPr>
      <w:bookmarkStart w:id="851" w:name="_Toc408414082"/>
      <w:r>
        <w:rPr>
          <w:lang w:eastAsia="zh-CN"/>
        </w:rPr>
        <w:t>12.1.1工艺技术选择合理性分析</w:t>
      </w:r>
      <w:bookmarkEnd w:id="851"/>
    </w:p>
    <w:p w14:paraId="5E7B5F80">
      <w:pPr>
        <w:ind w:firstLine="480"/>
        <w:rPr>
          <w:snapToGrid w:val="0"/>
          <w:lang w:eastAsia="zh-CN"/>
        </w:rPr>
      </w:pPr>
      <w:r>
        <w:rPr>
          <w:snapToGrid w:val="0"/>
          <w:lang w:eastAsia="zh-CN"/>
        </w:rPr>
        <w:t>1、集油系统采用三管伴热工艺进行原油的集输</w:t>
      </w:r>
      <w:r>
        <w:rPr>
          <w:rFonts w:hint="eastAsia"/>
          <w:snapToGrid w:val="0"/>
          <w:lang w:eastAsia="zh-CN"/>
        </w:rPr>
        <w:t>，采用</w:t>
      </w:r>
      <w:r>
        <w:rPr>
          <w:snapToGrid w:val="0"/>
          <w:lang w:eastAsia="zh-CN"/>
        </w:rPr>
        <w:t>单管环状掺水及偏远区块干线掺水密闭集油流程，有效控制掺水量和掺水温度，在确保正常生产的条件下最大限度的节约能源；</w:t>
      </w:r>
    </w:p>
    <w:p w14:paraId="57DE05B3">
      <w:pPr>
        <w:ind w:firstLine="480"/>
        <w:rPr>
          <w:snapToGrid w:val="0"/>
          <w:lang w:eastAsia="zh-CN"/>
        </w:rPr>
      </w:pPr>
      <w:r>
        <w:rPr>
          <w:snapToGrid w:val="0"/>
          <w:lang w:eastAsia="zh-CN"/>
        </w:rPr>
        <w:t>2、注水选用柱塞泵，与离心泵相比可提高泵效10%以上。为有效调节水量，减少泵管压差，降低注水能耗，新建注水站均采用了变频技术，注水单耗大幅度降低；</w:t>
      </w:r>
    </w:p>
    <w:p w14:paraId="4BA9A0EE">
      <w:pPr>
        <w:ind w:firstLine="480"/>
        <w:rPr>
          <w:snapToGrid w:val="0"/>
          <w:lang w:eastAsia="zh-CN"/>
        </w:rPr>
      </w:pPr>
      <w:r>
        <w:rPr>
          <w:snapToGrid w:val="0"/>
          <w:lang w:eastAsia="zh-CN"/>
        </w:rPr>
        <w:t>3、供水管道全部采用了钢骨架塑料复合管，单井注水支线选用玻璃钢管道，降低了摩阻系数，减少了运行能耗，同时降低了腐蚀速率，减少了穿孔等事故的发生；</w:t>
      </w:r>
    </w:p>
    <w:p w14:paraId="2CE10BE9">
      <w:pPr>
        <w:ind w:firstLine="480"/>
        <w:rPr>
          <w:snapToGrid w:val="0"/>
          <w:lang w:eastAsia="zh-CN"/>
        </w:rPr>
      </w:pPr>
      <w:r>
        <w:rPr>
          <w:snapToGrid w:val="0"/>
          <w:lang w:eastAsia="zh-CN"/>
        </w:rPr>
        <w:t>4、采出污水经处理后回注，不但避免了污水外排造成的环境污染，同时可节约地下水资源；</w:t>
      </w:r>
    </w:p>
    <w:p w14:paraId="0B14A260">
      <w:pPr>
        <w:ind w:firstLine="480"/>
        <w:outlineLvl w:val="0"/>
        <w:rPr>
          <w:snapToGrid w:val="0"/>
          <w:lang w:eastAsia="zh-CN"/>
        </w:rPr>
      </w:pPr>
      <w:r>
        <w:rPr>
          <w:snapToGrid w:val="0"/>
          <w:lang w:eastAsia="zh-CN"/>
        </w:rPr>
        <w:t>5、集输工艺中的加热装置全部采用天然气为燃料，清洁环保；</w:t>
      </w:r>
    </w:p>
    <w:p w14:paraId="0F0B325D">
      <w:pPr>
        <w:ind w:firstLine="480"/>
        <w:rPr>
          <w:snapToGrid w:val="0"/>
          <w:lang w:eastAsia="zh-CN"/>
        </w:rPr>
      </w:pPr>
      <w:r>
        <w:rPr>
          <w:snapToGrid w:val="0"/>
          <w:lang w:eastAsia="zh-CN"/>
        </w:rPr>
        <w:t>6、油气水分离采用高效三相分离装置，节约投资，减少占地；</w:t>
      </w:r>
    </w:p>
    <w:p w14:paraId="6670C9A4">
      <w:pPr>
        <w:ind w:firstLine="480"/>
        <w:outlineLvl w:val="0"/>
        <w:rPr>
          <w:snapToGrid w:val="0"/>
          <w:lang w:eastAsia="zh-CN"/>
        </w:rPr>
      </w:pPr>
      <w:r>
        <w:rPr>
          <w:snapToGrid w:val="0"/>
          <w:lang w:eastAsia="zh-CN"/>
        </w:rPr>
        <w:t>7、各类机泵集中在室内布置，并采用防震降噪等措施；</w:t>
      </w:r>
    </w:p>
    <w:p w14:paraId="23E4B96F">
      <w:pPr>
        <w:ind w:firstLine="480"/>
        <w:rPr>
          <w:snapToGrid w:val="0"/>
          <w:lang w:eastAsia="zh-CN"/>
        </w:rPr>
      </w:pPr>
      <w:r>
        <w:rPr>
          <w:snapToGrid w:val="0"/>
          <w:lang w:eastAsia="zh-CN"/>
        </w:rPr>
        <w:t>8、场站设置事故罐，发生事故时保证油水不外排。</w:t>
      </w:r>
    </w:p>
    <w:p w14:paraId="7A1967C1">
      <w:pPr>
        <w:pStyle w:val="4"/>
        <w:rPr>
          <w:lang w:eastAsia="zh-CN"/>
        </w:rPr>
      </w:pPr>
      <w:bookmarkStart w:id="852" w:name="_Toc189535413"/>
      <w:bookmarkStart w:id="853" w:name="_Toc408414083"/>
      <w:bookmarkStart w:id="854" w:name="_Toc248649423"/>
      <w:bookmarkStart w:id="855" w:name="_Toc75598826"/>
      <w:bookmarkStart w:id="856" w:name="_Toc75600955"/>
      <w:bookmarkStart w:id="857" w:name="_Toc75599563"/>
      <w:bookmarkStart w:id="858" w:name="_Toc75600526"/>
      <w:bookmarkStart w:id="859" w:name="_Toc78775139"/>
      <w:bookmarkStart w:id="860" w:name="_Toc77923871"/>
      <w:r>
        <w:rPr>
          <w:lang w:eastAsia="zh-CN"/>
        </w:rPr>
        <w:t>12.1.2清洁生产措施</w:t>
      </w:r>
      <w:bookmarkEnd w:id="852"/>
      <w:bookmarkEnd w:id="853"/>
      <w:bookmarkEnd w:id="854"/>
    </w:p>
    <w:bookmarkEnd w:id="855"/>
    <w:bookmarkEnd w:id="856"/>
    <w:bookmarkEnd w:id="857"/>
    <w:bookmarkEnd w:id="858"/>
    <w:p w14:paraId="5408B47F">
      <w:pPr>
        <w:ind w:firstLine="480"/>
        <w:rPr>
          <w:rFonts w:asciiTheme="minorEastAsia" w:hAnsiTheme="minorEastAsia" w:eastAsiaTheme="minorEastAsia"/>
          <w:snapToGrid w:val="0"/>
          <w:lang w:eastAsia="zh-CN"/>
        </w:rPr>
      </w:pPr>
      <w:bookmarkStart w:id="861" w:name="_Toc86985646"/>
      <w:bookmarkStart w:id="862" w:name="_Toc87278087"/>
      <w:bookmarkStart w:id="863" w:name="_Toc84490502"/>
      <w:bookmarkStart w:id="864" w:name="_Toc68080367"/>
      <w:bookmarkStart w:id="865" w:name="_Toc27389892"/>
      <w:bookmarkStart w:id="866" w:name="_Toc42051117"/>
      <w:bookmarkStart w:id="867" w:name="_Toc41979786"/>
      <w:r>
        <w:rPr>
          <w:rFonts w:asciiTheme="minorEastAsia" w:hAnsiTheme="minorEastAsia" w:eastAsiaTheme="minorEastAsia"/>
          <w:snapToGrid w:val="0"/>
          <w:lang w:eastAsia="zh-CN"/>
        </w:rPr>
        <w:t>1、地面工程施工</w:t>
      </w:r>
      <w:bookmarkEnd w:id="861"/>
      <w:bookmarkEnd w:id="862"/>
      <w:r>
        <w:rPr>
          <w:rFonts w:asciiTheme="minorEastAsia" w:hAnsiTheme="minorEastAsia" w:eastAsiaTheme="minorEastAsia"/>
          <w:snapToGrid w:val="0"/>
          <w:lang w:eastAsia="zh-CN"/>
        </w:rPr>
        <w:t>期清洁生产措施分析</w:t>
      </w:r>
    </w:p>
    <w:p w14:paraId="6D61D09A">
      <w:pPr>
        <w:ind w:firstLine="480"/>
        <w:rPr>
          <w:rFonts w:asciiTheme="minorEastAsia" w:hAnsiTheme="minorEastAsia" w:eastAsiaTheme="minorEastAsia"/>
          <w:snapToGrid w:val="0"/>
          <w:lang w:eastAsia="zh-CN"/>
        </w:rPr>
      </w:pPr>
      <w:r>
        <w:rPr>
          <w:rFonts w:asciiTheme="minorEastAsia" w:hAnsiTheme="minorEastAsia" w:eastAsiaTheme="minorEastAsia"/>
          <w:snapToGrid w:val="0"/>
          <w:lang w:eastAsia="zh-CN"/>
        </w:rPr>
        <w:t>油田地面工程建设包括场站建设、道路修建、管道铺设及电力线架设等工程的建设。这一阶段主要会对地表植被造成破坏，产生施工噪声、扬尘、生活污水、生活垃圾、车辆尾气等污染物。</w:t>
      </w:r>
    </w:p>
    <w:p w14:paraId="09BB0F38">
      <w:pPr>
        <w:ind w:firstLine="480"/>
        <w:outlineLvl w:val="0"/>
        <w:rPr>
          <w:rFonts w:asciiTheme="minorEastAsia" w:hAnsiTheme="minorEastAsia" w:eastAsiaTheme="minorEastAsia"/>
          <w:snapToGrid w:val="0"/>
          <w:lang w:eastAsia="zh-CN"/>
        </w:rPr>
      </w:pPr>
      <w:bookmarkStart w:id="868" w:name="_Toc86985652"/>
      <w:bookmarkStart w:id="869" w:name="_Toc87278093"/>
      <w:r>
        <w:rPr>
          <w:rFonts w:hint="eastAsia" w:asciiTheme="minorEastAsia" w:hAnsiTheme="minorEastAsia" w:eastAsiaTheme="minorEastAsia"/>
          <w:snapToGrid w:val="0"/>
          <w:lang w:eastAsia="zh-CN"/>
        </w:rPr>
        <w:t>（1）</w:t>
      </w:r>
      <w:r>
        <w:rPr>
          <w:rFonts w:asciiTheme="minorEastAsia" w:hAnsiTheme="minorEastAsia" w:eastAsiaTheme="minorEastAsia"/>
          <w:snapToGrid w:val="0"/>
          <w:lang w:eastAsia="zh-CN"/>
        </w:rPr>
        <w:t>对施工单位资质进行严格审查</w:t>
      </w:r>
      <w:bookmarkEnd w:id="868"/>
      <w:bookmarkEnd w:id="869"/>
    </w:p>
    <w:p w14:paraId="7F3D1E8E">
      <w:pPr>
        <w:ind w:firstLine="480"/>
        <w:rPr>
          <w:rFonts w:asciiTheme="minorEastAsia" w:hAnsiTheme="minorEastAsia" w:eastAsiaTheme="minorEastAsia"/>
          <w:snapToGrid w:val="0"/>
          <w:lang w:eastAsia="zh-CN"/>
        </w:rPr>
      </w:pPr>
      <w:r>
        <w:rPr>
          <w:rFonts w:asciiTheme="minorEastAsia" w:hAnsiTheme="minorEastAsia" w:eastAsiaTheme="minorEastAsia"/>
          <w:snapToGrid w:val="0"/>
          <w:lang w:eastAsia="zh-CN"/>
        </w:rPr>
        <w:t>要求施工单位必须遵守国家、当地政府有关健康、安全与环境保护法律、法规等相关文件的规定，并通过HSE环境管理体系的认证。</w:t>
      </w:r>
    </w:p>
    <w:p w14:paraId="0A5FAD61">
      <w:pPr>
        <w:ind w:firstLine="480"/>
        <w:outlineLvl w:val="0"/>
        <w:rPr>
          <w:rFonts w:asciiTheme="minorEastAsia" w:hAnsiTheme="minorEastAsia" w:eastAsiaTheme="minorEastAsia"/>
          <w:snapToGrid w:val="0"/>
          <w:lang w:eastAsia="zh-CN"/>
        </w:rPr>
      </w:pPr>
      <w:bookmarkStart w:id="870" w:name="_Toc86985653"/>
      <w:bookmarkStart w:id="871" w:name="_Toc87278094"/>
      <w:r>
        <w:rPr>
          <w:rFonts w:hint="eastAsia" w:asciiTheme="minorEastAsia" w:hAnsiTheme="minorEastAsia" w:eastAsiaTheme="minorEastAsia"/>
          <w:snapToGrid w:val="0"/>
          <w:lang w:eastAsia="zh-CN"/>
        </w:rPr>
        <w:t>（2）</w:t>
      </w:r>
      <w:r>
        <w:rPr>
          <w:rFonts w:asciiTheme="minorEastAsia" w:hAnsiTheme="minorEastAsia" w:eastAsiaTheme="minorEastAsia"/>
          <w:snapToGrid w:val="0"/>
          <w:lang w:eastAsia="zh-CN"/>
        </w:rPr>
        <w:t>施工期污染控制措施</w:t>
      </w:r>
      <w:bookmarkEnd w:id="870"/>
      <w:bookmarkEnd w:id="871"/>
    </w:p>
    <w:p w14:paraId="30D7C445">
      <w:pPr>
        <w:ind w:firstLine="480"/>
        <w:rPr>
          <w:rFonts w:asciiTheme="minorEastAsia" w:hAnsiTheme="minorEastAsia" w:eastAsiaTheme="minorEastAsia"/>
          <w:snapToGrid w:val="0"/>
          <w:lang w:eastAsia="zh-CN"/>
        </w:rPr>
      </w:pPr>
      <w:r>
        <w:rPr>
          <w:rFonts w:hint="eastAsia" w:asciiTheme="minorEastAsia" w:hAnsiTheme="minorEastAsia" w:eastAsiaTheme="minorEastAsia"/>
          <w:snapToGrid w:val="0"/>
          <w:lang w:eastAsia="zh-CN"/>
        </w:rPr>
        <w:t>①</w:t>
      </w:r>
      <w:r>
        <w:rPr>
          <w:rFonts w:asciiTheme="minorEastAsia" w:hAnsiTheme="minorEastAsia" w:eastAsiaTheme="minorEastAsia"/>
          <w:snapToGrid w:val="0"/>
          <w:lang w:eastAsia="zh-CN"/>
        </w:rPr>
        <w:t>减少施工临时占地，尽量限制设备、堆料场、施工营地等临时占地面积；</w:t>
      </w:r>
    </w:p>
    <w:p w14:paraId="1569869F">
      <w:pPr>
        <w:ind w:firstLine="480"/>
        <w:rPr>
          <w:rFonts w:asciiTheme="minorEastAsia" w:hAnsiTheme="minorEastAsia" w:eastAsiaTheme="minorEastAsia"/>
          <w:snapToGrid w:val="0"/>
          <w:lang w:eastAsia="zh-CN"/>
        </w:rPr>
      </w:pPr>
      <w:r>
        <w:rPr>
          <w:rFonts w:hint="eastAsia" w:asciiTheme="minorEastAsia" w:hAnsiTheme="minorEastAsia" w:eastAsiaTheme="minorEastAsia"/>
          <w:snapToGrid w:val="0"/>
          <w:lang w:eastAsia="zh-CN"/>
        </w:rPr>
        <w:t>②</w:t>
      </w:r>
      <w:r>
        <w:rPr>
          <w:rFonts w:asciiTheme="minorEastAsia" w:hAnsiTheme="minorEastAsia" w:eastAsiaTheme="minorEastAsia"/>
          <w:snapToGrid w:val="0"/>
          <w:lang w:eastAsia="zh-CN"/>
        </w:rPr>
        <w:t>埋设各类管线时采用新型控制器，根据管径的大小做到尽量窄控。土壤分层开挖、分别埋放，按原土层回填平埋；</w:t>
      </w:r>
    </w:p>
    <w:p w14:paraId="27A53E70">
      <w:pPr>
        <w:ind w:firstLine="480"/>
        <w:rPr>
          <w:rFonts w:asciiTheme="minorEastAsia" w:hAnsiTheme="minorEastAsia" w:eastAsiaTheme="minorEastAsia"/>
          <w:snapToGrid w:val="0"/>
          <w:lang w:eastAsia="zh-CN"/>
        </w:rPr>
      </w:pPr>
      <w:r>
        <w:rPr>
          <w:rFonts w:hint="eastAsia" w:asciiTheme="minorEastAsia" w:hAnsiTheme="minorEastAsia" w:eastAsiaTheme="minorEastAsia"/>
          <w:snapToGrid w:val="0"/>
          <w:lang w:eastAsia="zh-CN"/>
        </w:rPr>
        <w:t>③</w:t>
      </w:r>
      <w:r>
        <w:rPr>
          <w:rFonts w:asciiTheme="minorEastAsia" w:hAnsiTheme="minorEastAsia" w:eastAsiaTheme="minorEastAsia"/>
          <w:snapToGrid w:val="0"/>
          <w:lang w:eastAsia="zh-CN"/>
        </w:rPr>
        <w:t>道路施工取土时，先将表土推开，取土后再覆盖于取土坑表面和路基边坡，施工结束时将表土回填；</w:t>
      </w:r>
    </w:p>
    <w:p w14:paraId="3BB6533B">
      <w:pPr>
        <w:ind w:firstLine="480"/>
        <w:rPr>
          <w:rFonts w:asciiTheme="minorEastAsia" w:hAnsiTheme="minorEastAsia" w:eastAsiaTheme="minorEastAsia"/>
          <w:snapToGrid w:val="0"/>
          <w:lang w:eastAsia="zh-CN"/>
        </w:rPr>
      </w:pPr>
      <w:r>
        <w:rPr>
          <w:rFonts w:hint="eastAsia" w:asciiTheme="minorEastAsia" w:hAnsiTheme="minorEastAsia" w:eastAsiaTheme="minorEastAsia"/>
          <w:snapToGrid w:val="0"/>
          <w:lang w:eastAsia="zh-CN"/>
        </w:rPr>
        <w:t>④</w:t>
      </w:r>
      <w:r>
        <w:rPr>
          <w:rFonts w:asciiTheme="minorEastAsia" w:hAnsiTheme="minorEastAsia" w:eastAsiaTheme="minorEastAsia"/>
          <w:snapToGrid w:val="0"/>
          <w:lang w:eastAsia="zh-CN"/>
        </w:rPr>
        <w:t>各类施工结束后要及时恢复被破坏的地表形态，平整作业现场、清运施工废料等固废及生活垃圾；</w:t>
      </w:r>
    </w:p>
    <w:p w14:paraId="789CD3AD">
      <w:pPr>
        <w:ind w:firstLine="480"/>
        <w:rPr>
          <w:rFonts w:asciiTheme="minorEastAsia" w:hAnsiTheme="minorEastAsia" w:eastAsiaTheme="minorEastAsia"/>
          <w:snapToGrid w:val="0"/>
          <w:lang w:eastAsia="zh-CN"/>
        </w:rPr>
      </w:pPr>
      <w:r>
        <w:rPr>
          <w:rFonts w:hint="eastAsia" w:asciiTheme="minorEastAsia" w:hAnsiTheme="minorEastAsia" w:eastAsiaTheme="minorEastAsia"/>
          <w:snapToGrid w:val="0"/>
          <w:lang w:eastAsia="zh-CN"/>
        </w:rPr>
        <w:t>⑤</w:t>
      </w:r>
      <w:r>
        <w:rPr>
          <w:rFonts w:asciiTheme="minorEastAsia" w:hAnsiTheme="minorEastAsia" w:eastAsiaTheme="minorEastAsia"/>
          <w:snapToGrid w:val="0"/>
          <w:lang w:eastAsia="zh-CN"/>
        </w:rPr>
        <w:t>施工现场适当洒水，大风天气增加洒水次数。</w:t>
      </w:r>
    </w:p>
    <w:bookmarkEnd w:id="863"/>
    <w:bookmarkEnd w:id="864"/>
    <w:bookmarkEnd w:id="865"/>
    <w:bookmarkEnd w:id="866"/>
    <w:bookmarkEnd w:id="867"/>
    <w:p w14:paraId="686B1B10">
      <w:pPr>
        <w:pStyle w:val="4"/>
        <w:rPr>
          <w:lang w:eastAsia="zh-CN"/>
        </w:rPr>
      </w:pPr>
      <w:bookmarkStart w:id="872" w:name="_Toc248649424"/>
      <w:bookmarkStart w:id="873" w:name="_Toc189535414"/>
      <w:bookmarkStart w:id="874" w:name="_Toc408414084"/>
      <w:r>
        <w:rPr>
          <w:lang w:eastAsia="zh-CN"/>
        </w:rPr>
        <w:t>12.1.3清洁生产技术指标</w:t>
      </w:r>
      <w:bookmarkEnd w:id="859"/>
      <w:bookmarkEnd w:id="860"/>
      <w:bookmarkEnd w:id="872"/>
      <w:bookmarkEnd w:id="873"/>
      <w:bookmarkEnd w:id="874"/>
    </w:p>
    <w:p w14:paraId="3B12F81F">
      <w:pPr>
        <w:snapToGrid w:val="0"/>
        <w:ind w:firstLine="0" w:firstLineChars="0"/>
        <w:jc w:val="center"/>
        <w:rPr>
          <w:b/>
          <w:snapToGrid w:val="0"/>
          <w:lang w:eastAsia="zh-CN"/>
        </w:rPr>
      </w:pPr>
      <w:r>
        <w:rPr>
          <w:b/>
          <w:snapToGrid w:val="0"/>
          <w:lang w:eastAsia="zh-CN"/>
        </w:rPr>
        <w:t>表12.1-1  清洁生产指标对比一览表</w:t>
      </w:r>
    </w:p>
    <w:tbl>
      <w:tblPr>
        <w:tblStyle w:val="76"/>
        <w:tblW w:w="847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8"/>
        <w:gridCol w:w="1842"/>
        <w:gridCol w:w="2410"/>
        <w:gridCol w:w="2126"/>
        <w:gridCol w:w="1276"/>
      </w:tblGrid>
      <w:tr w14:paraId="425D9C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18" w:type="dxa"/>
            <w:vAlign w:val="center"/>
          </w:tcPr>
          <w:p w14:paraId="0CE76458">
            <w:pPr>
              <w:pStyle w:val="518"/>
              <w:rPr>
                <w:snapToGrid w:val="0"/>
                <w:szCs w:val="21"/>
              </w:rPr>
            </w:pPr>
            <w:r>
              <w:rPr>
                <w:snapToGrid w:val="0"/>
                <w:szCs w:val="21"/>
              </w:rPr>
              <w:t>序号</w:t>
            </w:r>
          </w:p>
        </w:tc>
        <w:tc>
          <w:tcPr>
            <w:tcW w:w="1842" w:type="dxa"/>
            <w:vAlign w:val="center"/>
          </w:tcPr>
          <w:p w14:paraId="74DBED87">
            <w:pPr>
              <w:pStyle w:val="518"/>
              <w:rPr>
                <w:snapToGrid w:val="0"/>
                <w:szCs w:val="21"/>
              </w:rPr>
            </w:pPr>
            <w:r>
              <w:rPr>
                <w:snapToGrid w:val="0"/>
                <w:szCs w:val="21"/>
              </w:rPr>
              <w:t>清洁生产指标内容</w:t>
            </w:r>
          </w:p>
        </w:tc>
        <w:tc>
          <w:tcPr>
            <w:tcW w:w="2410" w:type="dxa"/>
            <w:tcBorders>
              <w:right w:val="single" w:color="auto" w:sz="4" w:space="0"/>
            </w:tcBorders>
            <w:vAlign w:val="center"/>
          </w:tcPr>
          <w:p w14:paraId="1E44F60E">
            <w:pPr>
              <w:pStyle w:val="518"/>
              <w:rPr>
                <w:snapToGrid w:val="0"/>
                <w:szCs w:val="21"/>
              </w:rPr>
            </w:pPr>
            <w:r>
              <w:rPr>
                <w:snapToGrid w:val="0"/>
                <w:szCs w:val="21"/>
                <w:lang w:eastAsia="zh-CN"/>
              </w:rPr>
              <w:t>阿尔善油田</w:t>
            </w:r>
            <w:r>
              <w:rPr>
                <w:snapToGrid w:val="0"/>
                <w:szCs w:val="21"/>
              </w:rPr>
              <w:t>技术指标</w:t>
            </w:r>
          </w:p>
        </w:tc>
        <w:tc>
          <w:tcPr>
            <w:tcW w:w="2126" w:type="dxa"/>
            <w:tcBorders>
              <w:right w:val="single" w:color="auto" w:sz="4" w:space="0"/>
            </w:tcBorders>
            <w:vAlign w:val="center"/>
          </w:tcPr>
          <w:p w14:paraId="3F1BD9DE">
            <w:pPr>
              <w:pStyle w:val="518"/>
              <w:rPr>
                <w:snapToGrid w:val="0"/>
                <w:szCs w:val="21"/>
              </w:rPr>
            </w:pPr>
            <w:r>
              <w:rPr>
                <w:snapToGrid w:val="0"/>
                <w:szCs w:val="21"/>
              </w:rPr>
              <w:t>本</w:t>
            </w:r>
            <w:r>
              <w:rPr>
                <w:rFonts w:hint="eastAsia"/>
                <w:snapToGrid w:val="0"/>
                <w:szCs w:val="21"/>
                <w:lang w:eastAsia="zh-CN"/>
              </w:rPr>
              <w:t>项目技术指标</w:t>
            </w:r>
          </w:p>
        </w:tc>
        <w:tc>
          <w:tcPr>
            <w:tcW w:w="1276" w:type="dxa"/>
            <w:vAlign w:val="center"/>
          </w:tcPr>
          <w:p w14:paraId="2EF34FEA">
            <w:pPr>
              <w:pStyle w:val="518"/>
              <w:rPr>
                <w:snapToGrid w:val="0"/>
                <w:szCs w:val="21"/>
                <w:lang w:eastAsia="zh-CN"/>
              </w:rPr>
            </w:pPr>
            <w:r>
              <w:rPr>
                <w:snapToGrid w:val="0"/>
                <w:szCs w:val="21"/>
                <w:lang w:eastAsia="zh-CN"/>
              </w:rPr>
              <w:t>结果</w:t>
            </w:r>
          </w:p>
        </w:tc>
      </w:tr>
      <w:tr w14:paraId="5F5B76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18" w:type="dxa"/>
            <w:vAlign w:val="center"/>
          </w:tcPr>
          <w:p w14:paraId="3A4F1E7C">
            <w:pPr>
              <w:pStyle w:val="518"/>
              <w:rPr>
                <w:snapToGrid w:val="0"/>
                <w:szCs w:val="21"/>
              </w:rPr>
            </w:pPr>
            <w:r>
              <w:rPr>
                <w:snapToGrid w:val="0"/>
                <w:szCs w:val="21"/>
              </w:rPr>
              <w:t>一</w:t>
            </w:r>
          </w:p>
        </w:tc>
        <w:tc>
          <w:tcPr>
            <w:tcW w:w="1842" w:type="dxa"/>
            <w:vAlign w:val="center"/>
          </w:tcPr>
          <w:p w14:paraId="7CC44E99">
            <w:pPr>
              <w:pStyle w:val="518"/>
              <w:rPr>
                <w:snapToGrid w:val="0"/>
                <w:szCs w:val="21"/>
              </w:rPr>
            </w:pPr>
            <w:r>
              <w:rPr>
                <w:snapToGrid w:val="0"/>
                <w:szCs w:val="21"/>
              </w:rPr>
              <w:t>生产工艺与装备</w:t>
            </w:r>
          </w:p>
        </w:tc>
        <w:tc>
          <w:tcPr>
            <w:tcW w:w="2410" w:type="dxa"/>
            <w:tcBorders>
              <w:right w:val="single" w:color="auto" w:sz="4" w:space="0"/>
            </w:tcBorders>
            <w:vAlign w:val="center"/>
          </w:tcPr>
          <w:p w14:paraId="62274D9B">
            <w:pPr>
              <w:pStyle w:val="518"/>
              <w:rPr>
                <w:snapToGrid w:val="0"/>
                <w:szCs w:val="21"/>
              </w:rPr>
            </w:pPr>
          </w:p>
        </w:tc>
        <w:tc>
          <w:tcPr>
            <w:tcW w:w="2126" w:type="dxa"/>
            <w:tcBorders>
              <w:right w:val="single" w:color="auto" w:sz="4" w:space="0"/>
            </w:tcBorders>
            <w:vAlign w:val="center"/>
          </w:tcPr>
          <w:p w14:paraId="3916C305">
            <w:pPr>
              <w:pStyle w:val="518"/>
              <w:rPr>
                <w:snapToGrid w:val="0"/>
                <w:szCs w:val="21"/>
              </w:rPr>
            </w:pPr>
          </w:p>
        </w:tc>
        <w:tc>
          <w:tcPr>
            <w:tcW w:w="1276" w:type="dxa"/>
            <w:vAlign w:val="center"/>
          </w:tcPr>
          <w:p w14:paraId="6728A8DF">
            <w:pPr>
              <w:pStyle w:val="518"/>
              <w:rPr>
                <w:snapToGrid w:val="0"/>
                <w:szCs w:val="21"/>
              </w:rPr>
            </w:pPr>
          </w:p>
        </w:tc>
      </w:tr>
      <w:tr w14:paraId="15962C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18" w:type="dxa"/>
            <w:vAlign w:val="center"/>
          </w:tcPr>
          <w:p w14:paraId="5F7F27B4">
            <w:pPr>
              <w:pStyle w:val="518"/>
              <w:rPr>
                <w:snapToGrid w:val="0"/>
                <w:szCs w:val="21"/>
              </w:rPr>
            </w:pPr>
            <w:r>
              <w:rPr>
                <w:snapToGrid w:val="0"/>
                <w:szCs w:val="21"/>
              </w:rPr>
              <w:t>1</w:t>
            </w:r>
          </w:p>
        </w:tc>
        <w:tc>
          <w:tcPr>
            <w:tcW w:w="1842" w:type="dxa"/>
            <w:vAlign w:val="center"/>
          </w:tcPr>
          <w:p w14:paraId="7D6AC1A4">
            <w:pPr>
              <w:pStyle w:val="518"/>
              <w:rPr>
                <w:snapToGrid w:val="0"/>
                <w:szCs w:val="21"/>
              </w:rPr>
            </w:pPr>
            <w:r>
              <w:rPr>
                <w:snapToGrid w:val="0"/>
                <w:szCs w:val="21"/>
              </w:rPr>
              <w:t>原油集输密闭率</w:t>
            </w:r>
          </w:p>
        </w:tc>
        <w:tc>
          <w:tcPr>
            <w:tcW w:w="2410" w:type="dxa"/>
            <w:tcBorders>
              <w:right w:val="single" w:color="auto" w:sz="4" w:space="0"/>
            </w:tcBorders>
            <w:vAlign w:val="center"/>
          </w:tcPr>
          <w:p w14:paraId="01168979">
            <w:pPr>
              <w:pStyle w:val="518"/>
              <w:rPr>
                <w:snapToGrid w:val="0"/>
                <w:szCs w:val="21"/>
              </w:rPr>
            </w:pPr>
            <w:r>
              <w:rPr>
                <w:snapToGrid w:val="0"/>
                <w:szCs w:val="21"/>
              </w:rPr>
              <w:t>100%</w:t>
            </w:r>
          </w:p>
        </w:tc>
        <w:tc>
          <w:tcPr>
            <w:tcW w:w="2126" w:type="dxa"/>
            <w:tcBorders>
              <w:right w:val="single" w:color="auto" w:sz="4" w:space="0"/>
            </w:tcBorders>
            <w:vAlign w:val="center"/>
          </w:tcPr>
          <w:p w14:paraId="243BFF52">
            <w:pPr>
              <w:pStyle w:val="518"/>
              <w:rPr>
                <w:snapToGrid w:val="0"/>
                <w:szCs w:val="21"/>
              </w:rPr>
            </w:pPr>
            <w:r>
              <w:rPr>
                <w:snapToGrid w:val="0"/>
                <w:szCs w:val="21"/>
              </w:rPr>
              <w:t>100%</w:t>
            </w:r>
          </w:p>
        </w:tc>
        <w:tc>
          <w:tcPr>
            <w:tcW w:w="1276" w:type="dxa"/>
            <w:vAlign w:val="center"/>
          </w:tcPr>
          <w:p w14:paraId="522F8CB5">
            <w:pPr>
              <w:pStyle w:val="518"/>
              <w:rPr>
                <w:snapToGrid w:val="0"/>
                <w:szCs w:val="21"/>
                <w:lang w:eastAsia="zh-CN"/>
              </w:rPr>
            </w:pPr>
            <w:r>
              <w:rPr>
                <w:snapToGrid w:val="0"/>
                <w:szCs w:val="21"/>
                <w:lang w:eastAsia="zh-CN"/>
              </w:rPr>
              <w:t>达标</w:t>
            </w:r>
          </w:p>
        </w:tc>
      </w:tr>
      <w:tr w14:paraId="515C2C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18" w:type="dxa"/>
            <w:vAlign w:val="center"/>
          </w:tcPr>
          <w:p w14:paraId="48AFC5CE">
            <w:pPr>
              <w:pStyle w:val="518"/>
              <w:rPr>
                <w:snapToGrid w:val="0"/>
                <w:szCs w:val="21"/>
              </w:rPr>
            </w:pPr>
            <w:r>
              <w:rPr>
                <w:snapToGrid w:val="0"/>
                <w:szCs w:val="21"/>
              </w:rPr>
              <w:t>2</w:t>
            </w:r>
          </w:p>
        </w:tc>
        <w:tc>
          <w:tcPr>
            <w:tcW w:w="1842" w:type="dxa"/>
            <w:vAlign w:val="center"/>
          </w:tcPr>
          <w:p w14:paraId="4ACBD64D">
            <w:pPr>
              <w:pStyle w:val="518"/>
              <w:rPr>
                <w:snapToGrid w:val="0"/>
                <w:szCs w:val="21"/>
              </w:rPr>
            </w:pPr>
            <w:r>
              <w:rPr>
                <w:snapToGrid w:val="0"/>
                <w:szCs w:val="21"/>
              </w:rPr>
              <w:t>油田气利用率</w:t>
            </w:r>
          </w:p>
        </w:tc>
        <w:tc>
          <w:tcPr>
            <w:tcW w:w="2410" w:type="dxa"/>
            <w:tcBorders>
              <w:right w:val="single" w:color="auto" w:sz="4" w:space="0"/>
            </w:tcBorders>
            <w:vAlign w:val="center"/>
          </w:tcPr>
          <w:p w14:paraId="63B49DF7">
            <w:pPr>
              <w:pStyle w:val="518"/>
              <w:rPr>
                <w:snapToGrid w:val="0"/>
                <w:szCs w:val="21"/>
              </w:rPr>
            </w:pPr>
            <w:r>
              <w:rPr>
                <w:snapToGrid w:val="0"/>
                <w:szCs w:val="21"/>
              </w:rPr>
              <w:t>≥9</w:t>
            </w:r>
            <w:r>
              <w:rPr>
                <w:snapToGrid w:val="0"/>
                <w:szCs w:val="21"/>
                <w:lang w:eastAsia="zh-CN"/>
              </w:rPr>
              <w:t>2</w:t>
            </w:r>
            <w:r>
              <w:rPr>
                <w:snapToGrid w:val="0"/>
                <w:szCs w:val="21"/>
              </w:rPr>
              <w:t>%</w:t>
            </w:r>
          </w:p>
        </w:tc>
        <w:tc>
          <w:tcPr>
            <w:tcW w:w="2126" w:type="dxa"/>
            <w:tcBorders>
              <w:right w:val="single" w:color="auto" w:sz="4" w:space="0"/>
            </w:tcBorders>
            <w:vAlign w:val="center"/>
          </w:tcPr>
          <w:p w14:paraId="3392B3E6">
            <w:pPr>
              <w:pStyle w:val="518"/>
              <w:rPr>
                <w:snapToGrid w:val="0"/>
                <w:szCs w:val="21"/>
              </w:rPr>
            </w:pPr>
            <w:r>
              <w:rPr>
                <w:rFonts w:hint="eastAsia"/>
                <w:snapToGrid w:val="0"/>
                <w:szCs w:val="21"/>
                <w:lang w:eastAsia="zh-CN"/>
              </w:rPr>
              <w:t>100</w:t>
            </w:r>
            <w:r>
              <w:rPr>
                <w:snapToGrid w:val="0"/>
                <w:szCs w:val="21"/>
              </w:rPr>
              <w:t>%</w:t>
            </w:r>
          </w:p>
        </w:tc>
        <w:tc>
          <w:tcPr>
            <w:tcW w:w="1276" w:type="dxa"/>
            <w:vAlign w:val="center"/>
          </w:tcPr>
          <w:p w14:paraId="70494B0A">
            <w:pPr>
              <w:pStyle w:val="518"/>
              <w:rPr>
                <w:snapToGrid w:val="0"/>
                <w:szCs w:val="21"/>
              </w:rPr>
            </w:pPr>
            <w:r>
              <w:rPr>
                <w:snapToGrid w:val="0"/>
                <w:szCs w:val="21"/>
                <w:lang w:eastAsia="zh-CN"/>
              </w:rPr>
              <w:t>达标</w:t>
            </w:r>
          </w:p>
        </w:tc>
      </w:tr>
      <w:tr w14:paraId="5D8988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18" w:type="dxa"/>
            <w:vAlign w:val="center"/>
          </w:tcPr>
          <w:p w14:paraId="4E528046">
            <w:pPr>
              <w:pStyle w:val="518"/>
              <w:rPr>
                <w:snapToGrid w:val="0"/>
                <w:szCs w:val="21"/>
              </w:rPr>
            </w:pPr>
            <w:r>
              <w:rPr>
                <w:snapToGrid w:val="0"/>
                <w:szCs w:val="21"/>
              </w:rPr>
              <w:t>3</w:t>
            </w:r>
          </w:p>
        </w:tc>
        <w:tc>
          <w:tcPr>
            <w:tcW w:w="1842" w:type="dxa"/>
            <w:vAlign w:val="center"/>
          </w:tcPr>
          <w:p w14:paraId="75D60DDC">
            <w:pPr>
              <w:pStyle w:val="518"/>
              <w:rPr>
                <w:snapToGrid w:val="0"/>
                <w:szCs w:val="21"/>
              </w:rPr>
            </w:pPr>
            <w:r>
              <w:rPr>
                <w:snapToGrid w:val="0"/>
                <w:szCs w:val="21"/>
              </w:rPr>
              <w:t>原油集输损耗率</w:t>
            </w:r>
          </w:p>
        </w:tc>
        <w:tc>
          <w:tcPr>
            <w:tcW w:w="2410" w:type="dxa"/>
            <w:tcBorders>
              <w:right w:val="single" w:color="auto" w:sz="4" w:space="0"/>
            </w:tcBorders>
            <w:vAlign w:val="center"/>
          </w:tcPr>
          <w:p w14:paraId="0F32EAE8">
            <w:pPr>
              <w:pStyle w:val="518"/>
              <w:rPr>
                <w:snapToGrid w:val="0"/>
                <w:szCs w:val="21"/>
              </w:rPr>
            </w:pPr>
            <w:r>
              <w:rPr>
                <w:snapToGrid w:val="0"/>
                <w:szCs w:val="21"/>
              </w:rPr>
              <w:t>≤0.</w:t>
            </w:r>
            <w:r>
              <w:rPr>
                <w:snapToGrid w:val="0"/>
                <w:szCs w:val="21"/>
                <w:lang w:eastAsia="zh-CN"/>
              </w:rPr>
              <w:t>4</w:t>
            </w:r>
            <w:r>
              <w:rPr>
                <w:snapToGrid w:val="0"/>
                <w:szCs w:val="21"/>
              </w:rPr>
              <w:t>%</w:t>
            </w:r>
          </w:p>
        </w:tc>
        <w:tc>
          <w:tcPr>
            <w:tcW w:w="2126" w:type="dxa"/>
            <w:tcBorders>
              <w:right w:val="single" w:color="auto" w:sz="4" w:space="0"/>
            </w:tcBorders>
            <w:vAlign w:val="center"/>
          </w:tcPr>
          <w:p w14:paraId="64EA5202">
            <w:pPr>
              <w:pStyle w:val="518"/>
              <w:rPr>
                <w:snapToGrid w:val="0"/>
                <w:szCs w:val="21"/>
              </w:rPr>
            </w:pPr>
            <w:r>
              <w:rPr>
                <w:snapToGrid w:val="0"/>
                <w:szCs w:val="21"/>
              </w:rPr>
              <w:t>0.05%</w:t>
            </w:r>
          </w:p>
        </w:tc>
        <w:tc>
          <w:tcPr>
            <w:tcW w:w="1276" w:type="dxa"/>
            <w:vAlign w:val="center"/>
          </w:tcPr>
          <w:p w14:paraId="39A8A8C1">
            <w:pPr>
              <w:pStyle w:val="518"/>
              <w:rPr>
                <w:snapToGrid w:val="0"/>
                <w:szCs w:val="21"/>
              </w:rPr>
            </w:pPr>
            <w:r>
              <w:rPr>
                <w:snapToGrid w:val="0"/>
                <w:szCs w:val="21"/>
                <w:lang w:eastAsia="zh-CN"/>
              </w:rPr>
              <w:t>达标</w:t>
            </w:r>
          </w:p>
        </w:tc>
      </w:tr>
      <w:tr w14:paraId="795A6F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18" w:type="dxa"/>
            <w:vAlign w:val="center"/>
          </w:tcPr>
          <w:p w14:paraId="28343130">
            <w:pPr>
              <w:pStyle w:val="518"/>
              <w:rPr>
                <w:snapToGrid w:val="0"/>
                <w:szCs w:val="21"/>
              </w:rPr>
            </w:pPr>
            <w:r>
              <w:rPr>
                <w:snapToGrid w:val="0"/>
                <w:szCs w:val="21"/>
              </w:rPr>
              <w:t>二</w:t>
            </w:r>
          </w:p>
        </w:tc>
        <w:tc>
          <w:tcPr>
            <w:tcW w:w="1842" w:type="dxa"/>
            <w:vAlign w:val="center"/>
          </w:tcPr>
          <w:p w14:paraId="4CAA5151">
            <w:pPr>
              <w:pStyle w:val="518"/>
              <w:rPr>
                <w:snapToGrid w:val="0"/>
                <w:szCs w:val="21"/>
              </w:rPr>
            </w:pPr>
            <w:r>
              <w:rPr>
                <w:snapToGrid w:val="0"/>
                <w:szCs w:val="21"/>
              </w:rPr>
              <w:t>资源能源利用</w:t>
            </w:r>
          </w:p>
        </w:tc>
        <w:tc>
          <w:tcPr>
            <w:tcW w:w="2410" w:type="dxa"/>
            <w:tcBorders>
              <w:right w:val="single" w:color="auto" w:sz="4" w:space="0"/>
            </w:tcBorders>
            <w:vAlign w:val="center"/>
          </w:tcPr>
          <w:p w14:paraId="4CA0DCD1">
            <w:pPr>
              <w:pStyle w:val="518"/>
              <w:rPr>
                <w:snapToGrid w:val="0"/>
                <w:szCs w:val="21"/>
              </w:rPr>
            </w:pPr>
          </w:p>
        </w:tc>
        <w:tc>
          <w:tcPr>
            <w:tcW w:w="2126" w:type="dxa"/>
            <w:tcBorders>
              <w:right w:val="single" w:color="auto" w:sz="4" w:space="0"/>
            </w:tcBorders>
            <w:vAlign w:val="center"/>
          </w:tcPr>
          <w:p w14:paraId="37C67928">
            <w:pPr>
              <w:pStyle w:val="518"/>
              <w:rPr>
                <w:snapToGrid w:val="0"/>
                <w:szCs w:val="21"/>
              </w:rPr>
            </w:pPr>
          </w:p>
        </w:tc>
        <w:tc>
          <w:tcPr>
            <w:tcW w:w="1276" w:type="dxa"/>
            <w:vAlign w:val="center"/>
          </w:tcPr>
          <w:p w14:paraId="0DDE724C">
            <w:pPr>
              <w:pStyle w:val="518"/>
              <w:rPr>
                <w:snapToGrid w:val="0"/>
                <w:szCs w:val="21"/>
              </w:rPr>
            </w:pPr>
          </w:p>
        </w:tc>
      </w:tr>
      <w:tr w14:paraId="1A6858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18" w:type="dxa"/>
            <w:vAlign w:val="center"/>
          </w:tcPr>
          <w:p w14:paraId="541E1657">
            <w:pPr>
              <w:pStyle w:val="518"/>
              <w:rPr>
                <w:snapToGrid w:val="0"/>
                <w:szCs w:val="21"/>
              </w:rPr>
            </w:pPr>
            <w:r>
              <w:rPr>
                <w:snapToGrid w:val="0"/>
                <w:szCs w:val="21"/>
              </w:rPr>
              <w:t>1</w:t>
            </w:r>
          </w:p>
        </w:tc>
        <w:tc>
          <w:tcPr>
            <w:tcW w:w="1842" w:type="dxa"/>
            <w:vAlign w:val="center"/>
          </w:tcPr>
          <w:p w14:paraId="6F348062">
            <w:pPr>
              <w:pStyle w:val="518"/>
              <w:rPr>
                <w:snapToGrid w:val="0"/>
                <w:szCs w:val="21"/>
              </w:rPr>
            </w:pPr>
            <w:r>
              <w:rPr>
                <w:snapToGrid w:val="0"/>
                <w:szCs w:val="21"/>
              </w:rPr>
              <w:t>吨油注水(m</w:t>
            </w:r>
            <w:r>
              <w:rPr>
                <w:snapToGrid w:val="0"/>
                <w:szCs w:val="21"/>
                <w:vertAlign w:val="superscript"/>
              </w:rPr>
              <w:t>3</w:t>
            </w:r>
            <w:r>
              <w:rPr>
                <w:snapToGrid w:val="0"/>
                <w:szCs w:val="21"/>
              </w:rPr>
              <w:t>/t)</w:t>
            </w:r>
          </w:p>
        </w:tc>
        <w:tc>
          <w:tcPr>
            <w:tcW w:w="2410" w:type="dxa"/>
            <w:tcBorders>
              <w:right w:val="single" w:color="auto" w:sz="4" w:space="0"/>
            </w:tcBorders>
            <w:vAlign w:val="center"/>
          </w:tcPr>
          <w:p w14:paraId="39C33ED0">
            <w:pPr>
              <w:pStyle w:val="518"/>
              <w:rPr>
                <w:snapToGrid w:val="0"/>
                <w:szCs w:val="21"/>
              </w:rPr>
            </w:pPr>
            <w:r>
              <w:rPr>
                <w:snapToGrid w:val="0"/>
                <w:szCs w:val="21"/>
              </w:rPr>
              <w:t>≤</w:t>
            </w:r>
            <w:r>
              <w:rPr>
                <w:snapToGrid w:val="0"/>
                <w:szCs w:val="21"/>
                <w:lang w:eastAsia="zh-CN"/>
              </w:rPr>
              <w:t>3</w:t>
            </w:r>
            <w:r>
              <w:rPr>
                <w:snapToGrid w:val="0"/>
                <w:szCs w:val="21"/>
              </w:rPr>
              <w:t>%</w:t>
            </w:r>
          </w:p>
        </w:tc>
        <w:tc>
          <w:tcPr>
            <w:tcW w:w="2126" w:type="dxa"/>
            <w:tcBorders>
              <w:right w:val="single" w:color="auto" w:sz="4" w:space="0"/>
            </w:tcBorders>
            <w:vAlign w:val="center"/>
          </w:tcPr>
          <w:p w14:paraId="4AB500E2">
            <w:pPr>
              <w:pStyle w:val="518"/>
              <w:rPr>
                <w:snapToGrid w:val="0"/>
                <w:szCs w:val="21"/>
                <w:lang w:eastAsia="zh-CN"/>
              </w:rPr>
            </w:pPr>
            <w:r>
              <w:rPr>
                <w:snapToGrid w:val="0"/>
                <w:szCs w:val="21"/>
                <w:lang w:eastAsia="zh-CN"/>
              </w:rPr>
              <w:t>2.</w:t>
            </w:r>
            <w:r>
              <w:rPr>
                <w:rFonts w:hint="eastAsia"/>
                <w:snapToGrid w:val="0"/>
                <w:szCs w:val="21"/>
                <w:lang w:eastAsia="zh-CN"/>
              </w:rPr>
              <w:t>30</w:t>
            </w:r>
          </w:p>
        </w:tc>
        <w:tc>
          <w:tcPr>
            <w:tcW w:w="1276" w:type="dxa"/>
            <w:vAlign w:val="center"/>
          </w:tcPr>
          <w:p w14:paraId="0CB5E46D">
            <w:pPr>
              <w:pStyle w:val="518"/>
              <w:rPr>
                <w:snapToGrid w:val="0"/>
                <w:szCs w:val="21"/>
              </w:rPr>
            </w:pPr>
            <w:r>
              <w:rPr>
                <w:snapToGrid w:val="0"/>
                <w:szCs w:val="21"/>
                <w:lang w:eastAsia="zh-CN"/>
              </w:rPr>
              <w:t>达标</w:t>
            </w:r>
          </w:p>
        </w:tc>
      </w:tr>
      <w:tr w14:paraId="1DA934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18" w:type="dxa"/>
            <w:vAlign w:val="center"/>
          </w:tcPr>
          <w:p w14:paraId="4680FD88">
            <w:pPr>
              <w:pStyle w:val="518"/>
              <w:rPr>
                <w:snapToGrid w:val="0"/>
                <w:szCs w:val="21"/>
              </w:rPr>
            </w:pPr>
            <w:r>
              <w:rPr>
                <w:snapToGrid w:val="0"/>
                <w:szCs w:val="21"/>
              </w:rPr>
              <w:t>2</w:t>
            </w:r>
          </w:p>
        </w:tc>
        <w:tc>
          <w:tcPr>
            <w:tcW w:w="1842" w:type="dxa"/>
            <w:vAlign w:val="center"/>
          </w:tcPr>
          <w:p w14:paraId="3D34620C">
            <w:pPr>
              <w:pStyle w:val="518"/>
              <w:rPr>
                <w:snapToGrid w:val="0"/>
                <w:szCs w:val="21"/>
              </w:rPr>
            </w:pPr>
            <w:r>
              <w:rPr>
                <w:snapToGrid w:val="0"/>
                <w:szCs w:val="21"/>
              </w:rPr>
              <w:t>吨油耗气(m</w:t>
            </w:r>
            <w:r>
              <w:rPr>
                <w:snapToGrid w:val="0"/>
                <w:szCs w:val="21"/>
                <w:vertAlign w:val="superscript"/>
              </w:rPr>
              <w:t>3</w:t>
            </w:r>
            <w:r>
              <w:rPr>
                <w:snapToGrid w:val="0"/>
                <w:szCs w:val="21"/>
              </w:rPr>
              <w:t>/t)</w:t>
            </w:r>
          </w:p>
        </w:tc>
        <w:tc>
          <w:tcPr>
            <w:tcW w:w="2410" w:type="dxa"/>
            <w:tcBorders>
              <w:right w:val="single" w:color="auto" w:sz="4" w:space="0"/>
            </w:tcBorders>
            <w:vAlign w:val="center"/>
          </w:tcPr>
          <w:p w14:paraId="25F9F6E4">
            <w:pPr>
              <w:pStyle w:val="518"/>
              <w:rPr>
                <w:snapToGrid w:val="0"/>
                <w:szCs w:val="21"/>
                <w:lang w:eastAsia="zh-CN"/>
              </w:rPr>
            </w:pPr>
            <w:r>
              <w:rPr>
                <w:snapToGrid w:val="0"/>
                <w:szCs w:val="21"/>
              </w:rPr>
              <w:t>≤</w:t>
            </w:r>
            <w:r>
              <w:rPr>
                <w:snapToGrid w:val="0"/>
                <w:szCs w:val="21"/>
                <w:lang w:eastAsia="zh-CN"/>
              </w:rPr>
              <w:t>25</w:t>
            </w:r>
          </w:p>
        </w:tc>
        <w:tc>
          <w:tcPr>
            <w:tcW w:w="2126" w:type="dxa"/>
            <w:tcBorders>
              <w:right w:val="single" w:color="auto" w:sz="4" w:space="0"/>
            </w:tcBorders>
            <w:vAlign w:val="center"/>
          </w:tcPr>
          <w:p w14:paraId="38CC54B5">
            <w:pPr>
              <w:pStyle w:val="518"/>
              <w:rPr>
                <w:snapToGrid w:val="0"/>
                <w:szCs w:val="21"/>
                <w:lang w:eastAsia="zh-CN"/>
              </w:rPr>
            </w:pPr>
            <w:r>
              <w:rPr>
                <w:snapToGrid w:val="0"/>
                <w:szCs w:val="21"/>
                <w:lang w:eastAsia="zh-CN"/>
              </w:rPr>
              <w:t>0.03</w:t>
            </w:r>
          </w:p>
        </w:tc>
        <w:tc>
          <w:tcPr>
            <w:tcW w:w="1276" w:type="dxa"/>
            <w:vAlign w:val="center"/>
          </w:tcPr>
          <w:p w14:paraId="200E633A">
            <w:pPr>
              <w:pStyle w:val="518"/>
              <w:rPr>
                <w:snapToGrid w:val="0"/>
                <w:szCs w:val="21"/>
              </w:rPr>
            </w:pPr>
            <w:r>
              <w:rPr>
                <w:snapToGrid w:val="0"/>
                <w:szCs w:val="21"/>
                <w:lang w:eastAsia="zh-CN"/>
              </w:rPr>
              <w:t>达标</w:t>
            </w:r>
          </w:p>
        </w:tc>
      </w:tr>
      <w:tr w14:paraId="7B4863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18" w:type="dxa"/>
            <w:vAlign w:val="center"/>
          </w:tcPr>
          <w:p w14:paraId="17B8C7B9">
            <w:pPr>
              <w:pStyle w:val="518"/>
              <w:rPr>
                <w:snapToGrid w:val="0"/>
                <w:szCs w:val="21"/>
              </w:rPr>
            </w:pPr>
            <w:r>
              <w:rPr>
                <w:snapToGrid w:val="0"/>
                <w:szCs w:val="21"/>
              </w:rPr>
              <w:t>三</w:t>
            </w:r>
          </w:p>
        </w:tc>
        <w:tc>
          <w:tcPr>
            <w:tcW w:w="1842" w:type="dxa"/>
            <w:vAlign w:val="center"/>
          </w:tcPr>
          <w:p w14:paraId="5838FDA5">
            <w:pPr>
              <w:pStyle w:val="518"/>
              <w:rPr>
                <w:snapToGrid w:val="0"/>
                <w:szCs w:val="21"/>
              </w:rPr>
            </w:pPr>
            <w:r>
              <w:rPr>
                <w:snapToGrid w:val="0"/>
                <w:szCs w:val="21"/>
              </w:rPr>
              <w:t>废物回收利用</w:t>
            </w:r>
          </w:p>
        </w:tc>
        <w:tc>
          <w:tcPr>
            <w:tcW w:w="2410" w:type="dxa"/>
            <w:tcBorders>
              <w:right w:val="single" w:color="auto" w:sz="4" w:space="0"/>
            </w:tcBorders>
            <w:vAlign w:val="center"/>
          </w:tcPr>
          <w:p w14:paraId="0505AA69">
            <w:pPr>
              <w:pStyle w:val="518"/>
              <w:rPr>
                <w:snapToGrid w:val="0"/>
                <w:szCs w:val="21"/>
              </w:rPr>
            </w:pPr>
          </w:p>
        </w:tc>
        <w:tc>
          <w:tcPr>
            <w:tcW w:w="2126" w:type="dxa"/>
            <w:tcBorders>
              <w:right w:val="single" w:color="auto" w:sz="4" w:space="0"/>
            </w:tcBorders>
            <w:vAlign w:val="center"/>
          </w:tcPr>
          <w:p w14:paraId="709C5475">
            <w:pPr>
              <w:pStyle w:val="518"/>
              <w:rPr>
                <w:snapToGrid w:val="0"/>
                <w:szCs w:val="21"/>
              </w:rPr>
            </w:pPr>
          </w:p>
        </w:tc>
        <w:tc>
          <w:tcPr>
            <w:tcW w:w="1276" w:type="dxa"/>
            <w:vAlign w:val="center"/>
          </w:tcPr>
          <w:p w14:paraId="27B36987">
            <w:pPr>
              <w:pStyle w:val="518"/>
              <w:rPr>
                <w:snapToGrid w:val="0"/>
                <w:szCs w:val="21"/>
              </w:rPr>
            </w:pPr>
          </w:p>
        </w:tc>
      </w:tr>
      <w:tr w14:paraId="0E37C4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18" w:type="dxa"/>
            <w:vAlign w:val="center"/>
          </w:tcPr>
          <w:p w14:paraId="7E798644">
            <w:pPr>
              <w:pStyle w:val="518"/>
              <w:rPr>
                <w:snapToGrid w:val="0"/>
                <w:szCs w:val="21"/>
              </w:rPr>
            </w:pPr>
            <w:r>
              <w:rPr>
                <w:snapToGrid w:val="0"/>
                <w:szCs w:val="21"/>
              </w:rPr>
              <w:t>1</w:t>
            </w:r>
          </w:p>
        </w:tc>
        <w:tc>
          <w:tcPr>
            <w:tcW w:w="1842" w:type="dxa"/>
            <w:vAlign w:val="center"/>
          </w:tcPr>
          <w:p w14:paraId="3944AD03">
            <w:pPr>
              <w:pStyle w:val="518"/>
              <w:rPr>
                <w:snapToGrid w:val="0"/>
                <w:szCs w:val="21"/>
              </w:rPr>
            </w:pPr>
            <w:r>
              <w:rPr>
                <w:snapToGrid w:val="0"/>
                <w:szCs w:val="21"/>
              </w:rPr>
              <w:t>落地油回收率</w:t>
            </w:r>
          </w:p>
        </w:tc>
        <w:tc>
          <w:tcPr>
            <w:tcW w:w="2410" w:type="dxa"/>
            <w:tcBorders>
              <w:right w:val="single" w:color="auto" w:sz="4" w:space="0"/>
            </w:tcBorders>
            <w:vAlign w:val="center"/>
          </w:tcPr>
          <w:p w14:paraId="54E0D4F4">
            <w:pPr>
              <w:pStyle w:val="518"/>
              <w:rPr>
                <w:snapToGrid w:val="0"/>
                <w:szCs w:val="21"/>
              </w:rPr>
            </w:pPr>
            <w:r>
              <w:rPr>
                <w:snapToGrid w:val="0"/>
                <w:szCs w:val="21"/>
              </w:rPr>
              <w:t>95%</w:t>
            </w:r>
          </w:p>
        </w:tc>
        <w:tc>
          <w:tcPr>
            <w:tcW w:w="2126" w:type="dxa"/>
            <w:tcBorders>
              <w:right w:val="single" w:color="auto" w:sz="4" w:space="0"/>
            </w:tcBorders>
            <w:vAlign w:val="center"/>
          </w:tcPr>
          <w:p w14:paraId="33D21288">
            <w:pPr>
              <w:pStyle w:val="518"/>
              <w:rPr>
                <w:snapToGrid w:val="0"/>
                <w:szCs w:val="21"/>
              </w:rPr>
            </w:pPr>
            <w:r>
              <w:rPr>
                <w:snapToGrid w:val="0"/>
                <w:szCs w:val="21"/>
              </w:rPr>
              <w:t>≥95%</w:t>
            </w:r>
          </w:p>
        </w:tc>
        <w:tc>
          <w:tcPr>
            <w:tcW w:w="1276" w:type="dxa"/>
            <w:vAlign w:val="center"/>
          </w:tcPr>
          <w:p w14:paraId="0C0FF35A">
            <w:pPr>
              <w:pStyle w:val="518"/>
              <w:rPr>
                <w:snapToGrid w:val="0"/>
                <w:szCs w:val="21"/>
              </w:rPr>
            </w:pPr>
            <w:r>
              <w:rPr>
                <w:snapToGrid w:val="0"/>
                <w:szCs w:val="21"/>
                <w:lang w:eastAsia="zh-CN"/>
              </w:rPr>
              <w:t>达标</w:t>
            </w:r>
          </w:p>
        </w:tc>
      </w:tr>
      <w:tr w14:paraId="52BBC8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18" w:type="dxa"/>
            <w:vAlign w:val="center"/>
          </w:tcPr>
          <w:p w14:paraId="3C67F930">
            <w:pPr>
              <w:pStyle w:val="518"/>
              <w:rPr>
                <w:snapToGrid w:val="0"/>
                <w:szCs w:val="21"/>
              </w:rPr>
            </w:pPr>
            <w:r>
              <w:rPr>
                <w:snapToGrid w:val="0"/>
                <w:szCs w:val="21"/>
              </w:rPr>
              <w:t>2</w:t>
            </w:r>
          </w:p>
        </w:tc>
        <w:tc>
          <w:tcPr>
            <w:tcW w:w="1842" w:type="dxa"/>
            <w:vAlign w:val="center"/>
          </w:tcPr>
          <w:p w14:paraId="7CEE4ABB">
            <w:pPr>
              <w:pStyle w:val="518"/>
              <w:rPr>
                <w:snapToGrid w:val="0"/>
                <w:szCs w:val="21"/>
              </w:rPr>
            </w:pPr>
            <w:r>
              <w:rPr>
                <w:snapToGrid w:val="0"/>
                <w:szCs w:val="21"/>
              </w:rPr>
              <w:t>污水回注率</w:t>
            </w:r>
          </w:p>
        </w:tc>
        <w:tc>
          <w:tcPr>
            <w:tcW w:w="2410" w:type="dxa"/>
            <w:tcBorders>
              <w:right w:val="single" w:color="auto" w:sz="4" w:space="0"/>
            </w:tcBorders>
            <w:vAlign w:val="center"/>
          </w:tcPr>
          <w:p w14:paraId="0D328B46">
            <w:pPr>
              <w:pStyle w:val="518"/>
              <w:rPr>
                <w:snapToGrid w:val="0"/>
                <w:szCs w:val="21"/>
              </w:rPr>
            </w:pPr>
            <w:r>
              <w:rPr>
                <w:snapToGrid w:val="0"/>
                <w:szCs w:val="21"/>
              </w:rPr>
              <w:t>100%</w:t>
            </w:r>
          </w:p>
        </w:tc>
        <w:tc>
          <w:tcPr>
            <w:tcW w:w="2126" w:type="dxa"/>
            <w:tcBorders>
              <w:right w:val="single" w:color="auto" w:sz="4" w:space="0"/>
            </w:tcBorders>
            <w:vAlign w:val="center"/>
          </w:tcPr>
          <w:p w14:paraId="67E534D3">
            <w:pPr>
              <w:pStyle w:val="518"/>
              <w:rPr>
                <w:snapToGrid w:val="0"/>
                <w:szCs w:val="21"/>
              </w:rPr>
            </w:pPr>
            <w:r>
              <w:rPr>
                <w:snapToGrid w:val="0"/>
                <w:szCs w:val="21"/>
              </w:rPr>
              <w:t>100%</w:t>
            </w:r>
          </w:p>
        </w:tc>
        <w:tc>
          <w:tcPr>
            <w:tcW w:w="1276" w:type="dxa"/>
            <w:vAlign w:val="center"/>
          </w:tcPr>
          <w:p w14:paraId="773FA316">
            <w:pPr>
              <w:pStyle w:val="518"/>
              <w:rPr>
                <w:snapToGrid w:val="0"/>
                <w:szCs w:val="21"/>
              </w:rPr>
            </w:pPr>
            <w:r>
              <w:rPr>
                <w:snapToGrid w:val="0"/>
                <w:szCs w:val="21"/>
                <w:lang w:eastAsia="zh-CN"/>
              </w:rPr>
              <w:t>达标</w:t>
            </w:r>
          </w:p>
        </w:tc>
      </w:tr>
      <w:tr w14:paraId="5CD58A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18" w:type="dxa"/>
            <w:vAlign w:val="center"/>
          </w:tcPr>
          <w:p w14:paraId="5F4976CF">
            <w:pPr>
              <w:pStyle w:val="518"/>
              <w:rPr>
                <w:snapToGrid w:val="0"/>
                <w:szCs w:val="21"/>
              </w:rPr>
            </w:pPr>
            <w:r>
              <w:rPr>
                <w:snapToGrid w:val="0"/>
                <w:szCs w:val="21"/>
              </w:rPr>
              <w:t>四</w:t>
            </w:r>
          </w:p>
        </w:tc>
        <w:tc>
          <w:tcPr>
            <w:tcW w:w="1842" w:type="dxa"/>
            <w:vAlign w:val="center"/>
          </w:tcPr>
          <w:p w14:paraId="4AF59D8A">
            <w:pPr>
              <w:pStyle w:val="518"/>
              <w:rPr>
                <w:snapToGrid w:val="0"/>
                <w:szCs w:val="21"/>
              </w:rPr>
            </w:pPr>
            <w:r>
              <w:rPr>
                <w:snapToGrid w:val="0"/>
                <w:szCs w:val="21"/>
              </w:rPr>
              <w:t>产品指标</w:t>
            </w:r>
          </w:p>
        </w:tc>
        <w:tc>
          <w:tcPr>
            <w:tcW w:w="2410" w:type="dxa"/>
            <w:tcBorders>
              <w:right w:val="single" w:color="auto" w:sz="4" w:space="0"/>
            </w:tcBorders>
            <w:vAlign w:val="center"/>
          </w:tcPr>
          <w:p w14:paraId="366C050C">
            <w:pPr>
              <w:pStyle w:val="518"/>
              <w:rPr>
                <w:snapToGrid w:val="0"/>
                <w:szCs w:val="21"/>
              </w:rPr>
            </w:pPr>
          </w:p>
        </w:tc>
        <w:tc>
          <w:tcPr>
            <w:tcW w:w="2126" w:type="dxa"/>
            <w:tcBorders>
              <w:right w:val="single" w:color="auto" w:sz="4" w:space="0"/>
            </w:tcBorders>
            <w:vAlign w:val="center"/>
          </w:tcPr>
          <w:p w14:paraId="2B4C205E">
            <w:pPr>
              <w:pStyle w:val="518"/>
              <w:rPr>
                <w:snapToGrid w:val="0"/>
                <w:szCs w:val="21"/>
              </w:rPr>
            </w:pPr>
          </w:p>
        </w:tc>
        <w:tc>
          <w:tcPr>
            <w:tcW w:w="1276" w:type="dxa"/>
            <w:vAlign w:val="center"/>
          </w:tcPr>
          <w:p w14:paraId="1E97039C">
            <w:pPr>
              <w:pStyle w:val="518"/>
              <w:rPr>
                <w:snapToGrid w:val="0"/>
                <w:szCs w:val="21"/>
              </w:rPr>
            </w:pPr>
          </w:p>
        </w:tc>
      </w:tr>
      <w:tr w14:paraId="1FE0ED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18" w:type="dxa"/>
            <w:vAlign w:val="center"/>
          </w:tcPr>
          <w:p w14:paraId="60A00AF4">
            <w:pPr>
              <w:pStyle w:val="518"/>
              <w:rPr>
                <w:snapToGrid w:val="0"/>
                <w:szCs w:val="21"/>
              </w:rPr>
            </w:pPr>
            <w:r>
              <w:rPr>
                <w:snapToGrid w:val="0"/>
                <w:szCs w:val="21"/>
              </w:rPr>
              <w:t>1</w:t>
            </w:r>
          </w:p>
        </w:tc>
        <w:tc>
          <w:tcPr>
            <w:tcW w:w="1842" w:type="dxa"/>
            <w:vAlign w:val="center"/>
          </w:tcPr>
          <w:p w14:paraId="2490CB80">
            <w:pPr>
              <w:pStyle w:val="518"/>
              <w:rPr>
                <w:snapToGrid w:val="0"/>
                <w:szCs w:val="21"/>
              </w:rPr>
            </w:pPr>
            <w:r>
              <w:rPr>
                <w:snapToGrid w:val="0"/>
                <w:szCs w:val="21"/>
              </w:rPr>
              <w:t>外输原油含水率</w:t>
            </w:r>
          </w:p>
        </w:tc>
        <w:tc>
          <w:tcPr>
            <w:tcW w:w="2410" w:type="dxa"/>
            <w:tcBorders>
              <w:right w:val="single" w:color="auto" w:sz="4" w:space="0"/>
            </w:tcBorders>
            <w:vAlign w:val="center"/>
          </w:tcPr>
          <w:p w14:paraId="60A6F826">
            <w:pPr>
              <w:pStyle w:val="518"/>
              <w:rPr>
                <w:snapToGrid w:val="0"/>
                <w:szCs w:val="21"/>
              </w:rPr>
            </w:pPr>
            <w:r>
              <w:rPr>
                <w:snapToGrid w:val="0"/>
                <w:szCs w:val="21"/>
              </w:rPr>
              <w:t>≤0.5%</w:t>
            </w:r>
          </w:p>
        </w:tc>
        <w:tc>
          <w:tcPr>
            <w:tcW w:w="2126" w:type="dxa"/>
            <w:tcBorders>
              <w:right w:val="single" w:color="auto" w:sz="4" w:space="0"/>
            </w:tcBorders>
            <w:vAlign w:val="center"/>
          </w:tcPr>
          <w:p w14:paraId="6A7194FD">
            <w:pPr>
              <w:pStyle w:val="518"/>
              <w:rPr>
                <w:snapToGrid w:val="0"/>
                <w:szCs w:val="21"/>
              </w:rPr>
            </w:pPr>
            <w:r>
              <w:rPr>
                <w:snapToGrid w:val="0"/>
                <w:szCs w:val="21"/>
              </w:rPr>
              <w:t>0.3%</w:t>
            </w:r>
          </w:p>
        </w:tc>
        <w:tc>
          <w:tcPr>
            <w:tcW w:w="1276" w:type="dxa"/>
            <w:vAlign w:val="center"/>
          </w:tcPr>
          <w:p w14:paraId="3462BED1">
            <w:pPr>
              <w:pStyle w:val="518"/>
              <w:rPr>
                <w:snapToGrid w:val="0"/>
                <w:szCs w:val="21"/>
              </w:rPr>
            </w:pPr>
            <w:r>
              <w:rPr>
                <w:snapToGrid w:val="0"/>
                <w:szCs w:val="21"/>
                <w:lang w:eastAsia="zh-CN"/>
              </w:rPr>
              <w:t>达标</w:t>
            </w:r>
          </w:p>
        </w:tc>
      </w:tr>
      <w:tr w14:paraId="79C06A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18" w:type="dxa"/>
            <w:vAlign w:val="center"/>
          </w:tcPr>
          <w:p w14:paraId="5F52F798">
            <w:pPr>
              <w:pStyle w:val="518"/>
              <w:rPr>
                <w:snapToGrid w:val="0"/>
                <w:szCs w:val="21"/>
              </w:rPr>
            </w:pPr>
            <w:r>
              <w:rPr>
                <w:snapToGrid w:val="0"/>
                <w:szCs w:val="21"/>
              </w:rPr>
              <w:t>2</w:t>
            </w:r>
          </w:p>
        </w:tc>
        <w:tc>
          <w:tcPr>
            <w:tcW w:w="1842" w:type="dxa"/>
            <w:vAlign w:val="center"/>
          </w:tcPr>
          <w:p w14:paraId="6CC62282">
            <w:pPr>
              <w:pStyle w:val="518"/>
              <w:rPr>
                <w:snapToGrid w:val="0"/>
                <w:szCs w:val="21"/>
              </w:rPr>
            </w:pPr>
            <w:r>
              <w:rPr>
                <w:snapToGrid w:val="0"/>
                <w:szCs w:val="21"/>
              </w:rPr>
              <w:t>原油商品率</w:t>
            </w:r>
          </w:p>
        </w:tc>
        <w:tc>
          <w:tcPr>
            <w:tcW w:w="2410" w:type="dxa"/>
            <w:tcBorders>
              <w:right w:val="single" w:color="auto" w:sz="4" w:space="0"/>
            </w:tcBorders>
            <w:vAlign w:val="center"/>
          </w:tcPr>
          <w:p w14:paraId="315F3892">
            <w:pPr>
              <w:pStyle w:val="518"/>
              <w:rPr>
                <w:snapToGrid w:val="0"/>
                <w:szCs w:val="21"/>
              </w:rPr>
            </w:pPr>
            <w:r>
              <w:rPr>
                <w:snapToGrid w:val="0"/>
                <w:szCs w:val="21"/>
              </w:rPr>
              <w:t>≥</w:t>
            </w:r>
            <w:r>
              <w:rPr>
                <w:snapToGrid w:val="0"/>
                <w:szCs w:val="21"/>
                <w:lang w:eastAsia="zh-CN"/>
              </w:rPr>
              <w:t>99</w:t>
            </w:r>
            <w:r>
              <w:rPr>
                <w:snapToGrid w:val="0"/>
                <w:szCs w:val="21"/>
              </w:rPr>
              <w:t>%</w:t>
            </w:r>
          </w:p>
        </w:tc>
        <w:tc>
          <w:tcPr>
            <w:tcW w:w="2126" w:type="dxa"/>
            <w:tcBorders>
              <w:right w:val="single" w:color="auto" w:sz="4" w:space="0"/>
            </w:tcBorders>
            <w:vAlign w:val="center"/>
          </w:tcPr>
          <w:p w14:paraId="4C89C56C">
            <w:pPr>
              <w:pStyle w:val="518"/>
              <w:rPr>
                <w:snapToGrid w:val="0"/>
                <w:szCs w:val="21"/>
              </w:rPr>
            </w:pPr>
            <w:r>
              <w:rPr>
                <w:snapToGrid w:val="0"/>
                <w:szCs w:val="21"/>
              </w:rPr>
              <w:t>99.</w:t>
            </w:r>
            <w:r>
              <w:rPr>
                <w:snapToGrid w:val="0"/>
                <w:szCs w:val="21"/>
                <w:lang w:eastAsia="zh-CN"/>
              </w:rPr>
              <w:t>99</w:t>
            </w:r>
            <w:r>
              <w:rPr>
                <w:snapToGrid w:val="0"/>
                <w:szCs w:val="21"/>
              </w:rPr>
              <w:t>%</w:t>
            </w:r>
          </w:p>
        </w:tc>
        <w:tc>
          <w:tcPr>
            <w:tcW w:w="1276" w:type="dxa"/>
            <w:vAlign w:val="center"/>
          </w:tcPr>
          <w:p w14:paraId="798836E0">
            <w:pPr>
              <w:pStyle w:val="518"/>
              <w:rPr>
                <w:snapToGrid w:val="0"/>
                <w:szCs w:val="21"/>
              </w:rPr>
            </w:pPr>
            <w:r>
              <w:rPr>
                <w:snapToGrid w:val="0"/>
                <w:szCs w:val="21"/>
                <w:lang w:eastAsia="zh-CN"/>
              </w:rPr>
              <w:t>达标</w:t>
            </w:r>
          </w:p>
        </w:tc>
      </w:tr>
      <w:tr w14:paraId="62A4CB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18" w:type="dxa"/>
            <w:vAlign w:val="center"/>
          </w:tcPr>
          <w:p w14:paraId="54872AFC">
            <w:pPr>
              <w:pStyle w:val="518"/>
              <w:rPr>
                <w:snapToGrid w:val="0"/>
                <w:szCs w:val="21"/>
              </w:rPr>
            </w:pPr>
            <w:r>
              <w:rPr>
                <w:snapToGrid w:val="0"/>
                <w:szCs w:val="21"/>
              </w:rPr>
              <w:t>五</w:t>
            </w:r>
          </w:p>
        </w:tc>
        <w:tc>
          <w:tcPr>
            <w:tcW w:w="1842" w:type="dxa"/>
            <w:vAlign w:val="center"/>
          </w:tcPr>
          <w:p w14:paraId="134688E9">
            <w:pPr>
              <w:pStyle w:val="518"/>
              <w:rPr>
                <w:snapToGrid w:val="0"/>
                <w:szCs w:val="21"/>
              </w:rPr>
            </w:pPr>
            <w:r>
              <w:rPr>
                <w:snapToGrid w:val="0"/>
                <w:szCs w:val="21"/>
              </w:rPr>
              <w:t>环境管理</w:t>
            </w:r>
          </w:p>
        </w:tc>
        <w:tc>
          <w:tcPr>
            <w:tcW w:w="2410" w:type="dxa"/>
            <w:tcBorders>
              <w:right w:val="single" w:color="auto" w:sz="4" w:space="0"/>
            </w:tcBorders>
            <w:vAlign w:val="center"/>
          </w:tcPr>
          <w:p w14:paraId="0DF31522">
            <w:pPr>
              <w:pStyle w:val="518"/>
              <w:rPr>
                <w:snapToGrid w:val="0"/>
                <w:szCs w:val="21"/>
              </w:rPr>
            </w:pPr>
          </w:p>
        </w:tc>
        <w:tc>
          <w:tcPr>
            <w:tcW w:w="2126" w:type="dxa"/>
            <w:tcBorders>
              <w:right w:val="single" w:color="auto" w:sz="4" w:space="0"/>
            </w:tcBorders>
            <w:vAlign w:val="center"/>
          </w:tcPr>
          <w:p w14:paraId="4506C4F6">
            <w:pPr>
              <w:pStyle w:val="518"/>
              <w:rPr>
                <w:snapToGrid w:val="0"/>
                <w:szCs w:val="21"/>
              </w:rPr>
            </w:pPr>
          </w:p>
        </w:tc>
        <w:tc>
          <w:tcPr>
            <w:tcW w:w="1276" w:type="dxa"/>
            <w:vAlign w:val="center"/>
          </w:tcPr>
          <w:p w14:paraId="51973EA6">
            <w:pPr>
              <w:pStyle w:val="518"/>
              <w:rPr>
                <w:snapToGrid w:val="0"/>
                <w:szCs w:val="21"/>
              </w:rPr>
            </w:pPr>
          </w:p>
        </w:tc>
      </w:tr>
      <w:tr w14:paraId="708FAB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18" w:type="dxa"/>
            <w:vAlign w:val="center"/>
          </w:tcPr>
          <w:p w14:paraId="5092ACDB">
            <w:pPr>
              <w:pStyle w:val="518"/>
              <w:rPr>
                <w:snapToGrid w:val="0"/>
                <w:szCs w:val="21"/>
              </w:rPr>
            </w:pPr>
            <w:r>
              <w:rPr>
                <w:snapToGrid w:val="0"/>
                <w:szCs w:val="21"/>
              </w:rPr>
              <w:t>1</w:t>
            </w:r>
          </w:p>
        </w:tc>
        <w:tc>
          <w:tcPr>
            <w:tcW w:w="1842" w:type="dxa"/>
            <w:vAlign w:val="center"/>
          </w:tcPr>
          <w:p w14:paraId="5E94A1F9">
            <w:pPr>
              <w:pStyle w:val="518"/>
              <w:rPr>
                <w:snapToGrid w:val="0"/>
                <w:szCs w:val="21"/>
              </w:rPr>
            </w:pPr>
            <w:r>
              <w:rPr>
                <w:snapToGrid w:val="0"/>
                <w:szCs w:val="21"/>
              </w:rPr>
              <w:t>大气污染物排放</w:t>
            </w:r>
          </w:p>
        </w:tc>
        <w:tc>
          <w:tcPr>
            <w:tcW w:w="2410" w:type="dxa"/>
            <w:tcBorders>
              <w:right w:val="single" w:color="auto" w:sz="4" w:space="0"/>
            </w:tcBorders>
            <w:vAlign w:val="center"/>
          </w:tcPr>
          <w:p w14:paraId="3F24FDF4">
            <w:pPr>
              <w:pStyle w:val="518"/>
              <w:rPr>
                <w:snapToGrid w:val="0"/>
                <w:szCs w:val="21"/>
              </w:rPr>
            </w:pPr>
            <w:r>
              <w:rPr>
                <w:snapToGrid w:val="0"/>
                <w:szCs w:val="21"/>
              </w:rPr>
              <w:t>达标</w:t>
            </w:r>
          </w:p>
        </w:tc>
        <w:tc>
          <w:tcPr>
            <w:tcW w:w="2126" w:type="dxa"/>
            <w:tcBorders>
              <w:right w:val="single" w:color="auto" w:sz="4" w:space="0"/>
            </w:tcBorders>
            <w:vAlign w:val="center"/>
          </w:tcPr>
          <w:p w14:paraId="6E7D885E">
            <w:pPr>
              <w:pStyle w:val="518"/>
              <w:rPr>
                <w:snapToGrid w:val="0"/>
                <w:szCs w:val="21"/>
              </w:rPr>
            </w:pPr>
            <w:r>
              <w:rPr>
                <w:snapToGrid w:val="0"/>
                <w:szCs w:val="21"/>
              </w:rPr>
              <w:t>达标</w:t>
            </w:r>
          </w:p>
        </w:tc>
        <w:tc>
          <w:tcPr>
            <w:tcW w:w="1276" w:type="dxa"/>
            <w:vAlign w:val="center"/>
          </w:tcPr>
          <w:p w14:paraId="29DC1C33">
            <w:pPr>
              <w:pStyle w:val="518"/>
              <w:rPr>
                <w:snapToGrid w:val="0"/>
                <w:szCs w:val="21"/>
              </w:rPr>
            </w:pPr>
            <w:r>
              <w:rPr>
                <w:snapToGrid w:val="0"/>
                <w:szCs w:val="21"/>
                <w:lang w:eastAsia="zh-CN"/>
              </w:rPr>
              <w:t>达标</w:t>
            </w:r>
          </w:p>
        </w:tc>
      </w:tr>
      <w:tr w14:paraId="28F0DD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18" w:type="dxa"/>
            <w:vAlign w:val="center"/>
          </w:tcPr>
          <w:p w14:paraId="768DB622">
            <w:pPr>
              <w:pStyle w:val="518"/>
              <w:rPr>
                <w:snapToGrid w:val="0"/>
                <w:szCs w:val="21"/>
              </w:rPr>
            </w:pPr>
            <w:r>
              <w:rPr>
                <w:snapToGrid w:val="0"/>
                <w:szCs w:val="21"/>
              </w:rPr>
              <w:t>2</w:t>
            </w:r>
          </w:p>
        </w:tc>
        <w:tc>
          <w:tcPr>
            <w:tcW w:w="1842" w:type="dxa"/>
            <w:vAlign w:val="center"/>
          </w:tcPr>
          <w:p w14:paraId="1F2B9DB7">
            <w:pPr>
              <w:pStyle w:val="518"/>
              <w:rPr>
                <w:snapToGrid w:val="0"/>
                <w:szCs w:val="21"/>
              </w:rPr>
            </w:pPr>
            <w:r>
              <w:rPr>
                <w:snapToGrid w:val="0"/>
                <w:szCs w:val="21"/>
              </w:rPr>
              <w:t>含油污泥暂存</w:t>
            </w:r>
          </w:p>
        </w:tc>
        <w:tc>
          <w:tcPr>
            <w:tcW w:w="2410" w:type="dxa"/>
            <w:tcBorders>
              <w:right w:val="single" w:color="auto" w:sz="4" w:space="0"/>
            </w:tcBorders>
            <w:vAlign w:val="center"/>
          </w:tcPr>
          <w:p w14:paraId="64AF8AED">
            <w:pPr>
              <w:pStyle w:val="518"/>
              <w:rPr>
                <w:snapToGrid w:val="0"/>
                <w:szCs w:val="21"/>
              </w:rPr>
            </w:pPr>
            <w:r>
              <w:rPr>
                <w:snapToGrid w:val="0"/>
                <w:szCs w:val="21"/>
              </w:rPr>
              <w:t>满足GB18597-2001要求</w:t>
            </w:r>
          </w:p>
        </w:tc>
        <w:tc>
          <w:tcPr>
            <w:tcW w:w="2126" w:type="dxa"/>
            <w:tcBorders>
              <w:right w:val="single" w:color="auto" w:sz="4" w:space="0"/>
            </w:tcBorders>
            <w:vAlign w:val="center"/>
          </w:tcPr>
          <w:p w14:paraId="16225547">
            <w:pPr>
              <w:pStyle w:val="518"/>
              <w:rPr>
                <w:snapToGrid w:val="0"/>
                <w:szCs w:val="21"/>
                <w:lang w:eastAsia="zh-CN"/>
              </w:rPr>
            </w:pPr>
            <w:r>
              <w:rPr>
                <w:snapToGrid w:val="0"/>
                <w:szCs w:val="21"/>
              </w:rPr>
              <w:t>满足GB18597-2001</w:t>
            </w:r>
          </w:p>
          <w:p w14:paraId="17F8D950">
            <w:pPr>
              <w:pStyle w:val="518"/>
              <w:rPr>
                <w:snapToGrid w:val="0"/>
                <w:szCs w:val="21"/>
              </w:rPr>
            </w:pPr>
            <w:r>
              <w:rPr>
                <w:snapToGrid w:val="0"/>
                <w:szCs w:val="21"/>
              </w:rPr>
              <w:t>要求</w:t>
            </w:r>
          </w:p>
        </w:tc>
        <w:tc>
          <w:tcPr>
            <w:tcW w:w="1276" w:type="dxa"/>
            <w:vAlign w:val="center"/>
          </w:tcPr>
          <w:p w14:paraId="2C971EE4">
            <w:pPr>
              <w:pStyle w:val="518"/>
              <w:rPr>
                <w:snapToGrid w:val="0"/>
                <w:szCs w:val="21"/>
              </w:rPr>
            </w:pPr>
            <w:r>
              <w:rPr>
                <w:snapToGrid w:val="0"/>
                <w:szCs w:val="21"/>
                <w:lang w:eastAsia="zh-CN"/>
              </w:rPr>
              <w:t>达标</w:t>
            </w:r>
          </w:p>
        </w:tc>
      </w:tr>
    </w:tbl>
    <w:p w14:paraId="02B670E5">
      <w:pPr>
        <w:ind w:firstLine="480"/>
        <w:rPr>
          <w:rFonts w:asciiTheme="minorEastAsia" w:hAnsiTheme="minorEastAsia" w:eastAsiaTheme="minorEastAsia"/>
          <w:snapToGrid w:val="0"/>
          <w:lang w:eastAsia="zh-CN"/>
        </w:rPr>
      </w:pPr>
      <w:r>
        <w:rPr>
          <w:rFonts w:asciiTheme="minorEastAsia" w:hAnsiTheme="minorEastAsia" w:eastAsiaTheme="minorEastAsia"/>
          <w:snapToGrid w:val="0"/>
          <w:lang w:eastAsia="zh-CN"/>
        </w:rPr>
        <w:t>从表中所列数据可以看出，</w:t>
      </w:r>
      <w:r>
        <w:rPr>
          <w:rFonts w:hint="eastAsia" w:asciiTheme="minorEastAsia" w:hAnsiTheme="minorEastAsia" w:eastAsiaTheme="minorEastAsia"/>
          <w:snapToGrid w:val="0"/>
          <w:lang w:eastAsia="zh-CN"/>
        </w:rPr>
        <w:t>乌里亚斯太油田</w:t>
      </w:r>
      <w:r>
        <w:rPr>
          <w:rFonts w:asciiTheme="minorEastAsia" w:hAnsiTheme="minorEastAsia" w:eastAsiaTheme="minorEastAsia"/>
          <w:snapToGrid w:val="0"/>
          <w:lang w:eastAsia="zh-CN"/>
        </w:rPr>
        <w:t>污水回注率、落地油回收率、原油集输损耗率、吨油耗气等技术指标均低于于阿尔善油田生产能耗控制指标，说明本</w:t>
      </w:r>
      <w:r>
        <w:rPr>
          <w:rFonts w:hint="eastAsia" w:asciiTheme="minorEastAsia" w:hAnsiTheme="minorEastAsia" w:eastAsiaTheme="minorEastAsia"/>
          <w:snapToGrid w:val="0"/>
          <w:lang w:eastAsia="zh-CN"/>
        </w:rPr>
        <w:t>油田</w:t>
      </w:r>
      <w:r>
        <w:rPr>
          <w:rFonts w:asciiTheme="minorEastAsia" w:hAnsiTheme="minorEastAsia" w:eastAsiaTheme="minorEastAsia"/>
          <w:snapToGrid w:val="0"/>
          <w:lang w:eastAsia="zh-CN"/>
        </w:rPr>
        <w:t>的清洁生产水平达到国内清洁生产基本水平，清洁生产水平较好。</w:t>
      </w:r>
    </w:p>
    <w:p w14:paraId="42DB273D">
      <w:pPr>
        <w:pStyle w:val="4"/>
        <w:rPr>
          <w:lang w:eastAsia="zh-CN"/>
        </w:rPr>
      </w:pPr>
      <w:bookmarkStart w:id="875" w:name="_Toc75600536"/>
      <w:bookmarkStart w:id="876" w:name="_Toc78775146"/>
      <w:bookmarkStart w:id="877" w:name="_Toc77923878"/>
      <w:bookmarkStart w:id="878" w:name="_Toc408414085"/>
      <w:bookmarkStart w:id="879" w:name="_Toc189535415"/>
      <w:bookmarkStart w:id="880" w:name="_Toc248649425"/>
      <w:bookmarkStart w:id="881" w:name="_Toc109128005"/>
      <w:bookmarkStart w:id="882" w:name="_Toc75599574"/>
      <w:r>
        <w:rPr>
          <w:lang w:eastAsia="zh-CN"/>
        </w:rPr>
        <w:t>12.1.4循环经济分析</w:t>
      </w:r>
      <w:bookmarkEnd w:id="875"/>
      <w:bookmarkEnd w:id="876"/>
      <w:bookmarkEnd w:id="877"/>
      <w:bookmarkEnd w:id="878"/>
      <w:bookmarkEnd w:id="879"/>
      <w:bookmarkEnd w:id="880"/>
      <w:bookmarkEnd w:id="881"/>
      <w:bookmarkEnd w:id="882"/>
    </w:p>
    <w:p w14:paraId="37010B92">
      <w:pPr>
        <w:ind w:firstLine="480"/>
        <w:rPr>
          <w:rFonts w:asciiTheme="minorEastAsia" w:hAnsiTheme="minorEastAsia" w:eastAsiaTheme="minorEastAsia"/>
          <w:snapToGrid w:val="0"/>
          <w:lang w:eastAsia="zh-CN"/>
        </w:rPr>
      </w:pPr>
      <w:bookmarkStart w:id="883" w:name="_Toc77923879"/>
      <w:bookmarkStart w:id="884" w:name="_Toc78775147"/>
      <w:r>
        <w:rPr>
          <w:rFonts w:asciiTheme="minorEastAsia" w:hAnsiTheme="minorEastAsia" w:eastAsiaTheme="minorEastAsia"/>
          <w:snapToGrid w:val="0"/>
          <w:lang w:eastAsia="zh-CN"/>
        </w:rPr>
        <w:t>1、含油污水</w:t>
      </w:r>
      <w:bookmarkEnd w:id="883"/>
      <w:bookmarkEnd w:id="884"/>
    </w:p>
    <w:p w14:paraId="299968BA">
      <w:pPr>
        <w:ind w:firstLine="480"/>
        <w:rPr>
          <w:rFonts w:asciiTheme="minorEastAsia" w:hAnsiTheme="minorEastAsia" w:eastAsiaTheme="minorEastAsia"/>
          <w:snapToGrid w:val="0"/>
          <w:lang w:eastAsia="zh-CN"/>
        </w:rPr>
      </w:pPr>
      <w:r>
        <w:rPr>
          <w:rFonts w:hint="eastAsia" w:asciiTheme="minorEastAsia" w:hAnsiTheme="minorEastAsia" w:eastAsiaTheme="minorEastAsia"/>
          <w:snapToGrid w:val="0"/>
          <w:lang w:eastAsia="zh-CN"/>
        </w:rPr>
        <w:t>（1）</w:t>
      </w:r>
      <w:r>
        <w:rPr>
          <w:rFonts w:asciiTheme="minorEastAsia" w:hAnsiTheme="minorEastAsia" w:eastAsiaTheme="minorEastAsia"/>
          <w:snapToGrid w:val="0"/>
          <w:lang w:eastAsia="zh-CN"/>
        </w:rPr>
        <w:t>油田采出水</w:t>
      </w:r>
    </w:p>
    <w:p w14:paraId="244F2147">
      <w:pPr>
        <w:ind w:firstLine="480"/>
        <w:rPr>
          <w:rFonts w:asciiTheme="minorEastAsia" w:hAnsiTheme="minorEastAsia" w:eastAsiaTheme="minorEastAsia"/>
          <w:snapToGrid w:val="0"/>
          <w:lang w:eastAsia="zh-CN"/>
        </w:rPr>
      </w:pPr>
      <w:r>
        <w:rPr>
          <w:rFonts w:asciiTheme="minorEastAsia" w:hAnsiTheme="minorEastAsia" w:eastAsiaTheme="minorEastAsia"/>
          <w:snapToGrid w:val="0"/>
          <w:lang w:eastAsia="zh-CN"/>
        </w:rPr>
        <w:t>本</w:t>
      </w:r>
      <w:r>
        <w:rPr>
          <w:rFonts w:hint="eastAsia" w:asciiTheme="minorEastAsia" w:hAnsiTheme="minorEastAsia" w:eastAsiaTheme="minorEastAsia"/>
          <w:snapToGrid w:val="0"/>
          <w:lang w:eastAsia="zh-CN"/>
        </w:rPr>
        <w:t>油田</w:t>
      </w:r>
      <w:r>
        <w:rPr>
          <w:rFonts w:asciiTheme="minorEastAsia" w:hAnsiTheme="minorEastAsia" w:eastAsiaTheme="minorEastAsia"/>
          <w:snapToGrid w:val="0"/>
          <w:lang w:eastAsia="zh-CN"/>
        </w:rPr>
        <w:t>所产含油污水全部至联合站污水处理系统，经处理</w:t>
      </w:r>
      <w:r>
        <w:rPr>
          <w:rFonts w:hint="eastAsia" w:asciiTheme="minorEastAsia" w:hAnsiTheme="minorEastAsia" w:eastAsiaTheme="minorEastAsia"/>
          <w:snapToGrid w:val="0"/>
          <w:lang w:eastAsia="zh-CN"/>
        </w:rPr>
        <w:t>达标</w:t>
      </w:r>
      <w:r>
        <w:rPr>
          <w:rFonts w:asciiTheme="minorEastAsia" w:hAnsiTheme="minorEastAsia" w:eastAsiaTheme="minorEastAsia"/>
          <w:snapToGrid w:val="0"/>
          <w:lang w:eastAsia="zh-CN"/>
        </w:rPr>
        <w:t>后回注地下，增加地层能量，驱替油气，循环利用。</w:t>
      </w:r>
    </w:p>
    <w:p w14:paraId="487C44A1">
      <w:pPr>
        <w:ind w:firstLine="480"/>
        <w:outlineLvl w:val="0"/>
        <w:rPr>
          <w:rFonts w:asciiTheme="minorEastAsia" w:hAnsiTheme="minorEastAsia" w:eastAsiaTheme="minorEastAsia"/>
          <w:snapToGrid w:val="0"/>
          <w:lang w:eastAsia="zh-CN"/>
        </w:rPr>
      </w:pPr>
      <w:r>
        <w:rPr>
          <w:rFonts w:hint="eastAsia" w:asciiTheme="minorEastAsia" w:hAnsiTheme="minorEastAsia" w:eastAsiaTheme="minorEastAsia"/>
          <w:snapToGrid w:val="0"/>
          <w:lang w:eastAsia="zh-CN"/>
        </w:rPr>
        <w:t>（2）</w:t>
      </w:r>
      <w:r>
        <w:rPr>
          <w:rFonts w:asciiTheme="minorEastAsia" w:hAnsiTheme="minorEastAsia" w:eastAsiaTheme="minorEastAsia"/>
          <w:snapToGrid w:val="0"/>
          <w:lang w:eastAsia="zh-CN"/>
        </w:rPr>
        <w:t>洗井污水</w:t>
      </w:r>
    </w:p>
    <w:p w14:paraId="36D46028">
      <w:pPr>
        <w:ind w:firstLine="480"/>
        <w:rPr>
          <w:rFonts w:asciiTheme="minorEastAsia" w:hAnsiTheme="minorEastAsia" w:eastAsiaTheme="minorEastAsia"/>
          <w:snapToGrid w:val="0"/>
          <w:lang w:eastAsia="zh-CN"/>
        </w:rPr>
      </w:pPr>
      <w:r>
        <w:rPr>
          <w:rFonts w:asciiTheme="minorEastAsia" w:hAnsiTheme="minorEastAsia" w:eastAsiaTheme="minorEastAsia"/>
          <w:snapToGrid w:val="0"/>
          <w:lang w:eastAsia="zh-CN"/>
        </w:rPr>
        <w:t>本</w:t>
      </w:r>
      <w:r>
        <w:rPr>
          <w:rFonts w:hint="eastAsia" w:asciiTheme="minorEastAsia" w:hAnsiTheme="minorEastAsia" w:eastAsiaTheme="minorEastAsia"/>
          <w:snapToGrid w:val="0"/>
          <w:lang w:eastAsia="zh-CN"/>
        </w:rPr>
        <w:t>油田</w:t>
      </w:r>
      <w:r>
        <w:rPr>
          <w:rFonts w:asciiTheme="minorEastAsia" w:hAnsiTheme="minorEastAsia" w:eastAsiaTheme="minorEastAsia"/>
          <w:snapToGrid w:val="0"/>
          <w:lang w:eastAsia="zh-CN"/>
        </w:rPr>
        <w:t>油井采用作业车进行洗井，洗井水进入集油系统；注水井采用移动式洗井装置罐车拉运至联合站污水处理系统进行处理，</w:t>
      </w:r>
      <w:r>
        <w:rPr>
          <w:rFonts w:hint="eastAsia" w:asciiTheme="minorEastAsia" w:hAnsiTheme="minorEastAsia" w:eastAsiaTheme="minorEastAsia"/>
          <w:snapToGrid w:val="0"/>
          <w:lang w:eastAsia="zh-CN"/>
        </w:rPr>
        <w:t>达标后注入地下</w:t>
      </w:r>
      <w:r>
        <w:rPr>
          <w:rFonts w:asciiTheme="minorEastAsia" w:hAnsiTheme="minorEastAsia" w:eastAsiaTheme="minorEastAsia"/>
          <w:snapToGrid w:val="0"/>
          <w:lang w:eastAsia="zh-CN"/>
        </w:rPr>
        <w:t>。</w:t>
      </w:r>
    </w:p>
    <w:p w14:paraId="5105DC09">
      <w:pPr>
        <w:ind w:firstLine="480"/>
        <w:outlineLvl w:val="0"/>
        <w:rPr>
          <w:rFonts w:asciiTheme="minorEastAsia" w:hAnsiTheme="minorEastAsia" w:eastAsiaTheme="minorEastAsia"/>
          <w:snapToGrid w:val="0"/>
          <w:lang w:eastAsia="zh-CN"/>
        </w:rPr>
      </w:pPr>
      <w:r>
        <w:rPr>
          <w:rFonts w:hint="eastAsia" w:asciiTheme="minorEastAsia" w:hAnsiTheme="minorEastAsia" w:eastAsiaTheme="minorEastAsia"/>
          <w:snapToGrid w:val="0"/>
          <w:lang w:eastAsia="zh-CN"/>
        </w:rPr>
        <w:t>（3）</w:t>
      </w:r>
      <w:r>
        <w:rPr>
          <w:rFonts w:asciiTheme="minorEastAsia" w:hAnsiTheme="minorEastAsia" w:eastAsiaTheme="minorEastAsia"/>
          <w:snapToGrid w:val="0"/>
          <w:lang w:eastAsia="zh-CN"/>
        </w:rPr>
        <w:t>修井污水</w:t>
      </w:r>
    </w:p>
    <w:p w14:paraId="40878F60">
      <w:pPr>
        <w:ind w:firstLine="480"/>
        <w:rPr>
          <w:rFonts w:asciiTheme="minorEastAsia" w:hAnsiTheme="minorEastAsia" w:eastAsiaTheme="minorEastAsia"/>
          <w:snapToGrid w:val="0"/>
          <w:lang w:eastAsia="zh-CN"/>
        </w:rPr>
      </w:pPr>
      <w:bookmarkStart w:id="885" w:name="_Toc78775148"/>
      <w:bookmarkStart w:id="886" w:name="_Toc77923880"/>
      <w:r>
        <w:rPr>
          <w:rFonts w:hint="eastAsia" w:asciiTheme="minorEastAsia" w:hAnsiTheme="minorEastAsia" w:eastAsiaTheme="minorEastAsia"/>
          <w:snapToGrid w:val="0"/>
          <w:lang w:eastAsia="zh-CN"/>
        </w:rPr>
        <w:t>修井作业</w:t>
      </w:r>
      <w:r>
        <w:rPr>
          <w:rFonts w:asciiTheme="minorEastAsia" w:hAnsiTheme="minorEastAsia" w:eastAsiaTheme="minorEastAsia"/>
          <w:snapToGrid w:val="0"/>
          <w:lang w:eastAsia="zh-CN"/>
        </w:rPr>
        <w:t>全部带罐作业，作业过程产生的含油污水通过污水回收装置全部回收进入集输系统或通过罐车拉运至雅斯联合站污水处理系统处理。</w:t>
      </w:r>
    </w:p>
    <w:bookmarkEnd w:id="885"/>
    <w:bookmarkEnd w:id="886"/>
    <w:p w14:paraId="5715ECC7">
      <w:pPr>
        <w:ind w:firstLine="480"/>
        <w:outlineLvl w:val="0"/>
        <w:rPr>
          <w:rFonts w:asciiTheme="minorEastAsia" w:hAnsiTheme="minorEastAsia" w:eastAsiaTheme="minorEastAsia"/>
          <w:snapToGrid w:val="0"/>
          <w:lang w:eastAsia="zh-CN"/>
        </w:rPr>
      </w:pPr>
      <w:bookmarkStart w:id="887" w:name="_Toc78775149"/>
      <w:bookmarkStart w:id="888" w:name="_Toc77923881"/>
      <w:bookmarkStart w:id="889" w:name="_Toc75600538"/>
      <w:bookmarkStart w:id="890" w:name="_Toc75658955"/>
      <w:r>
        <w:rPr>
          <w:rFonts w:asciiTheme="minorEastAsia" w:hAnsiTheme="minorEastAsia" w:eastAsiaTheme="minorEastAsia"/>
          <w:snapToGrid w:val="0"/>
          <w:lang w:eastAsia="zh-CN"/>
        </w:rPr>
        <w:t>2、废气</w:t>
      </w:r>
      <w:bookmarkEnd w:id="887"/>
      <w:bookmarkEnd w:id="888"/>
      <w:bookmarkEnd w:id="889"/>
      <w:bookmarkEnd w:id="890"/>
    </w:p>
    <w:p w14:paraId="702F23F5">
      <w:pPr>
        <w:ind w:firstLine="480"/>
        <w:rPr>
          <w:rFonts w:asciiTheme="minorEastAsia" w:hAnsiTheme="minorEastAsia" w:eastAsiaTheme="minorEastAsia"/>
          <w:snapToGrid w:val="0"/>
          <w:lang w:eastAsia="zh-CN"/>
        </w:rPr>
      </w:pPr>
      <w:r>
        <w:rPr>
          <w:rFonts w:hint="eastAsia" w:asciiTheme="minorEastAsia" w:hAnsiTheme="minorEastAsia" w:eastAsiaTheme="minorEastAsia"/>
          <w:snapToGrid w:val="0"/>
          <w:lang w:eastAsia="zh-CN"/>
        </w:rPr>
        <w:t>（1）油田采用加热炉加热和燃气发电机组发电，余热回收利用，</w:t>
      </w:r>
      <w:r>
        <w:rPr>
          <w:rFonts w:asciiTheme="minorEastAsia" w:hAnsiTheme="minorEastAsia" w:eastAsiaTheme="minorEastAsia"/>
          <w:snapToGrid w:val="0"/>
          <w:lang w:eastAsia="zh-CN"/>
        </w:rPr>
        <w:t>所有加热装置的燃料为天然气，属清洁能源，大气污染物达标排放。集输工艺采用密闭流程，烃类气体泄漏量较少。</w:t>
      </w:r>
    </w:p>
    <w:p w14:paraId="45F9BD1C">
      <w:pPr>
        <w:ind w:firstLine="480"/>
        <w:rPr>
          <w:rFonts w:asciiTheme="minorEastAsia" w:hAnsiTheme="minorEastAsia" w:eastAsiaTheme="minorEastAsia"/>
          <w:snapToGrid w:val="0"/>
          <w:lang w:eastAsia="zh-CN"/>
        </w:rPr>
      </w:pPr>
      <w:r>
        <w:rPr>
          <w:rFonts w:hint="eastAsia" w:asciiTheme="minorEastAsia" w:hAnsiTheme="minorEastAsia" w:eastAsiaTheme="minorEastAsia"/>
          <w:snapToGrid w:val="0"/>
          <w:lang w:eastAsia="zh-CN"/>
        </w:rPr>
        <w:t>（2）油气分离产生的伴生气体，部分作为燃料进行利用，富裕天然气压缩为</w:t>
      </w:r>
      <w:r>
        <w:rPr>
          <w:rFonts w:asciiTheme="minorEastAsia" w:hAnsiTheme="minorEastAsia" w:eastAsiaTheme="minorEastAsia"/>
          <w:snapToGrid w:val="0"/>
          <w:lang w:eastAsia="zh-CN"/>
        </w:rPr>
        <w:t>CNG</w:t>
      </w:r>
      <w:r>
        <w:rPr>
          <w:rFonts w:hint="eastAsia" w:asciiTheme="minorEastAsia" w:hAnsiTheme="minorEastAsia" w:eastAsiaTheme="minorEastAsia"/>
          <w:snapToGrid w:val="0"/>
          <w:lang w:eastAsia="zh-CN"/>
        </w:rPr>
        <w:t>后拉运至至东乌旗加气站进行出售。燃气发电机组除供电并进行余热回收利用。</w:t>
      </w:r>
    </w:p>
    <w:p w14:paraId="773CE68F">
      <w:pPr>
        <w:ind w:firstLine="480"/>
        <w:outlineLvl w:val="0"/>
        <w:rPr>
          <w:rFonts w:asciiTheme="minorEastAsia" w:hAnsiTheme="minorEastAsia" w:eastAsiaTheme="minorEastAsia"/>
          <w:snapToGrid w:val="0"/>
          <w:lang w:eastAsia="zh-CN"/>
        </w:rPr>
      </w:pPr>
      <w:bookmarkStart w:id="891" w:name="_Toc75658957"/>
      <w:bookmarkStart w:id="892" w:name="_Toc77923883"/>
      <w:bookmarkStart w:id="893" w:name="_Toc75600540"/>
      <w:bookmarkStart w:id="894" w:name="_Toc78775151"/>
      <w:r>
        <w:rPr>
          <w:rFonts w:asciiTheme="minorEastAsia" w:hAnsiTheme="minorEastAsia" w:eastAsiaTheme="minorEastAsia"/>
          <w:snapToGrid w:val="0"/>
          <w:lang w:eastAsia="zh-CN"/>
        </w:rPr>
        <w:t>3、固体废物</w:t>
      </w:r>
      <w:bookmarkEnd w:id="891"/>
      <w:bookmarkEnd w:id="892"/>
      <w:bookmarkEnd w:id="893"/>
      <w:bookmarkEnd w:id="894"/>
    </w:p>
    <w:p w14:paraId="6C2C5F9E">
      <w:pPr>
        <w:ind w:firstLine="480"/>
        <w:rPr>
          <w:rFonts w:asciiTheme="minorEastAsia" w:hAnsiTheme="minorEastAsia" w:eastAsiaTheme="minorEastAsia"/>
          <w:snapToGrid w:val="0"/>
          <w:lang w:eastAsia="zh-CN"/>
        </w:rPr>
      </w:pPr>
      <w:r>
        <w:rPr>
          <w:rFonts w:hint="eastAsia" w:asciiTheme="minorEastAsia" w:hAnsiTheme="minorEastAsia" w:eastAsiaTheme="minorEastAsia"/>
          <w:snapToGrid w:val="0"/>
          <w:lang w:eastAsia="zh-CN"/>
        </w:rPr>
        <w:t>（1）</w:t>
      </w:r>
      <w:r>
        <w:rPr>
          <w:rFonts w:asciiTheme="minorEastAsia" w:hAnsiTheme="minorEastAsia" w:eastAsiaTheme="minorEastAsia"/>
          <w:snapToGrid w:val="0"/>
          <w:lang w:eastAsia="zh-CN"/>
        </w:rPr>
        <w:t>生产过程严格控制落地油的产生量，油水井作业全部带罐和污水回收装置作业，并在作业井井场铺设防渗布，避免原油落地；</w:t>
      </w:r>
    </w:p>
    <w:p w14:paraId="73991BFB">
      <w:pPr>
        <w:ind w:firstLine="480"/>
        <w:outlineLvl w:val="0"/>
        <w:rPr>
          <w:rFonts w:asciiTheme="minorEastAsia" w:hAnsiTheme="minorEastAsia" w:eastAsiaTheme="minorEastAsia"/>
          <w:snapToGrid w:val="0"/>
          <w:lang w:eastAsia="zh-CN"/>
        </w:rPr>
      </w:pPr>
      <w:bookmarkStart w:id="895" w:name="_Toc72294279"/>
      <w:bookmarkStart w:id="896" w:name="_Toc75071774"/>
      <w:bookmarkStart w:id="897" w:name="_Toc75255552"/>
      <w:bookmarkStart w:id="898" w:name="_Toc75423466"/>
      <w:r>
        <w:rPr>
          <w:rFonts w:hint="eastAsia" w:asciiTheme="minorEastAsia" w:hAnsiTheme="minorEastAsia" w:eastAsiaTheme="minorEastAsia"/>
          <w:snapToGrid w:val="0"/>
          <w:lang w:eastAsia="zh-CN"/>
        </w:rPr>
        <w:t>（2）</w:t>
      </w:r>
      <w:r>
        <w:rPr>
          <w:rFonts w:asciiTheme="minorEastAsia" w:hAnsiTheme="minorEastAsia" w:eastAsiaTheme="minorEastAsia"/>
          <w:snapToGrid w:val="0"/>
          <w:lang w:eastAsia="zh-CN"/>
        </w:rPr>
        <w:t>钻井泥浆除回收循环利用外，其余就地固化</w:t>
      </w:r>
      <w:bookmarkEnd w:id="895"/>
      <w:bookmarkEnd w:id="896"/>
      <w:bookmarkEnd w:id="897"/>
      <w:bookmarkEnd w:id="898"/>
      <w:r>
        <w:rPr>
          <w:rFonts w:asciiTheme="minorEastAsia" w:hAnsiTheme="minorEastAsia" w:eastAsiaTheme="minorEastAsia"/>
          <w:snapToGrid w:val="0"/>
          <w:lang w:eastAsia="zh-CN"/>
        </w:rPr>
        <w:t>；</w:t>
      </w:r>
    </w:p>
    <w:p w14:paraId="3CD15B82">
      <w:pPr>
        <w:ind w:firstLine="480"/>
        <w:rPr>
          <w:rFonts w:asciiTheme="minorEastAsia" w:hAnsiTheme="minorEastAsia" w:eastAsiaTheme="minorEastAsia"/>
          <w:snapToGrid w:val="0"/>
          <w:lang w:eastAsia="zh-CN"/>
        </w:rPr>
      </w:pPr>
      <w:r>
        <w:rPr>
          <w:rFonts w:hint="eastAsia" w:asciiTheme="minorEastAsia" w:hAnsiTheme="minorEastAsia" w:eastAsiaTheme="minorEastAsia"/>
          <w:snapToGrid w:val="0"/>
          <w:lang w:eastAsia="zh-CN"/>
        </w:rPr>
        <w:t>（3）</w:t>
      </w:r>
      <w:r>
        <w:rPr>
          <w:rFonts w:asciiTheme="minorEastAsia" w:hAnsiTheme="minorEastAsia" w:eastAsiaTheme="minorEastAsia"/>
          <w:snapToGrid w:val="0"/>
          <w:lang w:eastAsia="zh-CN"/>
        </w:rPr>
        <w:t>对生产过程中的试油、修井、洗井、压裂等作业，通过安装防喷器、卸油器、丢手等井口及井下装置，防止井喷、泄漏等事故的发生；</w:t>
      </w:r>
    </w:p>
    <w:p w14:paraId="1DE58827">
      <w:pPr>
        <w:ind w:firstLine="480"/>
        <w:rPr>
          <w:rFonts w:asciiTheme="minorEastAsia" w:hAnsiTheme="minorEastAsia" w:eastAsiaTheme="minorEastAsia"/>
          <w:snapToGrid w:val="0"/>
          <w:lang w:eastAsia="zh-CN"/>
        </w:rPr>
      </w:pPr>
      <w:r>
        <w:rPr>
          <w:rFonts w:hint="eastAsia" w:asciiTheme="minorEastAsia" w:hAnsiTheme="minorEastAsia" w:eastAsiaTheme="minorEastAsia"/>
          <w:snapToGrid w:val="0"/>
          <w:lang w:eastAsia="zh-CN"/>
        </w:rPr>
        <w:t>（4）</w:t>
      </w:r>
      <w:r>
        <w:rPr>
          <w:rFonts w:asciiTheme="minorEastAsia" w:hAnsiTheme="minorEastAsia" w:eastAsiaTheme="minorEastAsia"/>
          <w:snapToGrid w:val="0"/>
          <w:lang w:eastAsia="zh-CN"/>
        </w:rPr>
        <w:t>对作业过程产生的不可回收的落地油以及站内各类容器清理过程排放的含油污泥，</w:t>
      </w:r>
      <w:r>
        <w:rPr>
          <w:rFonts w:hint="eastAsia" w:asciiTheme="minorEastAsia" w:hAnsiTheme="minorEastAsia" w:eastAsiaTheme="minorEastAsia"/>
          <w:lang w:eastAsia="zh-CN"/>
        </w:rPr>
        <w:t>委托东乌珠穆沁旗高科危险废物处理有限公司进行处置</w:t>
      </w:r>
      <w:r>
        <w:rPr>
          <w:rFonts w:asciiTheme="minorEastAsia" w:hAnsiTheme="minorEastAsia" w:eastAsiaTheme="minorEastAsia"/>
          <w:snapToGrid w:val="0"/>
          <w:lang w:eastAsia="zh-CN"/>
        </w:rPr>
        <w:t>，实现含油污泥的资源化、无害化。</w:t>
      </w:r>
    </w:p>
    <w:p w14:paraId="65CE3C58">
      <w:pPr>
        <w:pStyle w:val="4"/>
        <w:rPr>
          <w:lang w:eastAsia="zh-CN"/>
        </w:rPr>
      </w:pPr>
      <w:bookmarkStart w:id="899" w:name="_Toc248649426"/>
      <w:bookmarkStart w:id="900" w:name="_Toc408414086"/>
      <w:bookmarkStart w:id="901" w:name="_Toc109128006"/>
      <w:bookmarkStart w:id="902" w:name="_Toc189535416"/>
      <w:r>
        <w:rPr>
          <w:lang w:eastAsia="zh-CN"/>
        </w:rPr>
        <w:t>12.1.5本工程清洁生产水平分析及改进措施</w:t>
      </w:r>
      <w:bookmarkEnd w:id="899"/>
      <w:bookmarkEnd w:id="900"/>
      <w:bookmarkEnd w:id="901"/>
      <w:bookmarkEnd w:id="902"/>
    </w:p>
    <w:p w14:paraId="11FCB3A6">
      <w:pPr>
        <w:ind w:firstLine="480"/>
        <w:rPr>
          <w:rFonts w:asciiTheme="minorEastAsia" w:hAnsiTheme="minorEastAsia" w:eastAsiaTheme="minorEastAsia"/>
          <w:snapToGrid w:val="0"/>
          <w:lang w:eastAsia="zh-CN"/>
        </w:rPr>
      </w:pPr>
      <w:r>
        <w:rPr>
          <w:rFonts w:asciiTheme="minorEastAsia" w:hAnsiTheme="minorEastAsia" w:eastAsiaTheme="minorEastAsia"/>
          <w:snapToGrid w:val="0"/>
          <w:lang w:eastAsia="zh-CN"/>
        </w:rPr>
        <w:t>结论：</w:t>
      </w:r>
    </w:p>
    <w:p w14:paraId="707AC2E7">
      <w:pPr>
        <w:ind w:firstLine="480"/>
        <w:rPr>
          <w:rFonts w:asciiTheme="minorEastAsia" w:hAnsiTheme="minorEastAsia" w:eastAsiaTheme="minorEastAsia"/>
          <w:snapToGrid w:val="0"/>
          <w:lang w:eastAsia="zh-CN"/>
        </w:rPr>
      </w:pPr>
      <w:r>
        <w:rPr>
          <w:rFonts w:asciiTheme="minorEastAsia" w:hAnsiTheme="minorEastAsia" w:eastAsiaTheme="minorEastAsia"/>
          <w:snapToGrid w:val="0"/>
          <w:lang w:eastAsia="zh-CN"/>
        </w:rPr>
        <w:t>1、本工程对污染物的处理方式合理，回收设施完善，对周围环境影响有限，在污染物排放量控制及污水循环利用等方面也达到了较高水平，将清洁生产的思想贯穿于生产的全过程，符合清洁生产要求；</w:t>
      </w:r>
    </w:p>
    <w:p w14:paraId="1E28E89D">
      <w:pPr>
        <w:ind w:firstLine="480"/>
        <w:outlineLvl w:val="0"/>
        <w:rPr>
          <w:rFonts w:asciiTheme="minorEastAsia" w:hAnsiTheme="minorEastAsia" w:eastAsiaTheme="minorEastAsia"/>
          <w:snapToGrid w:val="0"/>
          <w:lang w:eastAsia="zh-CN"/>
        </w:rPr>
      </w:pPr>
      <w:r>
        <w:rPr>
          <w:rFonts w:asciiTheme="minorEastAsia" w:hAnsiTheme="minorEastAsia" w:eastAsiaTheme="minorEastAsia"/>
          <w:snapToGrid w:val="0"/>
          <w:lang w:eastAsia="zh-CN"/>
        </w:rPr>
        <w:t>2、本工程对废物进行回收利用，变污染物为可用原料；</w:t>
      </w:r>
    </w:p>
    <w:p w14:paraId="050C6EB3">
      <w:pPr>
        <w:ind w:firstLine="480"/>
        <w:rPr>
          <w:rFonts w:asciiTheme="minorEastAsia" w:hAnsiTheme="minorEastAsia" w:eastAsiaTheme="minorEastAsia"/>
          <w:snapToGrid w:val="0"/>
          <w:lang w:eastAsia="zh-CN"/>
        </w:rPr>
      </w:pPr>
      <w:r>
        <w:rPr>
          <w:rFonts w:asciiTheme="minorEastAsia" w:hAnsiTheme="minorEastAsia" w:eastAsiaTheme="minorEastAsia"/>
          <w:snapToGrid w:val="0"/>
          <w:lang w:eastAsia="zh-CN"/>
        </w:rPr>
        <w:t>3、通过污染控制，降低了污染物的排放量，减少了无组织排放，各项设施基本做到达标排放，有利于环境保护。</w:t>
      </w:r>
    </w:p>
    <w:p w14:paraId="613E894D">
      <w:pPr>
        <w:ind w:firstLine="480"/>
        <w:rPr>
          <w:rFonts w:asciiTheme="minorEastAsia" w:hAnsiTheme="minorEastAsia" w:eastAsiaTheme="minorEastAsia"/>
          <w:snapToGrid w:val="0"/>
          <w:lang w:eastAsia="zh-CN"/>
        </w:rPr>
      </w:pPr>
      <w:r>
        <w:rPr>
          <w:rFonts w:hint="eastAsia" w:asciiTheme="minorEastAsia" w:hAnsiTheme="minorEastAsia" w:eastAsiaTheme="minorEastAsia"/>
          <w:snapToGrid w:val="0"/>
          <w:lang w:eastAsia="zh-CN"/>
        </w:rPr>
        <w:t>4、对油气分离产生的伴生气体，循环利用，对燃气发电机组余热回收利用。</w:t>
      </w:r>
    </w:p>
    <w:p w14:paraId="130C1BCE">
      <w:pPr>
        <w:ind w:firstLine="480"/>
        <w:rPr>
          <w:rFonts w:asciiTheme="minorEastAsia" w:hAnsiTheme="minorEastAsia" w:eastAsiaTheme="minorEastAsia"/>
          <w:snapToGrid w:val="0"/>
          <w:lang w:eastAsia="zh-CN"/>
        </w:rPr>
      </w:pPr>
      <w:bookmarkStart w:id="903" w:name="_Toc78775155"/>
      <w:bookmarkStart w:id="904" w:name="_Toc77923887"/>
      <w:r>
        <w:rPr>
          <w:rFonts w:asciiTheme="minorEastAsia" w:hAnsiTheme="minorEastAsia" w:eastAsiaTheme="minorEastAsia"/>
          <w:snapToGrid w:val="0"/>
          <w:lang w:eastAsia="zh-CN"/>
        </w:rPr>
        <w:t>建议</w:t>
      </w:r>
      <w:bookmarkEnd w:id="903"/>
      <w:bookmarkEnd w:id="904"/>
      <w:r>
        <w:rPr>
          <w:rFonts w:asciiTheme="minorEastAsia" w:hAnsiTheme="minorEastAsia" w:eastAsiaTheme="minorEastAsia"/>
          <w:snapToGrid w:val="0"/>
          <w:lang w:eastAsia="zh-CN"/>
        </w:rPr>
        <w:t>：</w:t>
      </w:r>
    </w:p>
    <w:p w14:paraId="2D154CB2">
      <w:pPr>
        <w:ind w:firstLine="480"/>
        <w:outlineLvl w:val="0"/>
        <w:rPr>
          <w:rFonts w:asciiTheme="minorEastAsia" w:hAnsiTheme="minorEastAsia" w:eastAsiaTheme="minorEastAsia"/>
          <w:snapToGrid w:val="0"/>
          <w:lang w:eastAsia="zh-CN"/>
        </w:rPr>
      </w:pPr>
      <w:r>
        <w:rPr>
          <w:rFonts w:asciiTheme="minorEastAsia" w:hAnsiTheme="minorEastAsia" w:eastAsiaTheme="minorEastAsia"/>
          <w:snapToGrid w:val="0"/>
          <w:lang w:eastAsia="zh-CN"/>
        </w:rPr>
        <w:t>1、在满足生产需要的前提下，要尽量控制清水用量、耗电量和耗气量；</w:t>
      </w:r>
    </w:p>
    <w:p w14:paraId="6DD2129A">
      <w:pPr>
        <w:ind w:firstLine="480"/>
        <w:rPr>
          <w:rFonts w:asciiTheme="minorEastAsia" w:hAnsiTheme="minorEastAsia" w:eastAsiaTheme="minorEastAsia"/>
          <w:snapToGrid w:val="0"/>
          <w:lang w:eastAsia="zh-CN"/>
        </w:rPr>
      </w:pPr>
      <w:r>
        <w:rPr>
          <w:rFonts w:asciiTheme="minorEastAsia" w:hAnsiTheme="minorEastAsia" w:eastAsiaTheme="minorEastAsia"/>
          <w:snapToGrid w:val="0"/>
          <w:lang w:eastAsia="zh-CN"/>
        </w:rPr>
        <w:t>2、定期检查和维修各类管线、容器等可能发生泄漏的部位，减少或杜绝无组织泄漏的发生。定期检查环保设施和排污系统，保证其处于正常运行和使用状态。严格岗位责任制，定期对员工进行环境保护意识教育；</w:t>
      </w:r>
    </w:p>
    <w:p w14:paraId="1C20BB1A">
      <w:pPr>
        <w:ind w:firstLine="480"/>
        <w:rPr>
          <w:rFonts w:asciiTheme="minorEastAsia" w:hAnsiTheme="minorEastAsia" w:eastAsiaTheme="minorEastAsia"/>
          <w:snapToGrid w:val="0"/>
          <w:lang w:eastAsia="zh-CN"/>
        </w:rPr>
      </w:pPr>
      <w:r>
        <w:rPr>
          <w:rFonts w:asciiTheme="minorEastAsia" w:hAnsiTheme="minorEastAsia" w:eastAsiaTheme="minorEastAsia"/>
          <w:snapToGrid w:val="0"/>
          <w:lang w:eastAsia="zh-CN"/>
        </w:rPr>
        <w:t>3、严格管理，确保各项环保措施的落实。如对井下作业队伍污水回收装置、回收水罐车和洗井设备的使用情况，防渗布铺设情况进行检查；</w:t>
      </w:r>
    </w:p>
    <w:p w14:paraId="756284EF">
      <w:pPr>
        <w:ind w:firstLine="480"/>
        <w:rPr>
          <w:rFonts w:asciiTheme="minorEastAsia" w:hAnsiTheme="minorEastAsia" w:eastAsiaTheme="minorEastAsia"/>
          <w:snapToGrid w:val="0"/>
          <w:lang w:eastAsia="zh-CN"/>
        </w:rPr>
      </w:pPr>
      <w:r>
        <w:rPr>
          <w:rFonts w:asciiTheme="minorEastAsia" w:hAnsiTheme="minorEastAsia" w:eastAsiaTheme="minorEastAsia"/>
          <w:snapToGrid w:val="0"/>
          <w:lang w:eastAsia="zh-CN"/>
        </w:rPr>
        <w:t>4、作业施工要严格</w:t>
      </w:r>
      <w:r>
        <w:rPr>
          <w:rFonts w:hint="eastAsia" w:asciiTheme="minorEastAsia" w:hAnsiTheme="minorEastAsia" w:eastAsiaTheme="minorEastAsia"/>
          <w:snapToGrid w:val="0"/>
          <w:lang w:eastAsia="zh-CN"/>
        </w:rPr>
        <w:t>控制</w:t>
      </w:r>
      <w:r>
        <w:rPr>
          <w:rFonts w:asciiTheme="minorEastAsia" w:hAnsiTheme="minorEastAsia" w:eastAsiaTheme="minorEastAsia"/>
          <w:snapToGrid w:val="0"/>
          <w:lang w:eastAsia="zh-CN"/>
        </w:rPr>
        <w:t>占地标准，尽量减少占地，减少对区域内生态环境的破坏；</w:t>
      </w:r>
    </w:p>
    <w:p w14:paraId="691849E1">
      <w:pPr>
        <w:ind w:firstLine="480"/>
        <w:rPr>
          <w:rFonts w:asciiTheme="minorEastAsia" w:hAnsiTheme="minorEastAsia" w:eastAsiaTheme="minorEastAsia"/>
          <w:snapToGrid w:val="0"/>
          <w:lang w:eastAsia="zh-CN"/>
        </w:rPr>
      </w:pPr>
      <w:r>
        <w:rPr>
          <w:rFonts w:asciiTheme="minorEastAsia" w:hAnsiTheme="minorEastAsia" w:eastAsiaTheme="minorEastAsia"/>
          <w:snapToGrid w:val="0"/>
          <w:lang w:eastAsia="zh-CN"/>
        </w:rPr>
        <w:t>5、油田进入开发后期后，应采取如下环保措施：</w:t>
      </w:r>
    </w:p>
    <w:p w14:paraId="6245D19C">
      <w:pPr>
        <w:ind w:firstLine="480"/>
        <w:rPr>
          <w:rFonts w:asciiTheme="minorEastAsia" w:hAnsiTheme="minorEastAsia" w:eastAsiaTheme="minorEastAsia"/>
          <w:snapToGrid w:val="0"/>
          <w:lang w:eastAsia="zh-CN"/>
        </w:rPr>
      </w:pPr>
      <w:r>
        <w:rPr>
          <w:rFonts w:hint="eastAsia" w:asciiTheme="minorEastAsia" w:hAnsiTheme="minorEastAsia" w:eastAsiaTheme="minorEastAsia"/>
          <w:snapToGrid w:val="0"/>
          <w:lang w:eastAsia="zh-CN"/>
        </w:rPr>
        <w:t>（1）</w:t>
      </w:r>
      <w:r>
        <w:rPr>
          <w:rFonts w:asciiTheme="minorEastAsia" w:hAnsiTheme="minorEastAsia" w:eastAsiaTheme="minorEastAsia"/>
          <w:snapToGrid w:val="0"/>
          <w:lang w:eastAsia="zh-CN"/>
        </w:rPr>
        <w:t>加强管理，增加设施巡视次数，从监视仪表的变化，及时发现并处理管线破裂、穿孔等事故，将油气泄漏量降至最低并及时回收；</w:t>
      </w:r>
    </w:p>
    <w:p w14:paraId="1B569212">
      <w:pPr>
        <w:ind w:firstLine="480"/>
        <w:rPr>
          <w:rFonts w:asciiTheme="minorEastAsia" w:hAnsiTheme="minorEastAsia" w:eastAsiaTheme="minorEastAsia"/>
          <w:snapToGrid w:val="0"/>
          <w:lang w:eastAsia="zh-CN"/>
        </w:rPr>
      </w:pPr>
      <w:r>
        <w:rPr>
          <w:rFonts w:hint="eastAsia" w:asciiTheme="minorEastAsia" w:hAnsiTheme="minorEastAsia" w:eastAsiaTheme="minorEastAsia"/>
          <w:snapToGrid w:val="0"/>
          <w:lang w:eastAsia="zh-CN"/>
        </w:rPr>
        <w:t>（2）</w:t>
      </w:r>
      <w:r>
        <w:rPr>
          <w:rFonts w:asciiTheme="minorEastAsia" w:hAnsiTheme="minorEastAsia" w:eastAsiaTheme="minorEastAsia"/>
          <w:snapToGrid w:val="0"/>
          <w:lang w:eastAsia="zh-CN"/>
        </w:rPr>
        <w:t>对废弃油井要做好安全封井工作，井眼要内外封堵，同时要保证固井、封井措施的有效可行，防止油水串层；</w:t>
      </w:r>
    </w:p>
    <w:p w14:paraId="7923191F">
      <w:pPr>
        <w:ind w:firstLine="480"/>
        <w:rPr>
          <w:rFonts w:asciiTheme="minorEastAsia" w:hAnsiTheme="minorEastAsia" w:eastAsiaTheme="minorEastAsia"/>
          <w:snapToGrid w:val="0"/>
          <w:lang w:eastAsia="zh-CN"/>
        </w:rPr>
      </w:pPr>
      <w:r>
        <w:rPr>
          <w:rFonts w:hint="eastAsia" w:asciiTheme="minorEastAsia" w:hAnsiTheme="minorEastAsia" w:eastAsiaTheme="minorEastAsia"/>
          <w:snapToGrid w:val="0"/>
          <w:lang w:eastAsia="zh-CN"/>
        </w:rPr>
        <w:t>（3）</w:t>
      </w:r>
      <w:r>
        <w:rPr>
          <w:rFonts w:asciiTheme="minorEastAsia" w:hAnsiTheme="minorEastAsia" w:eastAsiaTheme="minorEastAsia"/>
          <w:snapToGrid w:val="0"/>
          <w:lang w:eastAsia="zh-CN"/>
        </w:rPr>
        <w:t>对于报废井场，报废过程必须做好环保工作，严格按照HSE管理体系的规定施工和验收。</w:t>
      </w:r>
    </w:p>
    <w:p w14:paraId="17E4A97F">
      <w:pPr>
        <w:ind w:firstLine="480"/>
        <w:rPr>
          <w:rFonts w:asciiTheme="minorEastAsia" w:hAnsiTheme="minorEastAsia" w:eastAsiaTheme="minorEastAsia"/>
          <w:snapToGrid w:val="0"/>
          <w:lang w:eastAsia="zh-CN"/>
        </w:rPr>
      </w:pPr>
      <w:r>
        <w:rPr>
          <w:rFonts w:hint="eastAsia" w:asciiTheme="minorEastAsia" w:hAnsiTheme="minorEastAsia" w:eastAsiaTheme="minorEastAsia"/>
          <w:snapToGrid w:val="0"/>
          <w:lang w:eastAsia="zh-CN"/>
        </w:rPr>
        <w:t>6、油田应开展</w:t>
      </w:r>
      <w:r>
        <w:rPr>
          <w:rFonts w:asciiTheme="minorEastAsia" w:hAnsiTheme="minorEastAsia" w:eastAsiaTheme="minorEastAsia"/>
          <w:snapToGrid w:val="0"/>
          <w:lang w:eastAsia="zh-CN"/>
        </w:rPr>
        <w:t>使用新型泥浆减少钻井废</w:t>
      </w:r>
      <w:r>
        <w:rPr>
          <w:rFonts w:hint="eastAsia" w:asciiTheme="minorEastAsia" w:hAnsiTheme="minorEastAsia" w:eastAsiaTheme="minorEastAsia"/>
          <w:snapToGrid w:val="0"/>
          <w:lang w:eastAsia="zh-CN"/>
        </w:rPr>
        <w:t>弃</w:t>
      </w:r>
      <w:r>
        <w:rPr>
          <w:rFonts w:asciiTheme="minorEastAsia" w:hAnsiTheme="minorEastAsia" w:eastAsiaTheme="minorEastAsia"/>
          <w:snapToGrid w:val="0"/>
          <w:lang w:eastAsia="zh-CN"/>
        </w:rPr>
        <w:t>物产生的</w:t>
      </w:r>
      <w:r>
        <w:rPr>
          <w:rFonts w:hint="eastAsia" w:asciiTheme="minorEastAsia" w:hAnsiTheme="minorEastAsia" w:eastAsiaTheme="minorEastAsia"/>
          <w:snapToGrid w:val="0"/>
          <w:lang w:eastAsia="zh-CN"/>
        </w:rPr>
        <w:t>推广试验。</w:t>
      </w:r>
    </w:p>
    <w:p w14:paraId="1775CDFE">
      <w:pPr>
        <w:pStyle w:val="3"/>
        <w:rPr>
          <w:lang w:eastAsia="zh-CN"/>
        </w:rPr>
      </w:pPr>
      <w:bookmarkStart w:id="905" w:name="_Toc189535441"/>
      <w:bookmarkStart w:id="906" w:name="_Toc408414087"/>
      <w:bookmarkStart w:id="907" w:name="_Toc248649454"/>
      <w:bookmarkStart w:id="908" w:name="_Toc196215822"/>
      <w:r>
        <w:rPr>
          <w:lang w:eastAsia="zh-CN"/>
        </w:rPr>
        <w:t>12.2污染物排放总量控制</w:t>
      </w:r>
      <w:bookmarkEnd w:id="905"/>
      <w:bookmarkEnd w:id="906"/>
      <w:bookmarkEnd w:id="907"/>
      <w:bookmarkEnd w:id="908"/>
    </w:p>
    <w:p w14:paraId="1E7A5D81">
      <w:pPr>
        <w:pStyle w:val="4"/>
        <w:rPr>
          <w:lang w:eastAsia="zh-CN"/>
        </w:rPr>
      </w:pPr>
      <w:bookmarkStart w:id="909" w:name="_Toc408414088"/>
      <w:r>
        <w:rPr>
          <w:lang w:eastAsia="zh-CN"/>
        </w:rPr>
        <w:t>12.2.</w:t>
      </w:r>
      <w:r>
        <w:rPr>
          <w:rFonts w:hint="eastAsia"/>
          <w:lang w:eastAsia="zh-CN"/>
        </w:rPr>
        <w:t>1</w:t>
      </w:r>
      <w:r>
        <w:rPr>
          <w:lang w:eastAsia="zh-CN"/>
        </w:rPr>
        <w:t>污染物总量控制原则</w:t>
      </w:r>
      <w:bookmarkEnd w:id="909"/>
    </w:p>
    <w:p w14:paraId="6CDA43DD">
      <w:pPr>
        <w:ind w:firstLine="480"/>
        <w:rPr>
          <w:lang w:eastAsia="zh-CN"/>
        </w:rPr>
      </w:pPr>
      <w:bookmarkStart w:id="910" w:name="_Toc182141054"/>
      <w:bookmarkStart w:id="911" w:name="_Toc279676810"/>
      <w:bookmarkStart w:id="912" w:name="_Toc280020209"/>
      <w:bookmarkStart w:id="913" w:name="_Toc287598319"/>
      <w:r>
        <w:rPr>
          <w:lang w:eastAsia="zh-CN"/>
        </w:rPr>
        <w:t>《</w:t>
      </w:r>
      <w:r>
        <w:rPr>
          <w:rFonts w:hint="eastAsia"/>
          <w:lang w:eastAsia="zh-CN"/>
        </w:rPr>
        <w:t>“</w:t>
      </w:r>
      <w:r>
        <w:rPr>
          <w:lang w:eastAsia="zh-CN"/>
        </w:rPr>
        <w:t>十二五</w:t>
      </w:r>
      <w:r>
        <w:rPr>
          <w:rFonts w:hint="eastAsia"/>
          <w:lang w:eastAsia="zh-CN"/>
        </w:rPr>
        <w:t>”</w:t>
      </w:r>
      <w:r>
        <w:rPr>
          <w:lang w:eastAsia="zh-CN"/>
        </w:rPr>
        <w:t>期间全国主要污染物排放总量控制计划》将SO</w:t>
      </w:r>
      <w:r>
        <w:rPr>
          <w:vertAlign w:val="subscript"/>
          <w:lang w:eastAsia="zh-CN"/>
        </w:rPr>
        <w:t>2</w:t>
      </w:r>
      <w:r>
        <w:rPr>
          <w:rFonts w:hint="eastAsia"/>
          <w:lang w:eastAsia="zh-CN"/>
        </w:rPr>
        <w:t>、</w:t>
      </w:r>
      <w:r>
        <w:rPr>
          <w:lang w:eastAsia="zh-CN"/>
        </w:rPr>
        <w:t>NO</w:t>
      </w:r>
      <w:r>
        <w:rPr>
          <w:vertAlign w:val="subscript"/>
          <w:lang w:eastAsia="zh-CN"/>
        </w:rPr>
        <w:t>X</w:t>
      </w:r>
      <w:r>
        <w:rPr>
          <w:lang w:eastAsia="zh-CN"/>
        </w:rPr>
        <w:t>、COD</w:t>
      </w:r>
      <w:r>
        <w:rPr>
          <w:rFonts w:hint="eastAsia"/>
          <w:lang w:eastAsia="zh-CN"/>
        </w:rPr>
        <w:t>、</w:t>
      </w:r>
      <w:r>
        <w:rPr>
          <w:lang w:eastAsia="zh-CN"/>
        </w:rPr>
        <w:t>氨氮</w:t>
      </w:r>
      <w:r>
        <w:rPr>
          <w:rFonts w:hint="eastAsia"/>
          <w:lang w:eastAsia="zh-CN"/>
        </w:rPr>
        <w:t>四</w:t>
      </w:r>
      <w:r>
        <w:rPr>
          <w:lang w:eastAsia="zh-CN"/>
        </w:rPr>
        <w:t>种主要污染物纳入了排放总量控制计划管理中。根据本项目的实际情况，对乌里雅斯太油田开发过程中产生的SO</w:t>
      </w:r>
      <w:r>
        <w:rPr>
          <w:vertAlign w:val="subscript"/>
          <w:lang w:eastAsia="zh-CN"/>
        </w:rPr>
        <w:t>2</w:t>
      </w:r>
      <w:r>
        <w:rPr>
          <w:lang w:eastAsia="zh-CN"/>
        </w:rPr>
        <w:t>、NO</w:t>
      </w:r>
      <w:r>
        <w:rPr>
          <w:vertAlign w:val="subscript"/>
          <w:lang w:eastAsia="zh-CN"/>
        </w:rPr>
        <w:t>X</w:t>
      </w:r>
      <w:r>
        <w:rPr>
          <w:lang w:eastAsia="zh-CN"/>
        </w:rPr>
        <w:t>（以NO</w:t>
      </w:r>
      <w:r>
        <w:rPr>
          <w:vertAlign w:val="subscript"/>
          <w:lang w:eastAsia="zh-CN"/>
        </w:rPr>
        <w:t>2</w:t>
      </w:r>
      <w:r>
        <w:rPr>
          <w:lang w:eastAsia="zh-CN"/>
        </w:rPr>
        <w:t>计）、COD、氨氮提出总量控制建议指标，供环境主管部门参考。</w:t>
      </w:r>
    </w:p>
    <w:p w14:paraId="6986348C">
      <w:pPr>
        <w:pStyle w:val="4"/>
        <w:rPr>
          <w:lang w:eastAsia="zh-CN"/>
        </w:rPr>
      </w:pPr>
      <w:bookmarkStart w:id="914" w:name="_Toc338663655"/>
      <w:bookmarkStart w:id="915" w:name="_Toc408414089"/>
      <w:r>
        <w:rPr>
          <w:lang w:eastAsia="zh-CN"/>
        </w:rPr>
        <w:t>12.2.</w:t>
      </w:r>
      <w:r>
        <w:rPr>
          <w:rFonts w:hint="eastAsia"/>
          <w:lang w:eastAsia="zh-CN"/>
        </w:rPr>
        <w:t>2污染</w:t>
      </w:r>
      <w:r>
        <w:rPr>
          <w:lang w:eastAsia="zh-CN"/>
        </w:rPr>
        <w:t>物排放总量</w:t>
      </w:r>
      <w:bookmarkEnd w:id="914"/>
      <w:bookmarkEnd w:id="915"/>
    </w:p>
    <w:p w14:paraId="213E6DDB">
      <w:pPr>
        <w:ind w:firstLine="480"/>
        <w:rPr>
          <w:rFonts w:asciiTheme="minorEastAsia" w:hAnsiTheme="minorEastAsia" w:eastAsiaTheme="minorEastAsia"/>
          <w:snapToGrid w:val="0"/>
          <w:lang w:eastAsia="zh-CN"/>
        </w:rPr>
      </w:pPr>
      <w:r>
        <w:rPr>
          <w:rFonts w:hint="eastAsia" w:asciiTheme="minorEastAsia" w:hAnsiTheme="minorEastAsia" w:eastAsiaTheme="minorEastAsia"/>
          <w:snapToGrid w:val="0"/>
          <w:lang w:eastAsia="zh-CN"/>
        </w:rPr>
        <w:t>1、废气污染物排放说明</w:t>
      </w:r>
    </w:p>
    <w:p w14:paraId="2125C9AB">
      <w:pPr>
        <w:ind w:firstLine="480"/>
        <w:rPr>
          <w:rFonts w:asciiTheme="minorEastAsia" w:hAnsiTheme="minorEastAsia" w:eastAsiaTheme="minorEastAsia"/>
          <w:snapToGrid w:val="0"/>
          <w:lang w:eastAsia="zh-CN"/>
        </w:rPr>
      </w:pPr>
      <w:r>
        <w:rPr>
          <w:rFonts w:hint="eastAsia" w:asciiTheme="minorEastAsia" w:hAnsiTheme="minorEastAsia" w:eastAsiaTheme="minorEastAsia"/>
          <w:snapToGrid w:val="0"/>
          <w:lang w:eastAsia="zh-CN"/>
        </w:rPr>
        <w:t>乌里雅斯太油田雅一站内现有燃气发电机组2</w:t>
      </w:r>
      <w:r>
        <w:rPr>
          <w:rFonts w:asciiTheme="minorEastAsia" w:hAnsiTheme="minorEastAsia" w:eastAsiaTheme="minorEastAsia"/>
          <w:snapToGrid w:val="0"/>
          <w:lang w:eastAsia="zh-CN"/>
        </w:rPr>
        <w:t>×</w:t>
      </w:r>
      <w:r>
        <w:rPr>
          <w:rFonts w:hint="eastAsia" w:asciiTheme="minorEastAsia" w:hAnsiTheme="minorEastAsia" w:eastAsiaTheme="minorEastAsia"/>
          <w:snapToGrid w:val="0"/>
          <w:lang w:eastAsia="zh-CN"/>
        </w:rPr>
        <w:t>200kw和燃气发电机组5</w:t>
      </w:r>
      <w:r>
        <w:rPr>
          <w:rFonts w:asciiTheme="minorEastAsia" w:hAnsiTheme="minorEastAsia" w:eastAsiaTheme="minorEastAsia"/>
          <w:snapToGrid w:val="0"/>
          <w:lang w:eastAsia="zh-CN"/>
        </w:rPr>
        <w:t>×</w:t>
      </w:r>
      <w:r>
        <w:rPr>
          <w:rFonts w:hint="eastAsia" w:asciiTheme="minorEastAsia" w:hAnsiTheme="minorEastAsia" w:eastAsiaTheme="minorEastAsia"/>
          <w:snapToGrid w:val="0"/>
          <w:lang w:eastAsia="zh-CN"/>
        </w:rPr>
        <w:t>500kw ，和燃气加热炉 1台。燃气发电机组，是雅一站生产、生活主要供电电源，余热回收，与加热炉共同为乌里雅斯太油田生产生活供热。现有燃气机组及加热炉耗气量为1.68</w:t>
      </w:r>
      <w:r>
        <w:rPr>
          <w:rFonts w:asciiTheme="minorEastAsia" w:hAnsiTheme="minorEastAsia" w:eastAsiaTheme="minorEastAsia"/>
          <w:snapToGrid w:val="0"/>
          <w:lang w:eastAsia="zh-CN"/>
        </w:rPr>
        <w:t>×</w:t>
      </w:r>
      <w:r>
        <w:rPr>
          <w:rFonts w:hint="eastAsia" w:asciiTheme="minorEastAsia" w:hAnsiTheme="minorEastAsia" w:eastAsiaTheme="minorEastAsia"/>
          <w:snapToGrid w:val="0"/>
          <w:lang w:eastAsia="zh-CN"/>
        </w:rPr>
        <w:t>104m3/d，其中发电机组年耗燃气1.12</w:t>
      </w:r>
      <w:r>
        <w:rPr>
          <w:rFonts w:asciiTheme="minorEastAsia" w:hAnsiTheme="minorEastAsia" w:eastAsiaTheme="minorEastAsia"/>
          <w:snapToGrid w:val="0"/>
          <w:lang w:eastAsia="zh-CN"/>
        </w:rPr>
        <w:t>×</w:t>
      </w:r>
      <w:r>
        <w:rPr>
          <w:rFonts w:hint="eastAsia" w:asciiTheme="minorEastAsia" w:hAnsiTheme="minorEastAsia" w:eastAsiaTheme="minorEastAsia"/>
          <w:snapToGrid w:val="0"/>
          <w:lang w:eastAsia="zh-CN"/>
        </w:rPr>
        <w:t>104m3/d，加热炉年耗燃气 0.56</w:t>
      </w:r>
      <w:r>
        <w:rPr>
          <w:rFonts w:asciiTheme="minorEastAsia" w:hAnsiTheme="minorEastAsia" w:eastAsiaTheme="minorEastAsia"/>
          <w:snapToGrid w:val="0"/>
          <w:lang w:eastAsia="zh-CN"/>
        </w:rPr>
        <w:t>×</w:t>
      </w:r>
      <w:r>
        <w:rPr>
          <w:rFonts w:hint="eastAsia" w:asciiTheme="minorEastAsia" w:hAnsiTheme="minorEastAsia" w:eastAsiaTheme="minorEastAsia"/>
          <w:snapToGrid w:val="0"/>
          <w:lang w:eastAsia="zh-CN"/>
        </w:rPr>
        <w:t>104m3/d。</w:t>
      </w:r>
    </w:p>
    <w:p w14:paraId="0D6DE645">
      <w:pPr>
        <w:ind w:firstLine="480"/>
        <w:rPr>
          <w:rFonts w:asciiTheme="minorEastAsia" w:hAnsiTheme="minorEastAsia" w:eastAsiaTheme="minorEastAsia"/>
          <w:snapToGrid w:val="0"/>
          <w:lang w:eastAsia="zh-CN"/>
        </w:rPr>
      </w:pPr>
      <w:r>
        <w:rPr>
          <w:rFonts w:hint="eastAsia" w:asciiTheme="minorEastAsia" w:hAnsiTheme="minorEastAsia" w:eastAsiaTheme="minorEastAsia"/>
          <w:snapToGrid w:val="0"/>
          <w:lang w:eastAsia="zh-CN"/>
        </w:rPr>
        <w:t>现有工程废气污染物排放量分别为烟尘0.43t/a、</w:t>
      </w:r>
      <w:r>
        <w:rPr>
          <w:rFonts w:asciiTheme="minorEastAsia" w:hAnsiTheme="minorEastAsia" w:eastAsiaTheme="minorEastAsia"/>
          <w:snapToGrid w:val="0"/>
          <w:lang w:eastAsia="zh-CN"/>
        </w:rPr>
        <w:t>SO2</w:t>
      </w:r>
      <w:r>
        <w:rPr>
          <w:rFonts w:hint="eastAsia" w:asciiTheme="minorEastAsia" w:hAnsiTheme="minorEastAsia" w:eastAsiaTheme="minorEastAsia"/>
          <w:snapToGrid w:val="0"/>
          <w:lang w:eastAsia="zh-CN"/>
        </w:rPr>
        <w:t>0.29</w:t>
      </w:r>
      <w:r>
        <w:rPr>
          <w:rFonts w:asciiTheme="minorEastAsia" w:hAnsiTheme="minorEastAsia" w:eastAsiaTheme="minorEastAsia"/>
          <w:snapToGrid w:val="0"/>
          <w:lang w:eastAsia="zh-CN"/>
        </w:rPr>
        <w:t>t/a</w:t>
      </w:r>
      <w:r>
        <w:rPr>
          <w:rFonts w:hint="eastAsia" w:asciiTheme="minorEastAsia" w:hAnsiTheme="minorEastAsia" w:eastAsiaTheme="minorEastAsia"/>
          <w:snapToGrid w:val="0"/>
          <w:lang w:eastAsia="zh-CN"/>
        </w:rPr>
        <w:t>、</w:t>
      </w:r>
      <w:r>
        <w:rPr>
          <w:rFonts w:asciiTheme="minorEastAsia" w:hAnsiTheme="minorEastAsia" w:eastAsiaTheme="minorEastAsia"/>
          <w:snapToGrid w:val="0"/>
          <w:lang w:eastAsia="zh-CN"/>
        </w:rPr>
        <w:t>NOx</w:t>
      </w:r>
      <w:r>
        <w:rPr>
          <w:rFonts w:hint="eastAsia" w:asciiTheme="minorEastAsia" w:hAnsiTheme="minorEastAsia" w:eastAsiaTheme="minorEastAsia"/>
          <w:snapToGrid w:val="0"/>
          <w:lang w:eastAsia="zh-CN"/>
        </w:rPr>
        <w:t>0.823</w:t>
      </w:r>
      <w:r>
        <w:rPr>
          <w:rFonts w:asciiTheme="minorEastAsia" w:hAnsiTheme="minorEastAsia" w:eastAsiaTheme="minorEastAsia"/>
          <w:snapToGrid w:val="0"/>
          <w:lang w:eastAsia="zh-CN"/>
        </w:rPr>
        <w:t xml:space="preserve"> t/a</w:t>
      </w:r>
      <w:r>
        <w:rPr>
          <w:rFonts w:hint="eastAsia" w:asciiTheme="minorEastAsia" w:hAnsiTheme="minorEastAsia" w:eastAsiaTheme="minorEastAsia"/>
          <w:snapToGrid w:val="0"/>
          <w:lang w:eastAsia="zh-CN"/>
        </w:rPr>
        <w:t>。</w:t>
      </w:r>
    </w:p>
    <w:p w14:paraId="5E4582BA">
      <w:pPr>
        <w:ind w:firstLine="480"/>
        <w:rPr>
          <w:rFonts w:asciiTheme="minorEastAsia" w:hAnsiTheme="minorEastAsia" w:eastAsiaTheme="minorEastAsia"/>
          <w:snapToGrid w:val="0"/>
          <w:lang w:eastAsia="zh-CN"/>
        </w:rPr>
      </w:pPr>
      <w:r>
        <w:rPr>
          <w:rFonts w:hint="eastAsia" w:asciiTheme="minorEastAsia" w:hAnsiTheme="minorEastAsia" w:eastAsiaTheme="minorEastAsia"/>
          <w:snapToGrid w:val="0"/>
          <w:lang w:eastAsia="zh-CN"/>
        </w:rPr>
        <w:t>本次改扩建保留现有的5</w:t>
      </w:r>
      <w:r>
        <w:rPr>
          <w:rFonts w:asciiTheme="minorEastAsia" w:hAnsiTheme="minorEastAsia" w:eastAsiaTheme="minorEastAsia"/>
          <w:snapToGrid w:val="0"/>
          <w:lang w:eastAsia="zh-CN"/>
        </w:rPr>
        <w:t>×</w:t>
      </w:r>
      <w:r>
        <w:rPr>
          <w:rFonts w:hint="eastAsia" w:asciiTheme="minorEastAsia" w:hAnsiTheme="minorEastAsia" w:eastAsiaTheme="minorEastAsia"/>
          <w:snapToGrid w:val="0"/>
          <w:lang w:eastAsia="zh-CN"/>
        </w:rPr>
        <w:t>500kw燃气发电机组及发电机房，拆除现有的2</w:t>
      </w:r>
      <w:r>
        <w:rPr>
          <w:rFonts w:asciiTheme="minorEastAsia" w:hAnsiTheme="minorEastAsia" w:eastAsiaTheme="minorEastAsia"/>
          <w:snapToGrid w:val="0"/>
          <w:lang w:eastAsia="zh-CN"/>
        </w:rPr>
        <w:t>×</w:t>
      </w:r>
      <w:r>
        <w:rPr>
          <w:rFonts w:hint="eastAsia" w:asciiTheme="minorEastAsia" w:hAnsiTheme="minorEastAsia" w:eastAsiaTheme="minorEastAsia"/>
          <w:snapToGrid w:val="0"/>
          <w:lang w:eastAsia="zh-CN"/>
        </w:rPr>
        <w:t>200kw燃气发电机组及机房，新建1座发电机房，设置6</w:t>
      </w:r>
      <w:r>
        <w:rPr>
          <w:rFonts w:asciiTheme="minorEastAsia" w:hAnsiTheme="minorEastAsia" w:eastAsiaTheme="minorEastAsia"/>
          <w:snapToGrid w:val="0"/>
          <w:lang w:eastAsia="zh-CN"/>
        </w:rPr>
        <w:t>×</w:t>
      </w:r>
      <w:r>
        <w:rPr>
          <w:rFonts w:hint="eastAsia" w:asciiTheme="minorEastAsia" w:hAnsiTheme="minorEastAsia" w:eastAsiaTheme="minorEastAsia"/>
          <w:snapToGrid w:val="0"/>
          <w:lang w:eastAsia="zh-CN"/>
        </w:rPr>
        <w:t>400kw燃气发电机组。保留现有的</w:t>
      </w:r>
      <w:r>
        <w:rPr>
          <w:rFonts w:asciiTheme="minorEastAsia" w:hAnsiTheme="minorEastAsia" w:eastAsiaTheme="minorEastAsia"/>
          <w:snapToGrid w:val="0"/>
          <w:lang w:eastAsia="zh-CN"/>
        </w:rPr>
        <w:t>1000kW</w:t>
      </w:r>
      <w:r>
        <w:rPr>
          <w:rFonts w:hint="eastAsia" w:asciiTheme="minorEastAsia" w:hAnsiTheme="minorEastAsia" w:eastAsiaTheme="minorEastAsia"/>
          <w:snapToGrid w:val="0"/>
          <w:lang w:eastAsia="zh-CN"/>
        </w:rPr>
        <w:t>管式加热炉，新设置1台</w:t>
      </w:r>
      <w:r>
        <w:rPr>
          <w:rFonts w:asciiTheme="minorEastAsia" w:hAnsiTheme="minorEastAsia" w:eastAsiaTheme="minorEastAsia"/>
          <w:snapToGrid w:val="0"/>
          <w:lang w:eastAsia="zh-CN"/>
        </w:rPr>
        <w:t>3000kW</w:t>
      </w:r>
      <w:r>
        <w:rPr>
          <w:rFonts w:hint="eastAsia" w:asciiTheme="minorEastAsia" w:hAnsiTheme="minorEastAsia" w:eastAsiaTheme="minorEastAsia"/>
          <w:snapToGrid w:val="0"/>
          <w:lang w:eastAsia="zh-CN"/>
        </w:rPr>
        <w:t>管式加热炉。加热炉和燃气发电机</w:t>
      </w:r>
      <w:r>
        <w:rPr>
          <w:rFonts w:asciiTheme="minorEastAsia" w:hAnsiTheme="minorEastAsia" w:eastAsiaTheme="minorEastAsia"/>
          <w:snapToGrid w:val="0"/>
          <w:lang w:eastAsia="zh-CN"/>
        </w:rPr>
        <w:t>主要燃用乌里雅斯太油田</w:t>
      </w:r>
      <w:r>
        <w:rPr>
          <w:rFonts w:hint="eastAsia" w:asciiTheme="minorEastAsia" w:hAnsiTheme="minorEastAsia" w:eastAsiaTheme="minorEastAsia"/>
          <w:snapToGrid w:val="0"/>
          <w:lang w:eastAsia="zh-CN"/>
        </w:rPr>
        <w:t>原油分离产生的伴生气，经处理后的伴生气主要成分为CH</w:t>
      </w:r>
      <w:r>
        <w:rPr>
          <w:rFonts w:hint="eastAsia" w:asciiTheme="minorEastAsia" w:hAnsiTheme="minorEastAsia" w:eastAsiaTheme="minorEastAsia"/>
          <w:snapToGrid w:val="0"/>
          <w:vertAlign w:val="subscript"/>
          <w:lang w:eastAsia="zh-CN"/>
        </w:rPr>
        <w:t>4</w:t>
      </w:r>
      <w:r>
        <w:rPr>
          <w:rFonts w:hint="eastAsia" w:asciiTheme="minorEastAsia" w:hAnsiTheme="minorEastAsia" w:eastAsiaTheme="minorEastAsia"/>
          <w:snapToGrid w:val="0"/>
          <w:lang w:eastAsia="zh-CN"/>
        </w:rPr>
        <w:t>和N</w:t>
      </w:r>
      <w:r>
        <w:rPr>
          <w:rFonts w:hint="eastAsia" w:asciiTheme="minorEastAsia" w:hAnsiTheme="minorEastAsia" w:eastAsiaTheme="minorEastAsia"/>
          <w:snapToGrid w:val="0"/>
          <w:vertAlign w:val="subscript"/>
          <w:lang w:eastAsia="zh-CN"/>
        </w:rPr>
        <w:t>2</w:t>
      </w:r>
      <w:r>
        <w:rPr>
          <w:rFonts w:hint="eastAsia" w:asciiTheme="minorEastAsia" w:hAnsiTheme="minorEastAsia" w:eastAsiaTheme="minorEastAsia"/>
          <w:snapToGrid w:val="0"/>
          <w:lang w:eastAsia="zh-CN"/>
        </w:rPr>
        <w:t>，其中CH</w:t>
      </w:r>
      <w:r>
        <w:rPr>
          <w:rFonts w:hint="eastAsia" w:asciiTheme="minorEastAsia" w:hAnsiTheme="minorEastAsia" w:eastAsiaTheme="minorEastAsia"/>
          <w:snapToGrid w:val="0"/>
          <w:vertAlign w:val="subscript"/>
          <w:lang w:eastAsia="zh-CN"/>
        </w:rPr>
        <w:t>4</w:t>
      </w:r>
      <w:r>
        <w:rPr>
          <w:rFonts w:hint="eastAsia" w:asciiTheme="minorEastAsia" w:hAnsiTheme="minorEastAsia" w:eastAsiaTheme="minorEastAsia"/>
          <w:snapToGrid w:val="0"/>
          <w:lang w:eastAsia="zh-CN"/>
        </w:rPr>
        <w:t>含量平均占97.95%，N</w:t>
      </w:r>
      <w:r>
        <w:rPr>
          <w:rFonts w:hint="eastAsia" w:asciiTheme="minorEastAsia" w:hAnsiTheme="minorEastAsia" w:eastAsiaTheme="minorEastAsia"/>
          <w:snapToGrid w:val="0"/>
          <w:vertAlign w:val="subscript"/>
          <w:lang w:eastAsia="zh-CN"/>
        </w:rPr>
        <w:t>2</w:t>
      </w:r>
      <w:r>
        <w:rPr>
          <w:rFonts w:hint="eastAsia" w:asciiTheme="minorEastAsia" w:hAnsiTheme="minorEastAsia" w:eastAsiaTheme="minorEastAsia"/>
          <w:snapToGrid w:val="0"/>
          <w:lang w:eastAsia="zh-CN"/>
        </w:rPr>
        <w:t>含量平均占2.05%。改扩建后加热炉和燃气发电机组</w:t>
      </w:r>
      <w:r>
        <w:rPr>
          <w:rFonts w:asciiTheme="minorEastAsia" w:hAnsiTheme="minorEastAsia" w:eastAsiaTheme="minorEastAsia"/>
          <w:snapToGrid w:val="0"/>
          <w:lang w:eastAsia="zh-CN"/>
        </w:rPr>
        <w:t>每年</w:t>
      </w:r>
      <w:r>
        <w:rPr>
          <w:rFonts w:hint="eastAsia" w:asciiTheme="minorEastAsia" w:hAnsiTheme="minorEastAsia" w:eastAsiaTheme="minorEastAsia"/>
          <w:snapToGrid w:val="0"/>
          <w:lang w:eastAsia="zh-CN"/>
        </w:rPr>
        <w:t>耗燃气量1095</w:t>
      </w:r>
      <w:r>
        <w:rPr>
          <w:rFonts w:asciiTheme="minorEastAsia" w:hAnsiTheme="minorEastAsia" w:eastAsiaTheme="minorEastAsia"/>
          <w:snapToGrid w:val="0"/>
          <w:lang w:eastAsia="zh-CN"/>
        </w:rPr>
        <w:t>×</w:t>
      </w:r>
      <w:r>
        <w:rPr>
          <w:rFonts w:hint="eastAsia" w:asciiTheme="minorEastAsia" w:hAnsiTheme="minorEastAsia" w:eastAsiaTheme="minorEastAsia"/>
          <w:snapToGrid w:val="0"/>
          <w:lang w:eastAsia="zh-CN"/>
        </w:rPr>
        <w:t>10</w:t>
      </w:r>
      <w:r>
        <w:rPr>
          <w:rFonts w:hint="eastAsia" w:asciiTheme="minorEastAsia" w:hAnsiTheme="minorEastAsia" w:eastAsiaTheme="minorEastAsia"/>
          <w:snapToGrid w:val="0"/>
          <w:vertAlign w:val="superscript"/>
          <w:lang w:eastAsia="zh-CN"/>
        </w:rPr>
        <w:t>4</w:t>
      </w:r>
      <w:r>
        <w:rPr>
          <w:rFonts w:hint="eastAsia" w:asciiTheme="minorEastAsia" w:hAnsiTheme="minorEastAsia" w:eastAsiaTheme="minorEastAsia"/>
          <w:snapToGrid w:val="0"/>
          <w:lang w:eastAsia="zh-CN"/>
        </w:rPr>
        <w:t>m</w:t>
      </w:r>
      <w:r>
        <w:rPr>
          <w:rFonts w:hint="eastAsia" w:asciiTheme="minorEastAsia" w:hAnsiTheme="minorEastAsia" w:eastAsiaTheme="minorEastAsia"/>
          <w:snapToGrid w:val="0"/>
          <w:vertAlign w:val="superscript"/>
          <w:lang w:eastAsia="zh-CN"/>
        </w:rPr>
        <w:t>3</w:t>
      </w:r>
      <w:r>
        <w:rPr>
          <w:rFonts w:hint="eastAsia" w:asciiTheme="minorEastAsia" w:hAnsiTheme="minorEastAsia" w:eastAsiaTheme="minorEastAsia"/>
          <w:snapToGrid w:val="0"/>
          <w:lang w:eastAsia="zh-CN"/>
        </w:rPr>
        <w:t>/a（3</w:t>
      </w:r>
      <w:r>
        <w:rPr>
          <w:rFonts w:asciiTheme="minorEastAsia" w:hAnsiTheme="minorEastAsia" w:eastAsiaTheme="minorEastAsia"/>
          <w:snapToGrid w:val="0"/>
          <w:lang w:eastAsia="zh-CN"/>
        </w:rPr>
        <w:t>×</w:t>
      </w:r>
      <w:r>
        <w:rPr>
          <w:rFonts w:hint="eastAsia" w:asciiTheme="minorEastAsia" w:hAnsiTheme="minorEastAsia" w:eastAsiaTheme="minorEastAsia"/>
          <w:snapToGrid w:val="0"/>
          <w:lang w:eastAsia="zh-CN"/>
        </w:rPr>
        <w:t>10</w:t>
      </w:r>
      <w:r>
        <w:rPr>
          <w:rFonts w:hint="eastAsia" w:asciiTheme="minorEastAsia" w:hAnsiTheme="minorEastAsia" w:eastAsiaTheme="minorEastAsia"/>
          <w:snapToGrid w:val="0"/>
          <w:vertAlign w:val="superscript"/>
          <w:lang w:eastAsia="zh-CN"/>
        </w:rPr>
        <w:t>4</w:t>
      </w:r>
      <w:r>
        <w:rPr>
          <w:rFonts w:hint="eastAsia" w:asciiTheme="minorEastAsia" w:hAnsiTheme="minorEastAsia" w:eastAsiaTheme="minorEastAsia"/>
          <w:snapToGrid w:val="0"/>
          <w:lang w:eastAsia="zh-CN"/>
        </w:rPr>
        <w:t>m</w:t>
      </w:r>
      <w:r>
        <w:rPr>
          <w:rFonts w:hint="eastAsia" w:asciiTheme="minorEastAsia" w:hAnsiTheme="minorEastAsia" w:eastAsiaTheme="minorEastAsia"/>
          <w:snapToGrid w:val="0"/>
          <w:vertAlign w:val="superscript"/>
          <w:lang w:eastAsia="zh-CN"/>
        </w:rPr>
        <w:t>3</w:t>
      </w:r>
      <w:r>
        <w:rPr>
          <w:rFonts w:hint="eastAsia" w:asciiTheme="minorEastAsia" w:hAnsiTheme="minorEastAsia" w:eastAsiaTheme="minorEastAsia"/>
          <w:snapToGrid w:val="0"/>
          <w:lang w:eastAsia="zh-CN"/>
        </w:rPr>
        <w:t>/d），二氧化硫的</w:t>
      </w:r>
      <w:r>
        <w:rPr>
          <w:rFonts w:asciiTheme="minorEastAsia" w:hAnsiTheme="minorEastAsia" w:eastAsiaTheme="minorEastAsia"/>
          <w:snapToGrid w:val="0"/>
          <w:lang w:eastAsia="zh-CN"/>
        </w:rPr>
        <w:t>排放</w:t>
      </w:r>
      <w:r>
        <w:rPr>
          <w:rFonts w:hint="eastAsia" w:asciiTheme="minorEastAsia" w:hAnsiTheme="minorEastAsia" w:eastAsiaTheme="minorEastAsia"/>
          <w:snapToGrid w:val="0"/>
          <w:lang w:eastAsia="zh-CN"/>
        </w:rPr>
        <w:t>总</w:t>
      </w:r>
      <w:r>
        <w:rPr>
          <w:rFonts w:asciiTheme="minorEastAsia" w:hAnsiTheme="minorEastAsia" w:eastAsiaTheme="minorEastAsia"/>
          <w:snapToGrid w:val="0"/>
          <w:lang w:eastAsia="zh-CN"/>
        </w:rPr>
        <w:t>量为</w:t>
      </w:r>
      <w:r>
        <w:rPr>
          <w:rFonts w:hint="eastAsia" w:asciiTheme="minorEastAsia" w:hAnsiTheme="minorEastAsia" w:eastAsiaTheme="minorEastAsia"/>
          <w:snapToGrid w:val="0"/>
          <w:lang w:eastAsia="zh-CN"/>
        </w:rPr>
        <w:t>0.52</w:t>
      </w:r>
      <w:r>
        <w:rPr>
          <w:rFonts w:asciiTheme="minorEastAsia" w:hAnsiTheme="minorEastAsia" w:eastAsiaTheme="minorEastAsia"/>
          <w:snapToGrid w:val="0"/>
          <w:lang w:eastAsia="zh-CN"/>
        </w:rPr>
        <w:t>t/a，</w:t>
      </w:r>
      <w:r>
        <w:rPr>
          <w:rFonts w:hint="eastAsia" w:asciiTheme="minorEastAsia" w:hAnsiTheme="minorEastAsia" w:eastAsiaTheme="minorEastAsia"/>
          <w:snapToGrid w:val="0"/>
          <w:lang w:eastAsia="zh-CN"/>
        </w:rPr>
        <w:t>烟尘排放总量为0.77</w:t>
      </w:r>
      <w:r>
        <w:rPr>
          <w:rFonts w:asciiTheme="minorEastAsia" w:hAnsiTheme="minorEastAsia" w:eastAsiaTheme="minorEastAsia"/>
          <w:snapToGrid w:val="0"/>
          <w:lang w:eastAsia="zh-CN"/>
        </w:rPr>
        <w:t>t/a</w:t>
      </w:r>
      <w:r>
        <w:rPr>
          <w:rFonts w:hint="eastAsia" w:asciiTheme="minorEastAsia" w:hAnsiTheme="minorEastAsia" w:eastAsiaTheme="minorEastAsia"/>
          <w:snapToGrid w:val="0"/>
          <w:lang w:eastAsia="zh-CN"/>
        </w:rPr>
        <w:t>，</w:t>
      </w:r>
      <w:r>
        <w:rPr>
          <w:rFonts w:asciiTheme="minorEastAsia" w:hAnsiTheme="minorEastAsia" w:eastAsiaTheme="minorEastAsia"/>
          <w:snapToGrid w:val="0"/>
          <w:lang w:eastAsia="zh-CN"/>
        </w:rPr>
        <w:t>氮氧化物的排放量</w:t>
      </w:r>
      <w:r>
        <w:rPr>
          <w:rFonts w:hint="eastAsia" w:asciiTheme="minorEastAsia" w:hAnsiTheme="minorEastAsia" w:eastAsiaTheme="minorEastAsia"/>
          <w:snapToGrid w:val="0"/>
          <w:lang w:eastAsia="zh-CN"/>
        </w:rPr>
        <w:t>1.621</w:t>
      </w:r>
      <w:r>
        <w:rPr>
          <w:rFonts w:asciiTheme="minorEastAsia" w:hAnsiTheme="minorEastAsia" w:eastAsiaTheme="minorEastAsia"/>
          <w:snapToGrid w:val="0"/>
          <w:lang w:eastAsia="zh-CN"/>
        </w:rPr>
        <w:t xml:space="preserve"> t/a</w:t>
      </w:r>
      <w:r>
        <w:rPr>
          <w:rFonts w:hint="eastAsia" w:asciiTheme="minorEastAsia" w:hAnsiTheme="minorEastAsia" w:eastAsiaTheme="minorEastAsia"/>
          <w:snapToGrid w:val="0"/>
          <w:lang w:eastAsia="zh-CN"/>
        </w:rPr>
        <w:t>。</w:t>
      </w:r>
    </w:p>
    <w:p w14:paraId="61DF3172">
      <w:pPr>
        <w:ind w:firstLine="480"/>
        <w:rPr>
          <w:rFonts w:asciiTheme="minorEastAsia" w:hAnsiTheme="minorEastAsia" w:eastAsiaTheme="minorEastAsia"/>
          <w:snapToGrid w:val="0"/>
          <w:lang w:eastAsia="zh-CN"/>
        </w:rPr>
      </w:pPr>
      <w:r>
        <w:rPr>
          <w:rFonts w:hint="eastAsia" w:asciiTheme="minorEastAsia" w:hAnsiTheme="minorEastAsia" w:eastAsiaTheme="minorEastAsia"/>
          <w:snapToGrid w:val="0"/>
          <w:lang w:eastAsia="zh-CN"/>
        </w:rPr>
        <w:t>工程新增废气主要污染物排放量为：烟尘排放总量为0.336</w:t>
      </w:r>
      <w:r>
        <w:rPr>
          <w:rFonts w:asciiTheme="minorEastAsia" w:hAnsiTheme="minorEastAsia" w:eastAsiaTheme="minorEastAsia"/>
          <w:snapToGrid w:val="0"/>
          <w:lang w:eastAsia="zh-CN"/>
        </w:rPr>
        <w:t>t/a</w:t>
      </w:r>
      <w:r>
        <w:rPr>
          <w:rFonts w:hint="eastAsia" w:asciiTheme="minorEastAsia" w:hAnsiTheme="minorEastAsia" w:eastAsiaTheme="minorEastAsia"/>
          <w:snapToGrid w:val="0"/>
          <w:lang w:eastAsia="zh-CN"/>
        </w:rPr>
        <w:t>，二氧化硫</w:t>
      </w:r>
      <w:r>
        <w:rPr>
          <w:rFonts w:asciiTheme="minorEastAsia" w:hAnsiTheme="minorEastAsia" w:eastAsiaTheme="minorEastAsia"/>
          <w:snapToGrid w:val="0"/>
          <w:lang w:eastAsia="zh-CN"/>
        </w:rPr>
        <w:t>为</w:t>
      </w:r>
      <w:r>
        <w:rPr>
          <w:rFonts w:hint="eastAsia" w:asciiTheme="minorEastAsia" w:hAnsiTheme="minorEastAsia" w:eastAsiaTheme="minorEastAsia"/>
          <w:snapToGrid w:val="0"/>
          <w:lang w:eastAsia="zh-CN"/>
        </w:rPr>
        <w:t>0.231</w:t>
      </w:r>
      <w:r>
        <w:rPr>
          <w:rFonts w:asciiTheme="minorEastAsia" w:hAnsiTheme="minorEastAsia" w:eastAsiaTheme="minorEastAsia"/>
          <w:snapToGrid w:val="0"/>
          <w:lang w:eastAsia="zh-CN"/>
        </w:rPr>
        <w:t>t/a，氮氧化物的排放量</w:t>
      </w:r>
      <w:r>
        <w:rPr>
          <w:rFonts w:hint="eastAsia" w:asciiTheme="minorEastAsia" w:hAnsiTheme="minorEastAsia" w:eastAsiaTheme="minorEastAsia"/>
          <w:snapToGrid w:val="0"/>
          <w:lang w:eastAsia="zh-CN"/>
        </w:rPr>
        <w:t>0.798</w:t>
      </w:r>
      <w:r>
        <w:rPr>
          <w:rFonts w:asciiTheme="minorEastAsia" w:hAnsiTheme="minorEastAsia" w:eastAsiaTheme="minorEastAsia"/>
          <w:snapToGrid w:val="0"/>
          <w:lang w:eastAsia="zh-CN"/>
        </w:rPr>
        <w:t xml:space="preserve"> t/a</w:t>
      </w:r>
      <w:r>
        <w:rPr>
          <w:rFonts w:hint="eastAsia" w:asciiTheme="minorEastAsia" w:hAnsiTheme="minorEastAsia" w:eastAsiaTheme="minorEastAsia"/>
          <w:snapToGrid w:val="0"/>
          <w:lang w:eastAsia="zh-CN"/>
        </w:rPr>
        <w:t>。</w:t>
      </w:r>
    </w:p>
    <w:p w14:paraId="7CE23640">
      <w:pPr>
        <w:ind w:firstLine="480"/>
        <w:outlineLvl w:val="0"/>
        <w:rPr>
          <w:rFonts w:asciiTheme="minorEastAsia" w:hAnsiTheme="minorEastAsia" w:eastAsiaTheme="minorEastAsia"/>
          <w:snapToGrid w:val="0"/>
          <w:lang w:eastAsia="zh-CN"/>
        </w:rPr>
      </w:pPr>
      <w:r>
        <w:rPr>
          <w:rFonts w:hint="eastAsia" w:asciiTheme="minorEastAsia" w:hAnsiTheme="minorEastAsia" w:eastAsiaTheme="minorEastAsia"/>
          <w:snapToGrid w:val="0"/>
          <w:lang w:eastAsia="zh-CN"/>
        </w:rPr>
        <w:t>2、废水污染物排放说明</w:t>
      </w:r>
    </w:p>
    <w:p w14:paraId="243260A5">
      <w:pPr>
        <w:ind w:firstLine="480"/>
        <w:rPr>
          <w:rFonts w:asciiTheme="minorEastAsia" w:hAnsiTheme="minorEastAsia" w:eastAsiaTheme="minorEastAsia"/>
          <w:snapToGrid w:val="0"/>
          <w:lang w:eastAsia="zh-CN"/>
        </w:rPr>
      </w:pPr>
      <w:r>
        <w:rPr>
          <w:rFonts w:hint="eastAsia" w:asciiTheme="minorEastAsia" w:hAnsiTheme="minorEastAsia" w:eastAsiaTheme="minorEastAsia"/>
          <w:snapToGrid w:val="0"/>
          <w:lang w:eastAsia="zh-CN"/>
        </w:rPr>
        <w:t>扩建前雅斯联合站建有污水处理系统处理规模为50m</w:t>
      </w:r>
      <w:r>
        <w:rPr>
          <w:rFonts w:hint="eastAsia" w:asciiTheme="minorEastAsia" w:hAnsiTheme="minorEastAsia" w:eastAsiaTheme="minorEastAsia"/>
          <w:snapToGrid w:val="0"/>
          <w:vertAlign w:val="superscript"/>
          <w:lang w:eastAsia="zh-CN"/>
        </w:rPr>
        <w:t>3</w:t>
      </w:r>
      <w:r>
        <w:rPr>
          <w:rFonts w:hint="eastAsia" w:asciiTheme="minorEastAsia" w:hAnsiTheme="minorEastAsia" w:eastAsiaTheme="minorEastAsia"/>
          <w:snapToGrid w:val="0"/>
          <w:lang w:eastAsia="zh-CN"/>
        </w:rPr>
        <w:t>/d，生产废水进污水处理系统，经除油、过滤处理后回注地层，不外排。生活污水进化粪池处理后排入蒸发池，用于绿化或者洒水抑尘，不外排。废水污染物排放量为化学需氧量0t/a，氨氮0t/a。</w:t>
      </w:r>
    </w:p>
    <w:p w14:paraId="51D06CFF">
      <w:pPr>
        <w:ind w:firstLine="480"/>
        <w:rPr>
          <w:rFonts w:asciiTheme="minorEastAsia" w:hAnsiTheme="minorEastAsia" w:eastAsiaTheme="minorEastAsia"/>
          <w:snapToGrid w:val="0"/>
          <w:lang w:eastAsia="zh-CN"/>
        </w:rPr>
      </w:pPr>
      <w:r>
        <w:rPr>
          <w:rFonts w:hint="eastAsia" w:asciiTheme="minorEastAsia" w:hAnsiTheme="minorEastAsia" w:eastAsiaTheme="minorEastAsia"/>
          <w:snapToGrid w:val="0"/>
          <w:lang w:eastAsia="zh-CN"/>
        </w:rPr>
        <w:t>本次改扩建工程雅斯联合站扩建污水处理系统规模达到300m</w:t>
      </w:r>
      <w:r>
        <w:rPr>
          <w:rFonts w:hint="eastAsia" w:asciiTheme="minorEastAsia" w:hAnsiTheme="minorEastAsia" w:eastAsiaTheme="minorEastAsia"/>
          <w:snapToGrid w:val="0"/>
          <w:vertAlign w:val="superscript"/>
          <w:lang w:eastAsia="zh-CN"/>
        </w:rPr>
        <w:t>3</w:t>
      </w:r>
      <w:r>
        <w:rPr>
          <w:rFonts w:hint="eastAsia" w:asciiTheme="minorEastAsia" w:hAnsiTheme="minorEastAsia" w:eastAsiaTheme="minorEastAsia"/>
          <w:snapToGrid w:val="0"/>
          <w:lang w:eastAsia="zh-CN"/>
        </w:rPr>
        <w:t>/d，生产废水经污水处理系统处理后全部回注地层，不外排。联合站生活污水经地埋式一体化处理设施 WSZ-3处理后进入蒸发池，用于绿化或者洒水降尘。废水污染物排放量为化学需氧量0t/a，氨氮0t/a。</w:t>
      </w:r>
    </w:p>
    <w:p w14:paraId="1F7D75A7">
      <w:pPr>
        <w:ind w:firstLine="480"/>
        <w:rPr>
          <w:rFonts w:asciiTheme="minorEastAsia" w:hAnsiTheme="minorEastAsia" w:eastAsiaTheme="minorEastAsia"/>
          <w:snapToGrid w:val="0"/>
          <w:lang w:eastAsia="zh-CN"/>
        </w:rPr>
      </w:pPr>
      <w:r>
        <w:rPr>
          <w:rFonts w:asciiTheme="minorEastAsia" w:hAnsiTheme="minorEastAsia" w:eastAsiaTheme="minorEastAsia"/>
          <w:snapToGrid w:val="0"/>
          <w:lang w:eastAsia="zh-CN"/>
        </w:rPr>
        <w:t>本评价最终核定的污染物排放总量见表1</w:t>
      </w:r>
      <w:r>
        <w:rPr>
          <w:rFonts w:hint="eastAsia" w:asciiTheme="minorEastAsia" w:hAnsiTheme="minorEastAsia" w:eastAsiaTheme="minorEastAsia"/>
          <w:snapToGrid w:val="0"/>
          <w:lang w:eastAsia="zh-CN"/>
        </w:rPr>
        <w:t>2</w:t>
      </w:r>
      <w:r>
        <w:rPr>
          <w:rFonts w:asciiTheme="minorEastAsia" w:hAnsiTheme="minorEastAsia" w:eastAsiaTheme="minorEastAsia"/>
          <w:snapToGrid w:val="0"/>
          <w:lang w:eastAsia="zh-CN"/>
        </w:rPr>
        <w:t>.</w:t>
      </w:r>
      <w:r>
        <w:rPr>
          <w:rFonts w:hint="eastAsia" w:asciiTheme="minorEastAsia" w:hAnsiTheme="minorEastAsia" w:eastAsiaTheme="minorEastAsia"/>
          <w:snapToGrid w:val="0"/>
          <w:lang w:eastAsia="zh-CN"/>
        </w:rPr>
        <w:t>2</w:t>
      </w:r>
      <w:r>
        <w:rPr>
          <w:rFonts w:asciiTheme="minorEastAsia" w:hAnsiTheme="minorEastAsia" w:eastAsiaTheme="minorEastAsia"/>
          <w:snapToGrid w:val="0"/>
          <w:lang w:eastAsia="zh-CN"/>
        </w:rPr>
        <w:t>-1。</w:t>
      </w:r>
    </w:p>
    <w:p w14:paraId="08C15E83">
      <w:pPr>
        <w:ind w:firstLine="241" w:firstLineChars="100"/>
        <w:rPr>
          <w:b/>
          <w:kern w:val="2"/>
          <w:szCs w:val="24"/>
          <w:lang w:eastAsia="zh-CN" w:bidi="ar-SA"/>
        </w:rPr>
      </w:pPr>
    </w:p>
    <w:p w14:paraId="33B1D0A2">
      <w:pPr>
        <w:ind w:firstLine="241" w:firstLineChars="100"/>
        <w:rPr>
          <w:b/>
          <w:kern w:val="2"/>
          <w:szCs w:val="24"/>
          <w:lang w:eastAsia="zh-CN" w:bidi="ar-SA"/>
        </w:rPr>
      </w:pPr>
    </w:p>
    <w:p w14:paraId="1E0E38C3">
      <w:pPr>
        <w:spacing w:line="240" w:lineRule="auto"/>
        <w:ind w:firstLine="361" w:firstLineChars="150"/>
        <w:rPr>
          <w:b/>
          <w:kern w:val="2"/>
          <w:szCs w:val="24"/>
          <w:lang w:eastAsia="zh-CN" w:bidi="ar-SA"/>
        </w:rPr>
      </w:pPr>
    </w:p>
    <w:p w14:paraId="7613AB76">
      <w:pPr>
        <w:spacing w:line="240" w:lineRule="auto"/>
        <w:ind w:firstLine="361" w:firstLineChars="150"/>
        <w:rPr>
          <w:b/>
          <w:kern w:val="2"/>
          <w:szCs w:val="24"/>
          <w:lang w:eastAsia="zh-CN" w:bidi="ar-SA"/>
        </w:rPr>
      </w:pPr>
      <w:r>
        <w:rPr>
          <w:b/>
          <w:kern w:val="2"/>
          <w:szCs w:val="24"/>
          <w:lang w:eastAsia="zh-CN" w:bidi="ar-SA"/>
        </w:rPr>
        <w:t>表1</w:t>
      </w:r>
      <w:r>
        <w:rPr>
          <w:rFonts w:hint="eastAsia"/>
          <w:b/>
          <w:kern w:val="2"/>
          <w:szCs w:val="24"/>
          <w:lang w:eastAsia="zh-CN" w:bidi="ar-SA"/>
        </w:rPr>
        <w:t>2</w:t>
      </w:r>
      <w:r>
        <w:rPr>
          <w:b/>
          <w:kern w:val="2"/>
          <w:szCs w:val="24"/>
          <w:lang w:eastAsia="zh-CN" w:bidi="ar-SA"/>
        </w:rPr>
        <w:t>.</w:t>
      </w:r>
      <w:r>
        <w:rPr>
          <w:rFonts w:hint="eastAsia"/>
          <w:b/>
          <w:kern w:val="2"/>
          <w:szCs w:val="24"/>
          <w:lang w:eastAsia="zh-CN" w:bidi="ar-SA"/>
        </w:rPr>
        <w:t>2</w:t>
      </w:r>
      <w:r>
        <w:rPr>
          <w:b/>
          <w:kern w:val="2"/>
          <w:szCs w:val="24"/>
          <w:lang w:eastAsia="zh-CN" w:bidi="ar-SA"/>
        </w:rPr>
        <w:t xml:space="preserve">-1  </w:t>
      </w:r>
      <w:r>
        <w:rPr>
          <w:rFonts w:hint="eastAsia"/>
          <w:b/>
          <w:kern w:val="2"/>
          <w:szCs w:val="24"/>
          <w:lang w:eastAsia="zh-CN" w:bidi="ar-SA"/>
        </w:rPr>
        <w:t xml:space="preserve">    主要</w:t>
      </w:r>
      <w:r>
        <w:rPr>
          <w:b/>
          <w:kern w:val="2"/>
          <w:szCs w:val="24"/>
          <w:lang w:eastAsia="zh-CN" w:bidi="ar-SA"/>
        </w:rPr>
        <w:t>污染物排放总量一览表</w:t>
      </w:r>
    </w:p>
    <w:tbl>
      <w:tblPr>
        <w:tblStyle w:val="7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44"/>
        <w:gridCol w:w="1462"/>
        <w:gridCol w:w="1571"/>
        <w:gridCol w:w="1484"/>
        <w:gridCol w:w="1484"/>
        <w:gridCol w:w="1484"/>
      </w:tblGrid>
      <w:tr w14:paraId="3E0E8D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44" w:type="dxa"/>
            <w:tcBorders>
              <w:tl2br w:val="single" w:color="auto" w:sz="6" w:space="0"/>
            </w:tcBorders>
            <w:vAlign w:val="center"/>
          </w:tcPr>
          <w:p w14:paraId="783B9A41">
            <w:pPr>
              <w:spacing w:line="240" w:lineRule="auto"/>
              <w:ind w:firstLine="210" w:firstLineChars="100"/>
              <w:jc w:val="center"/>
              <w:rPr>
                <w:kern w:val="2"/>
                <w:sz w:val="21"/>
                <w:szCs w:val="21"/>
                <w:lang w:eastAsia="zh-CN" w:bidi="ar-SA"/>
              </w:rPr>
            </w:pPr>
            <w:r>
              <w:rPr>
                <w:kern w:val="2"/>
                <w:sz w:val="21"/>
                <w:szCs w:val="21"/>
                <w:lang w:eastAsia="zh-CN" w:bidi="ar-SA"/>
              </w:rPr>
              <w:t>类型</w:t>
            </w:r>
          </w:p>
          <w:p w14:paraId="7D2C2AD3">
            <w:pPr>
              <w:spacing w:line="240" w:lineRule="auto"/>
              <w:ind w:firstLine="0" w:firstLineChars="0"/>
              <w:jc w:val="center"/>
              <w:rPr>
                <w:kern w:val="2"/>
                <w:sz w:val="21"/>
                <w:szCs w:val="21"/>
                <w:lang w:eastAsia="zh-CN" w:bidi="ar-SA"/>
              </w:rPr>
            </w:pPr>
            <w:r>
              <w:rPr>
                <w:kern w:val="2"/>
                <w:sz w:val="21"/>
                <w:szCs w:val="21"/>
                <w:lang w:eastAsia="zh-CN" w:bidi="ar-SA"/>
              </w:rPr>
              <w:t>指标</w:t>
            </w:r>
          </w:p>
        </w:tc>
        <w:tc>
          <w:tcPr>
            <w:tcW w:w="1462" w:type="dxa"/>
            <w:vAlign w:val="center"/>
          </w:tcPr>
          <w:p w14:paraId="478ABBFA">
            <w:pPr>
              <w:spacing w:line="240" w:lineRule="auto"/>
              <w:ind w:firstLine="0" w:firstLineChars="0"/>
              <w:jc w:val="center"/>
              <w:rPr>
                <w:kern w:val="2"/>
                <w:sz w:val="21"/>
                <w:szCs w:val="21"/>
                <w:lang w:eastAsia="zh-CN" w:bidi="ar-SA"/>
              </w:rPr>
            </w:pPr>
            <w:r>
              <w:rPr>
                <w:kern w:val="2"/>
                <w:sz w:val="21"/>
                <w:szCs w:val="21"/>
                <w:lang w:eastAsia="zh-CN" w:bidi="ar-SA"/>
              </w:rPr>
              <w:t>污染物</w:t>
            </w:r>
          </w:p>
          <w:p w14:paraId="591F5987">
            <w:pPr>
              <w:spacing w:line="240" w:lineRule="auto"/>
              <w:ind w:firstLine="0" w:firstLineChars="0"/>
              <w:jc w:val="center"/>
              <w:rPr>
                <w:kern w:val="2"/>
                <w:sz w:val="21"/>
                <w:szCs w:val="21"/>
                <w:lang w:eastAsia="zh-CN" w:bidi="ar-SA"/>
              </w:rPr>
            </w:pPr>
            <w:r>
              <w:rPr>
                <w:kern w:val="2"/>
                <w:sz w:val="21"/>
                <w:szCs w:val="21"/>
                <w:lang w:eastAsia="zh-CN" w:bidi="ar-SA"/>
              </w:rPr>
              <w:t>（t/a）</w:t>
            </w:r>
          </w:p>
        </w:tc>
        <w:tc>
          <w:tcPr>
            <w:tcW w:w="1571" w:type="dxa"/>
            <w:vAlign w:val="center"/>
          </w:tcPr>
          <w:p w14:paraId="50525312">
            <w:pPr>
              <w:spacing w:line="240" w:lineRule="auto"/>
              <w:ind w:firstLine="0" w:firstLineChars="0"/>
              <w:jc w:val="center"/>
              <w:rPr>
                <w:kern w:val="2"/>
                <w:sz w:val="21"/>
                <w:szCs w:val="21"/>
                <w:lang w:eastAsia="zh-CN" w:bidi="ar-SA"/>
              </w:rPr>
            </w:pPr>
            <w:r>
              <w:rPr>
                <w:rFonts w:hint="eastAsia"/>
                <w:kern w:val="2"/>
                <w:sz w:val="21"/>
                <w:szCs w:val="21"/>
                <w:lang w:eastAsia="zh-CN" w:bidi="ar-SA"/>
              </w:rPr>
              <w:t>现有工程主要</w:t>
            </w:r>
            <w:r>
              <w:rPr>
                <w:kern w:val="2"/>
                <w:sz w:val="21"/>
                <w:szCs w:val="21"/>
                <w:lang w:eastAsia="zh-CN" w:bidi="ar-SA"/>
              </w:rPr>
              <w:t>污染物排放量</w:t>
            </w:r>
          </w:p>
        </w:tc>
        <w:tc>
          <w:tcPr>
            <w:tcW w:w="1484" w:type="dxa"/>
            <w:vAlign w:val="center"/>
          </w:tcPr>
          <w:p w14:paraId="5C4D2FCF">
            <w:pPr>
              <w:spacing w:line="240" w:lineRule="auto"/>
              <w:ind w:firstLine="0" w:firstLineChars="0"/>
              <w:jc w:val="center"/>
              <w:rPr>
                <w:kern w:val="2"/>
                <w:sz w:val="21"/>
                <w:szCs w:val="21"/>
                <w:lang w:eastAsia="zh-CN" w:bidi="ar-SA"/>
              </w:rPr>
            </w:pPr>
            <w:r>
              <w:rPr>
                <w:rFonts w:hint="eastAsia"/>
                <w:kern w:val="2"/>
                <w:sz w:val="21"/>
                <w:szCs w:val="21"/>
                <w:lang w:eastAsia="zh-CN" w:bidi="ar-SA"/>
              </w:rPr>
              <w:t>改扩建后主要污染物</w:t>
            </w:r>
            <w:r>
              <w:rPr>
                <w:kern w:val="2"/>
                <w:sz w:val="21"/>
                <w:szCs w:val="21"/>
                <w:lang w:eastAsia="zh-CN" w:bidi="ar-SA"/>
              </w:rPr>
              <w:t>排放量</w:t>
            </w:r>
          </w:p>
        </w:tc>
        <w:tc>
          <w:tcPr>
            <w:tcW w:w="1484" w:type="dxa"/>
            <w:vAlign w:val="center"/>
          </w:tcPr>
          <w:p w14:paraId="7F5FEEC8">
            <w:pPr>
              <w:spacing w:line="240" w:lineRule="auto"/>
              <w:ind w:firstLine="0" w:firstLineChars="0"/>
              <w:jc w:val="center"/>
              <w:rPr>
                <w:kern w:val="2"/>
                <w:sz w:val="21"/>
                <w:szCs w:val="21"/>
                <w:lang w:eastAsia="zh-CN" w:bidi="ar-SA"/>
              </w:rPr>
            </w:pPr>
            <w:r>
              <w:rPr>
                <w:kern w:val="2"/>
                <w:sz w:val="21"/>
                <w:szCs w:val="21"/>
                <w:lang w:eastAsia="zh-CN" w:bidi="ar-SA"/>
              </w:rPr>
              <w:t>“以新带老”削减量（t/a）</w:t>
            </w:r>
          </w:p>
        </w:tc>
        <w:tc>
          <w:tcPr>
            <w:tcW w:w="1484" w:type="dxa"/>
            <w:vAlign w:val="center"/>
          </w:tcPr>
          <w:p w14:paraId="029FF0F5">
            <w:pPr>
              <w:spacing w:line="240" w:lineRule="auto"/>
              <w:ind w:firstLine="0" w:firstLineChars="0"/>
              <w:jc w:val="center"/>
              <w:rPr>
                <w:kern w:val="2"/>
                <w:sz w:val="21"/>
                <w:szCs w:val="21"/>
                <w:lang w:eastAsia="zh-CN" w:bidi="ar-SA"/>
              </w:rPr>
            </w:pPr>
            <w:r>
              <w:rPr>
                <w:kern w:val="2"/>
                <w:sz w:val="21"/>
                <w:szCs w:val="21"/>
                <w:lang w:eastAsia="zh-CN" w:bidi="ar-SA"/>
              </w:rPr>
              <w:t>污染物排放增减量</w:t>
            </w:r>
          </w:p>
        </w:tc>
      </w:tr>
      <w:tr w14:paraId="74F841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4" w:hRule="atLeast"/>
        </w:trPr>
        <w:tc>
          <w:tcPr>
            <w:tcW w:w="1044" w:type="dxa"/>
            <w:vMerge w:val="restart"/>
            <w:vAlign w:val="center"/>
          </w:tcPr>
          <w:p w14:paraId="753AC25E">
            <w:pPr>
              <w:spacing w:line="240" w:lineRule="auto"/>
              <w:ind w:firstLine="210" w:firstLineChars="100"/>
              <w:rPr>
                <w:kern w:val="2"/>
                <w:sz w:val="21"/>
                <w:szCs w:val="21"/>
                <w:lang w:eastAsia="zh-CN" w:bidi="ar-SA"/>
              </w:rPr>
            </w:pPr>
            <w:r>
              <w:rPr>
                <w:kern w:val="2"/>
                <w:sz w:val="21"/>
                <w:szCs w:val="21"/>
                <w:lang w:eastAsia="zh-CN" w:bidi="ar-SA"/>
              </w:rPr>
              <w:t>废气</w:t>
            </w:r>
          </w:p>
        </w:tc>
        <w:tc>
          <w:tcPr>
            <w:tcW w:w="1462" w:type="dxa"/>
            <w:vAlign w:val="center"/>
          </w:tcPr>
          <w:p w14:paraId="0E20CAAB">
            <w:pPr>
              <w:spacing w:line="240" w:lineRule="auto"/>
              <w:ind w:firstLine="0" w:firstLineChars="0"/>
              <w:jc w:val="center"/>
              <w:rPr>
                <w:kern w:val="2"/>
                <w:sz w:val="21"/>
                <w:szCs w:val="21"/>
                <w:lang w:eastAsia="zh-CN" w:bidi="ar-SA"/>
              </w:rPr>
            </w:pPr>
            <w:r>
              <w:rPr>
                <w:kern w:val="2"/>
                <w:sz w:val="21"/>
                <w:szCs w:val="21"/>
                <w:lang w:eastAsia="zh-CN" w:bidi="ar-SA"/>
              </w:rPr>
              <w:t>SO</w:t>
            </w:r>
            <w:r>
              <w:rPr>
                <w:kern w:val="2"/>
                <w:sz w:val="21"/>
                <w:szCs w:val="21"/>
                <w:vertAlign w:val="subscript"/>
                <w:lang w:eastAsia="zh-CN" w:bidi="ar-SA"/>
              </w:rPr>
              <w:t>2</w:t>
            </w:r>
            <w:r>
              <w:rPr>
                <w:kern w:val="2"/>
                <w:sz w:val="21"/>
                <w:szCs w:val="21"/>
                <w:lang w:eastAsia="zh-CN" w:bidi="ar-SA"/>
              </w:rPr>
              <w:t>（t/a）</w:t>
            </w:r>
          </w:p>
        </w:tc>
        <w:tc>
          <w:tcPr>
            <w:tcW w:w="1571" w:type="dxa"/>
            <w:vAlign w:val="center"/>
          </w:tcPr>
          <w:p w14:paraId="2B0F588A">
            <w:pPr>
              <w:spacing w:line="240" w:lineRule="auto"/>
              <w:ind w:firstLine="0" w:firstLineChars="0"/>
              <w:jc w:val="center"/>
              <w:rPr>
                <w:kern w:val="2"/>
                <w:sz w:val="21"/>
                <w:szCs w:val="21"/>
                <w:lang w:eastAsia="zh-CN" w:bidi="ar-SA"/>
              </w:rPr>
            </w:pPr>
            <w:r>
              <w:rPr>
                <w:rFonts w:hint="eastAsia"/>
                <w:kern w:val="2"/>
                <w:sz w:val="21"/>
                <w:szCs w:val="21"/>
                <w:lang w:eastAsia="zh-CN" w:bidi="ar-SA"/>
              </w:rPr>
              <w:t>0.29</w:t>
            </w:r>
          </w:p>
        </w:tc>
        <w:tc>
          <w:tcPr>
            <w:tcW w:w="1484" w:type="dxa"/>
            <w:vAlign w:val="center"/>
          </w:tcPr>
          <w:p w14:paraId="52954F0B">
            <w:pPr>
              <w:spacing w:line="240" w:lineRule="auto"/>
              <w:ind w:firstLine="0" w:firstLineChars="0"/>
              <w:jc w:val="center"/>
              <w:rPr>
                <w:kern w:val="2"/>
                <w:sz w:val="21"/>
                <w:szCs w:val="21"/>
                <w:lang w:eastAsia="zh-CN" w:bidi="ar-SA"/>
              </w:rPr>
            </w:pPr>
            <w:r>
              <w:rPr>
                <w:rFonts w:hint="eastAsia"/>
                <w:kern w:val="2"/>
                <w:sz w:val="21"/>
                <w:szCs w:val="21"/>
                <w:lang w:eastAsia="zh-CN" w:bidi="ar-SA"/>
              </w:rPr>
              <w:t>0.521</w:t>
            </w:r>
          </w:p>
        </w:tc>
        <w:tc>
          <w:tcPr>
            <w:tcW w:w="1484" w:type="dxa"/>
            <w:vAlign w:val="center"/>
          </w:tcPr>
          <w:p w14:paraId="370FF5A2">
            <w:pPr>
              <w:spacing w:line="240" w:lineRule="auto"/>
              <w:ind w:firstLine="0" w:firstLineChars="0"/>
              <w:jc w:val="center"/>
              <w:rPr>
                <w:kern w:val="2"/>
                <w:sz w:val="21"/>
                <w:szCs w:val="21"/>
                <w:lang w:eastAsia="zh-CN" w:bidi="ar-SA"/>
              </w:rPr>
            </w:pPr>
            <w:r>
              <w:rPr>
                <w:rFonts w:hint="eastAsia"/>
                <w:kern w:val="2"/>
                <w:sz w:val="21"/>
                <w:szCs w:val="21"/>
                <w:lang w:eastAsia="zh-CN" w:bidi="ar-SA"/>
              </w:rPr>
              <w:t>0</w:t>
            </w:r>
          </w:p>
        </w:tc>
        <w:tc>
          <w:tcPr>
            <w:tcW w:w="1484" w:type="dxa"/>
            <w:vAlign w:val="center"/>
          </w:tcPr>
          <w:p w14:paraId="4708C600">
            <w:pPr>
              <w:spacing w:line="240" w:lineRule="auto"/>
              <w:ind w:firstLine="0" w:firstLineChars="0"/>
              <w:jc w:val="center"/>
              <w:rPr>
                <w:kern w:val="2"/>
                <w:sz w:val="21"/>
                <w:szCs w:val="21"/>
                <w:lang w:eastAsia="zh-CN" w:bidi="ar-SA"/>
              </w:rPr>
            </w:pPr>
            <w:r>
              <w:rPr>
                <w:kern w:val="2"/>
                <w:sz w:val="21"/>
                <w:szCs w:val="21"/>
                <w:lang w:eastAsia="zh-CN" w:bidi="ar-SA"/>
              </w:rPr>
              <w:t>+</w:t>
            </w:r>
            <w:r>
              <w:rPr>
                <w:rFonts w:hint="eastAsia"/>
                <w:kern w:val="2"/>
                <w:sz w:val="21"/>
                <w:szCs w:val="21"/>
                <w:lang w:eastAsia="zh-CN" w:bidi="ar-SA"/>
              </w:rPr>
              <w:t>0.231</w:t>
            </w:r>
          </w:p>
        </w:tc>
      </w:tr>
      <w:tr w14:paraId="51E721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44" w:type="dxa"/>
            <w:vMerge w:val="continue"/>
            <w:vAlign w:val="center"/>
          </w:tcPr>
          <w:p w14:paraId="58135B94">
            <w:pPr>
              <w:spacing w:line="240" w:lineRule="auto"/>
              <w:ind w:firstLine="0" w:firstLineChars="0"/>
              <w:jc w:val="center"/>
              <w:rPr>
                <w:kern w:val="2"/>
                <w:sz w:val="21"/>
                <w:szCs w:val="21"/>
                <w:lang w:eastAsia="zh-CN" w:bidi="ar-SA"/>
              </w:rPr>
            </w:pPr>
          </w:p>
        </w:tc>
        <w:tc>
          <w:tcPr>
            <w:tcW w:w="1462" w:type="dxa"/>
            <w:vAlign w:val="center"/>
          </w:tcPr>
          <w:p w14:paraId="15057856">
            <w:pPr>
              <w:spacing w:line="240" w:lineRule="auto"/>
              <w:ind w:firstLine="0" w:firstLineChars="0"/>
              <w:jc w:val="center"/>
              <w:rPr>
                <w:kern w:val="2"/>
                <w:sz w:val="21"/>
                <w:szCs w:val="21"/>
                <w:lang w:eastAsia="zh-CN" w:bidi="ar-SA"/>
              </w:rPr>
            </w:pPr>
            <w:r>
              <w:rPr>
                <w:kern w:val="2"/>
                <w:sz w:val="21"/>
                <w:szCs w:val="21"/>
                <w:lang w:eastAsia="zh-CN" w:bidi="ar-SA"/>
              </w:rPr>
              <w:t>NO</w:t>
            </w:r>
            <w:r>
              <w:rPr>
                <w:kern w:val="2"/>
                <w:sz w:val="21"/>
                <w:szCs w:val="21"/>
                <w:vertAlign w:val="subscript"/>
                <w:lang w:eastAsia="zh-CN" w:bidi="ar-SA"/>
              </w:rPr>
              <w:t>2</w:t>
            </w:r>
            <w:r>
              <w:rPr>
                <w:kern w:val="2"/>
                <w:sz w:val="21"/>
                <w:szCs w:val="21"/>
                <w:lang w:eastAsia="zh-CN" w:bidi="ar-SA"/>
              </w:rPr>
              <w:t>（t/a）</w:t>
            </w:r>
          </w:p>
        </w:tc>
        <w:tc>
          <w:tcPr>
            <w:tcW w:w="1571" w:type="dxa"/>
            <w:vAlign w:val="center"/>
          </w:tcPr>
          <w:p w14:paraId="027214CE">
            <w:pPr>
              <w:spacing w:line="240" w:lineRule="auto"/>
              <w:ind w:firstLine="0" w:firstLineChars="0"/>
              <w:jc w:val="center"/>
              <w:rPr>
                <w:kern w:val="2"/>
                <w:sz w:val="21"/>
                <w:szCs w:val="21"/>
                <w:lang w:eastAsia="zh-CN" w:bidi="ar-SA"/>
              </w:rPr>
            </w:pPr>
            <w:r>
              <w:rPr>
                <w:rFonts w:hint="eastAsia"/>
                <w:kern w:val="2"/>
                <w:sz w:val="21"/>
                <w:szCs w:val="21"/>
                <w:lang w:eastAsia="zh-CN" w:bidi="ar-SA"/>
              </w:rPr>
              <w:t>0.823</w:t>
            </w:r>
          </w:p>
        </w:tc>
        <w:tc>
          <w:tcPr>
            <w:tcW w:w="1484" w:type="dxa"/>
            <w:vAlign w:val="center"/>
          </w:tcPr>
          <w:p w14:paraId="1706DE98">
            <w:pPr>
              <w:spacing w:line="240" w:lineRule="auto"/>
              <w:ind w:firstLine="0" w:firstLineChars="0"/>
              <w:jc w:val="center"/>
              <w:rPr>
                <w:kern w:val="2"/>
                <w:sz w:val="21"/>
                <w:szCs w:val="21"/>
                <w:lang w:eastAsia="zh-CN" w:bidi="ar-SA"/>
              </w:rPr>
            </w:pPr>
            <w:r>
              <w:rPr>
                <w:rFonts w:hint="eastAsia"/>
                <w:kern w:val="2"/>
                <w:sz w:val="21"/>
                <w:szCs w:val="21"/>
                <w:lang w:eastAsia="zh-CN" w:bidi="ar-SA"/>
              </w:rPr>
              <w:t>1.621</w:t>
            </w:r>
          </w:p>
        </w:tc>
        <w:tc>
          <w:tcPr>
            <w:tcW w:w="1484" w:type="dxa"/>
            <w:vAlign w:val="center"/>
          </w:tcPr>
          <w:p w14:paraId="385417F7">
            <w:pPr>
              <w:spacing w:line="240" w:lineRule="auto"/>
              <w:ind w:firstLine="0" w:firstLineChars="0"/>
              <w:jc w:val="center"/>
              <w:rPr>
                <w:kern w:val="2"/>
                <w:sz w:val="21"/>
                <w:szCs w:val="21"/>
                <w:lang w:eastAsia="zh-CN" w:bidi="ar-SA"/>
              </w:rPr>
            </w:pPr>
            <w:r>
              <w:rPr>
                <w:kern w:val="2"/>
                <w:sz w:val="21"/>
                <w:szCs w:val="21"/>
                <w:lang w:eastAsia="zh-CN" w:bidi="ar-SA"/>
              </w:rPr>
              <w:t>0</w:t>
            </w:r>
          </w:p>
        </w:tc>
        <w:tc>
          <w:tcPr>
            <w:tcW w:w="1484" w:type="dxa"/>
            <w:vAlign w:val="center"/>
          </w:tcPr>
          <w:p w14:paraId="4DBF3AD1">
            <w:pPr>
              <w:spacing w:line="240" w:lineRule="auto"/>
              <w:ind w:firstLine="0" w:firstLineChars="0"/>
              <w:jc w:val="center"/>
              <w:rPr>
                <w:kern w:val="2"/>
                <w:sz w:val="21"/>
                <w:szCs w:val="21"/>
                <w:lang w:eastAsia="zh-CN" w:bidi="ar-SA"/>
              </w:rPr>
            </w:pPr>
            <w:r>
              <w:rPr>
                <w:kern w:val="2"/>
                <w:sz w:val="21"/>
                <w:szCs w:val="21"/>
                <w:lang w:eastAsia="zh-CN" w:bidi="ar-SA"/>
              </w:rPr>
              <w:t>+</w:t>
            </w:r>
            <w:r>
              <w:rPr>
                <w:rFonts w:hint="eastAsia"/>
                <w:kern w:val="2"/>
                <w:sz w:val="21"/>
                <w:szCs w:val="21"/>
                <w:lang w:eastAsia="zh-CN" w:bidi="ar-SA"/>
              </w:rPr>
              <w:t>0.798</w:t>
            </w:r>
          </w:p>
        </w:tc>
      </w:tr>
      <w:tr w14:paraId="70768C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44" w:type="dxa"/>
            <w:vMerge w:val="restart"/>
            <w:vAlign w:val="center"/>
          </w:tcPr>
          <w:p w14:paraId="7D0548F3">
            <w:pPr>
              <w:spacing w:line="240" w:lineRule="auto"/>
              <w:ind w:firstLine="0" w:firstLineChars="0"/>
              <w:jc w:val="center"/>
              <w:rPr>
                <w:kern w:val="2"/>
                <w:sz w:val="21"/>
                <w:szCs w:val="21"/>
                <w:lang w:eastAsia="zh-CN" w:bidi="ar-SA"/>
              </w:rPr>
            </w:pPr>
            <w:r>
              <w:rPr>
                <w:kern w:val="2"/>
                <w:sz w:val="21"/>
                <w:szCs w:val="21"/>
                <w:lang w:eastAsia="zh-CN" w:bidi="ar-SA"/>
              </w:rPr>
              <w:t>废水</w:t>
            </w:r>
          </w:p>
        </w:tc>
        <w:tc>
          <w:tcPr>
            <w:tcW w:w="1462" w:type="dxa"/>
            <w:vAlign w:val="center"/>
          </w:tcPr>
          <w:p w14:paraId="2637386B">
            <w:pPr>
              <w:spacing w:line="240" w:lineRule="auto"/>
              <w:ind w:firstLine="0" w:firstLineChars="0"/>
              <w:jc w:val="center"/>
              <w:rPr>
                <w:kern w:val="2"/>
                <w:sz w:val="21"/>
                <w:szCs w:val="21"/>
                <w:lang w:eastAsia="zh-CN" w:bidi="ar-SA"/>
              </w:rPr>
            </w:pPr>
            <w:r>
              <w:rPr>
                <w:kern w:val="2"/>
                <w:sz w:val="21"/>
                <w:szCs w:val="21"/>
                <w:lang w:eastAsia="zh-CN" w:bidi="ar-SA"/>
              </w:rPr>
              <w:t>COD（t/a）</w:t>
            </w:r>
          </w:p>
        </w:tc>
        <w:tc>
          <w:tcPr>
            <w:tcW w:w="1571" w:type="dxa"/>
            <w:vAlign w:val="center"/>
          </w:tcPr>
          <w:p w14:paraId="7EF8D2CD">
            <w:pPr>
              <w:spacing w:line="240" w:lineRule="auto"/>
              <w:ind w:firstLine="0" w:firstLineChars="0"/>
              <w:jc w:val="center"/>
              <w:rPr>
                <w:kern w:val="2"/>
                <w:sz w:val="21"/>
                <w:szCs w:val="21"/>
                <w:lang w:eastAsia="zh-CN" w:bidi="ar-SA"/>
              </w:rPr>
            </w:pPr>
            <w:r>
              <w:rPr>
                <w:rFonts w:hint="eastAsia"/>
                <w:kern w:val="2"/>
                <w:sz w:val="21"/>
                <w:szCs w:val="21"/>
                <w:lang w:eastAsia="zh-CN" w:bidi="ar-SA"/>
              </w:rPr>
              <w:t>0</w:t>
            </w:r>
          </w:p>
        </w:tc>
        <w:tc>
          <w:tcPr>
            <w:tcW w:w="1484" w:type="dxa"/>
            <w:vAlign w:val="center"/>
          </w:tcPr>
          <w:p w14:paraId="77935498">
            <w:pPr>
              <w:spacing w:line="240" w:lineRule="auto"/>
              <w:ind w:firstLine="0" w:firstLineChars="0"/>
              <w:jc w:val="center"/>
              <w:rPr>
                <w:kern w:val="2"/>
                <w:sz w:val="21"/>
                <w:szCs w:val="21"/>
                <w:lang w:eastAsia="zh-CN" w:bidi="ar-SA"/>
              </w:rPr>
            </w:pPr>
            <w:r>
              <w:rPr>
                <w:kern w:val="2"/>
                <w:sz w:val="21"/>
                <w:szCs w:val="21"/>
                <w:lang w:eastAsia="zh-CN" w:bidi="ar-SA"/>
              </w:rPr>
              <w:t>0</w:t>
            </w:r>
          </w:p>
        </w:tc>
        <w:tc>
          <w:tcPr>
            <w:tcW w:w="1484" w:type="dxa"/>
            <w:vAlign w:val="center"/>
          </w:tcPr>
          <w:p w14:paraId="7968BAF5">
            <w:pPr>
              <w:spacing w:line="240" w:lineRule="auto"/>
              <w:ind w:firstLine="0" w:firstLineChars="0"/>
              <w:jc w:val="center"/>
              <w:rPr>
                <w:kern w:val="2"/>
                <w:sz w:val="21"/>
                <w:szCs w:val="21"/>
                <w:lang w:eastAsia="zh-CN" w:bidi="ar-SA"/>
              </w:rPr>
            </w:pPr>
            <w:r>
              <w:rPr>
                <w:rFonts w:hint="eastAsia"/>
                <w:kern w:val="2"/>
                <w:sz w:val="21"/>
                <w:szCs w:val="21"/>
                <w:lang w:eastAsia="zh-CN" w:bidi="ar-SA"/>
              </w:rPr>
              <w:t>0</w:t>
            </w:r>
          </w:p>
        </w:tc>
        <w:tc>
          <w:tcPr>
            <w:tcW w:w="1484" w:type="dxa"/>
            <w:vAlign w:val="center"/>
          </w:tcPr>
          <w:p w14:paraId="562D1B32">
            <w:pPr>
              <w:spacing w:line="240" w:lineRule="auto"/>
              <w:ind w:firstLine="0" w:firstLineChars="0"/>
              <w:jc w:val="center"/>
              <w:rPr>
                <w:kern w:val="2"/>
                <w:sz w:val="21"/>
                <w:szCs w:val="21"/>
                <w:lang w:eastAsia="zh-CN" w:bidi="ar-SA"/>
              </w:rPr>
            </w:pPr>
            <w:r>
              <w:rPr>
                <w:rFonts w:hint="eastAsia"/>
                <w:kern w:val="2"/>
                <w:sz w:val="21"/>
                <w:szCs w:val="21"/>
                <w:lang w:eastAsia="zh-CN" w:bidi="ar-SA"/>
              </w:rPr>
              <w:t>0</w:t>
            </w:r>
          </w:p>
        </w:tc>
      </w:tr>
      <w:tr w14:paraId="38E715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44" w:type="dxa"/>
            <w:vMerge w:val="continue"/>
            <w:vAlign w:val="center"/>
          </w:tcPr>
          <w:p w14:paraId="7EEAD3FC">
            <w:pPr>
              <w:spacing w:line="240" w:lineRule="auto"/>
              <w:ind w:firstLine="0" w:firstLineChars="0"/>
              <w:jc w:val="center"/>
              <w:rPr>
                <w:kern w:val="2"/>
                <w:sz w:val="21"/>
                <w:szCs w:val="21"/>
                <w:lang w:eastAsia="zh-CN" w:bidi="ar-SA"/>
              </w:rPr>
            </w:pPr>
          </w:p>
        </w:tc>
        <w:tc>
          <w:tcPr>
            <w:tcW w:w="1462" w:type="dxa"/>
            <w:vAlign w:val="center"/>
          </w:tcPr>
          <w:p w14:paraId="02778342">
            <w:pPr>
              <w:spacing w:line="240" w:lineRule="auto"/>
              <w:ind w:firstLine="0" w:firstLineChars="0"/>
              <w:jc w:val="center"/>
              <w:rPr>
                <w:kern w:val="2"/>
                <w:sz w:val="21"/>
                <w:szCs w:val="21"/>
                <w:lang w:eastAsia="zh-CN" w:bidi="ar-SA"/>
              </w:rPr>
            </w:pPr>
            <w:r>
              <w:rPr>
                <w:rFonts w:hint="eastAsia"/>
                <w:kern w:val="2"/>
                <w:sz w:val="21"/>
                <w:szCs w:val="21"/>
                <w:lang w:eastAsia="zh-CN" w:bidi="ar-SA"/>
              </w:rPr>
              <w:t>氨氮</w:t>
            </w:r>
            <w:r>
              <w:rPr>
                <w:kern w:val="2"/>
                <w:sz w:val="21"/>
                <w:szCs w:val="21"/>
                <w:lang w:eastAsia="zh-CN" w:bidi="ar-SA"/>
              </w:rPr>
              <w:t>（t/a）</w:t>
            </w:r>
          </w:p>
        </w:tc>
        <w:tc>
          <w:tcPr>
            <w:tcW w:w="1571" w:type="dxa"/>
            <w:vAlign w:val="center"/>
          </w:tcPr>
          <w:p w14:paraId="58DCF84C">
            <w:pPr>
              <w:spacing w:line="240" w:lineRule="auto"/>
              <w:ind w:firstLine="0" w:firstLineChars="0"/>
              <w:jc w:val="center"/>
              <w:rPr>
                <w:kern w:val="2"/>
                <w:sz w:val="21"/>
                <w:szCs w:val="21"/>
                <w:lang w:eastAsia="zh-CN" w:bidi="ar-SA"/>
              </w:rPr>
            </w:pPr>
            <w:r>
              <w:rPr>
                <w:rFonts w:hint="eastAsia"/>
                <w:kern w:val="2"/>
                <w:sz w:val="21"/>
                <w:szCs w:val="21"/>
                <w:lang w:eastAsia="zh-CN" w:bidi="ar-SA"/>
              </w:rPr>
              <w:t>0</w:t>
            </w:r>
          </w:p>
        </w:tc>
        <w:tc>
          <w:tcPr>
            <w:tcW w:w="1484" w:type="dxa"/>
            <w:vAlign w:val="center"/>
          </w:tcPr>
          <w:p w14:paraId="74B668E3">
            <w:pPr>
              <w:spacing w:line="240" w:lineRule="auto"/>
              <w:ind w:firstLine="0" w:firstLineChars="0"/>
              <w:jc w:val="center"/>
              <w:rPr>
                <w:kern w:val="2"/>
                <w:sz w:val="21"/>
                <w:szCs w:val="21"/>
                <w:lang w:eastAsia="zh-CN" w:bidi="ar-SA"/>
              </w:rPr>
            </w:pPr>
            <w:r>
              <w:rPr>
                <w:kern w:val="2"/>
                <w:sz w:val="21"/>
                <w:szCs w:val="21"/>
                <w:lang w:eastAsia="zh-CN" w:bidi="ar-SA"/>
              </w:rPr>
              <w:t>0</w:t>
            </w:r>
          </w:p>
        </w:tc>
        <w:tc>
          <w:tcPr>
            <w:tcW w:w="1484" w:type="dxa"/>
            <w:vAlign w:val="center"/>
          </w:tcPr>
          <w:p w14:paraId="2866779C">
            <w:pPr>
              <w:spacing w:line="240" w:lineRule="auto"/>
              <w:ind w:firstLine="0" w:firstLineChars="0"/>
              <w:jc w:val="center"/>
              <w:rPr>
                <w:kern w:val="2"/>
                <w:sz w:val="21"/>
                <w:szCs w:val="21"/>
                <w:lang w:eastAsia="zh-CN" w:bidi="ar-SA"/>
              </w:rPr>
            </w:pPr>
            <w:r>
              <w:rPr>
                <w:rFonts w:hint="eastAsia"/>
                <w:kern w:val="2"/>
                <w:sz w:val="21"/>
                <w:szCs w:val="21"/>
                <w:lang w:eastAsia="zh-CN" w:bidi="ar-SA"/>
              </w:rPr>
              <w:t>0</w:t>
            </w:r>
          </w:p>
        </w:tc>
        <w:tc>
          <w:tcPr>
            <w:tcW w:w="1484" w:type="dxa"/>
            <w:vAlign w:val="center"/>
          </w:tcPr>
          <w:p w14:paraId="3692AC41">
            <w:pPr>
              <w:spacing w:line="240" w:lineRule="auto"/>
              <w:ind w:firstLine="0" w:firstLineChars="0"/>
              <w:jc w:val="center"/>
              <w:rPr>
                <w:kern w:val="2"/>
                <w:sz w:val="21"/>
                <w:szCs w:val="21"/>
                <w:lang w:eastAsia="zh-CN" w:bidi="ar-SA"/>
              </w:rPr>
            </w:pPr>
            <w:r>
              <w:rPr>
                <w:rFonts w:hint="eastAsia"/>
                <w:kern w:val="2"/>
                <w:sz w:val="21"/>
                <w:szCs w:val="21"/>
                <w:lang w:eastAsia="zh-CN" w:bidi="ar-SA"/>
              </w:rPr>
              <w:t>0</w:t>
            </w:r>
          </w:p>
        </w:tc>
      </w:tr>
    </w:tbl>
    <w:p w14:paraId="5627C8BE">
      <w:pPr>
        <w:ind w:firstLine="480"/>
        <w:rPr>
          <w:rFonts w:asciiTheme="minorEastAsia" w:hAnsiTheme="minorEastAsia" w:eastAsiaTheme="minorEastAsia"/>
          <w:snapToGrid w:val="0"/>
          <w:lang w:eastAsia="zh-CN"/>
        </w:rPr>
      </w:pPr>
      <w:r>
        <w:rPr>
          <w:rFonts w:hint="eastAsia" w:asciiTheme="minorEastAsia" w:hAnsiTheme="minorEastAsia" w:eastAsiaTheme="minorEastAsia"/>
          <w:snapToGrid w:val="0"/>
          <w:lang w:eastAsia="zh-CN"/>
        </w:rPr>
        <w:t>3、总量控制指标建议：</w:t>
      </w:r>
    </w:p>
    <w:p w14:paraId="2F72299D">
      <w:pPr>
        <w:ind w:firstLine="480"/>
        <w:rPr>
          <w:rFonts w:asciiTheme="minorEastAsia" w:hAnsiTheme="minorEastAsia" w:eastAsiaTheme="minorEastAsia"/>
          <w:snapToGrid w:val="0"/>
          <w:lang w:eastAsia="zh-CN"/>
        </w:rPr>
      </w:pPr>
      <w:r>
        <w:rPr>
          <w:rFonts w:hint="eastAsia" w:asciiTheme="minorEastAsia" w:hAnsiTheme="minorEastAsia" w:eastAsiaTheme="minorEastAsia"/>
          <w:snapToGrid w:val="0"/>
          <w:lang w:eastAsia="zh-CN"/>
        </w:rPr>
        <w:t>本扩建工程新增主要污染物排放量：二氧化硫为0.231t/a，氮氧化物为0.798t/a；项目废水全部回用，不外排，化学需氧量和氨氮排放量为0 t/a。</w:t>
      </w:r>
    </w:p>
    <w:p w14:paraId="223FB97D">
      <w:pPr>
        <w:ind w:firstLine="480"/>
        <w:rPr>
          <w:rFonts w:asciiTheme="minorEastAsia" w:hAnsiTheme="minorEastAsia" w:eastAsiaTheme="minorEastAsia"/>
          <w:snapToGrid w:val="0"/>
          <w:lang w:eastAsia="zh-CN"/>
        </w:rPr>
        <w:sectPr>
          <w:pgSz w:w="11907" w:h="16840"/>
          <w:pgMar w:top="1440" w:right="1797" w:bottom="1440" w:left="1797" w:header="851" w:footer="992" w:gutter="0"/>
          <w:cols w:space="720" w:num="1"/>
          <w:docGrid w:linePitch="319" w:charSpace="0"/>
        </w:sectPr>
      </w:pPr>
    </w:p>
    <w:bookmarkEnd w:id="480"/>
    <w:bookmarkEnd w:id="481"/>
    <w:bookmarkEnd w:id="910"/>
    <w:bookmarkEnd w:id="911"/>
    <w:bookmarkEnd w:id="912"/>
    <w:bookmarkEnd w:id="913"/>
    <w:p w14:paraId="394745BE">
      <w:pPr>
        <w:pStyle w:val="380"/>
        <w:spacing w:before="0" w:after="0"/>
        <w:rPr>
          <w:rFonts w:cs="Times New Roman"/>
          <w:lang w:eastAsia="zh-CN"/>
        </w:rPr>
      </w:pPr>
      <w:bookmarkStart w:id="916" w:name="_Toc338663656"/>
      <w:bookmarkStart w:id="917" w:name="_Toc408414090"/>
      <w:bookmarkStart w:id="918" w:name="_Toc279676792"/>
      <w:bookmarkStart w:id="919" w:name="_Toc248649464"/>
      <w:bookmarkStart w:id="920" w:name="_Toc280020191"/>
      <w:bookmarkStart w:id="921" w:name="_Toc338663667"/>
      <w:r>
        <w:rPr>
          <w:rFonts w:cs="Times New Roman"/>
          <w:lang w:eastAsia="zh-CN"/>
        </w:rPr>
        <w:t>13</w:t>
      </w:r>
      <w:bookmarkEnd w:id="916"/>
      <w:bookmarkStart w:id="922" w:name="_Toc338663657"/>
      <w:r>
        <w:rPr>
          <w:rFonts w:cs="Times New Roman"/>
          <w:lang w:eastAsia="zh-CN"/>
        </w:rPr>
        <w:t>项目选址可行性及</w:t>
      </w:r>
      <w:r>
        <w:rPr>
          <w:rFonts w:hint="eastAsia" w:cs="Times New Roman"/>
          <w:lang w:eastAsia="zh-CN"/>
        </w:rPr>
        <w:t>产业政策相符性</w:t>
      </w:r>
      <w:bookmarkEnd w:id="917"/>
    </w:p>
    <w:p w14:paraId="44FB1265">
      <w:pPr>
        <w:pStyle w:val="3"/>
        <w:rPr>
          <w:lang w:eastAsia="zh-CN"/>
        </w:rPr>
      </w:pPr>
      <w:bookmarkStart w:id="923" w:name="_Toc408414091"/>
      <w:r>
        <w:rPr>
          <w:lang w:eastAsia="zh-CN"/>
        </w:rPr>
        <w:t>13.1项目选址合理性分析</w:t>
      </w:r>
      <w:bookmarkEnd w:id="922"/>
      <w:bookmarkEnd w:id="923"/>
    </w:p>
    <w:p w14:paraId="0A26870B">
      <w:pPr>
        <w:pStyle w:val="4"/>
        <w:rPr>
          <w:lang w:eastAsia="zh-CN"/>
        </w:rPr>
      </w:pPr>
      <w:bookmarkStart w:id="924" w:name="_Toc280020213"/>
      <w:bookmarkStart w:id="925" w:name="_Toc338663665"/>
      <w:bookmarkStart w:id="926" w:name="_Toc408414092"/>
      <w:bookmarkStart w:id="927" w:name="_Toc182141058"/>
      <w:bookmarkStart w:id="928" w:name="_Toc279676814"/>
      <w:bookmarkStart w:id="929" w:name="_Toc182141055"/>
      <w:bookmarkStart w:id="930" w:name="_Toc279676811"/>
      <w:bookmarkStart w:id="931" w:name="_Toc280020210"/>
      <w:r>
        <w:rPr>
          <w:lang w:eastAsia="zh-CN"/>
        </w:rPr>
        <w:t>13.1.1环境相容性分析</w:t>
      </w:r>
      <w:bookmarkEnd w:id="924"/>
      <w:bookmarkEnd w:id="925"/>
      <w:bookmarkEnd w:id="926"/>
      <w:bookmarkEnd w:id="927"/>
      <w:bookmarkEnd w:id="928"/>
    </w:p>
    <w:p w14:paraId="32AC2BF2">
      <w:pPr>
        <w:ind w:firstLine="480"/>
        <w:rPr>
          <w:rFonts w:asciiTheme="minorEastAsia" w:hAnsiTheme="minorEastAsia" w:eastAsiaTheme="minorEastAsia"/>
          <w:lang w:eastAsia="zh-CN"/>
        </w:rPr>
      </w:pPr>
      <w:r>
        <w:rPr>
          <w:rFonts w:asciiTheme="minorEastAsia" w:hAnsiTheme="minorEastAsia" w:eastAsiaTheme="minorEastAsia"/>
          <w:lang w:eastAsia="zh-CN"/>
        </w:rPr>
        <w:t>本项目建成后，排放的废水、废气、废渣和噪声会给建设项目周围环境带来一定的影响，但采取相应的环保措施后，环境的影响程度可以降低到较低限度，满足相关的环保标准要求。</w:t>
      </w:r>
    </w:p>
    <w:p w14:paraId="2466244A">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1、生态环境相容性分析</w:t>
      </w:r>
    </w:p>
    <w:p w14:paraId="52C95632">
      <w:pPr>
        <w:ind w:firstLine="480"/>
        <w:rPr>
          <w:rFonts w:asciiTheme="minorEastAsia" w:hAnsiTheme="minorEastAsia" w:eastAsiaTheme="minorEastAsia"/>
          <w:lang w:eastAsia="zh-CN"/>
        </w:rPr>
      </w:pPr>
      <w:r>
        <w:rPr>
          <w:rFonts w:asciiTheme="minorEastAsia" w:hAnsiTheme="minorEastAsia" w:eastAsiaTheme="minorEastAsia"/>
          <w:lang w:eastAsia="zh-CN"/>
        </w:rPr>
        <w:t>油田开发过程中对生态环境的影响首先是开发初期，但随着生产的结束，破坏的植被将会得到恢复；随着污染治理的进行，</w:t>
      </w:r>
      <w:r>
        <w:rPr>
          <w:rFonts w:hint="eastAsia" w:asciiTheme="minorEastAsia" w:hAnsiTheme="minorEastAsia" w:eastAsiaTheme="minorEastAsia"/>
          <w:lang w:eastAsia="zh-CN"/>
        </w:rPr>
        <w:t>受影响</w:t>
      </w:r>
      <w:r>
        <w:rPr>
          <w:rFonts w:asciiTheme="minorEastAsia" w:hAnsiTheme="minorEastAsia" w:eastAsiaTheme="minorEastAsia"/>
          <w:lang w:eastAsia="zh-CN"/>
        </w:rPr>
        <w:t>的土壤和植被得到了一定的恢复。类比调查结果表明，油田的开发对该地区的生态环境产生了一定的影响，但未改变原有的生态环境</w:t>
      </w:r>
      <w:r>
        <w:rPr>
          <w:rFonts w:hint="eastAsia" w:asciiTheme="minorEastAsia" w:hAnsiTheme="minorEastAsia" w:eastAsiaTheme="minorEastAsia"/>
          <w:lang w:eastAsia="zh-CN"/>
        </w:rPr>
        <w:t>系统</w:t>
      </w:r>
      <w:r>
        <w:rPr>
          <w:rFonts w:asciiTheme="minorEastAsia" w:hAnsiTheme="minorEastAsia" w:eastAsiaTheme="minorEastAsia"/>
          <w:lang w:eastAsia="zh-CN"/>
        </w:rPr>
        <w:t>。</w:t>
      </w:r>
    </w:p>
    <w:p w14:paraId="3959FF68">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2、水环境相容性分析</w:t>
      </w:r>
    </w:p>
    <w:p w14:paraId="2776DA10">
      <w:pPr>
        <w:ind w:firstLine="480"/>
        <w:rPr>
          <w:rFonts w:asciiTheme="minorEastAsia" w:hAnsiTheme="minorEastAsia" w:eastAsiaTheme="minorEastAsia"/>
          <w:lang w:eastAsia="zh-CN"/>
        </w:rPr>
      </w:pPr>
      <w:r>
        <w:rPr>
          <w:rFonts w:asciiTheme="minorEastAsia" w:hAnsiTheme="minorEastAsia" w:eastAsiaTheme="minorEastAsia"/>
          <w:lang w:eastAsia="zh-CN"/>
        </w:rPr>
        <w:t>正常生产条件下，本项目</w:t>
      </w:r>
      <w:r>
        <w:rPr>
          <w:rFonts w:hint="eastAsia" w:asciiTheme="minorEastAsia" w:hAnsiTheme="minorEastAsia" w:eastAsiaTheme="minorEastAsia"/>
          <w:lang w:eastAsia="zh-CN"/>
        </w:rPr>
        <w:t>含油废水、作业废液</w:t>
      </w:r>
      <w:r>
        <w:rPr>
          <w:rFonts w:asciiTheme="minorEastAsia" w:hAnsiTheme="minorEastAsia" w:eastAsiaTheme="minorEastAsia"/>
          <w:lang w:eastAsia="zh-CN"/>
        </w:rPr>
        <w:t>全部进入联合站内，经处理达标后回注地层，不外排。生活污水经地埋式一体化处理设施处理后用于绿化降尘。作业过程中所形成的落地原油及油泥</w:t>
      </w:r>
      <w:r>
        <w:rPr>
          <w:rFonts w:hint="eastAsia" w:asciiTheme="minorEastAsia" w:hAnsiTheme="minorEastAsia" w:eastAsiaTheme="minorEastAsia"/>
          <w:lang w:eastAsia="zh-CN"/>
        </w:rPr>
        <w:t>砂</w:t>
      </w:r>
      <w:r>
        <w:rPr>
          <w:rFonts w:asciiTheme="minorEastAsia" w:hAnsiTheme="minorEastAsia" w:eastAsiaTheme="minorEastAsia"/>
          <w:lang w:eastAsia="zh-CN"/>
        </w:rPr>
        <w:t>回收率达在99%以上，而且井下作业的无污染率为95%。钻井、井下作业、采油、原油处理和集输等对地下水影响较小，泥浆池进行防渗处理，地下水影响也较小。</w:t>
      </w:r>
    </w:p>
    <w:p w14:paraId="5D85D4A0">
      <w:pPr>
        <w:ind w:firstLine="480"/>
        <w:rPr>
          <w:rFonts w:asciiTheme="minorEastAsia" w:hAnsiTheme="minorEastAsia" w:eastAsiaTheme="minorEastAsia"/>
          <w:lang w:eastAsia="zh-CN"/>
        </w:rPr>
      </w:pPr>
      <w:r>
        <w:rPr>
          <w:rFonts w:asciiTheme="minorEastAsia" w:hAnsiTheme="minorEastAsia" w:eastAsiaTheme="minorEastAsia"/>
          <w:lang w:eastAsia="zh-CN"/>
        </w:rPr>
        <w:t>本项目管线采取了严格的管理及防渗漏措施，泄漏造成地下水污染的几率就极小。根据水文地质材料，乌里雅斯太油田所在区域第四系含水埋深大于2m，分布范围较小，第三系、白垩系含水层分布较广泛，埋深在20m以下。一旦出现泄露，原油或含油废水被表层土壤截留，因而污染浅层地下水的几率很小。</w:t>
      </w:r>
    </w:p>
    <w:p w14:paraId="232EAE2D">
      <w:pPr>
        <w:widowControl/>
        <w:tabs>
          <w:tab w:val="left" w:pos="120"/>
        </w:tabs>
        <w:snapToGrid w:val="0"/>
        <w:ind w:firstLine="480"/>
        <w:jc w:val="left"/>
        <w:rPr>
          <w:rFonts w:asciiTheme="minorEastAsia" w:hAnsiTheme="minorEastAsia" w:eastAsiaTheme="minorEastAsia"/>
          <w:lang w:eastAsia="zh-CN"/>
        </w:rPr>
      </w:pPr>
      <w:r>
        <w:rPr>
          <w:rFonts w:hint="eastAsia" w:asciiTheme="minorEastAsia" w:hAnsiTheme="minorEastAsia" w:eastAsiaTheme="minorEastAsia"/>
          <w:lang w:eastAsia="zh-CN"/>
        </w:rPr>
        <w:t>根据《华北油田二连分公司东乌珠穆沁旗石油开采项目水资源论证报告》及其批复，该项目区所处区域地下水资源相对丰富，补给源稳定可靠。根据对水资源供需平衡预测，到</w:t>
      </w:r>
      <w:r>
        <w:rPr>
          <w:rFonts w:asciiTheme="minorEastAsia" w:hAnsiTheme="minorEastAsia" w:eastAsiaTheme="minorEastAsia"/>
          <w:lang w:eastAsia="zh-CN"/>
        </w:rPr>
        <w:t>2020年全旗地下水尚有81831.40万 m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的开发潜力。</w:t>
      </w:r>
    </w:p>
    <w:p w14:paraId="194ECCFE">
      <w:pPr>
        <w:widowControl/>
        <w:tabs>
          <w:tab w:val="left" w:pos="120"/>
        </w:tabs>
        <w:snapToGrid w:val="0"/>
        <w:ind w:firstLine="480"/>
        <w:jc w:val="left"/>
        <w:rPr>
          <w:rFonts w:asciiTheme="minorEastAsia" w:hAnsiTheme="minorEastAsia" w:eastAsiaTheme="minorEastAsia"/>
          <w:lang w:eastAsia="zh-CN"/>
        </w:rPr>
      </w:pPr>
      <w:r>
        <w:rPr>
          <w:rFonts w:hint="eastAsia" w:asciiTheme="minorEastAsia" w:hAnsiTheme="minorEastAsia" w:eastAsiaTheme="minorEastAsia"/>
          <w:lang w:eastAsia="zh-CN"/>
        </w:rPr>
        <w:t>本项目年最大用水量为15.63 m</w:t>
      </w:r>
      <w:r>
        <w:rPr>
          <w:rFonts w:hint="eastAsia" w:asciiTheme="minorEastAsia" w:hAnsiTheme="minorEastAsia" w:eastAsiaTheme="minorEastAsia"/>
          <w:vertAlign w:val="superscript"/>
          <w:lang w:eastAsia="zh-CN"/>
        </w:rPr>
        <w:t>3</w:t>
      </w:r>
      <w:r>
        <w:rPr>
          <w:rFonts w:hint="eastAsia" w:asciiTheme="minorEastAsia" w:hAnsiTheme="minorEastAsia" w:eastAsiaTheme="minorEastAsia"/>
          <w:lang w:eastAsia="zh-CN"/>
        </w:rPr>
        <w:t>/a（水平衡），最大日取水量为428.33</w:t>
      </w:r>
      <w:r>
        <w:rPr>
          <w:rFonts w:asciiTheme="minorEastAsia" w:hAnsiTheme="minorEastAsia" w:eastAsiaTheme="minorEastAsia"/>
          <w:lang w:eastAsia="zh-CN"/>
        </w:rPr>
        <w:t>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w:t>
      </w:r>
      <w:r>
        <w:rPr>
          <w:rFonts w:hint="eastAsia" w:asciiTheme="minorEastAsia" w:hAnsiTheme="minorEastAsia" w:eastAsiaTheme="minorEastAsia"/>
          <w:lang w:eastAsia="zh-CN"/>
        </w:rPr>
        <w:t>d（生活用水量6.17</w:t>
      </w:r>
      <w:r>
        <w:rPr>
          <w:rFonts w:asciiTheme="minorEastAsia" w:hAnsiTheme="minorEastAsia" w:eastAsiaTheme="minorEastAsia"/>
          <w:lang w:eastAsia="zh-CN"/>
        </w:rPr>
        <w:t>m</w:t>
      </w:r>
      <w:r>
        <w:rPr>
          <w:rFonts w:asciiTheme="minorEastAsia" w:hAnsiTheme="minorEastAsia" w:eastAsiaTheme="minorEastAsia"/>
          <w:vertAlign w:val="superscript"/>
          <w:lang w:eastAsia="zh-CN"/>
        </w:rPr>
        <w:t>3</w:t>
      </w:r>
      <w:r>
        <w:rPr>
          <w:rFonts w:asciiTheme="minorEastAsia" w:hAnsiTheme="minorEastAsia" w:eastAsiaTheme="minorEastAsia"/>
          <w:lang w:eastAsia="zh-CN"/>
        </w:rPr>
        <w:t>/</w:t>
      </w:r>
      <w:r>
        <w:rPr>
          <w:rFonts w:hint="eastAsia" w:asciiTheme="minorEastAsia" w:hAnsiTheme="minorEastAsia" w:eastAsiaTheme="minorEastAsia"/>
          <w:lang w:eastAsia="zh-CN"/>
        </w:rPr>
        <w:t>d）。本项目最大年取水量仅占区域地下水可开采量的（15.63万/</w:t>
      </w:r>
      <w:r>
        <w:rPr>
          <w:rFonts w:asciiTheme="minorEastAsia" w:hAnsiTheme="minorEastAsia" w:eastAsiaTheme="minorEastAsia"/>
          <w:lang w:eastAsia="zh-CN"/>
        </w:rPr>
        <w:t>81831.40万</w:t>
      </w:r>
      <w:r>
        <w:rPr>
          <w:rFonts w:hint="eastAsia" w:asciiTheme="minorEastAsia" w:hAnsiTheme="minorEastAsia" w:eastAsiaTheme="minorEastAsia"/>
          <w:lang w:eastAsia="zh-CN"/>
        </w:rPr>
        <w:t>）0.019%，</w:t>
      </w:r>
      <w:r>
        <w:rPr>
          <w:rFonts w:asciiTheme="minorEastAsia" w:hAnsiTheme="minorEastAsia" w:eastAsiaTheme="minorEastAsia"/>
          <w:lang w:eastAsia="zh-CN"/>
        </w:rPr>
        <w:t>油田开发对区域内地下水</w:t>
      </w:r>
      <w:r>
        <w:rPr>
          <w:rFonts w:hint="eastAsia" w:asciiTheme="minorEastAsia" w:hAnsiTheme="minorEastAsia" w:eastAsiaTheme="minorEastAsia"/>
          <w:lang w:eastAsia="zh-CN"/>
        </w:rPr>
        <w:t>资</w:t>
      </w:r>
      <w:r>
        <w:rPr>
          <w:rFonts w:asciiTheme="minorEastAsia" w:hAnsiTheme="minorEastAsia" w:eastAsiaTheme="minorEastAsia"/>
          <w:lang w:eastAsia="zh-CN"/>
        </w:rPr>
        <w:t>源的影响</w:t>
      </w:r>
      <w:r>
        <w:rPr>
          <w:rFonts w:hint="eastAsia" w:asciiTheme="minorEastAsia" w:hAnsiTheme="minorEastAsia" w:eastAsiaTheme="minorEastAsia"/>
          <w:lang w:eastAsia="zh-CN"/>
        </w:rPr>
        <w:t>在可接受范围内</w:t>
      </w:r>
      <w:r>
        <w:rPr>
          <w:rFonts w:asciiTheme="minorEastAsia" w:hAnsiTheme="minorEastAsia" w:eastAsiaTheme="minorEastAsia"/>
          <w:lang w:eastAsia="zh-CN"/>
        </w:rPr>
        <w:t>。</w:t>
      </w:r>
    </w:p>
    <w:p w14:paraId="6F94435B">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3、环境空气相容性分析</w:t>
      </w:r>
    </w:p>
    <w:p w14:paraId="4B87F84C">
      <w:pPr>
        <w:ind w:firstLine="480"/>
        <w:rPr>
          <w:rFonts w:asciiTheme="minorEastAsia" w:hAnsiTheme="minorEastAsia" w:eastAsiaTheme="minorEastAsia"/>
          <w:lang w:eastAsia="zh-CN"/>
        </w:rPr>
      </w:pPr>
      <w:r>
        <w:rPr>
          <w:rFonts w:asciiTheme="minorEastAsia" w:hAnsiTheme="minorEastAsia" w:eastAsiaTheme="minorEastAsia"/>
          <w:lang w:eastAsia="zh-CN"/>
        </w:rPr>
        <w:t>钻井柴油机属于开发阶段污染物，但油田内柴油机相对分散，污染物浓度较低，采取措施和治理办法后可以达标排放，对周围大气环境影响较小。烃类的无组织挥发通过根据现状监测采用大气环境距离测算，该区域烃类无组织排放没有超标点。油田开发对于区域内大气环境质量的影响属于可接受范围。</w:t>
      </w:r>
    </w:p>
    <w:p w14:paraId="3EAFBFD4">
      <w:pPr>
        <w:ind w:firstLine="480"/>
        <w:rPr>
          <w:rFonts w:asciiTheme="minorEastAsia" w:hAnsiTheme="minorEastAsia" w:eastAsiaTheme="minorEastAsia"/>
          <w:lang w:eastAsia="zh-CN"/>
        </w:rPr>
      </w:pPr>
      <w:r>
        <w:rPr>
          <w:rFonts w:asciiTheme="minorEastAsia" w:hAnsiTheme="minorEastAsia" w:eastAsiaTheme="minorEastAsia"/>
          <w:lang w:eastAsia="zh-CN"/>
        </w:rPr>
        <w:t>油田</w:t>
      </w:r>
      <w:r>
        <w:rPr>
          <w:rFonts w:hint="eastAsia" w:asciiTheme="minorEastAsia" w:hAnsiTheme="minorEastAsia" w:eastAsiaTheme="minorEastAsia"/>
          <w:lang w:eastAsia="zh-CN"/>
        </w:rPr>
        <w:t>联合站加热炉及燃气发电机组均燃用处理后的伴生气体，锅炉</w:t>
      </w:r>
      <w:r>
        <w:rPr>
          <w:rFonts w:asciiTheme="minorEastAsia" w:hAnsiTheme="minorEastAsia" w:eastAsiaTheme="minorEastAsia"/>
          <w:lang w:eastAsia="zh-CN"/>
        </w:rPr>
        <w:t>污染物均能达标排放，对环境影响较小。</w:t>
      </w:r>
    </w:p>
    <w:p w14:paraId="71562606">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4、声环境相容性分析</w:t>
      </w:r>
    </w:p>
    <w:p w14:paraId="7DFFA842">
      <w:pPr>
        <w:ind w:firstLine="480"/>
        <w:rPr>
          <w:rFonts w:asciiTheme="minorEastAsia" w:hAnsiTheme="minorEastAsia" w:eastAsiaTheme="minorEastAsia"/>
          <w:lang w:eastAsia="zh-CN"/>
        </w:rPr>
      </w:pPr>
      <w:r>
        <w:rPr>
          <w:rFonts w:asciiTheme="minorEastAsia" w:hAnsiTheme="minorEastAsia" w:eastAsiaTheme="minorEastAsia"/>
          <w:lang w:eastAsia="zh-CN"/>
        </w:rPr>
        <w:t>油田总体开发所在区域声环境质量较好，油田开发建设中的噪声对环境有一定影响，</w:t>
      </w:r>
      <w:r>
        <w:rPr>
          <w:rFonts w:hint="eastAsia" w:asciiTheme="minorEastAsia" w:hAnsiTheme="minorEastAsia" w:eastAsiaTheme="minorEastAsia"/>
          <w:lang w:eastAsia="zh-CN"/>
        </w:rPr>
        <w:t>但采取了相应的措施后，厂界达标，对周围环境的影响较小。</w:t>
      </w:r>
    </w:p>
    <w:p w14:paraId="0596B2CC">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5、固废排放环境相容性分析</w:t>
      </w:r>
    </w:p>
    <w:p w14:paraId="3256E6A6">
      <w:pPr>
        <w:ind w:firstLine="480"/>
        <w:rPr>
          <w:rFonts w:asciiTheme="minorEastAsia" w:hAnsiTheme="minorEastAsia" w:eastAsiaTheme="minorEastAsia"/>
          <w:lang w:eastAsia="zh-CN"/>
        </w:rPr>
      </w:pPr>
      <w:r>
        <w:rPr>
          <w:rFonts w:asciiTheme="minorEastAsia" w:hAnsiTheme="minorEastAsia" w:eastAsiaTheme="minorEastAsia"/>
          <w:lang w:eastAsia="zh-CN"/>
        </w:rPr>
        <w:t>在开发过程中，只要确保各项环保处理措施落实到位，则固体废物不会对周围环境造成污染。</w:t>
      </w:r>
    </w:p>
    <w:p w14:paraId="52C1501D">
      <w:pPr>
        <w:pStyle w:val="4"/>
        <w:rPr>
          <w:lang w:eastAsia="zh-CN"/>
        </w:rPr>
      </w:pPr>
      <w:bookmarkStart w:id="932" w:name="_Toc408414093"/>
      <w:r>
        <w:rPr>
          <w:lang w:eastAsia="zh-CN"/>
        </w:rPr>
        <w:t>13.1.2</w:t>
      </w:r>
      <w:bookmarkStart w:id="933" w:name="_Toc280020218"/>
      <w:bookmarkStart w:id="934" w:name="_Toc338663660"/>
      <w:bookmarkStart w:id="935" w:name="_Toc279676819"/>
      <w:bookmarkStart w:id="936" w:name="_Toc182141065"/>
      <w:r>
        <w:rPr>
          <w:lang w:eastAsia="zh-CN"/>
        </w:rPr>
        <w:t>站场、井场选址合理性分析</w:t>
      </w:r>
      <w:bookmarkEnd w:id="932"/>
      <w:bookmarkEnd w:id="933"/>
      <w:bookmarkEnd w:id="934"/>
      <w:bookmarkEnd w:id="935"/>
      <w:bookmarkEnd w:id="936"/>
    </w:p>
    <w:p w14:paraId="4489FA90">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乌里雅斯太油田地面产能开发建设项目，属于改扩建工程</w:t>
      </w:r>
      <w:r>
        <w:rPr>
          <w:rFonts w:asciiTheme="minorEastAsia" w:hAnsiTheme="minorEastAsia" w:eastAsiaTheme="minorEastAsia"/>
          <w:lang w:eastAsia="zh-CN"/>
        </w:rPr>
        <w:t>。</w:t>
      </w:r>
      <w:r>
        <w:rPr>
          <w:rFonts w:hint="eastAsia" w:asciiTheme="minorEastAsia" w:hAnsiTheme="minorEastAsia" w:eastAsiaTheme="minorEastAsia"/>
          <w:lang w:eastAsia="zh-CN"/>
        </w:rPr>
        <w:t>雅斯站在现有站址的基础上改造建设，节省了占地，并充分利用现有的设施设备，利于油气集输。联合站周围为</w:t>
      </w:r>
      <w:r>
        <w:rPr>
          <w:rFonts w:asciiTheme="minorEastAsia" w:hAnsiTheme="minorEastAsia" w:eastAsiaTheme="minorEastAsia"/>
          <w:lang w:eastAsia="zh-CN"/>
        </w:rPr>
        <w:t>空旷的草地</w:t>
      </w:r>
      <w:r>
        <w:rPr>
          <w:rFonts w:hint="eastAsia" w:asciiTheme="minorEastAsia" w:hAnsiTheme="minorEastAsia" w:eastAsiaTheme="minorEastAsia"/>
          <w:lang w:eastAsia="zh-CN"/>
        </w:rPr>
        <w:t>，距离站址最近的牧户1000m以远</w:t>
      </w:r>
      <w:r>
        <w:rPr>
          <w:rFonts w:asciiTheme="minorEastAsia" w:hAnsiTheme="minorEastAsia" w:eastAsiaTheme="minorEastAsia"/>
          <w:lang w:eastAsia="zh-CN"/>
        </w:rPr>
        <w:t>，周围不涉及自然保护区、风景名胜区、水源地及文物保护单位等特殊敏感保护目标，总体看，</w:t>
      </w:r>
      <w:r>
        <w:rPr>
          <w:rFonts w:hint="eastAsia" w:asciiTheme="minorEastAsia" w:hAnsiTheme="minorEastAsia" w:eastAsiaTheme="minorEastAsia"/>
          <w:lang w:eastAsia="zh-CN"/>
        </w:rPr>
        <w:t>联合站</w:t>
      </w:r>
      <w:r>
        <w:rPr>
          <w:rFonts w:asciiTheme="minorEastAsia" w:hAnsiTheme="minorEastAsia" w:eastAsiaTheme="minorEastAsia"/>
          <w:lang w:eastAsia="zh-CN"/>
        </w:rPr>
        <w:t>选址基本合理。</w:t>
      </w:r>
    </w:p>
    <w:p w14:paraId="47C09155">
      <w:pPr>
        <w:ind w:firstLine="480"/>
        <w:rPr>
          <w:rFonts w:asciiTheme="minorEastAsia" w:hAnsiTheme="minorEastAsia" w:eastAsiaTheme="minorEastAsia"/>
          <w:lang w:eastAsia="zh-CN"/>
        </w:rPr>
      </w:pPr>
      <w:r>
        <w:rPr>
          <w:rFonts w:asciiTheme="minorEastAsia" w:hAnsiTheme="minorEastAsia" w:eastAsiaTheme="minorEastAsia"/>
          <w:lang w:eastAsia="zh-CN"/>
        </w:rPr>
        <w:t>本项目</w:t>
      </w:r>
      <w:r>
        <w:rPr>
          <w:rFonts w:hint="eastAsia" w:asciiTheme="minorEastAsia" w:hAnsiTheme="minorEastAsia" w:eastAsiaTheme="minorEastAsia"/>
          <w:lang w:eastAsia="zh-CN"/>
        </w:rPr>
        <w:t>采油井、注水井大部分已经建设完成，</w:t>
      </w:r>
      <w:r>
        <w:rPr>
          <w:rFonts w:asciiTheme="minorEastAsia" w:hAnsiTheme="minorEastAsia" w:eastAsiaTheme="minorEastAsia"/>
          <w:lang w:eastAsia="zh-CN"/>
        </w:rPr>
        <w:t>新建采油井位在</w:t>
      </w:r>
      <w:r>
        <w:rPr>
          <w:rFonts w:hint="eastAsia" w:asciiTheme="minorEastAsia" w:hAnsiTheme="minorEastAsia" w:eastAsiaTheme="minorEastAsia"/>
          <w:lang w:eastAsia="zh-CN"/>
        </w:rPr>
        <w:t>现</w:t>
      </w:r>
      <w:r>
        <w:rPr>
          <w:rFonts w:asciiTheme="minorEastAsia" w:hAnsiTheme="minorEastAsia" w:eastAsiaTheme="minorEastAsia"/>
          <w:lang w:eastAsia="zh-CN"/>
        </w:rPr>
        <w:t>有油田区块内部进行</w:t>
      </w:r>
      <w:r>
        <w:rPr>
          <w:rFonts w:hint="eastAsia" w:asciiTheme="minorEastAsia" w:hAnsiTheme="minorEastAsia" w:eastAsiaTheme="minorEastAsia"/>
          <w:lang w:eastAsia="zh-CN"/>
        </w:rPr>
        <w:t>布置</w:t>
      </w:r>
      <w:r>
        <w:rPr>
          <w:rFonts w:asciiTheme="minorEastAsia" w:hAnsiTheme="minorEastAsia" w:eastAsiaTheme="minorEastAsia"/>
          <w:lang w:eastAsia="zh-CN"/>
        </w:rPr>
        <w:t>，且远离</w:t>
      </w:r>
      <w:r>
        <w:rPr>
          <w:rFonts w:hint="eastAsia" w:asciiTheme="minorEastAsia" w:hAnsiTheme="minorEastAsia" w:eastAsiaTheme="minorEastAsia"/>
          <w:lang w:eastAsia="zh-CN"/>
        </w:rPr>
        <w:t>牧户等</w:t>
      </w:r>
      <w:r>
        <w:rPr>
          <w:rFonts w:asciiTheme="minorEastAsia" w:hAnsiTheme="minorEastAsia" w:eastAsiaTheme="minorEastAsia"/>
          <w:lang w:eastAsia="zh-CN"/>
        </w:rPr>
        <w:t>环境敏感点，占地类型以草地为主，尽量布置丛式井，</w:t>
      </w:r>
      <w:r>
        <w:rPr>
          <w:rFonts w:hint="eastAsia" w:asciiTheme="minorEastAsia" w:hAnsiTheme="minorEastAsia" w:eastAsiaTheme="minorEastAsia"/>
          <w:lang w:eastAsia="zh-CN"/>
        </w:rPr>
        <w:t>减少</w:t>
      </w:r>
      <w:r>
        <w:rPr>
          <w:rFonts w:asciiTheme="minorEastAsia" w:hAnsiTheme="minorEastAsia" w:eastAsiaTheme="minorEastAsia"/>
          <w:lang w:eastAsia="zh-CN"/>
        </w:rPr>
        <w:t>占地，井场布置基本合理。</w:t>
      </w:r>
    </w:p>
    <w:p w14:paraId="44F06763">
      <w:pPr>
        <w:pStyle w:val="3"/>
        <w:rPr>
          <w:lang w:eastAsia="zh-CN"/>
        </w:rPr>
      </w:pPr>
      <w:bookmarkStart w:id="937" w:name="_Toc338663662"/>
      <w:bookmarkStart w:id="938" w:name="_Toc408414094"/>
      <w:r>
        <w:rPr>
          <w:lang w:eastAsia="zh-CN"/>
        </w:rPr>
        <w:t>13.2</w:t>
      </w:r>
      <w:bookmarkEnd w:id="929"/>
      <w:bookmarkEnd w:id="930"/>
      <w:bookmarkEnd w:id="931"/>
      <w:bookmarkEnd w:id="937"/>
      <w:bookmarkStart w:id="939" w:name="_Toc338663663"/>
      <w:bookmarkStart w:id="940" w:name="_Toc280020211"/>
      <w:bookmarkStart w:id="941" w:name="_Toc182141056"/>
      <w:bookmarkStart w:id="942" w:name="_Toc279676812"/>
      <w:r>
        <w:rPr>
          <w:lang w:eastAsia="zh-CN"/>
        </w:rPr>
        <w:t>项目建设与</w:t>
      </w:r>
      <w:r>
        <w:rPr>
          <w:rFonts w:hint="eastAsia"/>
          <w:lang w:eastAsia="zh-CN"/>
        </w:rPr>
        <w:t>产业政策</w:t>
      </w:r>
      <w:r>
        <w:rPr>
          <w:lang w:eastAsia="zh-CN"/>
        </w:rPr>
        <w:t>符合性分析</w:t>
      </w:r>
      <w:bookmarkEnd w:id="938"/>
    </w:p>
    <w:p w14:paraId="5FEA264F">
      <w:pPr>
        <w:pStyle w:val="4"/>
        <w:rPr>
          <w:lang w:eastAsia="zh-CN"/>
        </w:rPr>
      </w:pPr>
      <w:bookmarkStart w:id="943" w:name="_Toc408414095"/>
      <w:r>
        <w:rPr>
          <w:lang w:eastAsia="zh-CN"/>
        </w:rPr>
        <w:t>13.2.1产业政策相符性分析</w:t>
      </w:r>
      <w:bookmarkEnd w:id="939"/>
      <w:bookmarkEnd w:id="940"/>
      <w:bookmarkEnd w:id="941"/>
      <w:bookmarkEnd w:id="942"/>
      <w:bookmarkEnd w:id="943"/>
    </w:p>
    <w:p w14:paraId="1AA638A5">
      <w:pPr>
        <w:ind w:firstLine="480"/>
        <w:rPr>
          <w:rFonts w:asciiTheme="minorEastAsia" w:hAnsiTheme="minorEastAsia" w:eastAsiaTheme="minorEastAsia"/>
          <w:lang w:eastAsia="zh-CN"/>
        </w:rPr>
      </w:pPr>
      <w:r>
        <w:rPr>
          <w:rFonts w:asciiTheme="minorEastAsia" w:hAnsiTheme="minorEastAsia" w:eastAsiaTheme="minorEastAsia"/>
          <w:lang w:eastAsia="zh-CN"/>
        </w:rPr>
        <w:t>石油化工工业是国家</w:t>
      </w:r>
      <w:r>
        <w:rPr>
          <w:rFonts w:hint="eastAsia" w:asciiTheme="minorEastAsia" w:hAnsiTheme="minorEastAsia" w:eastAsiaTheme="minorEastAsia"/>
          <w:lang w:eastAsia="zh-CN"/>
        </w:rPr>
        <w:t>“</w:t>
      </w:r>
      <w:r>
        <w:rPr>
          <w:rFonts w:asciiTheme="minorEastAsia" w:hAnsiTheme="minorEastAsia" w:eastAsiaTheme="minorEastAsia"/>
          <w:lang w:eastAsia="zh-CN"/>
        </w:rPr>
        <w:t>十二五</w:t>
      </w:r>
      <w:r>
        <w:rPr>
          <w:rFonts w:hint="eastAsia" w:asciiTheme="minorEastAsia" w:hAnsiTheme="minorEastAsia" w:eastAsiaTheme="minorEastAsia"/>
          <w:lang w:eastAsia="zh-CN"/>
        </w:rPr>
        <w:t>”</w:t>
      </w:r>
      <w:r>
        <w:rPr>
          <w:rFonts w:asciiTheme="minorEastAsia" w:hAnsiTheme="minorEastAsia" w:eastAsiaTheme="minorEastAsia"/>
          <w:lang w:eastAsia="zh-CN"/>
        </w:rPr>
        <w:t>期间重点发展的行业，根据国家发展和改革委员会颁布的《产业结构调整指导目录（</w:t>
      </w:r>
      <w:r>
        <w:rPr>
          <w:rFonts w:hint="eastAsia" w:asciiTheme="minorEastAsia" w:hAnsiTheme="minorEastAsia" w:eastAsiaTheme="minorEastAsia"/>
          <w:lang w:eastAsia="zh-CN"/>
        </w:rPr>
        <w:t>2011本，</w:t>
      </w:r>
      <w:r>
        <w:rPr>
          <w:rFonts w:asciiTheme="minorEastAsia" w:hAnsiTheme="minorEastAsia" w:eastAsiaTheme="minorEastAsia"/>
          <w:lang w:eastAsia="zh-CN"/>
        </w:rPr>
        <w:t>201</w:t>
      </w:r>
      <w:r>
        <w:rPr>
          <w:rFonts w:hint="eastAsia" w:asciiTheme="minorEastAsia" w:hAnsiTheme="minorEastAsia" w:eastAsiaTheme="minorEastAsia"/>
          <w:lang w:eastAsia="zh-CN"/>
        </w:rPr>
        <w:t>3</w:t>
      </w:r>
      <w:r>
        <w:rPr>
          <w:rFonts w:asciiTheme="minorEastAsia" w:hAnsiTheme="minorEastAsia" w:eastAsiaTheme="minorEastAsia"/>
          <w:lang w:eastAsia="zh-CN"/>
        </w:rPr>
        <w:t>年</w:t>
      </w:r>
      <w:r>
        <w:rPr>
          <w:rFonts w:hint="eastAsia" w:asciiTheme="minorEastAsia" w:hAnsiTheme="minorEastAsia" w:eastAsiaTheme="minorEastAsia"/>
          <w:lang w:eastAsia="zh-CN"/>
        </w:rPr>
        <w:t>修订</w:t>
      </w:r>
      <w:r>
        <w:rPr>
          <w:rFonts w:asciiTheme="minorEastAsia" w:hAnsiTheme="minorEastAsia" w:eastAsiaTheme="minorEastAsia"/>
          <w:lang w:eastAsia="zh-CN"/>
        </w:rPr>
        <w:t>）》中</w:t>
      </w:r>
      <w:r>
        <w:rPr>
          <w:rFonts w:hint="eastAsia" w:asciiTheme="minorEastAsia" w:hAnsiTheme="minorEastAsia" w:eastAsiaTheme="minorEastAsia"/>
          <w:lang w:eastAsia="zh-CN"/>
        </w:rPr>
        <w:t>鼓励类</w:t>
      </w:r>
      <w:r>
        <w:rPr>
          <w:rFonts w:asciiTheme="minorEastAsia" w:hAnsiTheme="minorEastAsia" w:eastAsiaTheme="minorEastAsia"/>
          <w:lang w:eastAsia="zh-CN"/>
        </w:rPr>
        <w:t>中第七条第1款</w:t>
      </w:r>
      <w:r>
        <w:rPr>
          <w:rFonts w:hint="eastAsia" w:asciiTheme="minorEastAsia" w:hAnsiTheme="minorEastAsia" w:eastAsiaTheme="minorEastAsia"/>
          <w:lang w:eastAsia="zh-CN"/>
        </w:rPr>
        <w:t>“</w:t>
      </w:r>
      <w:r>
        <w:rPr>
          <w:rFonts w:asciiTheme="minorEastAsia" w:hAnsiTheme="minorEastAsia" w:eastAsiaTheme="minorEastAsia"/>
          <w:lang w:eastAsia="zh-CN"/>
        </w:rPr>
        <w:t>常规石油、天然气的勘探与开采</w:t>
      </w:r>
      <w:r>
        <w:rPr>
          <w:rFonts w:hint="eastAsia" w:asciiTheme="minorEastAsia" w:hAnsiTheme="minorEastAsia" w:eastAsiaTheme="minorEastAsia"/>
          <w:lang w:eastAsia="zh-CN"/>
        </w:rPr>
        <w:t>”</w:t>
      </w:r>
      <w:r>
        <w:rPr>
          <w:rFonts w:asciiTheme="minorEastAsia" w:hAnsiTheme="minorEastAsia" w:eastAsiaTheme="minorEastAsia"/>
          <w:lang w:eastAsia="zh-CN"/>
        </w:rPr>
        <w:t>的规定，本项目为鼓励类项目，符合国家产业政策。</w:t>
      </w:r>
    </w:p>
    <w:p w14:paraId="06B5EF18">
      <w:pPr>
        <w:pStyle w:val="4"/>
        <w:rPr>
          <w:lang w:eastAsia="zh-CN"/>
        </w:rPr>
      </w:pPr>
      <w:bookmarkStart w:id="944" w:name="_Toc408414096"/>
      <w:r>
        <w:rPr>
          <w:lang w:eastAsia="zh-CN"/>
        </w:rPr>
        <w:t>13.2.2与内蒙古自治区“十二五”规划的相符性</w:t>
      </w:r>
      <w:bookmarkEnd w:id="944"/>
    </w:p>
    <w:p w14:paraId="20968713">
      <w:pPr>
        <w:ind w:firstLine="480"/>
        <w:rPr>
          <w:lang w:eastAsia="zh-CN"/>
        </w:rPr>
      </w:pPr>
      <w:r>
        <w:rPr>
          <w:lang w:eastAsia="zh-CN"/>
        </w:rPr>
        <w:t>《内蒙古自治区国民经济和社会发展第十二个五年规划纲要》中指出：</w:t>
      </w:r>
      <w:r>
        <w:rPr>
          <w:rFonts w:hint="eastAsia"/>
          <w:lang w:eastAsia="zh-CN"/>
        </w:rPr>
        <w:t>“</w:t>
      </w:r>
      <w:r>
        <w:rPr>
          <w:lang w:eastAsia="zh-CN"/>
        </w:rPr>
        <w:t>优化发展能源工业。充分发挥煤炭资源富集和邻近市场优势，建设国家新型能源基地。优化开发利用结构，保护性开发富铝煤、富锗煤和焦煤、无烟煤等特种煤资源，适度开发动力煤资源，加快褐煤资源综合利用。坚持整装煤田整装开发、一个规划矿区一个主体开发的原则，加快煤炭企业兼并重组，提高产业集中度，建设一批亿吨级和五千万吨级大型煤炭生产基地。改善技术装备，着力提升现代化水平，建设一批现代化露天煤矿和千万吨级安全高效矿井，采煤机械化程度提高到75%以上。积极推进煤炭清洁生产，大力发展洗选加工。依托大型煤炭基地，建设一批大型煤电一体化坑口、路口电站群，支持具备条件的盟市、旗县政府所在地发展热电联产。推进石油天然气资源勘查开发利用，加强海拉尔、巴彦浩特和乌拉特川井盆地</w:t>
      </w:r>
      <w:r>
        <w:rPr>
          <w:rFonts w:hint="eastAsia"/>
          <w:lang w:eastAsia="zh-CN"/>
        </w:rPr>
        <w:t>等</w:t>
      </w:r>
      <w:r>
        <w:rPr>
          <w:lang w:eastAsia="zh-CN"/>
        </w:rPr>
        <w:t>油田开发，加快煤炭矿区煤层气抽采利用，推进鄂尔多斯盆地低渗透天然气、页岩气的勘探开发和利用</w:t>
      </w:r>
      <w:r>
        <w:rPr>
          <w:rFonts w:hint="eastAsia"/>
          <w:lang w:eastAsia="zh-CN"/>
        </w:rPr>
        <w:t>”</w:t>
      </w:r>
      <w:r>
        <w:rPr>
          <w:lang w:eastAsia="zh-CN"/>
        </w:rPr>
        <w:t>。乌里雅斯太油田为锡林郭勒盟境内的石油资源勘查开发利用项目，该项目的建设符合内蒙古自治区</w:t>
      </w:r>
      <w:r>
        <w:rPr>
          <w:rFonts w:hint="eastAsia"/>
          <w:lang w:eastAsia="zh-CN"/>
        </w:rPr>
        <w:t>“</w:t>
      </w:r>
      <w:r>
        <w:rPr>
          <w:lang w:eastAsia="zh-CN"/>
        </w:rPr>
        <w:t>十二五</w:t>
      </w:r>
      <w:r>
        <w:rPr>
          <w:rFonts w:hint="eastAsia"/>
          <w:lang w:eastAsia="zh-CN"/>
        </w:rPr>
        <w:t>”</w:t>
      </w:r>
      <w:r>
        <w:rPr>
          <w:lang w:eastAsia="zh-CN"/>
        </w:rPr>
        <w:t>规划纲要的要求。</w:t>
      </w:r>
    </w:p>
    <w:p w14:paraId="5C958775">
      <w:pPr>
        <w:pStyle w:val="4"/>
        <w:rPr>
          <w:lang w:eastAsia="zh-CN"/>
        </w:rPr>
      </w:pPr>
      <w:bookmarkStart w:id="945" w:name="_Toc408414097"/>
      <w:r>
        <w:rPr>
          <w:lang w:eastAsia="zh-CN"/>
        </w:rPr>
        <w:t>13.2.3与锡林郭勒盟</w:t>
      </w:r>
      <w:r>
        <w:rPr>
          <w:rFonts w:hint="eastAsia"/>
          <w:lang w:eastAsia="zh-CN"/>
        </w:rPr>
        <w:t>“</w:t>
      </w:r>
      <w:r>
        <w:rPr>
          <w:lang w:eastAsia="zh-CN"/>
        </w:rPr>
        <w:t>十二五</w:t>
      </w:r>
      <w:r>
        <w:rPr>
          <w:rFonts w:hint="eastAsia"/>
          <w:lang w:eastAsia="zh-CN"/>
        </w:rPr>
        <w:t>”</w:t>
      </w:r>
      <w:r>
        <w:rPr>
          <w:lang w:eastAsia="zh-CN"/>
        </w:rPr>
        <w:t>规划的相符性</w:t>
      </w:r>
      <w:bookmarkEnd w:id="945"/>
    </w:p>
    <w:p w14:paraId="427A7D75">
      <w:pPr>
        <w:ind w:firstLine="480"/>
        <w:rPr>
          <w:lang w:eastAsia="zh-CN"/>
        </w:rPr>
      </w:pPr>
      <w:r>
        <w:rPr>
          <w:lang w:eastAsia="zh-CN"/>
        </w:rPr>
        <w:t>《锡林郭勒盟国民经济和社会发展第十二个五年规划纲要》中的中指出：</w:t>
      </w:r>
      <w:r>
        <w:rPr>
          <w:rFonts w:hint="eastAsia"/>
          <w:lang w:eastAsia="zh-CN"/>
        </w:rPr>
        <w:t>“全盟在“</w:t>
      </w:r>
      <w:r>
        <w:rPr>
          <w:lang w:eastAsia="zh-CN"/>
        </w:rPr>
        <w:t>十二五</w:t>
      </w:r>
      <w:r>
        <w:rPr>
          <w:rFonts w:hint="eastAsia"/>
          <w:lang w:eastAsia="zh-CN"/>
        </w:rPr>
        <w:t>”</w:t>
      </w:r>
      <w:r>
        <w:rPr>
          <w:lang w:eastAsia="zh-CN"/>
        </w:rPr>
        <w:t>期间以煤炭开发为基础，以火电、化工、风电等大型项目为支撑，以循环经济园区建设为载体，以科技创新为动力，以能源输送绿色通道建设为保障，以建设大型现代化煤炭基地为目标，坚持煤电一体化开发，坚持保护生态环境，充分利用可再生能源资源，加强石油勘探开发，将锡盟建设成为对区域经济发展具有重要推动力的综合性绿色能源基地。到2015年，原煤产量达到2.2亿吨以上，火电装机容量达到2000 万千瓦，风电装机容量达到800万千瓦，光电装机容量达到20万千瓦，褐煤提质加工量超过5000万吨，石油产量达到150万吨。稳定二连油田开采规模，积极推进东苏旗、西苏旗、镶黄旗、东乌旗、阿旗、白旗、蓝旗等区域的石油勘探开发力度，巩固和发展我盟石油产业在全区的重要地位</w:t>
      </w:r>
      <w:r>
        <w:rPr>
          <w:rFonts w:hint="eastAsia"/>
          <w:lang w:eastAsia="zh-CN"/>
        </w:rPr>
        <w:t>”</w:t>
      </w:r>
      <w:r>
        <w:rPr>
          <w:lang w:eastAsia="zh-CN"/>
        </w:rPr>
        <w:t>。本项目为</w:t>
      </w:r>
      <w:r>
        <w:rPr>
          <w:rFonts w:hint="eastAsia"/>
          <w:lang w:eastAsia="zh-CN"/>
        </w:rPr>
        <w:t>东乌珠穆沁旗境内</w:t>
      </w:r>
      <w:r>
        <w:rPr>
          <w:lang w:eastAsia="zh-CN"/>
        </w:rPr>
        <w:t>油田开发建设项目，符合锡林郭勒盟</w:t>
      </w:r>
      <w:r>
        <w:rPr>
          <w:rFonts w:hint="eastAsia"/>
          <w:lang w:eastAsia="zh-CN"/>
        </w:rPr>
        <w:t>“</w:t>
      </w:r>
      <w:r>
        <w:rPr>
          <w:lang w:eastAsia="zh-CN"/>
        </w:rPr>
        <w:t>十二五</w:t>
      </w:r>
      <w:r>
        <w:rPr>
          <w:rFonts w:hint="eastAsia"/>
          <w:lang w:eastAsia="zh-CN"/>
        </w:rPr>
        <w:t>”</w:t>
      </w:r>
      <w:r>
        <w:rPr>
          <w:lang w:eastAsia="zh-CN"/>
        </w:rPr>
        <w:t>规划的要求。</w:t>
      </w:r>
    </w:p>
    <w:p w14:paraId="051A422D">
      <w:pPr>
        <w:pStyle w:val="337"/>
        <w:rPr>
          <w:color w:val="auto"/>
          <w:lang w:eastAsia="zh-CN"/>
        </w:rPr>
        <w:sectPr>
          <w:pgSz w:w="11907" w:h="16840"/>
          <w:pgMar w:top="1440" w:right="1797" w:bottom="1440" w:left="1797" w:header="851" w:footer="992" w:gutter="0"/>
          <w:cols w:space="720" w:num="1"/>
          <w:docGrid w:linePitch="319" w:charSpace="0"/>
        </w:sectPr>
      </w:pPr>
    </w:p>
    <w:p w14:paraId="286ED6BF">
      <w:pPr>
        <w:pStyle w:val="380"/>
        <w:spacing w:before="0" w:after="0"/>
        <w:rPr>
          <w:rFonts w:cs="Times New Roman"/>
          <w:lang w:eastAsia="zh-CN"/>
        </w:rPr>
      </w:pPr>
      <w:bookmarkStart w:id="946" w:name="_Toc408414098"/>
      <w:r>
        <w:rPr>
          <w:rFonts w:cs="Times New Roman"/>
          <w:lang w:eastAsia="zh-CN"/>
        </w:rPr>
        <w:t>14环境影响经济损益分析</w:t>
      </w:r>
      <w:bookmarkEnd w:id="918"/>
      <w:bookmarkEnd w:id="919"/>
      <w:bookmarkEnd w:id="920"/>
      <w:bookmarkEnd w:id="921"/>
      <w:bookmarkEnd w:id="946"/>
    </w:p>
    <w:p w14:paraId="687827E0">
      <w:pPr>
        <w:ind w:firstLine="480"/>
        <w:rPr>
          <w:rFonts w:asciiTheme="minorEastAsia" w:hAnsiTheme="minorEastAsia" w:eastAsiaTheme="minorEastAsia"/>
          <w:lang w:eastAsia="zh-CN"/>
        </w:rPr>
      </w:pPr>
      <w:r>
        <w:rPr>
          <w:rFonts w:asciiTheme="minorEastAsia" w:hAnsiTheme="minorEastAsia" w:eastAsiaTheme="minorEastAsia"/>
          <w:lang w:eastAsia="zh-CN"/>
        </w:rPr>
        <w:t>乌里雅斯太油田的开发建设，除对所在区域的经济发展起着促进作用外，也在一定程度上影响着项目环境的变化。本评价通过对建设项目的经济、社会和环境效益分析，从而进行综合分析。</w:t>
      </w:r>
    </w:p>
    <w:p w14:paraId="429498B2">
      <w:pPr>
        <w:pStyle w:val="3"/>
        <w:rPr>
          <w:lang w:eastAsia="zh-CN"/>
        </w:rPr>
      </w:pPr>
      <w:bookmarkStart w:id="947" w:name="_Toc196215843"/>
      <w:bookmarkStart w:id="948" w:name="_Toc408414099"/>
      <w:bookmarkStart w:id="949" w:name="_Toc338663668"/>
      <w:bookmarkStart w:id="950" w:name="_Toc279676793"/>
      <w:bookmarkStart w:id="951" w:name="_Toc189535452"/>
      <w:bookmarkStart w:id="952" w:name="_Toc280020192"/>
      <w:bookmarkStart w:id="953" w:name="_Toc248649465"/>
      <w:r>
        <w:rPr>
          <w:lang w:eastAsia="zh-CN"/>
        </w:rPr>
        <w:t>14.1经济效益分析</w:t>
      </w:r>
      <w:bookmarkEnd w:id="947"/>
      <w:bookmarkEnd w:id="948"/>
      <w:bookmarkEnd w:id="949"/>
      <w:bookmarkEnd w:id="950"/>
      <w:bookmarkEnd w:id="951"/>
      <w:bookmarkEnd w:id="952"/>
      <w:bookmarkEnd w:id="953"/>
    </w:p>
    <w:p w14:paraId="0676F1CE">
      <w:pPr>
        <w:ind w:firstLine="480"/>
        <w:rPr>
          <w:rFonts w:asciiTheme="minorEastAsia" w:hAnsiTheme="minorEastAsia" w:eastAsiaTheme="minorEastAsia"/>
          <w:lang w:eastAsia="zh-CN"/>
        </w:rPr>
      </w:pPr>
      <w:r>
        <w:rPr>
          <w:rFonts w:asciiTheme="minorEastAsia" w:hAnsiTheme="minorEastAsia" w:eastAsiaTheme="minorEastAsia"/>
          <w:lang w:eastAsia="zh-CN"/>
        </w:rPr>
        <w:t>乌里雅斯太油田地面建设投资</w:t>
      </w:r>
      <w:r>
        <w:rPr>
          <w:rFonts w:hint="eastAsia" w:asciiTheme="minorEastAsia" w:hAnsiTheme="minorEastAsia" w:eastAsiaTheme="minorEastAsia"/>
          <w:lang w:eastAsia="zh-CN"/>
        </w:rPr>
        <w:t>8000.0</w:t>
      </w:r>
      <w:r>
        <w:rPr>
          <w:rFonts w:asciiTheme="minorEastAsia" w:hAnsiTheme="minorEastAsia" w:eastAsiaTheme="minorEastAsia"/>
          <w:lang w:eastAsia="zh-CN"/>
        </w:rPr>
        <w:t>万元，根据计算当项目所得税后财务内部收益率为10%时，油价为45.2美元/桶。根据目前市场行情，油价远高于45.2美元/桶，所以项目所得税后财务内部收益率会大于10%。</w:t>
      </w:r>
    </w:p>
    <w:p w14:paraId="238BDF29">
      <w:pPr>
        <w:ind w:firstLine="480"/>
        <w:rPr>
          <w:rFonts w:asciiTheme="minorEastAsia" w:hAnsiTheme="minorEastAsia" w:eastAsiaTheme="minorEastAsia"/>
          <w:lang w:eastAsia="zh-CN"/>
        </w:rPr>
      </w:pPr>
      <w:r>
        <w:rPr>
          <w:rFonts w:asciiTheme="minorEastAsia" w:hAnsiTheme="minorEastAsia" w:eastAsiaTheme="minorEastAsia"/>
          <w:lang w:eastAsia="zh-CN"/>
        </w:rPr>
        <w:t>根据目前国际、国内市场分析，不存在产品滞销问题，项目抗风险能力较强，从财务方面衡量该项目是可行的。</w:t>
      </w:r>
    </w:p>
    <w:p w14:paraId="2295D887">
      <w:pPr>
        <w:pStyle w:val="3"/>
        <w:rPr>
          <w:lang w:eastAsia="zh-CN"/>
        </w:rPr>
      </w:pPr>
      <w:bookmarkStart w:id="954" w:name="_Toc248649466"/>
      <w:bookmarkStart w:id="955" w:name="_Toc280020193"/>
      <w:bookmarkStart w:id="956" w:name="_Toc338663669"/>
      <w:bookmarkStart w:id="957" w:name="_Toc408414100"/>
      <w:bookmarkStart w:id="958" w:name="_Toc196215844"/>
      <w:bookmarkStart w:id="959" w:name="_Toc279676794"/>
      <w:bookmarkStart w:id="960" w:name="_Toc189535453"/>
      <w:r>
        <w:rPr>
          <w:lang w:eastAsia="zh-CN"/>
        </w:rPr>
        <w:t>14.2环境损失费估算</w:t>
      </w:r>
      <w:bookmarkEnd w:id="954"/>
      <w:bookmarkEnd w:id="955"/>
      <w:bookmarkEnd w:id="956"/>
      <w:bookmarkEnd w:id="957"/>
      <w:bookmarkEnd w:id="958"/>
      <w:bookmarkEnd w:id="959"/>
      <w:bookmarkEnd w:id="960"/>
    </w:p>
    <w:p w14:paraId="3DF11F3D">
      <w:pPr>
        <w:ind w:firstLine="480"/>
        <w:rPr>
          <w:rFonts w:asciiTheme="minorEastAsia" w:hAnsiTheme="minorEastAsia" w:eastAsiaTheme="minorEastAsia"/>
          <w:lang w:eastAsia="zh-CN"/>
        </w:rPr>
      </w:pPr>
      <w:r>
        <w:rPr>
          <w:rFonts w:asciiTheme="minorEastAsia" w:hAnsiTheme="minorEastAsia" w:eastAsiaTheme="minorEastAsia"/>
          <w:lang w:eastAsia="zh-CN"/>
        </w:rPr>
        <w:t>油田开发过程中，由于钻井、场站建设、管道铺设、修路等，需要占用大面积土地，而且由此产生的污染物对周围环境也会造成一定污染，因此引起的环境损失费往往很难直接用经济价值来计算，</w:t>
      </w:r>
      <w:r>
        <w:rPr>
          <w:rFonts w:hint="eastAsia" w:asciiTheme="minorEastAsia" w:hAnsiTheme="minorEastAsia" w:eastAsiaTheme="minorEastAsia"/>
          <w:lang w:eastAsia="zh-CN"/>
        </w:rPr>
        <w:t>本项目</w:t>
      </w:r>
      <w:r>
        <w:rPr>
          <w:rFonts w:asciiTheme="minorEastAsia" w:hAnsiTheme="minorEastAsia" w:eastAsiaTheme="minorEastAsia"/>
          <w:lang w:eastAsia="zh-CN"/>
        </w:rPr>
        <w:t>仅用草</w:t>
      </w:r>
      <w:r>
        <w:rPr>
          <w:rFonts w:hint="eastAsia" w:asciiTheme="minorEastAsia" w:hAnsiTheme="minorEastAsia" w:eastAsiaTheme="minorEastAsia"/>
          <w:lang w:eastAsia="zh-CN"/>
        </w:rPr>
        <w:t>地</w:t>
      </w:r>
      <w:r>
        <w:rPr>
          <w:rFonts w:asciiTheme="minorEastAsia" w:hAnsiTheme="minorEastAsia" w:eastAsiaTheme="minorEastAsia"/>
          <w:lang w:eastAsia="zh-CN"/>
        </w:rPr>
        <w:t>损失费和资源损失费来估算。</w:t>
      </w:r>
    </w:p>
    <w:p w14:paraId="413150B6">
      <w:pPr>
        <w:ind w:firstLine="480"/>
        <w:outlineLvl w:val="0"/>
        <w:rPr>
          <w:rFonts w:asciiTheme="minorEastAsia" w:hAnsiTheme="minorEastAsia" w:eastAsiaTheme="minorEastAsia"/>
          <w:lang w:eastAsia="zh-CN"/>
        </w:rPr>
      </w:pPr>
      <w:bookmarkStart w:id="961" w:name="_Toc338663670"/>
      <w:bookmarkStart w:id="962" w:name="_Toc280020194"/>
      <w:bookmarkStart w:id="963" w:name="_Toc279676795"/>
      <w:r>
        <w:rPr>
          <w:rFonts w:asciiTheme="minorEastAsia" w:hAnsiTheme="minorEastAsia" w:eastAsiaTheme="minorEastAsia"/>
          <w:lang w:eastAsia="zh-CN"/>
        </w:rPr>
        <w:t>1、草</w:t>
      </w:r>
      <w:r>
        <w:rPr>
          <w:rFonts w:hint="eastAsia" w:asciiTheme="minorEastAsia" w:hAnsiTheme="minorEastAsia" w:eastAsiaTheme="minorEastAsia"/>
          <w:lang w:eastAsia="zh-CN"/>
        </w:rPr>
        <w:t>地</w:t>
      </w:r>
      <w:r>
        <w:rPr>
          <w:rFonts w:asciiTheme="minorEastAsia" w:hAnsiTheme="minorEastAsia" w:eastAsiaTheme="minorEastAsia"/>
          <w:lang w:eastAsia="zh-CN"/>
        </w:rPr>
        <w:t>损失费</w:t>
      </w:r>
      <w:bookmarkEnd w:id="961"/>
      <w:bookmarkEnd w:id="962"/>
      <w:bookmarkEnd w:id="963"/>
    </w:p>
    <w:p w14:paraId="32036809">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本工程</w:t>
      </w:r>
      <w:r>
        <w:rPr>
          <w:rFonts w:asciiTheme="minorEastAsia" w:hAnsiTheme="minorEastAsia" w:eastAsiaTheme="minorEastAsia"/>
          <w:lang w:eastAsia="zh-CN"/>
        </w:rPr>
        <w:t>主要</w:t>
      </w:r>
      <w:r>
        <w:rPr>
          <w:rFonts w:hint="eastAsia" w:asciiTheme="minorEastAsia" w:hAnsiTheme="minorEastAsia" w:eastAsiaTheme="minorEastAsia"/>
          <w:lang w:eastAsia="zh-CN"/>
        </w:rPr>
        <w:t>是占用草地造成的损失。</w:t>
      </w:r>
      <w:r>
        <w:rPr>
          <w:rFonts w:asciiTheme="minorEastAsia" w:hAnsiTheme="minorEastAsia" w:eastAsiaTheme="minorEastAsia"/>
          <w:lang w:eastAsia="zh-CN"/>
        </w:rPr>
        <w:t>根据</w:t>
      </w:r>
      <w:r>
        <w:rPr>
          <w:rFonts w:hint="eastAsia" w:asciiTheme="minorEastAsia" w:hAnsiTheme="minorEastAsia" w:eastAsiaTheme="minorEastAsia"/>
          <w:lang w:eastAsia="zh-CN"/>
        </w:rPr>
        <w:t>工程分析及</w:t>
      </w:r>
      <w:r>
        <w:rPr>
          <w:rFonts w:asciiTheme="minorEastAsia" w:hAnsiTheme="minorEastAsia" w:eastAsiaTheme="minorEastAsia"/>
          <w:lang w:eastAsia="zh-CN"/>
        </w:rPr>
        <w:t>生态环境影响分析，</w:t>
      </w:r>
      <w:r>
        <w:rPr>
          <w:rFonts w:hint="eastAsia" w:asciiTheme="minorEastAsia" w:hAnsiTheme="minorEastAsia" w:eastAsiaTheme="minorEastAsia"/>
          <w:lang w:eastAsia="zh-CN"/>
        </w:rPr>
        <w:t>本工程占地面积65.87</w:t>
      </w:r>
      <w:r>
        <w:rPr>
          <w:rFonts w:asciiTheme="minorEastAsia" w:hAnsiTheme="minorEastAsia" w:eastAsiaTheme="minorEastAsia"/>
          <w:lang w:eastAsia="zh-CN"/>
        </w:rPr>
        <w:t xml:space="preserve"> hm</w:t>
      </w:r>
      <w:r>
        <w:rPr>
          <w:rFonts w:asciiTheme="minorEastAsia" w:hAnsiTheme="minorEastAsia" w:eastAsiaTheme="minorEastAsia"/>
          <w:vertAlign w:val="superscript"/>
          <w:lang w:eastAsia="zh-CN"/>
        </w:rPr>
        <w:t>2</w:t>
      </w:r>
      <w:r>
        <w:rPr>
          <w:rFonts w:hint="eastAsia" w:asciiTheme="minorEastAsia" w:hAnsiTheme="minorEastAsia" w:eastAsiaTheme="minorEastAsia"/>
          <w:lang w:eastAsia="zh-CN"/>
        </w:rPr>
        <w:t>，其中永久占地15.2</w:t>
      </w:r>
      <w:r>
        <w:rPr>
          <w:rFonts w:asciiTheme="minorEastAsia" w:hAnsiTheme="minorEastAsia" w:eastAsiaTheme="minorEastAsia"/>
          <w:lang w:eastAsia="zh-CN"/>
        </w:rPr>
        <w:t>hm</w:t>
      </w:r>
      <w:r>
        <w:rPr>
          <w:rFonts w:asciiTheme="minorEastAsia" w:hAnsiTheme="minorEastAsia" w:eastAsiaTheme="minorEastAsia"/>
          <w:vertAlign w:val="superscript"/>
          <w:lang w:eastAsia="zh-CN"/>
        </w:rPr>
        <w:t>2</w:t>
      </w:r>
      <w:r>
        <w:rPr>
          <w:rFonts w:hint="eastAsia" w:asciiTheme="minorEastAsia" w:hAnsiTheme="minorEastAsia" w:eastAsiaTheme="minorEastAsia"/>
          <w:lang w:eastAsia="zh-CN"/>
        </w:rPr>
        <w:t>，临时占地50.67</w:t>
      </w:r>
      <w:r>
        <w:rPr>
          <w:rFonts w:asciiTheme="minorEastAsia" w:hAnsiTheme="minorEastAsia" w:eastAsiaTheme="minorEastAsia"/>
          <w:lang w:eastAsia="zh-CN"/>
        </w:rPr>
        <w:t>hm</w:t>
      </w:r>
      <w:r>
        <w:rPr>
          <w:rFonts w:asciiTheme="minorEastAsia" w:hAnsiTheme="minorEastAsia" w:eastAsiaTheme="minorEastAsia"/>
          <w:vertAlign w:val="superscript"/>
          <w:lang w:eastAsia="zh-CN"/>
        </w:rPr>
        <w:t>2</w:t>
      </w:r>
      <w:r>
        <w:rPr>
          <w:rFonts w:hint="eastAsia" w:asciiTheme="minorEastAsia" w:hAnsiTheme="minorEastAsia" w:eastAsiaTheme="minorEastAsia"/>
          <w:lang w:eastAsia="zh-CN"/>
        </w:rPr>
        <w:t>，占地类型主要为草地。</w:t>
      </w:r>
      <w:r>
        <w:rPr>
          <w:rFonts w:asciiTheme="minorEastAsia" w:hAnsiTheme="minorEastAsia" w:eastAsiaTheme="minorEastAsia"/>
          <w:lang w:eastAsia="zh-CN"/>
        </w:rPr>
        <w:t>临时占地造成的损失</w:t>
      </w:r>
      <w:r>
        <w:rPr>
          <w:rFonts w:hint="eastAsia" w:asciiTheme="minorEastAsia" w:hAnsiTheme="minorEastAsia" w:eastAsiaTheme="minorEastAsia"/>
          <w:lang w:eastAsia="zh-CN"/>
        </w:rPr>
        <w:t>按照</w:t>
      </w:r>
      <w:r>
        <w:rPr>
          <w:rFonts w:asciiTheme="minorEastAsia" w:hAnsiTheme="minorEastAsia" w:eastAsiaTheme="minorEastAsia"/>
          <w:lang w:eastAsia="zh-CN"/>
        </w:rPr>
        <w:t>1元/m</w:t>
      </w:r>
      <w:r>
        <w:rPr>
          <w:rFonts w:asciiTheme="minorEastAsia" w:hAnsiTheme="minorEastAsia" w:eastAsiaTheme="minorEastAsia"/>
          <w:vertAlign w:val="superscript"/>
          <w:lang w:eastAsia="zh-CN"/>
        </w:rPr>
        <w:t>2</w:t>
      </w:r>
      <w:r>
        <w:rPr>
          <w:rFonts w:hint="eastAsia" w:asciiTheme="minorEastAsia" w:hAnsiTheme="minorEastAsia" w:eastAsiaTheme="minorEastAsia"/>
          <w:lang w:eastAsia="zh-CN"/>
        </w:rPr>
        <w:t>计算，则临时占地造成的损失为50.67万元；</w:t>
      </w:r>
      <w:r>
        <w:rPr>
          <w:rFonts w:asciiTheme="minorEastAsia" w:hAnsiTheme="minorEastAsia" w:eastAsiaTheme="minorEastAsia"/>
          <w:lang w:eastAsia="zh-CN"/>
        </w:rPr>
        <w:t>永久占地造成的损失</w:t>
      </w:r>
      <w:r>
        <w:rPr>
          <w:rFonts w:hint="eastAsia" w:asciiTheme="minorEastAsia" w:hAnsiTheme="minorEastAsia" w:eastAsiaTheme="minorEastAsia"/>
          <w:lang w:eastAsia="zh-CN"/>
        </w:rPr>
        <w:t>按照</w:t>
      </w:r>
      <w:r>
        <w:rPr>
          <w:rFonts w:asciiTheme="minorEastAsia" w:hAnsiTheme="minorEastAsia" w:eastAsiaTheme="minorEastAsia"/>
          <w:lang w:eastAsia="zh-CN"/>
        </w:rPr>
        <w:t>1200元/亩</w:t>
      </w:r>
      <w:r>
        <w:rPr>
          <w:rFonts w:hint="eastAsia" w:asciiTheme="minorEastAsia" w:hAnsiTheme="minorEastAsia" w:eastAsiaTheme="minorEastAsia"/>
          <w:lang w:eastAsia="zh-CN"/>
        </w:rPr>
        <w:t>计算</w:t>
      </w:r>
      <w:r>
        <w:rPr>
          <w:rFonts w:asciiTheme="minorEastAsia" w:hAnsiTheme="minorEastAsia" w:eastAsiaTheme="minorEastAsia"/>
          <w:lang w:eastAsia="zh-CN"/>
        </w:rPr>
        <w:t>，</w:t>
      </w:r>
      <w:r>
        <w:rPr>
          <w:rFonts w:hint="eastAsia" w:asciiTheme="minorEastAsia" w:hAnsiTheme="minorEastAsia" w:eastAsiaTheme="minorEastAsia"/>
          <w:lang w:eastAsia="zh-CN"/>
        </w:rPr>
        <w:t>则永久占地造成的损失为27.22万元。本工程占用草地造成的损失</w:t>
      </w:r>
      <w:r>
        <w:rPr>
          <w:rFonts w:asciiTheme="minorEastAsia" w:hAnsiTheme="minorEastAsia" w:eastAsiaTheme="minorEastAsia"/>
          <w:lang w:eastAsia="zh-CN"/>
        </w:rPr>
        <w:t>总计</w:t>
      </w:r>
      <w:r>
        <w:rPr>
          <w:rFonts w:hint="eastAsia" w:asciiTheme="minorEastAsia" w:hAnsiTheme="minorEastAsia" w:eastAsiaTheme="minorEastAsia"/>
          <w:lang w:eastAsia="zh-CN"/>
        </w:rPr>
        <w:t>77.89</w:t>
      </w:r>
      <w:r>
        <w:rPr>
          <w:rFonts w:asciiTheme="minorEastAsia" w:hAnsiTheme="minorEastAsia" w:eastAsiaTheme="minorEastAsia"/>
          <w:lang w:eastAsia="zh-CN"/>
        </w:rPr>
        <w:t>万元。</w:t>
      </w:r>
    </w:p>
    <w:p w14:paraId="282687BF">
      <w:pPr>
        <w:ind w:firstLine="480"/>
        <w:outlineLvl w:val="0"/>
        <w:rPr>
          <w:rFonts w:asciiTheme="minorEastAsia" w:hAnsiTheme="minorEastAsia" w:eastAsiaTheme="minorEastAsia"/>
          <w:lang w:eastAsia="zh-CN"/>
        </w:rPr>
      </w:pPr>
      <w:bookmarkStart w:id="964" w:name="_Toc280020195"/>
      <w:bookmarkStart w:id="965" w:name="_Toc279676796"/>
      <w:bookmarkStart w:id="966" w:name="_Toc338663671"/>
      <w:r>
        <w:rPr>
          <w:rFonts w:asciiTheme="minorEastAsia" w:hAnsiTheme="minorEastAsia" w:eastAsiaTheme="minorEastAsia"/>
          <w:lang w:eastAsia="zh-CN"/>
        </w:rPr>
        <w:t>2、资源损失费</w:t>
      </w:r>
      <w:bookmarkEnd w:id="964"/>
      <w:bookmarkEnd w:id="965"/>
      <w:bookmarkEnd w:id="966"/>
    </w:p>
    <w:p w14:paraId="06EA8862">
      <w:pPr>
        <w:ind w:firstLine="480"/>
        <w:rPr>
          <w:rFonts w:asciiTheme="minorEastAsia" w:hAnsiTheme="minorEastAsia" w:eastAsiaTheme="minorEastAsia"/>
          <w:lang w:eastAsia="zh-CN"/>
        </w:rPr>
      </w:pPr>
      <w:r>
        <w:rPr>
          <w:rFonts w:asciiTheme="minorEastAsia" w:hAnsiTheme="minorEastAsia" w:eastAsiaTheme="minorEastAsia"/>
          <w:lang w:eastAsia="zh-CN"/>
        </w:rPr>
        <w:t>乌里雅斯太油田资源损失主要为油田开发过程中烃损失，该项目采出液密闭集输，每年总烃挥发量约</w:t>
      </w:r>
      <w:r>
        <w:rPr>
          <w:rFonts w:hint="eastAsia" w:asciiTheme="minorEastAsia" w:hAnsiTheme="minorEastAsia" w:eastAsiaTheme="minorEastAsia"/>
          <w:lang w:eastAsia="zh-CN"/>
        </w:rPr>
        <w:t>281.76</w:t>
      </w:r>
      <w:r>
        <w:rPr>
          <w:rFonts w:asciiTheme="minorEastAsia" w:hAnsiTheme="minorEastAsia" w:eastAsiaTheme="minorEastAsia"/>
          <w:lang w:eastAsia="zh-CN"/>
        </w:rPr>
        <w:t>t的烃类排入大气。每吨按3000元计，相当于损失</w:t>
      </w:r>
      <w:r>
        <w:rPr>
          <w:rFonts w:hint="eastAsia" w:asciiTheme="minorEastAsia" w:hAnsiTheme="minorEastAsia" w:eastAsiaTheme="minorEastAsia"/>
          <w:lang w:eastAsia="zh-CN"/>
        </w:rPr>
        <w:t>84.5</w:t>
      </w:r>
      <w:r>
        <w:rPr>
          <w:rFonts w:asciiTheme="minorEastAsia" w:hAnsiTheme="minorEastAsia" w:eastAsiaTheme="minorEastAsia"/>
          <w:lang w:eastAsia="zh-CN"/>
        </w:rPr>
        <w:t>万元，</w:t>
      </w:r>
      <w:r>
        <w:rPr>
          <w:rFonts w:hint="eastAsia" w:asciiTheme="minorEastAsia" w:hAnsiTheme="minorEastAsia" w:eastAsiaTheme="minorEastAsia"/>
          <w:lang w:eastAsia="zh-CN"/>
        </w:rPr>
        <w:t>10</w:t>
      </w:r>
      <w:r>
        <w:rPr>
          <w:rFonts w:asciiTheme="minorEastAsia" w:hAnsiTheme="minorEastAsia" w:eastAsiaTheme="minorEastAsia"/>
          <w:lang w:eastAsia="zh-CN"/>
        </w:rPr>
        <w:t>年总计</w:t>
      </w:r>
      <w:r>
        <w:rPr>
          <w:rFonts w:hint="eastAsia" w:asciiTheme="minorEastAsia" w:hAnsiTheme="minorEastAsia" w:eastAsiaTheme="minorEastAsia"/>
          <w:lang w:eastAsia="zh-CN"/>
        </w:rPr>
        <w:t>845</w:t>
      </w:r>
      <w:r>
        <w:rPr>
          <w:rFonts w:asciiTheme="minorEastAsia" w:hAnsiTheme="minorEastAsia" w:eastAsiaTheme="minorEastAsia"/>
          <w:lang w:eastAsia="zh-CN"/>
        </w:rPr>
        <w:t>万元。</w:t>
      </w:r>
    </w:p>
    <w:p w14:paraId="66702317">
      <w:pPr>
        <w:ind w:firstLine="480"/>
        <w:rPr>
          <w:rFonts w:asciiTheme="minorEastAsia" w:hAnsiTheme="minorEastAsia" w:eastAsiaTheme="minorEastAsia"/>
          <w:lang w:eastAsia="zh-CN"/>
        </w:rPr>
      </w:pPr>
      <w:r>
        <w:rPr>
          <w:rFonts w:asciiTheme="minorEastAsia" w:hAnsiTheme="minorEastAsia" w:eastAsiaTheme="minorEastAsia"/>
          <w:lang w:eastAsia="zh-CN"/>
        </w:rPr>
        <w:t>综合两项合计为</w:t>
      </w:r>
      <w:r>
        <w:rPr>
          <w:rFonts w:hint="eastAsia" w:asciiTheme="minorEastAsia" w:hAnsiTheme="minorEastAsia" w:eastAsiaTheme="minorEastAsia"/>
          <w:lang w:eastAsia="zh-CN"/>
        </w:rPr>
        <w:t>922.89</w:t>
      </w:r>
      <w:r>
        <w:rPr>
          <w:rFonts w:asciiTheme="minorEastAsia" w:hAnsiTheme="minorEastAsia" w:eastAsiaTheme="minorEastAsia"/>
          <w:lang w:eastAsia="zh-CN"/>
        </w:rPr>
        <w:t>万元。</w:t>
      </w:r>
      <w:bookmarkStart w:id="967" w:name="_Toc189535454"/>
      <w:bookmarkStart w:id="968" w:name="_Toc196215845"/>
      <w:bookmarkStart w:id="969" w:name="_Toc248649467"/>
      <w:bookmarkStart w:id="970" w:name="_Toc279676797"/>
      <w:bookmarkStart w:id="971" w:name="_Toc280020196"/>
      <w:bookmarkStart w:id="972" w:name="_Toc338663672"/>
    </w:p>
    <w:p w14:paraId="2B6EC79B">
      <w:pPr>
        <w:pStyle w:val="3"/>
        <w:rPr>
          <w:lang w:eastAsia="zh-CN"/>
        </w:rPr>
      </w:pPr>
      <w:bookmarkStart w:id="973" w:name="_Toc408414101"/>
      <w:r>
        <w:rPr>
          <w:lang w:eastAsia="zh-CN"/>
        </w:rPr>
        <w:t>14.3环保投资估算及环境效益分析</w:t>
      </w:r>
      <w:bookmarkEnd w:id="967"/>
      <w:bookmarkEnd w:id="968"/>
      <w:bookmarkEnd w:id="969"/>
      <w:bookmarkEnd w:id="970"/>
      <w:bookmarkEnd w:id="971"/>
      <w:bookmarkEnd w:id="972"/>
      <w:bookmarkEnd w:id="973"/>
    </w:p>
    <w:p w14:paraId="34D912FD">
      <w:pPr>
        <w:pStyle w:val="4"/>
        <w:rPr>
          <w:lang w:eastAsia="zh-CN"/>
        </w:rPr>
      </w:pPr>
      <w:bookmarkStart w:id="974" w:name="_Toc338663673"/>
      <w:bookmarkStart w:id="975" w:name="_Toc196215846"/>
      <w:bookmarkStart w:id="976" w:name="_Toc280020197"/>
      <w:bookmarkStart w:id="977" w:name="_Toc279676798"/>
      <w:bookmarkStart w:id="978" w:name="_Toc408414102"/>
      <w:r>
        <w:rPr>
          <w:lang w:eastAsia="zh-CN"/>
        </w:rPr>
        <w:t>14.3.1环保措施投资估算</w:t>
      </w:r>
      <w:bookmarkEnd w:id="974"/>
      <w:bookmarkEnd w:id="975"/>
      <w:bookmarkEnd w:id="976"/>
      <w:bookmarkEnd w:id="977"/>
      <w:bookmarkEnd w:id="978"/>
    </w:p>
    <w:p w14:paraId="28BD312F">
      <w:pPr>
        <w:ind w:firstLine="480"/>
        <w:rPr>
          <w:rFonts w:asciiTheme="minorEastAsia" w:hAnsiTheme="minorEastAsia" w:eastAsiaTheme="minorEastAsia"/>
          <w:lang w:eastAsia="zh-CN"/>
        </w:rPr>
      </w:pPr>
      <w:r>
        <w:rPr>
          <w:rFonts w:asciiTheme="minorEastAsia" w:hAnsiTheme="minorEastAsia" w:eastAsiaTheme="minorEastAsia"/>
          <w:lang w:eastAsia="zh-CN"/>
        </w:rPr>
        <w:t>本工程环保投资主要包括废气、废水、固废、噪声污染防治措施以及植被恢复等费用，环保投资情况详见表14.3-1。乌里雅斯太油田产能</w:t>
      </w:r>
      <w:r>
        <w:rPr>
          <w:rFonts w:hint="eastAsia" w:asciiTheme="minorEastAsia" w:hAnsiTheme="minorEastAsia" w:eastAsiaTheme="minorEastAsia"/>
          <w:lang w:eastAsia="zh-CN"/>
        </w:rPr>
        <w:t>开发</w:t>
      </w:r>
      <w:r>
        <w:rPr>
          <w:rFonts w:asciiTheme="minorEastAsia" w:hAnsiTheme="minorEastAsia" w:eastAsiaTheme="minorEastAsia"/>
          <w:lang w:eastAsia="zh-CN"/>
        </w:rPr>
        <w:t>建设项目总投资</w:t>
      </w:r>
      <w:r>
        <w:rPr>
          <w:rFonts w:hint="eastAsia" w:asciiTheme="minorEastAsia" w:hAnsiTheme="minorEastAsia" w:eastAsiaTheme="minorEastAsia"/>
          <w:lang w:eastAsia="zh-CN"/>
        </w:rPr>
        <w:t>8000.0</w:t>
      </w:r>
      <w:r>
        <w:rPr>
          <w:rFonts w:asciiTheme="minorEastAsia" w:hAnsiTheme="minorEastAsia" w:eastAsiaTheme="minorEastAsia"/>
          <w:lang w:eastAsia="zh-CN"/>
        </w:rPr>
        <w:t>万元，环保投资</w:t>
      </w:r>
      <w:r>
        <w:rPr>
          <w:rFonts w:hint="eastAsia" w:asciiTheme="minorEastAsia" w:hAnsiTheme="minorEastAsia" w:eastAsiaTheme="minorEastAsia"/>
          <w:lang w:eastAsia="zh-CN"/>
        </w:rPr>
        <w:t>1000.0</w:t>
      </w:r>
      <w:r>
        <w:rPr>
          <w:rFonts w:asciiTheme="minorEastAsia" w:hAnsiTheme="minorEastAsia" w:eastAsiaTheme="minorEastAsia"/>
          <w:lang w:eastAsia="zh-CN"/>
        </w:rPr>
        <w:t>万元，占总投资的</w:t>
      </w:r>
      <w:r>
        <w:rPr>
          <w:rFonts w:hint="eastAsia" w:asciiTheme="minorEastAsia" w:hAnsiTheme="minorEastAsia" w:eastAsiaTheme="minorEastAsia"/>
          <w:lang w:eastAsia="zh-CN"/>
        </w:rPr>
        <w:t>12.5</w:t>
      </w:r>
      <w:r>
        <w:rPr>
          <w:rFonts w:asciiTheme="minorEastAsia" w:hAnsiTheme="minorEastAsia" w:eastAsiaTheme="minorEastAsia"/>
          <w:lang w:eastAsia="zh-CN"/>
        </w:rPr>
        <w:t>%。</w:t>
      </w:r>
    </w:p>
    <w:p w14:paraId="2DF8C59E">
      <w:pPr>
        <w:spacing w:line="240" w:lineRule="auto"/>
        <w:ind w:firstLine="482"/>
        <w:rPr>
          <w:b/>
          <w:lang w:eastAsia="zh-CN"/>
        </w:rPr>
      </w:pPr>
      <w:r>
        <w:rPr>
          <w:b/>
          <w:lang w:eastAsia="zh-CN"/>
        </w:rPr>
        <w:t xml:space="preserve">表14.3-1  </w:t>
      </w:r>
      <w:r>
        <w:rPr>
          <w:rFonts w:hint="eastAsia"/>
          <w:b/>
          <w:lang w:eastAsia="zh-CN"/>
        </w:rPr>
        <w:t xml:space="preserve">   </w:t>
      </w:r>
      <w:r>
        <w:rPr>
          <w:b/>
          <w:lang w:eastAsia="zh-CN"/>
        </w:rPr>
        <w:t>工程投资估算情况</w:t>
      </w:r>
    </w:p>
    <w:tbl>
      <w:tblPr>
        <w:tblStyle w:val="7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5"/>
        <w:gridCol w:w="991"/>
        <w:gridCol w:w="2211"/>
        <w:gridCol w:w="33"/>
        <w:gridCol w:w="2215"/>
        <w:gridCol w:w="1213"/>
        <w:gridCol w:w="1191"/>
      </w:tblGrid>
      <w:tr w14:paraId="3642BB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5" w:type="dxa"/>
            <w:vAlign w:val="center"/>
          </w:tcPr>
          <w:p w14:paraId="44ECA0C4">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序号</w:t>
            </w:r>
          </w:p>
        </w:tc>
        <w:tc>
          <w:tcPr>
            <w:tcW w:w="5450" w:type="dxa"/>
            <w:gridSpan w:val="4"/>
            <w:vAlign w:val="center"/>
          </w:tcPr>
          <w:p w14:paraId="6160DBDE">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项目</w:t>
            </w:r>
          </w:p>
        </w:tc>
        <w:tc>
          <w:tcPr>
            <w:tcW w:w="1213" w:type="dxa"/>
            <w:vAlign w:val="center"/>
          </w:tcPr>
          <w:p w14:paraId="1B218CC3">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投资</w:t>
            </w:r>
          </w:p>
        </w:tc>
        <w:tc>
          <w:tcPr>
            <w:tcW w:w="1191" w:type="dxa"/>
            <w:vAlign w:val="center"/>
          </w:tcPr>
          <w:p w14:paraId="50AF428E">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备注</w:t>
            </w:r>
          </w:p>
        </w:tc>
      </w:tr>
      <w:tr w14:paraId="644DD3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5" w:type="dxa"/>
            <w:vMerge w:val="restart"/>
            <w:vAlign w:val="center"/>
          </w:tcPr>
          <w:p w14:paraId="044752F4">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一</w:t>
            </w:r>
          </w:p>
        </w:tc>
        <w:tc>
          <w:tcPr>
            <w:tcW w:w="991" w:type="dxa"/>
            <w:vMerge w:val="restart"/>
            <w:vAlign w:val="center"/>
          </w:tcPr>
          <w:p w14:paraId="5BF8898E">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大气污染治理</w:t>
            </w:r>
          </w:p>
        </w:tc>
        <w:tc>
          <w:tcPr>
            <w:tcW w:w="2211" w:type="dxa"/>
            <w:vAlign w:val="center"/>
          </w:tcPr>
          <w:p w14:paraId="002CE692">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井场联络道路扬尘</w:t>
            </w:r>
          </w:p>
          <w:p w14:paraId="6148CFFA">
            <w:pPr>
              <w:pStyle w:val="425"/>
              <w:snapToGrid w:val="0"/>
              <w:ind w:left="-120" w:right="-120" w:firstLine="420"/>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防治</w:t>
            </w:r>
          </w:p>
        </w:tc>
        <w:tc>
          <w:tcPr>
            <w:tcW w:w="2248" w:type="dxa"/>
            <w:gridSpan w:val="2"/>
            <w:vAlign w:val="center"/>
          </w:tcPr>
          <w:p w14:paraId="3B48E7B2">
            <w:pPr>
              <w:pStyle w:val="425"/>
              <w:snapToGrid w:val="0"/>
              <w:ind w:left="-120" w:right="-120" w:firstLine="420"/>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配备洒水车2台</w:t>
            </w:r>
          </w:p>
        </w:tc>
        <w:tc>
          <w:tcPr>
            <w:tcW w:w="1213" w:type="dxa"/>
            <w:vAlign w:val="center"/>
          </w:tcPr>
          <w:p w14:paraId="40E408BF">
            <w:pPr>
              <w:pStyle w:val="425"/>
              <w:snapToGrid w:val="0"/>
              <w:ind w:left="-120" w:right="-120" w:firstLine="525" w:firstLineChars="250"/>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50</w:t>
            </w:r>
          </w:p>
        </w:tc>
        <w:tc>
          <w:tcPr>
            <w:tcW w:w="1191" w:type="dxa"/>
            <w:tcBorders>
              <w:bottom w:val="single" w:color="auto" w:sz="4" w:space="0"/>
            </w:tcBorders>
            <w:vAlign w:val="center"/>
          </w:tcPr>
          <w:p w14:paraId="60B5B518">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“三同时”工程</w:t>
            </w:r>
          </w:p>
        </w:tc>
      </w:tr>
      <w:tr w14:paraId="34F13B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5" w:type="dxa"/>
            <w:vMerge w:val="continue"/>
            <w:vAlign w:val="center"/>
          </w:tcPr>
          <w:p w14:paraId="59D9D26F">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p>
        </w:tc>
        <w:tc>
          <w:tcPr>
            <w:tcW w:w="991" w:type="dxa"/>
            <w:vMerge w:val="continue"/>
            <w:vAlign w:val="center"/>
          </w:tcPr>
          <w:p w14:paraId="46963FD1">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p>
        </w:tc>
        <w:tc>
          <w:tcPr>
            <w:tcW w:w="2211" w:type="dxa"/>
            <w:vAlign w:val="center"/>
          </w:tcPr>
          <w:p w14:paraId="4E7043DA">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烃类气体</w:t>
            </w:r>
          </w:p>
        </w:tc>
        <w:tc>
          <w:tcPr>
            <w:tcW w:w="2248" w:type="dxa"/>
            <w:gridSpan w:val="2"/>
            <w:vAlign w:val="center"/>
          </w:tcPr>
          <w:p w14:paraId="78821BA2">
            <w:pPr>
              <w:pStyle w:val="425"/>
              <w:snapToGrid w:val="0"/>
              <w:ind w:left="-120" w:right="-120" w:firstLine="0" w:firstLineChars="0"/>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油井、管线、罐体密闭、维护等</w:t>
            </w:r>
          </w:p>
        </w:tc>
        <w:tc>
          <w:tcPr>
            <w:tcW w:w="1213" w:type="dxa"/>
            <w:vAlign w:val="center"/>
          </w:tcPr>
          <w:p w14:paraId="7544FBC4">
            <w:pPr>
              <w:pStyle w:val="425"/>
              <w:snapToGrid w:val="0"/>
              <w:ind w:left="-120" w:right="-120" w:firstLine="525" w:firstLineChars="250"/>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20</w:t>
            </w:r>
          </w:p>
        </w:tc>
        <w:tc>
          <w:tcPr>
            <w:tcW w:w="1191" w:type="dxa"/>
            <w:tcBorders>
              <w:bottom w:val="single" w:color="auto" w:sz="4" w:space="0"/>
            </w:tcBorders>
            <w:vAlign w:val="center"/>
          </w:tcPr>
          <w:p w14:paraId="7AD101C3">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“三同时”工程</w:t>
            </w:r>
          </w:p>
        </w:tc>
      </w:tr>
      <w:tr w14:paraId="7ADABF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5" w:type="dxa"/>
            <w:vMerge w:val="restart"/>
            <w:vAlign w:val="center"/>
          </w:tcPr>
          <w:p w14:paraId="5E4136EF">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二</w:t>
            </w:r>
          </w:p>
        </w:tc>
        <w:tc>
          <w:tcPr>
            <w:tcW w:w="991" w:type="dxa"/>
            <w:vMerge w:val="restart"/>
            <w:tcBorders>
              <w:top w:val="single" w:color="auto" w:sz="4" w:space="0"/>
            </w:tcBorders>
            <w:vAlign w:val="center"/>
          </w:tcPr>
          <w:p w14:paraId="5935D226">
            <w:pPr>
              <w:pStyle w:val="337"/>
              <w:rPr>
                <w:rFonts w:asciiTheme="minorEastAsia" w:hAnsiTheme="minorEastAsia" w:eastAsiaTheme="minorEastAsia"/>
                <w:color w:val="auto"/>
                <w:szCs w:val="21"/>
                <w:lang w:val="en-US" w:eastAsia="en-US" w:bidi="en-US"/>
              </w:rPr>
            </w:pPr>
            <w:r>
              <w:rPr>
                <w:rFonts w:asciiTheme="minorEastAsia" w:hAnsiTheme="minorEastAsia" w:eastAsiaTheme="minorEastAsia"/>
                <w:color w:val="auto"/>
                <w:szCs w:val="21"/>
                <w:lang w:val="en-US" w:eastAsia="en-US" w:bidi="en-US"/>
              </w:rPr>
              <w:t>污水处理</w:t>
            </w:r>
          </w:p>
        </w:tc>
        <w:tc>
          <w:tcPr>
            <w:tcW w:w="4459" w:type="dxa"/>
            <w:gridSpan w:val="3"/>
            <w:tcBorders>
              <w:top w:val="single" w:color="auto" w:sz="4" w:space="0"/>
            </w:tcBorders>
            <w:vAlign w:val="center"/>
          </w:tcPr>
          <w:p w14:paraId="39BEB017">
            <w:pPr>
              <w:pStyle w:val="425"/>
              <w:snapToGrid w:val="0"/>
              <w:ind w:left="-120" w:right="-120" w:firstLine="420"/>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地埋式一体化污水处理系统</w:t>
            </w:r>
          </w:p>
        </w:tc>
        <w:tc>
          <w:tcPr>
            <w:tcW w:w="1213" w:type="dxa"/>
            <w:tcBorders>
              <w:top w:val="single" w:color="auto" w:sz="4" w:space="0"/>
            </w:tcBorders>
            <w:vAlign w:val="center"/>
          </w:tcPr>
          <w:p w14:paraId="001179E4">
            <w:pPr>
              <w:pStyle w:val="425"/>
              <w:snapToGrid w:val="0"/>
              <w:ind w:left="0" w:leftChars="0" w:right="-120" w:firstLine="359" w:firstLineChars="171"/>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50</w:t>
            </w:r>
          </w:p>
        </w:tc>
        <w:tc>
          <w:tcPr>
            <w:tcW w:w="1191" w:type="dxa"/>
            <w:tcBorders>
              <w:top w:val="single" w:color="auto" w:sz="4" w:space="0"/>
            </w:tcBorders>
            <w:vAlign w:val="center"/>
          </w:tcPr>
          <w:p w14:paraId="700414E9">
            <w:pPr>
              <w:pStyle w:val="425"/>
              <w:snapToGrid w:val="0"/>
              <w:ind w:left="-120" w:right="-120" w:firstLine="315" w:firstLineChars="150"/>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“三同时”工程</w:t>
            </w:r>
          </w:p>
        </w:tc>
      </w:tr>
      <w:tr w14:paraId="459AD8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5" w:type="dxa"/>
            <w:vMerge w:val="continue"/>
            <w:vAlign w:val="center"/>
          </w:tcPr>
          <w:p w14:paraId="2DC3BE91">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p>
        </w:tc>
        <w:tc>
          <w:tcPr>
            <w:tcW w:w="991" w:type="dxa"/>
            <w:vMerge w:val="continue"/>
            <w:vAlign w:val="center"/>
          </w:tcPr>
          <w:p w14:paraId="037B36FD">
            <w:pPr>
              <w:pStyle w:val="337"/>
              <w:rPr>
                <w:rFonts w:asciiTheme="minorEastAsia" w:hAnsiTheme="minorEastAsia" w:eastAsiaTheme="minorEastAsia"/>
                <w:color w:val="auto"/>
                <w:szCs w:val="21"/>
                <w:lang w:val="en-US" w:eastAsia="zh-CN" w:bidi="en-US"/>
              </w:rPr>
            </w:pPr>
          </w:p>
        </w:tc>
        <w:tc>
          <w:tcPr>
            <w:tcW w:w="4459" w:type="dxa"/>
            <w:gridSpan w:val="3"/>
            <w:tcBorders>
              <w:top w:val="single" w:color="auto" w:sz="4" w:space="0"/>
            </w:tcBorders>
            <w:vAlign w:val="center"/>
          </w:tcPr>
          <w:p w14:paraId="01CF401D">
            <w:pPr>
              <w:pStyle w:val="425"/>
              <w:snapToGrid w:val="0"/>
              <w:ind w:left="-120" w:right="-120" w:firstLine="420"/>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蒸发池</w:t>
            </w:r>
          </w:p>
        </w:tc>
        <w:tc>
          <w:tcPr>
            <w:tcW w:w="1213" w:type="dxa"/>
            <w:tcBorders>
              <w:top w:val="single" w:color="auto" w:sz="4" w:space="0"/>
            </w:tcBorders>
            <w:vAlign w:val="center"/>
          </w:tcPr>
          <w:p w14:paraId="033FE8B1">
            <w:pPr>
              <w:pStyle w:val="425"/>
              <w:snapToGrid w:val="0"/>
              <w:ind w:left="0" w:leftChars="0" w:right="-120" w:firstLine="359" w:firstLineChars="171"/>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30</w:t>
            </w:r>
          </w:p>
        </w:tc>
        <w:tc>
          <w:tcPr>
            <w:tcW w:w="1191" w:type="dxa"/>
            <w:tcBorders>
              <w:top w:val="single" w:color="auto" w:sz="4" w:space="0"/>
            </w:tcBorders>
            <w:vAlign w:val="center"/>
          </w:tcPr>
          <w:p w14:paraId="29974E0B">
            <w:pPr>
              <w:pStyle w:val="425"/>
              <w:snapToGrid w:val="0"/>
              <w:ind w:left="-120" w:right="-120" w:firstLine="315" w:firstLineChars="150"/>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“三同时”工程</w:t>
            </w:r>
          </w:p>
        </w:tc>
      </w:tr>
      <w:tr w14:paraId="0D579F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5" w:type="dxa"/>
            <w:vMerge w:val="continue"/>
            <w:vAlign w:val="center"/>
          </w:tcPr>
          <w:p w14:paraId="5A81968F">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p>
        </w:tc>
        <w:tc>
          <w:tcPr>
            <w:tcW w:w="991" w:type="dxa"/>
            <w:vMerge w:val="continue"/>
            <w:vAlign w:val="center"/>
          </w:tcPr>
          <w:p w14:paraId="77D94001">
            <w:pPr>
              <w:pStyle w:val="337"/>
              <w:rPr>
                <w:rFonts w:asciiTheme="minorEastAsia" w:hAnsiTheme="minorEastAsia" w:eastAsiaTheme="minorEastAsia"/>
                <w:color w:val="auto"/>
                <w:szCs w:val="21"/>
                <w:lang w:val="en-US" w:eastAsia="zh-CN" w:bidi="en-US"/>
              </w:rPr>
            </w:pPr>
          </w:p>
        </w:tc>
        <w:tc>
          <w:tcPr>
            <w:tcW w:w="2244" w:type="dxa"/>
            <w:gridSpan w:val="2"/>
            <w:vMerge w:val="restart"/>
            <w:tcBorders>
              <w:top w:val="single" w:color="auto" w:sz="4" w:space="0"/>
              <w:right w:val="single" w:color="auto" w:sz="4" w:space="0"/>
            </w:tcBorders>
            <w:vAlign w:val="center"/>
          </w:tcPr>
          <w:p w14:paraId="768BCAC6">
            <w:pPr>
              <w:pStyle w:val="425"/>
              <w:snapToGrid w:val="0"/>
              <w:ind w:left="-120" w:right="-120" w:firstLine="420"/>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含油污水处理系统</w:t>
            </w:r>
          </w:p>
        </w:tc>
        <w:tc>
          <w:tcPr>
            <w:tcW w:w="2215" w:type="dxa"/>
            <w:tcBorders>
              <w:top w:val="single" w:color="auto" w:sz="4" w:space="0"/>
              <w:left w:val="single" w:color="auto" w:sz="4" w:space="0"/>
            </w:tcBorders>
            <w:vAlign w:val="center"/>
          </w:tcPr>
          <w:p w14:paraId="0EA20894">
            <w:pPr>
              <w:pStyle w:val="425"/>
              <w:snapToGrid w:val="0"/>
              <w:ind w:left="-120" w:right="-120" w:firstLine="0" w:firstLineChars="0"/>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污水处理系统（扩建）</w:t>
            </w:r>
          </w:p>
        </w:tc>
        <w:tc>
          <w:tcPr>
            <w:tcW w:w="1213" w:type="dxa"/>
            <w:tcBorders>
              <w:top w:val="single" w:color="auto" w:sz="4" w:space="0"/>
            </w:tcBorders>
            <w:vAlign w:val="center"/>
          </w:tcPr>
          <w:p w14:paraId="0C66A262">
            <w:pPr>
              <w:pStyle w:val="425"/>
              <w:snapToGrid w:val="0"/>
              <w:ind w:left="0" w:leftChars="0" w:right="-120" w:firstLine="359" w:firstLineChars="171"/>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52</w:t>
            </w:r>
          </w:p>
        </w:tc>
        <w:tc>
          <w:tcPr>
            <w:tcW w:w="1191" w:type="dxa"/>
            <w:tcBorders>
              <w:top w:val="single" w:color="auto" w:sz="4" w:space="0"/>
            </w:tcBorders>
            <w:vAlign w:val="center"/>
          </w:tcPr>
          <w:p w14:paraId="2127F572">
            <w:pPr>
              <w:pStyle w:val="425"/>
              <w:snapToGrid w:val="0"/>
              <w:ind w:left="-120" w:right="-120" w:firstLine="315" w:firstLineChars="150"/>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“三同时”工程</w:t>
            </w:r>
          </w:p>
        </w:tc>
      </w:tr>
      <w:tr w14:paraId="32702C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5" w:type="dxa"/>
            <w:vMerge w:val="continue"/>
            <w:vAlign w:val="center"/>
          </w:tcPr>
          <w:p w14:paraId="17835217">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p>
        </w:tc>
        <w:tc>
          <w:tcPr>
            <w:tcW w:w="991" w:type="dxa"/>
            <w:vMerge w:val="continue"/>
            <w:vAlign w:val="center"/>
          </w:tcPr>
          <w:p w14:paraId="68AE5DDC">
            <w:pPr>
              <w:pStyle w:val="337"/>
              <w:rPr>
                <w:rFonts w:asciiTheme="minorEastAsia" w:hAnsiTheme="minorEastAsia" w:eastAsiaTheme="minorEastAsia"/>
                <w:color w:val="auto"/>
                <w:szCs w:val="21"/>
                <w:lang w:val="en-US" w:eastAsia="zh-CN" w:bidi="en-US"/>
              </w:rPr>
            </w:pPr>
          </w:p>
        </w:tc>
        <w:tc>
          <w:tcPr>
            <w:tcW w:w="2244" w:type="dxa"/>
            <w:gridSpan w:val="2"/>
            <w:vMerge w:val="continue"/>
            <w:tcBorders>
              <w:right w:val="single" w:color="auto" w:sz="4" w:space="0"/>
            </w:tcBorders>
            <w:vAlign w:val="center"/>
          </w:tcPr>
          <w:p w14:paraId="5C0D6FA4">
            <w:pPr>
              <w:pStyle w:val="425"/>
              <w:snapToGrid w:val="0"/>
              <w:ind w:left="-120" w:right="-120" w:firstLine="420"/>
              <w:rPr>
                <w:rFonts w:cs="Times New Roman" w:asciiTheme="minorEastAsia" w:hAnsiTheme="minorEastAsia" w:eastAsiaTheme="minorEastAsia"/>
                <w:sz w:val="21"/>
                <w:szCs w:val="21"/>
              </w:rPr>
            </w:pPr>
          </w:p>
        </w:tc>
        <w:tc>
          <w:tcPr>
            <w:tcW w:w="2215" w:type="dxa"/>
            <w:tcBorders>
              <w:top w:val="single" w:color="auto" w:sz="4" w:space="0"/>
              <w:left w:val="single" w:color="auto" w:sz="4" w:space="0"/>
            </w:tcBorders>
            <w:vAlign w:val="center"/>
          </w:tcPr>
          <w:p w14:paraId="71A84944">
            <w:pPr>
              <w:pStyle w:val="425"/>
              <w:snapToGrid w:val="0"/>
              <w:ind w:left="0" w:leftChars="0" w:right="-120" w:firstLine="0" w:firstLineChars="0"/>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废液池</w:t>
            </w:r>
          </w:p>
        </w:tc>
        <w:tc>
          <w:tcPr>
            <w:tcW w:w="1213" w:type="dxa"/>
            <w:tcBorders>
              <w:top w:val="single" w:color="auto" w:sz="4" w:space="0"/>
            </w:tcBorders>
            <w:vAlign w:val="center"/>
          </w:tcPr>
          <w:p w14:paraId="68BB923B">
            <w:pPr>
              <w:pStyle w:val="425"/>
              <w:snapToGrid w:val="0"/>
              <w:ind w:left="0" w:leftChars="0" w:right="-120" w:firstLine="359" w:firstLineChars="171"/>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190</w:t>
            </w:r>
          </w:p>
        </w:tc>
        <w:tc>
          <w:tcPr>
            <w:tcW w:w="1191" w:type="dxa"/>
            <w:tcBorders>
              <w:top w:val="single" w:color="auto" w:sz="4" w:space="0"/>
            </w:tcBorders>
            <w:vAlign w:val="center"/>
          </w:tcPr>
          <w:p w14:paraId="18FA79FE">
            <w:pPr>
              <w:pStyle w:val="425"/>
              <w:snapToGrid w:val="0"/>
              <w:ind w:left="-120" w:right="-120" w:firstLine="315" w:firstLineChars="150"/>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“三同时”工程</w:t>
            </w:r>
          </w:p>
        </w:tc>
      </w:tr>
      <w:tr w14:paraId="4332CD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5" w:type="dxa"/>
            <w:vMerge w:val="restart"/>
            <w:vAlign w:val="center"/>
          </w:tcPr>
          <w:p w14:paraId="15741919">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三</w:t>
            </w:r>
          </w:p>
        </w:tc>
        <w:tc>
          <w:tcPr>
            <w:tcW w:w="991" w:type="dxa"/>
            <w:vMerge w:val="restart"/>
            <w:vAlign w:val="center"/>
          </w:tcPr>
          <w:p w14:paraId="75BCF415">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噪声治理</w:t>
            </w:r>
          </w:p>
        </w:tc>
        <w:tc>
          <w:tcPr>
            <w:tcW w:w="4459" w:type="dxa"/>
            <w:gridSpan w:val="3"/>
            <w:vAlign w:val="center"/>
          </w:tcPr>
          <w:p w14:paraId="1BBD976C">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泵类振动部分采用软连接</w:t>
            </w:r>
          </w:p>
        </w:tc>
        <w:tc>
          <w:tcPr>
            <w:tcW w:w="1213" w:type="dxa"/>
            <w:vAlign w:val="center"/>
          </w:tcPr>
          <w:p w14:paraId="529562C0">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10</w:t>
            </w:r>
          </w:p>
        </w:tc>
        <w:tc>
          <w:tcPr>
            <w:tcW w:w="1191" w:type="dxa"/>
            <w:vAlign w:val="center"/>
          </w:tcPr>
          <w:p w14:paraId="00A8CF7D">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“三同时”工程</w:t>
            </w:r>
          </w:p>
        </w:tc>
      </w:tr>
      <w:tr w14:paraId="41CC6C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5" w:type="dxa"/>
            <w:vMerge w:val="continue"/>
            <w:vAlign w:val="center"/>
          </w:tcPr>
          <w:p w14:paraId="7B49602A">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p>
        </w:tc>
        <w:tc>
          <w:tcPr>
            <w:tcW w:w="991" w:type="dxa"/>
            <w:vMerge w:val="continue"/>
            <w:vAlign w:val="center"/>
          </w:tcPr>
          <w:p w14:paraId="536CCDEE">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p>
        </w:tc>
        <w:tc>
          <w:tcPr>
            <w:tcW w:w="4459" w:type="dxa"/>
            <w:gridSpan w:val="3"/>
            <w:vAlign w:val="center"/>
          </w:tcPr>
          <w:p w14:paraId="62ABEF85">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风机配备</w:t>
            </w:r>
            <w:r>
              <w:rPr>
                <w:rFonts w:cs="Times New Roman" w:asciiTheme="minorEastAsia" w:hAnsiTheme="minorEastAsia" w:eastAsiaTheme="minorEastAsia"/>
                <w:sz w:val="21"/>
                <w:szCs w:val="21"/>
              </w:rPr>
              <w:t>减震器等</w:t>
            </w:r>
          </w:p>
          <w:p w14:paraId="2C2699D5">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对高噪音设备封闭</w:t>
            </w:r>
          </w:p>
        </w:tc>
        <w:tc>
          <w:tcPr>
            <w:tcW w:w="1213" w:type="dxa"/>
            <w:vAlign w:val="center"/>
          </w:tcPr>
          <w:p w14:paraId="16BC9B54">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25</w:t>
            </w:r>
          </w:p>
        </w:tc>
        <w:tc>
          <w:tcPr>
            <w:tcW w:w="1191" w:type="dxa"/>
            <w:vAlign w:val="center"/>
          </w:tcPr>
          <w:p w14:paraId="0647B80B">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“三同时”工程</w:t>
            </w:r>
          </w:p>
        </w:tc>
      </w:tr>
      <w:tr w14:paraId="090263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5" w:type="dxa"/>
            <w:vMerge w:val="restart"/>
            <w:vAlign w:val="center"/>
          </w:tcPr>
          <w:p w14:paraId="55577F25">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四</w:t>
            </w:r>
          </w:p>
        </w:tc>
        <w:tc>
          <w:tcPr>
            <w:tcW w:w="991" w:type="dxa"/>
            <w:vMerge w:val="restart"/>
            <w:vAlign w:val="center"/>
          </w:tcPr>
          <w:p w14:paraId="48D8E47F">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固体废弃物</w:t>
            </w:r>
          </w:p>
          <w:p w14:paraId="17F72860">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处置</w:t>
            </w:r>
          </w:p>
        </w:tc>
        <w:tc>
          <w:tcPr>
            <w:tcW w:w="4459" w:type="dxa"/>
            <w:gridSpan w:val="3"/>
            <w:vAlign w:val="center"/>
          </w:tcPr>
          <w:p w14:paraId="7AB64148">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泥浆池防渗处理</w:t>
            </w:r>
          </w:p>
        </w:tc>
        <w:tc>
          <w:tcPr>
            <w:tcW w:w="1213" w:type="dxa"/>
            <w:vAlign w:val="center"/>
          </w:tcPr>
          <w:p w14:paraId="7BF589A1">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130</w:t>
            </w:r>
          </w:p>
        </w:tc>
        <w:tc>
          <w:tcPr>
            <w:tcW w:w="1191" w:type="dxa"/>
            <w:vMerge w:val="restart"/>
            <w:vAlign w:val="center"/>
          </w:tcPr>
          <w:p w14:paraId="1E5AD87D">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“三同时”工程</w:t>
            </w:r>
          </w:p>
        </w:tc>
      </w:tr>
      <w:tr w14:paraId="46D0F4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5" w:type="dxa"/>
            <w:vMerge w:val="continue"/>
            <w:vAlign w:val="center"/>
          </w:tcPr>
          <w:p w14:paraId="309FC9E7">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p>
        </w:tc>
        <w:tc>
          <w:tcPr>
            <w:tcW w:w="991" w:type="dxa"/>
            <w:vMerge w:val="continue"/>
            <w:vAlign w:val="center"/>
          </w:tcPr>
          <w:p w14:paraId="13224385">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p>
        </w:tc>
        <w:tc>
          <w:tcPr>
            <w:tcW w:w="4459" w:type="dxa"/>
            <w:gridSpan w:val="3"/>
            <w:vAlign w:val="center"/>
          </w:tcPr>
          <w:p w14:paraId="6516C5B4">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作业井场防渗处理</w:t>
            </w:r>
          </w:p>
        </w:tc>
        <w:tc>
          <w:tcPr>
            <w:tcW w:w="1213" w:type="dxa"/>
            <w:vAlign w:val="center"/>
          </w:tcPr>
          <w:p w14:paraId="35917B63">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170</w:t>
            </w:r>
          </w:p>
        </w:tc>
        <w:tc>
          <w:tcPr>
            <w:tcW w:w="1191" w:type="dxa"/>
            <w:vMerge w:val="continue"/>
            <w:vAlign w:val="center"/>
          </w:tcPr>
          <w:p w14:paraId="6EF85B66">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p>
        </w:tc>
      </w:tr>
      <w:tr w14:paraId="566332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5" w:type="dxa"/>
            <w:vMerge w:val="continue"/>
            <w:vAlign w:val="center"/>
          </w:tcPr>
          <w:p w14:paraId="204E3758">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p>
        </w:tc>
        <w:tc>
          <w:tcPr>
            <w:tcW w:w="991" w:type="dxa"/>
            <w:vMerge w:val="continue"/>
            <w:vAlign w:val="center"/>
          </w:tcPr>
          <w:p w14:paraId="5FA349B8">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p>
        </w:tc>
        <w:tc>
          <w:tcPr>
            <w:tcW w:w="4459" w:type="dxa"/>
            <w:gridSpan w:val="3"/>
            <w:vAlign w:val="center"/>
          </w:tcPr>
          <w:p w14:paraId="61D14175">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井场落地油暂存池（防渗）</w:t>
            </w:r>
          </w:p>
        </w:tc>
        <w:tc>
          <w:tcPr>
            <w:tcW w:w="1213" w:type="dxa"/>
            <w:vAlign w:val="center"/>
          </w:tcPr>
          <w:p w14:paraId="07D2595E">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80</w:t>
            </w:r>
          </w:p>
        </w:tc>
        <w:tc>
          <w:tcPr>
            <w:tcW w:w="1191" w:type="dxa"/>
            <w:vMerge w:val="continue"/>
            <w:vAlign w:val="center"/>
          </w:tcPr>
          <w:p w14:paraId="10775A10">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p>
        </w:tc>
      </w:tr>
      <w:tr w14:paraId="4852DE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5" w:type="dxa"/>
            <w:vMerge w:val="continue"/>
            <w:vAlign w:val="center"/>
          </w:tcPr>
          <w:p w14:paraId="3FEE2A93">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p>
        </w:tc>
        <w:tc>
          <w:tcPr>
            <w:tcW w:w="991" w:type="dxa"/>
            <w:vMerge w:val="continue"/>
            <w:vAlign w:val="center"/>
          </w:tcPr>
          <w:p w14:paraId="14238EF1">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p>
        </w:tc>
        <w:tc>
          <w:tcPr>
            <w:tcW w:w="4459" w:type="dxa"/>
            <w:gridSpan w:val="3"/>
            <w:vAlign w:val="center"/>
          </w:tcPr>
          <w:p w14:paraId="358ACE66">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运输落地油、含有污水处理设施产生的油泥等</w:t>
            </w:r>
          </w:p>
        </w:tc>
        <w:tc>
          <w:tcPr>
            <w:tcW w:w="1213" w:type="dxa"/>
            <w:vAlign w:val="center"/>
          </w:tcPr>
          <w:p w14:paraId="0E16CDF9">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35</w:t>
            </w:r>
          </w:p>
        </w:tc>
        <w:tc>
          <w:tcPr>
            <w:tcW w:w="1191" w:type="dxa"/>
            <w:vMerge w:val="continue"/>
            <w:vAlign w:val="center"/>
          </w:tcPr>
          <w:p w14:paraId="00DA4D6F">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p>
        </w:tc>
      </w:tr>
      <w:tr w14:paraId="035DEF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5" w:type="dxa"/>
            <w:vAlign w:val="center"/>
          </w:tcPr>
          <w:p w14:paraId="2B05DDC4">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五</w:t>
            </w:r>
          </w:p>
        </w:tc>
        <w:tc>
          <w:tcPr>
            <w:tcW w:w="991" w:type="dxa"/>
            <w:vAlign w:val="center"/>
          </w:tcPr>
          <w:p w14:paraId="2D60B8A9">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生态</w:t>
            </w:r>
          </w:p>
          <w:p w14:paraId="30BA547C">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治理</w:t>
            </w:r>
          </w:p>
        </w:tc>
        <w:tc>
          <w:tcPr>
            <w:tcW w:w="4459" w:type="dxa"/>
            <w:gridSpan w:val="3"/>
            <w:vAlign w:val="center"/>
          </w:tcPr>
          <w:p w14:paraId="3ACD49AD">
            <w:pPr>
              <w:pStyle w:val="425"/>
              <w:snapToGrid w:val="0"/>
              <w:ind w:left="-120" w:right="-120" w:firstLine="420"/>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各种临时占地植被恢复面积</w:t>
            </w:r>
            <w:r>
              <w:rPr>
                <w:rFonts w:hint="eastAsia" w:cs="Times New Roman" w:asciiTheme="minorEastAsia" w:hAnsiTheme="minorEastAsia" w:eastAsiaTheme="minorEastAsia"/>
                <w:sz w:val="21"/>
                <w:szCs w:val="21"/>
              </w:rPr>
              <w:t>50.67</w:t>
            </w:r>
            <w:r>
              <w:rPr>
                <w:rFonts w:cs="Times New Roman" w:asciiTheme="minorEastAsia" w:hAnsiTheme="minorEastAsia" w:eastAsiaTheme="minorEastAsia"/>
                <w:sz w:val="21"/>
                <w:szCs w:val="21"/>
              </w:rPr>
              <w:t>hm</w:t>
            </w:r>
            <w:r>
              <w:rPr>
                <w:rFonts w:cs="Times New Roman" w:asciiTheme="minorEastAsia" w:hAnsiTheme="minorEastAsia" w:eastAsiaTheme="minorEastAsia"/>
                <w:sz w:val="21"/>
                <w:szCs w:val="21"/>
                <w:vertAlign w:val="superscript"/>
              </w:rPr>
              <w:t>2</w:t>
            </w:r>
            <w:r>
              <w:rPr>
                <w:rFonts w:cs="Times New Roman" w:asciiTheme="minorEastAsia" w:hAnsiTheme="minorEastAsia" w:eastAsiaTheme="minorEastAsia"/>
                <w:sz w:val="21"/>
                <w:szCs w:val="21"/>
              </w:rPr>
              <w:t>，撒播</w:t>
            </w:r>
            <w:r>
              <w:rPr>
                <w:rFonts w:hint="eastAsia" w:cs="Times New Roman" w:asciiTheme="minorEastAsia" w:hAnsiTheme="minorEastAsia" w:eastAsiaTheme="minorEastAsia"/>
                <w:sz w:val="21"/>
                <w:szCs w:val="21"/>
              </w:rPr>
              <w:t>乡土</w:t>
            </w:r>
            <w:r>
              <w:rPr>
                <w:rFonts w:cs="Times New Roman" w:asciiTheme="minorEastAsia" w:hAnsiTheme="minorEastAsia" w:eastAsiaTheme="minorEastAsia"/>
                <w:sz w:val="21"/>
                <w:szCs w:val="21"/>
              </w:rPr>
              <w:t>草籽</w:t>
            </w:r>
            <w:r>
              <w:rPr>
                <w:rFonts w:hint="eastAsia" w:cs="Times New Roman" w:asciiTheme="minorEastAsia" w:hAnsiTheme="minorEastAsia" w:eastAsiaTheme="minorEastAsia"/>
                <w:sz w:val="21"/>
                <w:szCs w:val="21"/>
              </w:rPr>
              <w:t>、维护等</w:t>
            </w:r>
          </w:p>
        </w:tc>
        <w:tc>
          <w:tcPr>
            <w:tcW w:w="1213" w:type="dxa"/>
            <w:vAlign w:val="center"/>
          </w:tcPr>
          <w:p w14:paraId="27C5CB88">
            <w:pPr>
              <w:pStyle w:val="425"/>
              <w:snapToGrid w:val="0"/>
              <w:ind w:left="-120" w:right="-120" w:firstLine="420"/>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88</w:t>
            </w:r>
          </w:p>
        </w:tc>
        <w:tc>
          <w:tcPr>
            <w:tcW w:w="1191" w:type="dxa"/>
            <w:vAlign w:val="center"/>
          </w:tcPr>
          <w:p w14:paraId="5A827D66">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“三同时”工程</w:t>
            </w:r>
          </w:p>
        </w:tc>
      </w:tr>
      <w:tr w14:paraId="2D9118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5" w:type="dxa"/>
            <w:vAlign w:val="center"/>
          </w:tcPr>
          <w:p w14:paraId="3E87854D">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六</w:t>
            </w:r>
          </w:p>
        </w:tc>
        <w:tc>
          <w:tcPr>
            <w:tcW w:w="991" w:type="dxa"/>
            <w:vAlign w:val="center"/>
          </w:tcPr>
          <w:p w14:paraId="55B6D299">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风险</w:t>
            </w:r>
          </w:p>
        </w:tc>
        <w:tc>
          <w:tcPr>
            <w:tcW w:w="4459" w:type="dxa"/>
            <w:gridSpan w:val="3"/>
            <w:vAlign w:val="center"/>
          </w:tcPr>
          <w:p w14:paraId="57E47530">
            <w:pPr>
              <w:pStyle w:val="425"/>
              <w:snapToGrid w:val="0"/>
              <w:ind w:left="-120" w:right="-120" w:firstLine="420"/>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隔油池（5</w:t>
            </w:r>
            <w:r>
              <w:rPr>
                <w:rFonts w:hint="eastAsia" w:cs="Times New Roman" w:asciiTheme="minorEastAsia" w:hAnsiTheme="minorEastAsia" w:eastAsiaTheme="minorEastAsia"/>
                <w:sz w:val="21"/>
                <w:szCs w:val="21"/>
              </w:rPr>
              <w:t>×</w:t>
            </w:r>
            <w:r>
              <w:rPr>
                <w:rFonts w:cs="Times New Roman" w:asciiTheme="minorEastAsia" w:hAnsiTheme="minorEastAsia" w:eastAsiaTheme="minorEastAsia"/>
                <w:sz w:val="21"/>
                <w:szCs w:val="21"/>
              </w:rPr>
              <w:t>5</w:t>
            </w:r>
            <w:r>
              <w:rPr>
                <w:rFonts w:hint="eastAsia" w:cs="Times New Roman" w:asciiTheme="minorEastAsia" w:hAnsiTheme="minorEastAsia" w:eastAsiaTheme="minorEastAsia"/>
                <w:sz w:val="21"/>
                <w:szCs w:val="21"/>
              </w:rPr>
              <w:t>×</w:t>
            </w:r>
            <w:r>
              <w:rPr>
                <w:rFonts w:cs="Times New Roman" w:asciiTheme="minorEastAsia" w:hAnsiTheme="minorEastAsia" w:eastAsiaTheme="minorEastAsia"/>
                <w:sz w:val="21"/>
                <w:szCs w:val="21"/>
              </w:rPr>
              <w:t>3）、溢流堰700m</w:t>
            </w:r>
            <w:r>
              <w:rPr>
                <w:rFonts w:cs="Times New Roman" w:asciiTheme="minorEastAsia" w:hAnsiTheme="minorEastAsia" w:eastAsiaTheme="minorEastAsia"/>
                <w:sz w:val="21"/>
                <w:szCs w:val="21"/>
                <w:vertAlign w:val="superscript"/>
              </w:rPr>
              <w:t>3</w:t>
            </w:r>
            <w:r>
              <w:rPr>
                <w:rFonts w:cs="Times New Roman" w:asciiTheme="minorEastAsia" w:hAnsiTheme="minorEastAsia" w:eastAsiaTheme="minorEastAsia"/>
                <w:sz w:val="21"/>
                <w:szCs w:val="21"/>
              </w:rPr>
              <w:t>、</w:t>
            </w:r>
          </w:p>
          <w:p w14:paraId="5CCE97A5">
            <w:pPr>
              <w:pStyle w:val="425"/>
              <w:snapToGrid w:val="0"/>
              <w:ind w:left="-120" w:right="-120" w:firstLine="420"/>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缓冲池（10</w:t>
            </w:r>
            <w:r>
              <w:rPr>
                <w:rFonts w:hint="eastAsia" w:cs="Times New Roman" w:asciiTheme="minorEastAsia" w:hAnsiTheme="minorEastAsia" w:eastAsiaTheme="minorEastAsia"/>
                <w:sz w:val="21"/>
                <w:szCs w:val="21"/>
              </w:rPr>
              <w:t>×</w:t>
            </w:r>
            <w:r>
              <w:rPr>
                <w:rFonts w:cs="Times New Roman" w:asciiTheme="minorEastAsia" w:hAnsiTheme="minorEastAsia" w:eastAsiaTheme="minorEastAsia"/>
                <w:sz w:val="21"/>
                <w:szCs w:val="21"/>
              </w:rPr>
              <w:t>5</w:t>
            </w:r>
            <w:r>
              <w:rPr>
                <w:rFonts w:hint="eastAsia" w:cs="Times New Roman" w:asciiTheme="minorEastAsia" w:hAnsiTheme="minorEastAsia" w:eastAsiaTheme="minorEastAsia"/>
                <w:sz w:val="21"/>
                <w:szCs w:val="21"/>
              </w:rPr>
              <w:t>×</w:t>
            </w:r>
            <w:r>
              <w:rPr>
                <w:rFonts w:cs="Times New Roman" w:asciiTheme="minorEastAsia" w:hAnsiTheme="minorEastAsia" w:eastAsiaTheme="minorEastAsia"/>
                <w:sz w:val="21"/>
                <w:szCs w:val="21"/>
              </w:rPr>
              <w:t>3）</w:t>
            </w:r>
          </w:p>
        </w:tc>
        <w:tc>
          <w:tcPr>
            <w:tcW w:w="1213" w:type="dxa"/>
            <w:vAlign w:val="center"/>
          </w:tcPr>
          <w:p w14:paraId="4648DF81">
            <w:pPr>
              <w:pStyle w:val="425"/>
              <w:snapToGrid w:val="0"/>
              <w:ind w:left="-120" w:right="-120" w:firstLine="420"/>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40</w:t>
            </w:r>
          </w:p>
        </w:tc>
        <w:tc>
          <w:tcPr>
            <w:tcW w:w="1191" w:type="dxa"/>
            <w:vAlign w:val="center"/>
          </w:tcPr>
          <w:p w14:paraId="48077044">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“三同时”工程</w:t>
            </w:r>
          </w:p>
        </w:tc>
      </w:tr>
      <w:tr w14:paraId="3DD720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5" w:type="dxa"/>
            <w:vAlign w:val="center"/>
          </w:tcPr>
          <w:p w14:paraId="62D93BFA">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七</w:t>
            </w:r>
          </w:p>
        </w:tc>
        <w:tc>
          <w:tcPr>
            <w:tcW w:w="5450" w:type="dxa"/>
            <w:gridSpan w:val="4"/>
            <w:vAlign w:val="center"/>
          </w:tcPr>
          <w:p w14:paraId="3AC5D66A">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环境监理</w:t>
            </w:r>
          </w:p>
        </w:tc>
        <w:tc>
          <w:tcPr>
            <w:tcW w:w="1213" w:type="dxa"/>
            <w:vAlign w:val="center"/>
          </w:tcPr>
          <w:p w14:paraId="41184599">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15</w:t>
            </w:r>
          </w:p>
        </w:tc>
        <w:tc>
          <w:tcPr>
            <w:tcW w:w="1191" w:type="dxa"/>
            <w:vAlign w:val="center"/>
          </w:tcPr>
          <w:p w14:paraId="0A282F22">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“三同时”工程</w:t>
            </w:r>
          </w:p>
        </w:tc>
      </w:tr>
      <w:tr w14:paraId="16EF71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75" w:type="dxa"/>
            <w:vAlign w:val="center"/>
          </w:tcPr>
          <w:p w14:paraId="5C0A51A2">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八</w:t>
            </w:r>
          </w:p>
        </w:tc>
        <w:tc>
          <w:tcPr>
            <w:tcW w:w="5450" w:type="dxa"/>
            <w:gridSpan w:val="4"/>
            <w:vAlign w:val="center"/>
          </w:tcPr>
          <w:p w14:paraId="4E4237D2">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环保竣工验收监测报告</w:t>
            </w:r>
          </w:p>
        </w:tc>
        <w:tc>
          <w:tcPr>
            <w:tcW w:w="1213" w:type="dxa"/>
            <w:vAlign w:val="center"/>
          </w:tcPr>
          <w:p w14:paraId="3CE34948">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15</w:t>
            </w:r>
          </w:p>
        </w:tc>
        <w:tc>
          <w:tcPr>
            <w:tcW w:w="1191" w:type="dxa"/>
            <w:vAlign w:val="center"/>
          </w:tcPr>
          <w:p w14:paraId="45768220">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“三同时”工程</w:t>
            </w:r>
          </w:p>
        </w:tc>
      </w:tr>
      <w:tr w14:paraId="5AFDD3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125" w:type="dxa"/>
            <w:gridSpan w:val="5"/>
            <w:vAlign w:val="center"/>
          </w:tcPr>
          <w:p w14:paraId="341E58F7">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r>
              <w:rPr>
                <w:rFonts w:cs="Times New Roman" w:asciiTheme="minorEastAsia" w:hAnsiTheme="minorEastAsia" w:eastAsiaTheme="minorEastAsia"/>
                <w:sz w:val="21"/>
                <w:szCs w:val="21"/>
              </w:rPr>
              <w:t>合计</w:t>
            </w:r>
          </w:p>
        </w:tc>
        <w:tc>
          <w:tcPr>
            <w:tcW w:w="1213" w:type="dxa"/>
            <w:vAlign w:val="center"/>
          </w:tcPr>
          <w:p w14:paraId="3E4C7D03">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r>
              <w:rPr>
                <w:rFonts w:hint="eastAsia" w:cs="Times New Roman" w:asciiTheme="minorEastAsia" w:hAnsiTheme="minorEastAsia" w:eastAsiaTheme="minorEastAsia"/>
                <w:sz w:val="21"/>
                <w:szCs w:val="21"/>
              </w:rPr>
              <w:t>1000</w:t>
            </w:r>
          </w:p>
        </w:tc>
        <w:tc>
          <w:tcPr>
            <w:tcW w:w="1191" w:type="dxa"/>
            <w:vAlign w:val="center"/>
          </w:tcPr>
          <w:p w14:paraId="032D9A2C">
            <w:pPr>
              <w:pStyle w:val="425"/>
              <w:keepNext w:val="0"/>
              <w:snapToGrid w:val="0"/>
              <w:spacing w:line="240" w:lineRule="auto"/>
              <w:ind w:left="0" w:leftChars="0" w:right="0" w:rightChars="0" w:firstLine="0" w:firstLineChars="0"/>
              <w:rPr>
                <w:rFonts w:cs="Times New Roman" w:asciiTheme="minorEastAsia" w:hAnsiTheme="minorEastAsia" w:eastAsiaTheme="minorEastAsia"/>
                <w:sz w:val="21"/>
                <w:szCs w:val="21"/>
              </w:rPr>
            </w:pPr>
          </w:p>
        </w:tc>
      </w:tr>
    </w:tbl>
    <w:p w14:paraId="2873A1FA">
      <w:pPr>
        <w:pStyle w:val="4"/>
      </w:pPr>
      <w:bookmarkStart w:id="979" w:name="_Toc196215847"/>
      <w:bookmarkStart w:id="980" w:name="_Toc408414103"/>
      <w:bookmarkStart w:id="981" w:name="_Toc279676799"/>
      <w:bookmarkStart w:id="982" w:name="_Toc338663674"/>
      <w:bookmarkStart w:id="983" w:name="_Toc280020198"/>
      <w:r>
        <w:t>14.3.2环境效益简要分析</w:t>
      </w:r>
      <w:bookmarkEnd w:id="979"/>
      <w:bookmarkEnd w:id="980"/>
      <w:bookmarkEnd w:id="981"/>
      <w:bookmarkEnd w:id="982"/>
      <w:bookmarkEnd w:id="983"/>
    </w:p>
    <w:p w14:paraId="1BE71280">
      <w:pPr>
        <w:ind w:firstLine="480"/>
        <w:rPr>
          <w:rFonts w:asciiTheme="minorEastAsia" w:hAnsiTheme="minorEastAsia" w:eastAsiaTheme="minorEastAsia"/>
          <w:lang w:eastAsia="zh-CN"/>
        </w:rPr>
      </w:pPr>
      <w:r>
        <w:rPr>
          <w:rFonts w:asciiTheme="minorEastAsia" w:hAnsiTheme="minorEastAsia" w:eastAsiaTheme="minorEastAsia"/>
          <w:lang w:eastAsia="zh-CN"/>
        </w:rPr>
        <w:t>乌里雅斯太油田在生产运营过程中对落地油采取及时回收措施，减少排入环境中的石油量，使进入土壤和水体的油量大大减少，乌里雅斯太油田采取的落地油回收率在99%以上；对钻井产生的泥浆进行回收，钻井泥浆除循环利用，利用率50%以上。在采取了资源回收利用的措施后，不但节约了大量的宝贵资源，而且减少了排污费用以及环境治理的费用。</w:t>
      </w:r>
    </w:p>
    <w:p w14:paraId="6C54FF3E">
      <w:pPr>
        <w:ind w:firstLine="480"/>
        <w:rPr>
          <w:rFonts w:asciiTheme="minorEastAsia" w:hAnsiTheme="minorEastAsia" w:eastAsiaTheme="minorEastAsia"/>
          <w:lang w:eastAsia="zh-CN"/>
        </w:rPr>
      </w:pPr>
      <w:r>
        <w:rPr>
          <w:rFonts w:asciiTheme="minorEastAsia" w:hAnsiTheme="minorEastAsia" w:eastAsiaTheme="minorEastAsia"/>
          <w:lang w:eastAsia="zh-CN"/>
        </w:rPr>
        <w:t>通过分析，该项目对油田开发排放的污染物在采取了一系列治理措施后，不仅大大降低了排入环境中污染物的数量，取得巨大环境效益，而且还会取得一定的经济效益。</w:t>
      </w:r>
    </w:p>
    <w:p w14:paraId="4FD9DB89">
      <w:pPr>
        <w:pStyle w:val="3"/>
        <w:rPr>
          <w:lang w:eastAsia="zh-CN"/>
        </w:rPr>
      </w:pPr>
      <w:bookmarkStart w:id="984" w:name="_Toc189535455"/>
      <w:bookmarkStart w:id="985" w:name="_Toc280020199"/>
      <w:bookmarkStart w:id="986" w:name="_Toc338663675"/>
      <w:bookmarkStart w:id="987" w:name="_Toc408414104"/>
      <w:bookmarkStart w:id="988" w:name="_Toc248649468"/>
      <w:bookmarkStart w:id="989" w:name="_Toc279676800"/>
      <w:bookmarkStart w:id="990" w:name="_Toc196215848"/>
      <w:r>
        <w:rPr>
          <w:lang w:eastAsia="zh-CN"/>
        </w:rPr>
        <w:t>14.4潜在社会影响分析</w:t>
      </w:r>
      <w:bookmarkEnd w:id="984"/>
      <w:bookmarkEnd w:id="985"/>
      <w:bookmarkEnd w:id="986"/>
      <w:bookmarkEnd w:id="987"/>
      <w:bookmarkEnd w:id="988"/>
      <w:bookmarkEnd w:id="989"/>
      <w:bookmarkEnd w:id="990"/>
    </w:p>
    <w:p w14:paraId="274C08A7">
      <w:pPr>
        <w:ind w:firstLine="480"/>
        <w:rPr>
          <w:rFonts w:asciiTheme="minorEastAsia" w:hAnsiTheme="minorEastAsia" w:eastAsiaTheme="minorEastAsia"/>
          <w:lang w:eastAsia="zh-CN"/>
        </w:rPr>
      </w:pPr>
      <w:r>
        <w:rPr>
          <w:rFonts w:asciiTheme="minorEastAsia" w:hAnsiTheme="minorEastAsia" w:eastAsiaTheme="minorEastAsia"/>
          <w:lang w:eastAsia="zh-CN"/>
        </w:rPr>
        <w:t>由于油田开发区域为草原，油田开发建设不涉及人口迁移和居民区建筑物拆迁。油田开发建设对当地居民生活质量的影响主要体现在工程施工期及投产运营期两方面。本工程的潜在影响。具体分析情况见表14.4-1。</w:t>
      </w:r>
    </w:p>
    <w:p w14:paraId="0460C782">
      <w:pPr>
        <w:spacing w:line="240" w:lineRule="auto"/>
        <w:ind w:firstLine="482"/>
        <w:rPr>
          <w:b/>
          <w:lang w:eastAsia="zh-CN"/>
        </w:rPr>
      </w:pPr>
      <w:r>
        <w:rPr>
          <w:b/>
          <w:lang w:eastAsia="zh-CN"/>
        </w:rPr>
        <w:t xml:space="preserve">表14.4-1 </w:t>
      </w:r>
      <w:r>
        <w:rPr>
          <w:rFonts w:hint="eastAsia"/>
          <w:b/>
          <w:lang w:eastAsia="zh-CN"/>
        </w:rPr>
        <w:t xml:space="preserve"> </w:t>
      </w:r>
      <w:r>
        <w:rPr>
          <w:b/>
          <w:lang w:eastAsia="zh-CN"/>
        </w:rPr>
        <w:t xml:space="preserve"> </w:t>
      </w:r>
      <w:r>
        <w:rPr>
          <w:rFonts w:hint="eastAsia"/>
          <w:b/>
          <w:lang w:eastAsia="zh-CN"/>
        </w:rPr>
        <w:t xml:space="preserve">  </w:t>
      </w:r>
      <w:r>
        <w:rPr>
          <w:b/>
          <w:lang w:eastAsia="zh-CN"/>
        </w:rPr>
        <w:t>影响种类和潜在影响分析</w:t>
      </w:r>
    </w:p>
    <w:tbl>
      <w:tblPr>
        <w:tblStyle w:val="7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34"/>
        <w:gridCol w:w="1275"/>
        <w:gridCol w:w="6537"/>
      </w:tblGrid>
      <w:tr w14:paraId="1D7E3A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4" w:type="dxa"/>
            <w:vAlign w:val="center"/>
          </w:tcPr>
          <w:p w14:paraId="238AB339">
            <w:pPr>
              <w:adjustRightInd w:val="0"/>
              <w:snapToGrid w:val="0"/>
              <w:spacing w:line="240" w:lineRule="auto"/>
              <w:ind w:firstLine="0" w:firstLineChars="0"/>
              <w:jc w:val="center"/>
              <w:rPr>
                <w:snapToGrid w:val="0"/>
                <w:sz w:val="21"/>
                <w:szCs w:val="21"/>
              </w:rPr>
            </w:pPr>
            <w:r>
              <w:rPr>
                <w:snapToGrid w:val="0"/>
                <w:sz w:val="21"/>
                <w:szCs w:val="21"/>
              </w:rPr>
              <w:t>序号</w:t>
            </w:r>
          </w:p>
        </w:tc>
        <w:tc>
          <w:tcPr>
            <w:tcW w:w="1275" w:type="dxa"/>
            <w:vAlign w:val="center"/>
          </w:tcPr>
          <w:p w14:paraId="2EB01B35">
            <w:pPr>
              <w:adjustRightInd w:val="0"/>
              <w:snapToGrid w:val="0"/>
              <w:spacing w:line="240" w:lineRule="auto"/>
              <w:ind w:firstLine="0" w:firstLineChars="0"/>
              <w:jc w:val="center"/>
              <w:rPr>
                <w:snapToGrid w:val="0"/>
                <w:sz w:val="21"/>
                <w:szCs w:val="21"/>
                <w:lang w:eastAsia="zh-CN"/>
              </w:rPr>
            </w:pPr>
            <w:r>
              <w:rPr>
                <w:snapToGrid w:val="0"/>
                <w:sz w:val="21"/>
                <w:szCs w:val="21"/>
              </w:rPr>
              <w:t>社会影响</w:t>
            </w:r>
          </w:p>
          <w:p w14:paraId="4CD917F6">
            <w:pPr>
              <w:adjustRightInd w:val="0"/>
              <w:snapToGrid w:val="0"/>
              <w:spacing w:line="240" w:lineRule="auto"/>
              <w:ind w:firstLine="0" w:firstLineChars="0"/>
              <w:jc w:val="center"/>
              <w:rPr>
                <w:snapToGrid w:val="0"/>
                <w:sz w:val="21"/>
                <w:szCs w:val="21"/>
              </w:rPr>
            </w:pPr>
            <w:r>
              <w:rPr>
                <w:snapToGrid w:val="0"/>
                <w:sz w:val="21"/>
                <w:szCs w:val="21"/>
              </w:rPr>
              <w:t>种类</w:t>
            </w:r>
          </w:p>
        </w:tc>
        <w:tc>
          <w:tcPr>
            <w:tcW w:w="6537" w:type="dxa"/>
            <w:vAlign w:val="center"/>
          </w:tcPr>
          <w:p w14:paraId="151390FE">
            <w:pPr>
              <w:adjustRightInd w:val="0"/>
              <w:snapToGrid w:val="0"/>
              <w:spacing w:line="240" w:lineRule="auto"/>
              <w:ind w:firstLine="0" w:firstLineChars="0"/>
              <w:jc w:val="center"/>
              <w:rPr>
                <w:snapToGrid w:val="0"/>
                <w:sz w:val="21"/>
                <w:szCs w:val="21"/>
              </w:rPr>
            </w:pPr>
            <w:r>
              <w:rPr>
                <w:snapToGrid w:val="0"/>
                <w:sz w:val="21"/>
                <w:szCs w:val="21"/>
              </w:rPr>
              <w:t>潜在影响</w:t>
            </w:r>
          </w:p>
        </w:tc>
      </w:tr>
      <w:tr w14:paraId="35FD2C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4" w:type="dxa"/>
            <w:vAlign w:val="center"/>
          </w:tcPr>
          <w:p w14:paraId="454061ED">
            <w:pPr>
              <w:adjustRightInd w:val="0"/>
              <w:snapToGrid w:val="0"/>
              <w:spacing w:line="240" w:lineRule="auto"/>
              <w:ind w:firstLine="0" w:firstLineChars="0"/>
              <w:jc w:val="center"/>
              <w:rPr>
                <w:snapToGrid w:val="0"/>
                <w:sz w:val="21"/>
                <w:szCs w:val="21"/>
              </w:rPr>
            </w:pPr>
            <w:r>
              <w:rPr>
                <w:snapToGrid w:val="0"/>
                <w:sz w:val="21"/>
                <w:szCs w:val="21"/>
              </w:rPr>
              <w:t>1</w:t>
            </w:r>
          </w:p>
        </w:tc>
        <w:tc>
          <w:tcPr>
            <w:tcW w:w="1275" w:type="dxa"/>
            <w:vAlign w:val="center"/>
          </w:tcPr>
          <w:p w14:paraId="635B1467">
            <w:pPr>
              <w:adjustRightInd w:val="0"/>
              <w:snapToGrid w:val="0"/>
              <w:spacing w:line="240" w:lineRule="auto"/>
              <w:ind w:firstLine="0" w:firstLineChars="0"/>
              <w:jc w:val="center"/>
              <w:rPr>
                <w:snapToGrid w:val="0"/>
                <w:sz w:val="21"/>
                <w:szCs w:val="21"/>
              </w:rPr>
            </w:pPr>
            <w:r>
              <w:rPr>
                <w:snapToGrid w:val="0"/>
                <w:sz w:val="21"/>
                <w:szCs w:val="21"/>
              </w:rPr>
              <w:t>土地占用</w:t>
            </w:r>
          </w:p>
        </w:tc>
        <w:tc>
          <w:tcPr>
            <w:tcW w:w="6537" w:type="dxa"/>
            <w:vAlign w:val="center"/>
          </w:tcPr>
          <w:p w14:paraId="7ED395A4">
            <w:pPr>
              <w:adjustRightInd w:val="0"/>
              <w:snapToGrid w:val="0"/>
              <w:spacing w:line="240" w:lineRule="auto"/>
              <w:ind w:firstLine="0" w:firstLineChars="0"/>
              <w:jc w:val="left"/>
              <w:rPr>
                <w:snapToGrid w:val="0"/>
                <w:sz w:val="21"/>
                <w:szCs w:val="21"/>
                <w:lang w:eastAsia="zh-CN"/>
              </w:rPr>
            </w:pPr>
            <w:r>
              <w:rPr>
                <w:snapToGrid w:val="0"/>
                <w:sz w:val="21"/>
                <w:szCs w:val="21"/>
                <w:lang w:eastAsia="zh-CN"/>
              </w:rPr>
              <w:t>由于土壤侵蚀和植被的破坏，油田建设的管道、道路对周围环境造成的影响。</w:t>
            </w:r>
          </w:p>
        </w:tc>
      </w:tr>
      <w:tr w14:paraId="36FC92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4" w:type="dxa"/>
            <w:vAlign w:val="center"/>
          </w:tcPr>
          <w:p w14:paraId="56BBD0F7">
            <w:pPr>
              <w:adjustRightInd w:val="0"/>
              <w:snapToGrid w:val="0"/>
              <w:spacing w:line="240" w:lineRule="auto"/>
              <w:ind w:firstLine="0" w:firstLineChars="0"/>
              <w:jc w:val="center"/>
              <w:rPr>
                <w:snapToGrid w:val="0"/>
                <w:sz w:val="21"/>
                <w:szCs w:val="21"/>
              </w:rPr>
            </w:pPr>
            <w:r>
              <w:rPr>
                <w:snapToGrid w:val="0"/>
                <w:sz w:val="21"/>
                <w:szCs w:val="21"/>
              </w:rPr>
              <w:t>2</w:t>
            </w:r>
          </w:p>
        </w:tc>
        <w:tc>
          <w:tcPr>
            <w:tcW w:w="1275" w:type="dxa"/>
            <w:vAlign w:val="center"/>
          </w:tcPr>
          <w:p w14:paraId="37F83325">
            <w:pPr>
              <w:adjustRightInd w:val="0"/>
              <w:snapToGrid w:val="0"/>
              <w:spacing w:line="240" w:lineRule="auto"/>
              <w:ind w:firstLine="0" w:firstLineChars="0"/>
              <w:jc w:val="center"/>
              <w:rPr>
                <w:snapToGrid w:val="0"/>
                <w:sz w:val="21"/>
                <w:szCs w:val="21"/>
                <w:lang w:eastAsia="zh-CN"/>
              </w:rPr>
            </w:pPr>
            <w:r>
              <w:rPr>
                <w:snapToGrid w:val="0"/>
                <w:sz w:val="21"/>
                <w:szCs w:val="21"/>
                <w:lang w:eastAsia="zh-CN"/>
              </w:rPr>
              <w:t>废物和污染</w:t>
            </w:r>
          </w:p>
          <w:p w14:paraId="102934DD">
            <w:pPr>
              <w:adjustRightInd w:val="0"/>
              <w:snapToGrid w:val="0"/>
              <w:spacing w:line="240" w:lineRule="auto"/>
              <w:ind w:firstLine="0" w:firstLineChars="0"/>
              <w:jc w:val="center"/>
              <w:rPr>
                <w:snapToGrid w:val="0"/>
                <w:sz w:val="21"/>
                <w:szCs w:val="21"/>
                <w:lang w:eastAsia="zh-CN"/>
              </w:rPr>
            </w:pPr>
            <w:r>
              <w:rPr>
                <w:snapToGrid w:val="0"/>
                <w:sz w:val="21"/>
                <w:szCs w:val="21"/>
                <w:lang w:eastAsia="zh-CN"/>
              </w:rPr>
              <w:t>（对自然资源的影响）</w:t>
            </w:r>
          </w:p>
        </w:tc>
        <w:tc>
          <w:tcPr>
            <w:tcW w:w="6537" w:type="dxa"/>
            <w:vAlign w:val="center"/>
          </w:tcPr>
          <w:p w14:paraId="2E70850F">
            <w:pPr>
              <w:adjustRightInd w:val="0"/>
              <w:snapToGrid w:val="0"/>
              <w:spacing w:line="240" w:lineRule="auto"/>
              <w:ind w:firstLine="0" w:firstLineChars="0"/>
              <w:rPr>
                <w:snapToGrid w:val="0"/>
                <w:sz w:val="21"/>
                <w:szCs w:val="21"/>
                <w:lang w:eastAsia="zh-CN"/>
              </w:rPr>
            </w:pPr>
            <w:r>
              <w:rPr>
                <w:snapToGrid w:val="0"/>
                <w:sz w:val="21"/>
                <w:szCs w:val="21"/>
                <w:lang w:eastAsia="zh-CN"/>
              </w:rPr>
              <w:t>油田开发建设过程中所产生的废水、废气、落地油及噪声等各种污染物对周围相应环境因素所造成的直接影响；油田开发中场站、油水井及道路的施工过程中所排放的污染物对周围环境造成的不良影响。</w:t>
            </w:r>
          </w:p>
        </w:tc>
      </w:tr>
      <w:tr w14:paraId="77D4AE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4" w:type="dxa"/>
            <w:vAlign w:val="center"/>
          </w:tcPr>
          <w:p w14:paraId="540DB9C0">
            <w:pPr>
              <w:adjustRightInd w:val="0"/>
              <w:snapToGrid w:val="0"/>
              <w:spacing w:line="240" w:lineRule="auto"/>
              <w:ind w:firstLine="0" w:firstLineChars="0"/>
              <w:jc w:val="center"/>
              <w:rPr>
                <w:snapToGrid w:val="0"/>
                <w:sz w:val="21"/>
                <w:szCs w:val="21"/>
              </w:rPr>
            </w:pPr>
            <w:r>
              <w:rPr>
                <w:snapToGrid w:val="0"/>
                <w:sz w:val="21"/>
                <w:szCs w:val="21"/>
              </w:rPr>
              <w:t>3</w:t>
            </w:r>
          </w:p>
        </w:tc>
        <w:tc>
          <w:tcPr>
            <w:tcW w:w="1275" w:type="dxa"/>
            <w:vAlign w:val="center"/>
          </w:tcPr>
          <w:p w14:paraId="63E1A368">
            <w:pPr>
              <w:adjustRightInd w:val="0"/>
              <w:snapToGrid w:val="0"/>
              <w:spacing w:line="240" w:lineRule="auto"/>
              <w:ind w:firstLine="0" w:firstLineChars="0"/>
              <w:jc w:val="center"/>
              <w:rPr>
                <w:snapToGrid w:val="0"/>
                <w:sz w:val="21"/>
                <w:szCs w:val="21"/>
              </w:rPr>
            </w:pPr>
            <w:r>
              <w:rPr>
                <w:snapToGrid w:val="0"/>
                <w:sz w:val="21"/>
                <w:szCs w:val="21"/>
              </w:rPr>
              <w:t>基础性设施</w:t>
            </w:r>
          </w:p>
        </w:tc>
        <w:tc>
          <w:tcPr>
            <w:tcW w:w="6537" w:type="dxa"/>
            <w:vAlign w:val="center"/>
          </w:tcPr>
          <w:p w14:paraId="647ADF65">
            <w:pPr>
              <w:adjustRightInd w:val="0"/>
              <w:snapToGrid w:val="0"/>
              <w:spacing w:line="240" w:lineRule="auto"/>
              <w:ind w:firstLine="0" w:firstLineChars="0"/>
              <w:rPr>
                <w:snapToGrid w:val="0"/>
                <w:sz w:val="21"/>
                <w:szCs w:val="21"/>
                <w:lang w:eastAsia="zh-CN"/>
              </w:rPr>
            </w:pPr>
            <w:r>
              <w:rPr>
                <w:snapToGrid w:val="0"/>
                <w:sz w:val="21"/>
                <w:szCs w:val="21"/>
                <w:lang w:eastAsia="zh-CN"/>
              </w:rPr>
              <w:t>道路和运输的建设对区域内环境、经济等各方面的影响；生产、生活用水对当地地下水资源所产生的影响</w:t>
            </w:r>
            <w:r>
              <w:rPr>
                <w:rFonts w:hint="eastAsia"/>
                <w:snapToGrid w:val="0"/>
                <w:sz w:val="21"/>
                <w:szCs w:val="21"/>
                <w:lang w:eastAsia="zh-CN"/>
              </w:rPr>
              <w:t>。</w:t>
            </w:r>
            <w:r>
              <w:rPr>
                <w:snapToGrid w:val="0"/>
                <w:sz w:val="21"/>
                <w:szCs w:val="21"/>
                <w:lang w:eastAsia="zh-CN"/>
              </w:rPr>
              <w:t xml:space="preserve"> </w:t>
            </w:r>
          </w:p>
        </w:tc>
      </w:tr>
      <w:tr w14:paraId="7F9E2F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4" w:type="dxa"/>
            <w:vAlign w:val="center"/>
          </w:tcPr>
          <w:p w14:paraId="158B368A">
            <w:pPr>
              <w:adjustRightInd w:val="0"/>
              <w:snapToGrid w:val="0"/>
              <w:spacing w:line="240" w:lineRule="auto"/>
              <w:ind w:firstLine="0" w:firstLineChars="0"/>
              <w:jc w:val="center"/>
              <w:rPr>
                <w:snapToGrid w:val="0"/>
                <w:sz w:val="21"/>
                <w:szCs w:val="21"/>
                <w:lang w:eastAsia="zh-CN"/>
              </w:rPr>
            </w:pPr>
            <w:r>
              <w:rPr>
                <w:snapToGrid w:val="0"/>
                <w:sz w:val="21"/>
                <w:szCs w:val="21"/>
                <w:lang w:eastAsia="zh-CN"/>
              </w:rPr>
              <w:t>4</w:t>
            </w:r>
          </w:p>
        </w:tc>
        <w:tc>
          <w:tcPr>
            <w:tcW w:w="1275" w:type="dxa"/>
            <w:vAlign w:val="center"/>
          </w:tcPr>
          <w:p w14:paraId="1DF6AE23">
            <w:pPr>
              <w:adjustRightInd w:val="0"/>
              <w:snapToGrid w:val="0"/>
              <w:spacing w:line="240" w:lineRule="auto"/>
              <w:ind w:firstLine="0" w:firstLineChars="0"/>
              <w:jc w:val="center"/>
              <w:rPr>
                <w:snapToGrid w:val="0"/>
                <w:sz w:val="21"/>
                <w:szCs w:val="21"/>
                <w:lang w:eastAsia="zh-CN"/>
              </w:rPr>
            </w:pPr>
            <w:r>
              <w:rPr>
                <w:snapToGrid w:val="0"/>
                <w:sz w:val="21"/>
                <w:szCs w:val="21"/>
                <w:lang w:eastAsia="zh-CN"/>
              </w:rPr>
              <w:t>就业和生活</w:t>
            </w:r>
          </w:p>
        </w:tc>
        <w:tc>
          <w:tcPr>
            <w:tcW w:w="6537" w:type="dxa"/>
            <w:vAlign w:val="center"/>
          </w:tcPr>
          <w:p w14:paraId="121403C4">
            <w:pPr>
              <w:adjustRightInd w:val="0"/>
              <w:snapToGrid w:val="0"/>
              <w:spacing w:line="240" w:lineRule="auto"/>
              <w:ind w:firstLine="0" w:firstLineChars="0"/>
              <w:rPr>
                <w:snapToGrid w:val="0"/>
                <w:sz w:val="21"/>
                <w:szCs w:val="21"/>
                <w:lang w:eastAsia="zh-CN"/>
              </w:rPr>
            </w:pPr>
            <w:r>
              <w:rPr>
                <w:snapToGrid w:val="0"/>
                <w:sz w:val="21"/>
                <w:szCs w:val="21"/>
                <w:lang w:eastAsia="zh-CN"/>
              </w:rPr>
              <w:t>直接就业：在油田开发建设的施工和运行阶段所需雇用的施工人员及运行服务人员等；经济结构的变化：服务行业的发展所带来的二次经济影响；竞争就业需求：劳动力的机会成本，及对农业结构调整所带来的影响。</w:t>
            </w:r>
          </w:p>
        </w:tc>
      </w:tr>
      <w:tr w14:paraId="740549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4" w:type="dxa"/>
            <w:vAlign w:val="center"/>
          </w:tcPr>
          <w:p w14:paraId="5338A5DF">
            <w:pPr>
              <w:adjustRightInd w:val="0"/>
              <w:snapToGrid w:val="0"/>
              <w:spacing w:line="240" w:lineRule="auto"/>
              <w:ind w:firstLine="0" w:firstLineChars="0"/>
              <w:jc w:val="center"/>
              <w:rPr>
                <w:snapToGrid w:val="0"/>
                <w:sz w:val="21"/>
                <w:szCs w:val="21"/>
                <w:lang w:eastAsia="zh-CN"/>
              </w:rPr>
            </w:pPr>
            <w:r>
              <w:rPr>
                <w:snapToGrid w:val="0"/>
                <w:sz w:val="21"/>
                <w:szCs w:val="21"/>
                <w:lang w:eastAsia="zh-CN"/>
              </w:rPr>
              <w:t>5</w:t>
            </w:r>
          </w:p>
        </w:tc>
        <w:tc>
          <w:tcPr>
            <w:tcW w:w="1275" w:type="dxa"/>
            <w:vAlign w:val="center"/>
          </w:tcPr>
          <w:p w14:paraId="6AAF156A">
            <w:pPr>
              <w:adjustRightInd w:val="0"/>
              <w:snapToGrid w:val="0"/>
              <w:spacing w:line="240" w:lineRule="auto"/>
              <w:ind w:firstLine="0" w:firstLineChars="0"/>
              <w:jc w:val="center"/>
              <w:rPr>
                <w:snapToGrid w:val="0"/>
                <w:sz w:val="21"/>
                <w:szCs w:val="21"/>
                <w:lang w:eastAsia="zh-CN"/>
              </w:rPr>
            </w:pPr>
            <w:r>
              <w:rPr>
                <w:snapToGrid w:val="0"/>
                <w:sz w:val="21"/>
                <w:szCs w:val="21"/>
                <w:lang w:eastAsia="zh-CN"/>
              </w:rPr>
              <w:t>人口组成及</w:t>
            </w:r>
          </w:p>
          <w:p w14:paraId="47E93F4E">
            <w:pPr>
              <w:adjustRightInd w:val="0"/>
              <w:snapToGrid w:val="0"/>
              <w:spacing w:line="240" w:lineRule="auto"/>
              <w:ind w:firstLine="0" w:firstLineChars="0"/>
              <w:jc w:val="center"/>
              <w:rPr>
                <w:snapToGrid w:val="0"/>
                <w:sz w:val="21"/>
                <w:szCs w:val="21"/>
                <w:lang w:eastAsia="zh-CN"/>
              </w:rPr>
            </w:pPr>
            <w:r>
              <w:rPr>
                <w:snapToGrid w:val="0"/>
                <w:sz w:val="21"/>
                <w:szCs w:val="21"/>
                <w:lang w:eastAsia="zh-CN"/>
              </w:rPr>
              <w:t>分布</w:t>
            </w:r>
          </w:p>
        </w:tc>
        <w:tc>
          <w:tcPr>
            <w:tcW w:w="6537" w:type="dxa"/>
            <w:vAlign w:val="center"/>
          </w:tcPr>
          <w:p w14:paraId="3577DFB7">
            <w:pPr>
              <w:adjustRightInd w:val="0"/>
              <w:snapToGrid w:val="0"/>
              <w:spacing w:line="240" w:lineRule="auto"/>
              <w:ind w:firstLine="0" w:firstLineChars="0"/>
              <w:jc w:val="left"/>
              <w:rPr>
                <w:snapToGrid w:val="0"/>
                <w:sz w:val="21"/>
                <w:szCs w:val="21"/>
                <w:lang w:eastAsia="zh-CN"/>
              </w:rPr>
            </w:pPr>
            <w:r>
              <w:rPr>
                <w:snapToGrid w:val="0"/>
                <w:sz w:val="21"/>
                <w:szCs w:val="21"/>
                <w:lang w:eastAsia="zh-CN"/>
              </w:rPr>
              <w:t>由于就业机会增加，人口可能会有一定的流动和改变；人口构成也会有一定的变化。</w:t>
            </w:r>
          </w:p>
        </w:tc>
      </w:tr>
      <w:tr w14:paraId="2C88A9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4" w:type="dxa"/>
            <w:vAlign w:val="center"/>
          </w:tcPr>
          <w:p w14:paraId="567ED0E5">
            <w:pPr>
              <w:adjustRightInd w:val="0"/>
              <w:snapToGrid w:val="0"/>
              <w:spacing w:line="240" w:lineRule="auto"/>
              <w:ind w:firstLine="0" w:firstLineChars="0"/>
              <w:jc w:val="center"/>
              <w:rPr>
                <w:snapToGrid w:val="0"/>
                <w:sz w:val="21"/>
                <w:szCs w:val="21"/>
              </w:rPr>
            </w:pPr>
            <w:r>
              <w:rPr>
                <w:snapToGrid w:val="0"/>
                <w:sz w:val="21"/>
                <w:szCs w:val="21"/>
              </w:rPr>
              <w:t>6</w:t>
            </w:r>
          </w:p>
        </w:tc>
        <w:tc>
          <w:tcPr>
            <w:tcW w:w="1275" w:type="dxa"/>
            <w:vAlign w:val="center"/>
          </w:tcPr>
          <w:p w14:paraId="1A9A97C4">
            <w:pPr>
              <w:adjustRightInd w:val="0"/>
              <w:snapToGrid w:val="0"/>
              <w:spacing w:line="240" w:lineRule="auto"/>
              <w:ind w:firstLine="0" w:firstLineChars="0"/>
              <w:jc w:val="center"/>
              <w:rPr>
                <w:snapToGrid w:val="0"/>
                <w:sz w:val="21"/>
                <w:szCs w:val="21"/>
              </w:rPr>
            </w:pPr>
            <w:r>
              <w:rPr>
                <w:snapToGrid w:val="0"/>
                <w:sz w:val="21"/>
                <w:szCs w:val="21"/>
              </w:rPr>
              <w:t>人员健康</w:t>
            </w:r>
          </w:p>
        </w:tc>
        <w:tc>
          <w:tcPr>
            <w:tcW w:w="6537" w:type="dxa"/>
            <w:vAlign w:val="center"/>
          </w:tcPr>
          <w:p w14:paraId="461EFD1B">
            <w:pPr>
              <w:adjustRightInd w:val="0"/>
              <w:snapToGrid w:val="0"/>
              <w:spacing w:line="240" w:lineRule="auto"/>
              <w:ind w:firstLine="0" w:firstLineChars="0"/>
              <w:jc w:val="left"/>
              <w:rPr>
                <w:snapToGrid w:val="0"/>
                <w:sz w:val="21"/>
                <w:szCs w:val="21"/>
                <w:lang w:eastAsia="zh-CN"/>
              </w:rPr>
            </w:pPr>
            <w:r>
              <w:rPr>
                <w:snapToGrid w:val="0"/>
                <w:sz w:val="21"/>
                <w:szCs w:val="21"/>
                <w:lang w:eastAsia="zh-CN"/>
              </w:rPr>
              <w:t>油田开发建设过程中所排放的污染物质：废气、废水、落地油及噪声等对人体健康产生影响。</w:t>
            </w:r>
          </w:p>
        </w:tc>
      </w:tr>
      <w:tr w14:paraId="197595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34" w:type="dxa"/>
            <w:vAlign w:val="center"/>
          </w:tcPr>
          <w:p w14:paraId="01C66885">
            <w:pPr>
              <w:adjustRightInd w:val="0"/>
              <w:snapToGrid w:val="0"/>
              <w:spacing w:line="240" w:lineRule="auto"/>
              <w:ind w:firstLine="0" w:firstLineChars="0"/>
              <w:jc w:val="center"/>
              <w:rPr>
                <w:snapToGrid w:val="0"/>
                <w:sz w:val="21"/>
                <w:szCs w:val="21"/>
              </w:rPr>
            </w:pPr>
            <w:r>
              <w:rPr>
                <w:snapToGrid w:val="0"/>
                <w:sz w:val="21"/>
                <w:szCs w:val="21"/>
              </w:rPr>
              <w:t>7</w:t>
            </w:r>
          </w:p>
        </w:tc>
        <w:tc>
          <w:tcPr>
            <w:tcW w:w="1275" w:type="dxa"/>
            <w:vAlign w:val="center"/>
          </w:tcPr>
          <w:p w14:paraId="0D56E291">
            <w:pPr>
              <w:adjustRightInd w:val="0"/>
              <w:snapToGrid w:val="0"/>
              <w:spacing w:line="240" w:lineRule="auto"/>
              <w:ind w:firstLine="0" w:firstLineChars="0"/>
              <w:jc w:val="center"/>
              <w:rPr>
                <w:snapToGrid w:val="0"/>
                <w:sz w:val="21"/>
                <w:szCs w:val="21"/>
              </w:rPr>
            </w:pPr>
            <w:r>
              <w:rPr>
                <w:snapToGrid w:val="0"/>
                <w:sz w:val="21"/>
                <w:szCs w:val="21"/>
              </w:rPr>
              <w:t>社会收入</w:t>
            </w:r>
          </w:p>
        </w:tc>
        <w:tc>
          <w:tcPr>
            <w:tcW w:w="6537" w:type="dxa"/>
            <w:vAlign w:val="center"/>
          </w:tcPr>
          <w:p w14:paraId="467AEB33">
            <w:pPr>
              <w:adjustRightInd w:val="0"/>
              <w:snapToGrid w:val="0"/>
              <w:spacing w:line="240" w:lineRule="auto"/>
              <w:ind w:firstLine="0" w:firstLineChars="0"/>
              <w:jc w:val="left"/>
              <w:rPr>
                <w:snapToGrid w:val="0"/>
                <w:sz w:val="21"/>
                <w:szCs w:val="21"/>
                <w:lang w:eastAsia="zh-CN"/>
              </w:rPr>
            </w:pPr>
            <w:r>
              <w:rPr>
                <w:snapToGrid w:val="0"/>
                <w:sz w:val="21"/>
                <w:szCs w:val="21"/>
                <w:lang w:eastAsia="zh-CN"/>
              </w:rPr>
              <w:t>油田开发在占地等方面对当地社会和个人进行补偿并增加当地的财政税收。</w:t>
            </w:r>
          </w:p>
        </w:tc>
      </w:tr>
    </w:tbl>
    <w:p w14:paraId="282C7A3C">
      <w:pPr>
        <w:ind w:firstLine="480"/>
        <w:rPr>
          <w:rFonts w:asciiTheme="minorEastAsia" w:hAnsiTheme="minorEastAsia" w:eastAsiaTheme="minorEastAsia"/>
          <w:lang w:eastAsia="zh-CN"/>
        </w:rPr>
      </w:pPr>
      <w:r>
        <w:rPr>
          <w:rFonts w:asciiTheme="minorEastAsia" w:hAnsiTheme="minorEastAsia" w:eastAsiaTheme="minorEastAsia"/>
          <w:lang w:eastAsia="zh-CN"/>
        </w:rPr>
        <w:t>从上表可以看出，由于开发区域为草原，油田内牧户稀疏，不涉及人口迁移和建筑物拆迁等事宜。因此项目建设所产生的社会环境影响主要体现在对区域内资源利用等方面产生的影响，以及</w:t>
      </w:r>
      <w:r>
        <w:rPr>
          <w:rFonts w:hint="eastAsia" w:asciiTheme="minorEastAsia" w:hAnsiTheme="minorEastAsia" w:eastAsiaTheme="minorEastAsia"/>
          <w:lang w:eastAsia="zh-CN"/>
        </w:rPr>
        <w:t>对</w:t>
      </w:r>
      <w:r>
        <w:rPr>
          <w:rFonts w:asciiTheme="minorEastAsia" w:hAnsiTheme="minorEastAsia" w:eastAsiaTheme="minorEastAsia"/>
          <w:lang w:eastAsia="zh-CN"/>
        </w:rPr>
        <w:t>经济环境的发展起到长期和积极的促进作用等。</w:t>
      </w:r>
    </w:p>
    <w:p w14:paraId="547ECE69">
      <w:pPr>
        <w:pStyle w:val="3"/>
        <w:rPr>
          <w:lang w:eastAsia="zh-CN"/>
        </w:rPr>
      </w:pPr>
      <w:bookmarkStart w:id="991" w:name="_Toc189535456"/>
      <w:bookmarkStart w:id="992" w:name="_Toc196215849"/>
      <w:bookmarkStart w:id="993" w:name="_Toc279676801"/>
      <w:bookmarkStart w:id="994" w:name="_Toc408414105"/>
      <w:bookmarkStart w:id="995" w:name="_Toc248649469"/>
      <w:bookmarkStart w:id="996" w:name="_Toc280020200"/>
      <w:bookmarkStart w:id="997" w:name="_Toc338663676"/>
      <w:r>
        <w:rPr>
          <w:lang w:eastAsia="zh-CN"/>
        </w:rPr>
        <w:t>14.5环境经济损益分析结论</w:t>
      </w:r>
      <w:bookmarkEnd w:id="991"/>
      <w:bookmarkEnd w:id="992"/>
      <w:bookmarkEnd w:id="993"/>
      <w:bookmarkEnd w:id="994"/>
      <w:bookmarkEnd w:id="995"/>
      <w:bookmarkEnd w:id="996"/>
      <w:bookmarkEnd w:id="997"/>
    </w:p>
    <w:p w14:paraId="5AA7A458">
      <w:pPr>
        <w:ind w:firstLine="480"/>
        <w:rPr>
          <w:rFonts w:asciiTheme="minorEastAsia" w:hAnsiTheme="minorEastAsia" w:eastAsiaTheme="minorEastAsia"/>
          <w:lang w:eastAsia="zh-CN"/>
        </w:rPr>
      </w:pPr>
      <w:r>
        <w:rPr>
          <w:rFonts w:asciiTheme="minorEastAsia" w:hAnsiTheme="minorEastAsia" w:eastAsiaTheme="minorEastAsia"/>
          <w:lang w:eastAsia="zh-CN"/>
        </w:rPr>
        <w:t>本工程在确定工艺技术方案时，首先贯彻“清洁生产”的原则，优先选用不产生或少产生污染物的工艺，从根本上杜绝或减少污染物的产生量，通过对泥浆及落地油的回收利用，节约了资源同时减少排污费用及环境治理费用。针对生产过程中产生的污染物采取有效措施进行治理并制定相应的环境风险应急措施，使污染物排放符合有关标准的要求，采取了有效的生态保护措施，相应环保装置及设备满足环保要求，采取的生态保护措施成熟合理；工程建设对所在区域的经济发展将起到一定的促进作用，具有较好的经济效益。</w:t>
      </w:r>
    </w:p>
    <w:p w14:paraId="2AB3E948">
      <w:pPr>
        <w:ind w:firstLine="480"/>
        <w:rPr>
          <w:rFonts w:asciiTheme="minorEastAsia" w:hAnsiTheme="minorEastAsia" w:eastAsiaTheme="minorEastAsia"/>
          <w:lang w:eastAsia="zh-CN"/>
        </w:rPr>
      </w:pPr>
      <w:r>
        <w:rPr>
          <w:rFonts w:asciiTheme="minorEastAsia" w:hAnsiTheme="minorEastAsia" w:eastAsiaTheme="minorEastAsia"/>
          <w:lang w:eastAsia="zh-CN"/>
        </w:rPr>
        <w:t>综上所述，在落实本评价所提出的各项污染防治措施及生态保护措施的前提下，本项目的建设能够达到经济效益、社会效益和环境效益统一的要求。</w:t>
      </w:r>
    </w:p>
    <w:p w14:paraId="74B08DD3">
      <w:pPr>
        <w:pStyle w:val="380"/>
        <w:spacing w:before="0" w:after="0"/>
        <w:rPr>
          <w:rFonts w:cs="Times New Roman"/>
          <w:lang w:eastAsia="zh-CN"/>
        </w:rPr>
      </w:pPr>
      <w:r>
        <w:rPr>
          <w:rFonts w:cs="Times New Roman"/>
          <w:snapToGrid w:val="0"/>
          <w:lang w:eastAsia="zh-CN"/>
        </w:rPr>
        <w:br w:type="page"/>
      </w:r>
      <w:bookmarkStart w:id="998" w:name="_Toc196215828"/>
      <w:bookmarkStart w:id="999" w:name="_Toc248649460"/>
      <w:bookmarkStart w:id="1000" w:name="_Toc189535447"/>
      <w:bookmarkStart w:id="1001" w:name="_Toc408414106"/>
      <w:r>
        <w:rPr>
          <w:rFonts w:cs="Times New Roman"/>
          <w:lang w:eastAsia="zh-CN"/>
        </w:rPr>
        <w:t>15</w:t>
      </w:r>
      <w:bookmarkEnd w:id="998"/>
      <w:bookmarkEnd w:id="999"/>
      <w:bookmarkEnd w:id="1000"/>
      <w:bookmarkStart w:id="1002" w:name="_Toc280020201"/>
      <w:bookmarkStart w:id="1003" w:name="_Toc279676802"/>
      <w:bookmarkStart w:id="1004" w:name="_Toc338663677"/>
      <w:r>
        <w:rPr>
          <w:rFonts w:cs="Times New Roman"/>
          <w:lang w:eastAsia="zh-CN"/>
        </w:rPr>
        <w:t xml:space="preserve"> </w:t>
      </w:r>
      <w:bookmarkStart w:id="1005" w:name="_Toc182141034"/>
      <w:bookmarkStart w:id="1006" w:name="_Toc167013333"/>
      <w:bookmarkStart w:id="1007" w:name="_Toc481547617"/>
      <w:r>
        <w:rPr>
          <w:rFonts w:cs="Times New Roman"/>
          <w:lang w:eastAsia="zh-CN"/>
        </w:rPr>
        <w:t>HSE管理体系及</w:t>
      </w:r>
      <w:bookmarkEnd w:id="1005"/>
      <w:bookmarkEnd w:id="1006"/>
      <w:bookmarkEnd w:id="1007"/>
      <w:r>
        <w:rPr>
          <w:rFonts w:cs="Times New Roman"/>
          <w:lang w:eastAsia="zh-CN"/>
        </w:rPr>
        <w:t>环境监控</w:t>
      </w:r>
      <w:bookmarkEnd w:id="1001"/>
      <w:bookmarkEnd w:id="1002"/>
      <w:bookmarkEnd w:id="1003"/>
      <w:bookmarkEnd w:id="1004"/>
    </w:p>
    <w:p w14:paraId="44EDA217">
      <w:pPr>
        <w:pStyle w:val="3"/>
        <w:rPr>
          <w:lang w:eastAsia="zh-CN"/>
        </w:rPr>
      </w:pPr>
      <w:bookmarkStart w:id="1008" w:name="_Toc109128038"/>
      <w:bookmarkStart w:id="1009" w:name="_Toc77144395"/>
      <w:bookmarkStart w:id="1010" w:name="_Toc248649461"/>
      <w:bookmarkStart w:id="1011" w:name="_Toc279676803"/>
      <w:bookmarkStart w:id="1012" w:name="_Toc189535448"/>
      <w:bookmarkStart w:id="1013" w:name="_Toc196215829"/>
      <w:bookmarkStart w:id="1014" w:name="_Toc280020202"/>
      <w:bookmarkStart w:id="1015" w:name="_Toc338663678"/>
      <w:bookmarkStart w:id="1016" w:name="_Toc408414107"/>
      <w:r>
        <w:rPr>
          <w:lang w:eastAsia="zh-CN"/>
        </w:rPr>
        <w:t>15.1</w:t>
      </w:r>
      <w:bookmarkEnd w:id="1008"/>
      <w:bookmarkEnd w:id="1009"/>
      <w:r>
        <w:rPr>
          <w:lang w:eastAsia="zh-CN"/>
        </w:rPr>
        <w:t>HSE管理体系的建立和运行</w:t>
      </w:r>
      <w:bookmarkEnd w:id="1010"/>
      <w:bookmarkEnd w:id="1011"/>
      <w:bookmarkEnd w:id="1012"/>
      <w:bookmarkEnd w:id="1013"/>
      <w:bookmarkEnd w:id="1014"/>
      <w:bookmarkEnd w:id="1015"/>
      <w:bookmarkEnd w:id="1016"/>
    </w:p>
    <w:p w14:paraId="7E5C8F25">
      <w:pPr>
        <w:ind w:firstLine="480"/>
        <w:rPr>
          <w:rFonts w:asciiTheme="minorEastAsia" w:hAnsiTheme="minorEastAsia" w:eastAsiaTheme="minorEastAsia"/>
          <w:lang w:eastAsia="zh-CN"/>
        </w:rPr>
      </w:pPr>
      <w:r>
        <w:rPr>
          <w:rFonts w:asciiTheme="minorEastAsia" w:hAnsiTheme="minorEastAsia" w:eastAsiaTheme="minorEastAsia"/>
          <w:lang w:eastAsia="zh-CN"/>
        </w:rPr>
        <w:t>本项目应依据《石油天然气工业健康、安全与环境管理体系》（SY/T6276 -1997）的要求，结合</w:t>
      </w:r>
      <w:r>
        <w:rPr>
          <w:rFonts w:hint="eastAsia" w:asciiTheme="minorEastAsia" w:hAnsiTheme="minorEastAsia" w:eastAsiaTheme="minorEastAsia"/>
          <w:lang w:eastAsia="zh-CN"/>
        </w:rPr>
        <w:t>《中华人民共和国安全生产法》</w:t>
      </w:r>
      <w:r>
        <w:rPr>
          <w:rFonts w:asciiTheme="minorEastAsia" w:hAnsiTheme="minorEastAsia" w:eastAsiaTheme="minorEastAsia"/>
          <w:lang w:eastAsia="zh-CN"/>
        </w:rPr>
        <w:t>，在项目的建设期、运营期和退役期等3个阶段建立和实施HSE管理体系。其中环境管理的内容应符合ISO14000系列标准规定的环境管理体系原则以及石油开采、集输等有关标准的要求，健康管理体系符合OHS18000《职业安全卫生管理体系》的有关要求。建设期、运营期和退役期的HSE管理分别包括以下内容：</w:t>
      </w:r>
    </w:p>
    <w:p w14:paraId="056EBF8F">
      <w:pPr>
        <w:ind w:firstLine="480"/>
        <w:rPr>
          <w:rFonts w:asciiTheme="minorEastAsia" w:hAnsiTheme="minorEastAsia" w:eastAsiaTheme="minorEastAsia"/>
          <w:lang w:eastAsia="zh-CN"/>
        </w:rPr>
      </w:pPr>
      <w:r>
        <w:rPr>
          <w:rFonts w:asciiTheme="minorEastAsia" w:hAnsiTheme="minorEastAsia" w:eastAsiaTheme="minorEastAsia"/>
          <w:lang w:eastAsia="zh-CN"/>
        </w:rPr>
        <w:t>1、建设期HSE管理主要包括良好的工程（高产、节水、节能）设计、安全、健康与环境保护设施的同时设计、同时施工和同时投入使用，安全、绿色施工等。</w:t>
      </w:r>
    </w:p>
    <w:p w14:paraId="06763C0E">
      <w:pPr>
        <w:ind w:firstLine="480"/>
        <w:rPr>
          <w:rFonts w:asciiTheme="minorEastAsia" w:hAnsiTheme="minorEastAsia" w:eastAsiaTheme="minorEastAsia"/>
          <w:lang w:eastAsia="zh-CN"/>
        </w:rPr>
      </w:pPr>
      <w:r>
        <w:rPr>
          <w:rFonts w:asciiTheme="minorEastAsia" w:hAnsiTheme="minorEastAsia" w:eastAsiaTheme="minorEastAsia"/>
          <w:lang w:eastAsia="zh-CN"/>
        </w:rPr>
        <w:t>2、运营期HSE管理主要包括：HSE组织机构的建立及职责的确定、文件的编写、风险的识别和管理、应急措施的建立、人员的培训、HSE管理体系的运行及保持、清洁生产等。</w:t>
      </w:r>
    </w:p>
    <w:p w14:paraId="277E5A46">
      <w:pPr>
        <w:ind w:firstLine="480"/>
        <w:rPr>
          <w:rFonts w:asciiTheme="minorEastAsia" w:hAnsiTheme="minorEastAsia" w:eastAsiaTheme="minorEastAsia"/>
          <w:lang w:eastAsia="zh-CN"/>
        </w:rPr>
      </w:pPr>
      <w:r>
        <w:rPr>
          <w:rFonts w:asciiTheme="minorEastAsia" w:hAnsiTheme="minorEastAsia" w:eastAsiaTheme="minorEastAsia"/>
          <w:lang w:eastAsia="zh-CN"/>
        </w:rPr>
        <w:t>3、退役期HSE管理主要考虑油区退役的安全与环境影响。</w:t>
      </w:r>
    </w:p>
    <w:p w14:paraId="343B134E">
      <w:pPr>
        <w:ind w:firstLine="480"/>
        <w:rPr>
          <w:rFonts w:asciiTheme="minorEastAsia" w:hAnsiTheme="minorEastAsia" w:eastAsiaTheme="minorEastAsia"/>
          <w:lang w:eastAsia="zh-CN"/>
        </w:rPr>
      </w:pPr>
      <w:r>
        <w:rPr>
          <w:rFonts w:asciiTheme="minorEastAsia" w:hAnsiTheme="minorEastAsia" w:eastAsiaTheme="minorEastAsia"/>
          <w:lang w:eastAsia="zh-CN"/>
        </w:rPr>
        <w:t>油田开发建设对环境主要影响是建设期的各种施工作业活动和运行期的风险事故。为最大限度地减轻油田生产对区域内空气环境、水环境及生态环境的影响，减少事故的发生，以确保油田安全运行，必须建立科学有效的环境管理体制，制定详细周密的环境保护管理计划。</w:t>
      </w:r>
    </w:p>
    <w:p w14:paraId="47DAA2F6">
      <w:pPr>
        <w:pStyle w:val="4"/>
        <w:rPr>
          <w:lang w:eastAsia="zh-CN"/>
        </w:rPr>
      </w:pPr>
      <w:bookmarkStart w:id="1017" w:name="_Toc279676804"/>
      <w:bookmarkStart w:id="1018" w:name="_Toc78775239"/>
      <w:bookmarkStart w:id="1019" w:name="_Toc196215830"/>
      <w:bookmarkStart w:id="1020" w:name="_Toc280020203"/>
      <w:bookmarkStart w:id="1021" w:name="_Toc338663679"/>
      <w:bookmarkStart w:id="1022" w:name="_Toc408414108"/>
      <w:bookmarkStart w:id="1023" w:name="_Toc77144396"/>
      <w:bookmarkStart w:id="1024" w:name="_Toc77923972"/>
      <w:r>
        <w:rPr>
          <w:lang w:eastAsia="zh-CN"/>
        </w:rPr>
        <w:t>15.1.1组织结构</w:t>
      </w:r>
      <w:bookmarkEnd w:id="1017"/>
      <w:bookmarkEnd w:id="1018"/>
      <w:bookmarkEnd w:id="1019"/>
      <w:bookmarkEnd w:id="1020"/>
      <w:bookmarkEnd w:id="1021"/>
      <w:bookmarkEnd w:id="1022"/>
      <w:bookmarkEnd w:id="1023"/>
      <w:bookmarkEnd w:id="1024"/>
    </w:p>
    <w:p w14:paraId="6B772351">
      <w:pPr>
        <w:ind w:firstLine="480"/>
        <w:rPr>
          <w:rFonts w:asciiTheme="minorEastAsia" w:hAnsiTheme="minorEastAsia" w:eastAsiaTheme="minorEastAsia"/>
          <w:lang w:eastAsia="zh-CN"/>
        </w:rPr>
      </w:pPr>
      <w:r>
        <w:rPr>
          <w:rFonts w:asciiTheme="minorEastAsia" w:hAnsiTheme="minorEastAsia" w:eastAsiaTheme="minorEastAsia"/>
          <w:lang w:eastAsia="zh-CN"/>
        </w:rPr>
        <w:t>本项目严格实施HSE环境管理体系，</w:t>
      </w:r>
      <w:bookmarkStart w:id="1025" w:name="_Toc77923973"/>
      <w:bookmarkStart w:id="1026" w:name="_Toc77144397"/>
      <w:bookmarkStart w:id="1027" w:name="_Toc78775240"/>
      <w:bookmarkStart w:id="1028" w:name="_Toc196215831"/>
      <w:r>
        <w:rPr>
          <w:rFonts w:asciiTheme="minorEastAsia" w:hAnsiTheme="minorEastAsia" w:eastAsiaTheme="minorEastAsia"/>
          <w:lang w:eastAsia="zh-CN"/>
        </w:rPr>
        <w:t>中国石油华北油田公司二连分公司下设安全环保部，负责乌里雅斯太油田的环保工作，各二级单位下设环保科，各生产单位设专职环保员，负责本生产单位的环保工作。</w:t>
      </w:r>
    </w:p>
    <w:p w14:paraId="460051EE">
      <w:pPr>
        <w:ind w:firstLine="480"/>
        <w:rPr>
          <w:rFonts w:asciiTheme="minorEastAsia" w:hAnsiTheme="minorEastAsia" w:eastAsiaTheme="minorEastAsia"/>
          <w:lang w:eastAsia="zh-CN"/>
        </w:rPr>
      </w:pPr>
      <w:r>
        <w:rPr>
          <w:rFonts w:asciiTheme="minorEastAsia" w:hAnsiTheme="minorEastAsia" w:eastAsiaTheme="minorEastAsia"/>
          <w:lang w:eastAsia="zh-CN"/>
        </w:rPr>
        <w:t>根据油田公司职能部门划分，为使环境保护工作与上级归口管理，外围能源项目将环境保护工作职能在各基层单位设立专兼职环保人员，形成了作业区、联合站、采油班组四级环保管理网络。从强化管理入手，建立健全环境保护机构，并逐步完善各项环保规章制度和基础工作。</w:t>
      </w:r>
    </w:p>
    <w:p w14:paraId="01AD4CFF">
      <w:pPr>
        <w:pStyle w:val="4"/>
        <w:rPr>
          <w:lang w:eastAsia="zh-CN"/>
        </w:rPr>
      </w:pPr>
      <w:bookmarkStart w:id="1029" w:name="_Toc280020204"/>
      <w:bookmarkStart w:id="1030" w:name="_Toc338663680"/>
      <w:bookmarkStart w:id="1031" w:name="_Toc408414109"/>
      <w:bookmarkStart w:id="1032" w:name="_Toc279676805"/>
      <w:r>
        <w:rPr>
          <w:lang w:eastAsia="zh-CN"/>
        </w:rPr>
        <w:t>15.1.2规章制度</w:t>
      </w:r>
      <w:bookmarkEnd w:id="1025"/>
      <w:bookmarkEnd w:id="1026"/>
      <w:bookmarkEnd w:id="1027"/>
      <w:bookmarkEnd w:id="1028"/>
      <w:bookmarkEnd w:id="1029"/>
      <w:bookmarkEnd w:id="1030"/>
      <w:bookmarkEnd w:id="1031"/>
      <w:bookmarkEnd w:id="1032"/>
    </w:p>
    <w:p w14:paraId="12B9B70A">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乌里雅斯太</w:t>
      </w:r>
      <w:r>
        <w:rPr>
          <w:rFonts w:asciiTheme="minorEastAsia" w:hAnsiTheme="minorEastAsia" w:eastAsiaTheme="minorEastAsia"/>
          <w:lang w:eastAsia="zh-CN"/>
        </w:rPr>
        <w:t>油田环保工作必须严格执行国家、省（自治区）市的环保法律法规，同时还应制定相应的环境管理规章制度，环保法规及油田内部的各种环境管理规章制度应下发到相应人员，并组织有关人员学习和贯彻执行，以确保环境管理工作的顺利进行。相关法规和规章制度详见表15.1-1。</w:t>
      </w:r>
    </w:p>
    <w:p w14:paraId="7E88D3E1">
      <w:pPr>
        <w:spacing w:line="240" w:lineRule="auto"/>
        <w:ind w:firstLine="482"/>
        <w:rPr>
          <w:b/>
          <w:lang w:eastAsia="zh-CN"/>
        </w:rPr>
      </w:pPr>
      <w:r>
        <w:rPr>
          <w:b/>
          <w:lang w:eastAsia="zh-CN"/>
        </w:rPr>
        <w:t xml:space="preserve">表15.1-1  </w:t>
      </w:r>
      <w:r>
        <w:rPr>
          <w:rFonts w:hint="eastAsia"/>
          <w:b/>
          <w:lang w:eastAsia="zh-CN"/>
        </w:rPr>
        <w:t xml:space="preserve"> </w:t>
      </w:r>
      <w:r>
        <w:rPr>
          <w:b/>
          <w:lang w:eastAsia="zh-CN"/>
        </w:rPr>
        <w:t>环保法规和规章制度一览表</w:t>
      </w:r>
    </w:p>
    <w:tbl>
      <w:tblPr>
        <w:tblStyle w:val="7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76"/>
        <w:gridCol w:w="2267"/>
        <w:gridCol w:w="5586"/>
      </w:tblGrid>
      <w:tr w14:paraId="62F98E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76" w:type="dxa"/>
            <w:vAlign w:val="center"/>
          </w:tcPr>
          <w:p w14:paraId="5BB54EBE">
            <w:pPr>
              <w:pStyle w:val="337"/>
              <w:adjustRightInd w:val="0"/>
              <w:snapToGrid w:val="0"/>
              <w:rPr>
                <w:snapToGrid w:val="0"/>
                <w:color w:val="auto"/>
                <w:kern w:val="0"/>
                <w:lang w:val="en-US" w:eastAsia="en-US" w:bidi="en-US"/>
              </w:rPr>
            </w:pPr>
            <w:r>
              <w:rPr>
                <w:snapToGrid w:val="0"/>
                <w:color w:val="auto"/>
                <w:kern w:val="0"/>
                <w:lang w:val="en-US" w:eastAsia="en-US" w:bidi="en-US"/>
              </w:rPr>
              <w:t>序号</w:t>
            </w:r>
          </w:p>
        </w:tc>
        <w:tc>
          <w:tcPr>
            <w:tcW w:w="2267" w:type="dxa"/>
            <w:vAlign w:val="center"/>
          </w:tcPr>
          <w:p w14:paraId="0EBF32CB">
            <w:pPr>
              <w:pStyle w:val="337"/>
              <w:adjustRightInd w:val="0"/>
              <w:snapToGrid w:val="0"/>
              <w:rPr>
                <w:snapToGrid w:val="0"/>
                <w:color w:val="auto"/>
                <w:kern w:val="0"/>
                <w:lang w:val="en-US" w:eastAsia="en-US" w:bidi="en-US"/>
              </w:rPr>
            </w:pPr>
            <w:r>
              <w:rPr>
                <w:snapToGrid w:val="0"/>
                <w:color w:val="auto"/>
                <w:kern w:val="0"/>
                <w:lang w:val="en-US" w:eastAsia="en-US" w:bidi="en-US"/>
              </w:rPr>
              <w:t>规章名称</w:t>
            </w:r>
          </w:p>
        </w:tc>
        <w:tc>
          <w:tcPr>
            <w:tcW w:w="5586" w:type="dxa"/>
            <w:vAlign w:val="center"/>
          </w:tcPr>
          <w:p w14:paraId="602E2E80">
            <w:pPr>
              <w:pStyle w:val="337"/>
              <w:adjustRightInd w:val="0"/>
              <w:snapToGrid w:val="0"/>
              <w:rPr>
                <w:snapToGrid w:val="0"/>
                <w:color w:val="auto"/>
                <w:kern w:val="0"/>
                <w:lang w:val="en-US" w:eastAsia="en-US" w:bidi="en-US"/>
              </w:rPr>
            </w:pPr>
            <w:r>
              <w:rPr>
                <w:snapToGrid w:val="0"/>
                <w:color w:val="auto"/>
                <w:kern w:val="0"/>
                <w:lang w:val="en-US" w:eastAsia="en-US" w:bidi="en-US"/>
              </w:rPr>
              <w:t>主要内容</w:t>
            </w:r>
          </w:p>
        </w:tc>
      </w:tr>
      <w:tr w14:paraId="5F8E24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76" w:type="dxa"/>
            <w:vAlign w:val="center"/>
          </w:tcPr>
          <w:p w14:paraId="68992388">
            <w:pPr>
              <w:pStyle w:val="337"/>
              <w:adjustRightInd w:val="0"/>
              <w:snapToGrid w:val="0"/>
              <w:rPr>
                <w:snapToGrid w:val="0"/>
                <w:color w:val="auto"/>
                <w:kern w:val="0"/>
                <w:lang w:val="en-US" w:eastAsia="en-US" w:bidi="en-US"/>
              </w:rPr>
            </w:pPr>
            <w:r>
              <w:rPr>
                <w:snapToGrid w:val="0"/>
                <w:color w:val="auto"/>
                <w:kern w:val="0"/>
                <w:lang w:val="en-US" w:eastAsia="en-US" w:bidi="en-US"/>
              </w:rPr>
              <w:t>1</w:t>
            </w:r>
          </w:p>
        </w:tc>
        <w:tc>
          <w:tcPr>
            <w:tcW w:w="2267" w:type="dxa"/>
            <w:vAlign w:val="center"/>
          </w:tcPr>
          <w:p w14:paraId="4ECB7860">
            <w:pPr>
              <w:pStyle w:val="337"/>
              <w:adjustRightInd w:val="0"/>
              <w:snapToGrid w:val="0"/>
              <w:rPr>
                <w:snapToGrid w:val="0"/>
                <w:color w:val="auto"/>
                <w:kern w:val="0"/>
                <w:lang w:val="en-US" w:eastAsia="zh-CN" w:bidi="en-US"/>
              </w:rPr>
            </w:pPr>
            <w:r>
              <w:rPr>
                <w:snapToGrid w:val="0"/>
                <w:color w:val="auto"/>
                <w:kern w:val="0"/>
                <w:lang w:val="en-US" w:eastAsia="zh-CN" w:bidi="en-US"/>
              </w:rPr>
              <w:t>国家、省市级的相关环保法律法规</w:t>
            </w:r>
          </w:p>
        </w:tc>
        <w:tc>
          <w:tcPr>
            <w:tcW w:w="5586" w:type="dxa"/>
            <w:vAlign w:val="center"/>
          </w:tcPr>
          <w:p w14:paraId="583DC76E">
            <w:pPr>
              <w:pStyle w:val="337"/>
              <w:adjustRightInd w:val="0"/>
              <w:snapToGrid w:val="0"/>
              <w:rPr>
                <w:snapToGrid w:val="0"/>
                <w:color w:val="auto"/>
                <w:kern w:val="0"/>
                <w:lang w:val="en-US" w:eastAsia="zh-CN" w:bidi="en-US"/>
              </w:rPr>
            </w:pPr>
            <w:r>
              <w:rPr>
                <w:snapToGrid w:val="0"/>
                <w:color w:val="auto"/>
                <w:kern w:val="0"/>
                <w:lang w:val="en-US" w:eastAsia="zh-CN" w:bidi="en-US"/>
              </w:rPr>
              <w:t>国家、省市</w:t>
            </w:r>
            <w:r>
              <w:rPr>
                <w:rFonts w:hint="eastAsia"/>
                <w:snapToGrid w:val="0"/>
                <w:color w:val="auto"/>
                <w:kern w:val="0"/>
                <w:lang w:val="en-US" w:eastAsia="zh-CN" w:bidi="en-US"/>
              </w:rPr>
              <w:t>及地方</w:t>
            </w:r>
            <w:r>
              <w:rPr>
                <w:snapToGrid w:val="0"/>
                <w:color w:val="auto"/>
                <w:kern w:val="0"/>
                <w:lang w:val="en-US" w:eastAsia="zh-CN" w:bidi="en-US"/>
              </w:rPr>
              <w:t>颁发的环境保护法律、法规</w:t>
            </w:r>
            <w:r>
              <w:rPr>
                <w:rFonts w:hint="eastAsia"/>
                <w:snapToGrid w:val="0"/>
                <w:color w:val="auto"/>
                <w:kern w:val="0"/>
                <w:lang w:val="en-US" w:eastAsia="zh-CN" w:bidi="en-US"/>
              </w:rPr>
              <w:t>以及规章制度等</w:t>
            </w:r>
            <w:r>
              <w:rPr>
                <w:snapToGrid w:val="0"/>
                <w:color w:val="auto"/>
                <w:kern w:val="0"/>
                <w:lang w:val="en-US" w:eastAsia="zh-CN" w:bidi="en-US"/>
              </w:rPr>
              <w:t>。</w:t>
            </w:r>
          </w:p>
        </w:tc>
      </w:tr>
      <w:tr w14:paraId="00864F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76" w:type="dxa"/>
            <w:vAlign w:val="center"/>
          </w:tcPr>
          <w:p w14:paraId="32071E27">
            <w:pPr>
              <w:pStyle w:val="337"/>
              <w:adjustRightInd w:val="0"/>
              <w:snapToGrid w:val="0"/>
              <w:rPr>
                <w:snapToGrid w:val="0"/>
                <w:color w:val="auto"/>
                <w:kern w:val="0"/>
                <w:lang w:val="en-US" w:eastAsia="en-US" w:bidi="en-US"/>
              </w:rPr>
            </w:pPr>
            <w:r>
              <w:rPr>
                <w:snapToGrid w:val="0"/>
                <w:color w:val="auto"/>
                <w:kern w:val="0"/>
                <w:lang w:val="en-US" w:eastAsia="en-US" w:bidi="en-US"/>
              </w:rPr>
              <w:t>2</w:t>
            </w:r>
          </w:p>
        </w:tc>
        <w:tc>
          <w:tcPr>
            <w:tcW w:w="2267" w:type="dxa"/>
            <w:vAlign w:val="center"/>
          </w:tcPr>
          <w:p w14:paraId="10923B7D">
            <w:pPr>
              <w:pStyle w:val="337"/>
              <w:adjustRightInd w:val="0"/>
              <w:snapToGrid w:val="0"/>
              <w:rPr>
                <w:snapToGrid w:val="0"/>
                <w:color w:val="auto"/>
                <w:kern w:val="0"/>
                <w:lang w:val="en-US" w:eastAsia="zh-CN" w:bidi="en-US"/>
              </w:rPr>
            </w:pPr>
            <w:r>
              <w:rPr>
                <w:snapToGrid w:val="0"/>
                <w:color w:val="auto"/>
                <w:kern w:val="0"/>
                <w:lang w:val="en-US" w:eastAsia="zh-CN" w:bidi="en-US"/>
              </w:rPr>
              <w:t>乌里雅斯太油田公司制定的相关环保法律法规</w:t>
            </w:r>
          </w:p>
        </w:tc>
        <w:tc>
          <w:tcPr>
            <w:tcW w:w="5586" w:type="dxa"/>
            <w:vAlign w:val="center"/>
          </w:tcPr>
          <w:p w14:paraId="5D406ABE">
            <w:pPr>
              <w:pStyle w:val="337"/>
              <w:adjustRightInd w:val="0"/>
              <w:snapToGrid w:val="0"/>
              <w:jc w:val="left"/>
              <w:rPr>
                <w:snapToGrid w:val="0"/>
                <w:color w:val="auto"/>
                <w:kern w:val="0"/>
                <w:lang w:val="en-US" w:eastAsia="zh-CN" w:bidi="en-US"/>
              </w:rPr>
            </w:pPr>
            <w:r>
              <w:rPr>
                <w:snapToGrid w:val="0"/>
                <w:color w:val="auto"/>
                <w:kern w:val="0"/>
                <w:lang w:val="en-US" w:eastAsia="zh-CN" w:bidi="en-US"/>
              </w:rPr>
              <w:t>乌里雅斯太油田公司的环境管理规定及环境管理规章制度（或环境保护条例及事故预案）。</w:t>
            </w:r>
          </w:p>
        </w:tc>
      </w:tr>
      <w:tr w14:paraId="0852D7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76" w:type="dxa"/>
            <w:vAlign w:val="center"/>
          </w:tcPr>
          <w:p w14:paraId="5BE24778">
            <w:pPr>
              <w:pStyle w:val="337"/>
              <w:adjustRightInd w:val="0"/>
              <w:snapToGrid w:val="0"/>
              <w:rPr>
                <w:snapToGrid w:val="0"/>
                <w:color w:val="auto"/>
                <w:kern w:val="0"/>
                <w:lang w:val="en-US" w:eastAsia="en-US" w:bidi="en-US"/>
              </w:rPr>
            </w:pPr>
            <w:r>
              <w:rPr>
                <w:snapToGrid w:val="0"/>
                <w:color w:val="auto"/>
                <w:kern w:val="0"/>
                <w:lang w:val="en-US" w:eastAsia="en-US" w:bidi="en-US"/>
              </w:rPr>
              <w:t>3</w:t>
            </w:r>
          </w:p>
        </w:tc>
        <w:tc>
          <w:tcPr>
            <w:tcW w:w="2267" w:type="dxa"/>
            <w:vAlign w:val="center"/>
          </w:tcPr>
          <w:p w14:paraId="439EFA3B">
            <w:pPr>
              <w:pStyle w:val="337"/>
              <w:adjustRightInd w:val="0"/>
              <w:snapToGrid w:val="0"/>
              <w:rPr>
                <w:snapToGrid w:val="0"/>
                <w:color w:val="auto"/>
                <w:kern w:val="0"/>
                <w:lang w:val="en-US" w:eastAsia="en-US" w:bidi="en-US"/>
              </w:rPr>
            </w:pPr>
            <w:r>
              <w:rPr>
                <w:snapToGrid w:val="0"/>
                <w:color w:val="auto"/>
                <w:kern w:val="0"/>
                <w:lang w:val="en-US" w:eastAsia="en-US" w:bidi="en-US"/>
              </w:rPr>
              <w:t>环保技术规程</w:t>
            </w:r>
          </w:p>
          <w:p w14:paraId="7313C836">
            <w:pPr>
              <w:pStyle w:val="337"/>
              <w:adjustRightInd w:val="0"/>
              <w:snapToGrid w:val="0"/>
              <w:rPr>
                <w:snapToGrid w:val="0"/>
                <w:color w:val="auto"/>
                <w:kern w:val="0"/>
                <w:lang w:val="en-US" w:eastAsia="en-US" w:bidi="en-US"/>
              </w:rPr>
            </w:pPr>
            <w:r>
              <w:rPr>
                <w:snapToGrid w:val="0"/>
                <w:color w:val="auto"/>
                <w:kern w:val="0"/>
                <w:lang w:val="en-US" w:eastAsia="en-US" w:bidi="en-US"/>
              </w:rPr>
              <w:t>及标准</w:t>
            </w:r>
          </w:p>
        </w:tc>
        <w:tc>
          <w:tcPr>
            <w:tcW w:w="5586" w:type="dxa"/>
            <w:vAlign w:val="center"/>
          </w:tcPr>
          <w:p w14:paraId="464F6CF7">
            <w:pPr>
              <w:pStyle w:val="337"/>
              <w:adjustRightInd w:val="0"/>
              <w:snapToGrid w:val="0"/>
              <w:jc w:val="left"/>
              <w:rPr>
                <w:snapToGrid w:val="0"/>
                <w:color w:val="auto"/>
                <w:kern w:val="0"/>
                <w:lang w:val="en-US" w:eastAsia="zh-CN" w:bidi="en-US"/>
              </w:rPr>
            </w:pPr>
            <w:r>
              <w:rPr>
                <w:snapToGrid w:val="0"/>
                <w:color w:val="auto"/>
                <w:kern w:val="0"/>
                <w:lang w:val="en-US" w:eastAsia="zh-CN" w:bidi="en-US"/>
              </w:rPr>
              <w:t>各级有关环境管理的技术规程、标准，主要包括：国家及省市颁布的相关污染物排放控制标准；阿尔油田公司各级单位制定的生产工艺、设备的环境技术管理规程，环境保护设备的操作规程等。</w:t>
            </w:r>
          </w:p>
        </w:tc>
      </w:tr>
      <w:tr w14:paraId="0CE1D5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76" w:type="dxa"/>
            <w:vAlign w:val="center"/>
          </w:tcPr>
          <w:p w14:paraId="30477915">
            <w:pPr>
              <w:pStyle w:val="337"/>
              <w:adjustRightInd w:val="0"/>
              <w:snapToGrid w:val="0"/>
              <w:rPr>
                <w:snapToGrid w:val="0"/>
                <w:color w:val="auto"/>
                <w:kern w:val="0"/>
                <w:lang w:val="en-US" w:eastAsia="en-US" w:bidi="en-US"/>
              </w:rPr>
            </w:pPr>
            <w:r>
              <w:rPr>
                <w:snapToGrid w:val="0"/>
                <w:color w:val="auto"/>
                <w:kern w:val="0"/>
                <w:lang w:val="en-US" w:eastAsia="en-US" w:bidi="en-US"/>
              </w:rPr>
              <w:t>4</w:t>
            </w:r>
          </w:p>
        </w:tc>
        <w:tc>
          <w:tcPr>
            <w:tcW w:w="2267" w:type="dxa"/>
            <w:vAlign w:val="center"/>
          </w:tcPr>
          <w:p w14:paraId="650BB183">
            <w:pPr>
              <w:pStyle w:val="337"/>
              <w:adjustRightInd w:val="0"/>
              <w:snapToGrid w:val="0"/>
              <w:rPr>
                <w:snapToGrid w:val="0"/>
                <w:color w:val="auto"/>
                <w:kern w:val="0"/>
                <w:lang w:val="en-US" w:eastAsia="en-US" w:bidi="en-US"/>
              </w:rPr>
            </w:pPr>
            <w:r>
              <w:rPr>
                <w:snapToGrid w:val="0"/>
                <w:color w:val="auto"/>
                <w:kern w:val="0"/>
                <w:lang w:val="en-US" w:eastAsia="en-US" w:bidi="en-US"/>
              </w:rPr>
              <w:t>环境保护责任制</w:t>
            </w:r>
          </w:p>
        </w:tc>
        <w:tc>
          <w:tcPr>
            <w:tcW w:w="5586" w:type="dxa"/>
            <w:vAlign w:val="center"/>
          </w:tcPr>
          <w:p w14:paraId="188D1D77">
            <w:pPr>
              <w:pStyle w:val="337"/>
              <w:adjustRightInd w:val="0"/>
              <w:snapToGrid w:val="0"/>
              <w:jc w:val="left"/>
              <w:rPr>
                <w:snapToGrid w:val="0"/>
                <w:color w:val="auto"/>
                <w:kern w:val="0"/>
                <w:lang w:val="en-US" w:eastAsia="zh-CN" w:bidi="en-US"/>
              </w:rPr>
            </w:pPr>
            <w:r>
              <w:rPr>
                <w:snapToGrid w:val="0"/>
                <w:color w:val="auto"/>
                <w:kern w:val="0"/>
                <w:lang w:val="en-US" w:eastAsia="zh-CN" w:bidi="en-US"/>
              </w:rPr>
              <w:t>公司各类人员环境保护工作范围，应负的责任以及相应的权力。</w:t>
            </w:r>
          </w:p>
        </w:tc>
      </w:tr>
      <w:tr w14:paraId="65AC77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76" w:type="dxa"/>
            <w:vAlign w:val="center"/>
          </w:tcPr>
          <w:p w14:paraId="4857200F">
            <w:pPr>
              <w:pStyle w:val="337"/>
              <w:adjustRightInd w:val="0"/>
              <w:snapToGrid w:val="0"/>
              <w:rPr>
                <w:snapToGrid w:val="0"/>
                <w:color w:val="auto"/>
                <w:kern w:val="0"/>
                <w:lang w:val="en-US" w:eastAsia="en-US" w:bidi="en-US"/>
              </w:rPr>
            </w:pPr>
            <w:r>
              <w:rPr>
                <w:snapToGrid w:val="0"/>
                <w:color w:val="auto"/>
                <w:kern w:val="0"/>
                <w:lang w:val="en-US" w:eastAsia="en-US" w:bidi="en-US"/>
              </w:rPr>
              <w:t>5</w:t>
            </w:r>
          </w:p>
        </w:tc>
        <w:tc>
          <w:tcPr>
            <w:tcW w:w="2267" w:type="dxa"/>
            <w:vAlign w:val="center"/>
          </w:tcPr>
          <w:p w14:paraId="088AF2D7">
            <w:pPr>
              <w:pStyle w:val="337"/>
              <w:adjustRightInd w:val="0"/>
              <w:snapToGrid w:val="0"/>
              <w:rPr>
                <w:snapToGrid w:val="0"/>
                <w:color w:val="auto"/>
                <w:kern w:val="0"/>
                <w:lang w:val="en-US" w:eastAsia="en-US" w:bidi="en-US"/>
              </w:rPr>
            </w:pPr>
            <w:r>
              <w:rPr>
                <w:snapToGrid w:val="0"/>
                <w:color w:val="auto"/>
                <w:kern w:val="0"/>
                <w:lang w:val="en-US" w:eastAsia="en-US" w:bidi="en-US"/>
              </w:rPr>
              <w:t>三废管理制度</w:t>
            </w:r>
          </w:p>
        </w:tc>
        <w:tc>
          <w:tcPr>
            <w:tcW w:w="5586" w:type="dxa"/>
            <w:vAlign w:val="center"/>
          </w:tcPr>
          <w:p w14:paraId="1771675E">
            <w:pPr>
              <w:pStyle w:val="337"/>
              <w:adjustRightInd w:val="0"/>
              <w:snapToGrid w:val="0"/>
              <w:jc w:val="left"/>
              <w:rPr>
                <w:snapToGrid w:val="0"/>
                <w:color w:val="auto"/>
                <w:kern w:val="0"/>
                <w:lang w:val="en-US" w:eastAsia="zh-CN" w:bidi="en-US"/>
              </w:rPr>
            </w:pPr>
            <w:r>
              <w:rPr>
                <w:snapToGrid w:val="0"/>
                <w:color w:val="auto"/>
                <w:kern w:val="0"/>
                <w:lang w:val="en-US" w:eastAsia="zh-CN" w:bidi="en-US"/>
              </w:rPr>
              <w:t>包括油田开发建设期及生产运行期废水、废气、废渣及噪声等方面的管理制度：在油田投入正常生产过程后，三废管理制度主要应包括油田正常运行过程中对含油污泥、含油污水及挥发总烃的治理（回收及利用）等方面的管理制度。</w:t>
            </w:r>
          </w:p>
        </w:tc>
      </w:tr>
      <w:tr w14:paraId="2E8C3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76" w:type="dxa"/>
            <w:vAlign w:val="center"/>
          </w:tcPr>
          <w:p w14:paraId="4205D169">
            <w:pPr>
              <w:pStyle w:val="337"/>
              <w:adjustRightInd w:val="0"/>
              <w:snapToGrid w:val="0"/>
              <w:rPr>
                <w:snapToGrid w:val="0"/>
                <w:color w:val="auto"/>
                <w:kern w:val="0"/>
                <w:lang w:val="en-US" w:eastAsia="en-US" w:bidi="en-US"/>
              </w:rPr>
            </w:pPr>
            <w:r>
              <w:rPr>
                <w:snapToGrid w:val="0"/>
                <w:color w:val="auto"/>
                <w:kern w:val="0"/>
                <w:lang w:val="en-US" w:eastAsia="en-US" w:bidi="en-US"/>
              </w:rPr>
              <w:t>6</w:t>
            </w:r>
          </w:p>
        </w:tc>
        <w:tc>
          <w:tcPr>
            <w:tcW w:w="2267" w:type="dxa"/>
            <w:vAlign w:val="center"/>
          </w:tcPr>
          <w:p w14:paraId="022CE56E">
            <w:pPr>
              <w:pStyle w:val="337"/>
              <w:adjustRightInd w:val="0"/>
              <w:snapToGrid w:val="0"/>
              <w:rPr>
                <w:snapToGrid w:val="0"/>
                <w:color w:val="auto"/>
                <w:kern w:val="0"/>
                <w:lang w:val="en-US" w:eastAsia="en-US" w:bidi="en-US"/>
              </w:rPr>
            </w:pPr>
            <w:r>
              <w:rPr>
                <w:snapToGrid w:val="0"/>
                <w:color w:val="auto"/>
                <w:kern w:val="0"/>
                <w:lang w:val="en-US" w:eastAsia="en-US" w:bidi="en-US"/>
              </w:rPr>
              <w:t>生态保护管理制度</w:t>
            </w:r>
          </w:p>
        </w:tc>
        <w:tc>
          <w:tcPr>
            <w:tcW w:w="5586" w:type="dxa"/>
            <w:vAlign w:val="center"/>
          </w:tcPr>
          <w:p w14:paraId="1706EF3F">
            <w:pPr>
              <w:pStyle w:val="337"/>
              <w:adjustRightInd w:val="0"/>
              <w:snapToGrid w:val="0"/>
              <w:rPr>
                <w:snapToGrid w:val="0"/>
                <w:color w:val="auto"/>
                <w:kern w:val="0"/>
                <w:lang w:val="en-US" w:eastAsia="zh-CN" w:bidi="en-US"/>
              </w:rPr>
            </w:pPr>
            <w:r>
              <w:rPr>
                <w:snapToGrid w:val="0"/>
                <w:color w:val="auto"/>
                <w:kern w:val="0"/>
                <w:lang w:val="en-US" w:eastAsia="zh-CN" w:bidi="en-US"/>
              </w:rPr>
              <w:t>主要包括</w:t>
            </w:r>
            <w:r>
              <w:rPr>
                <w:rFonts w:hint="eastAsia"/>
                <w:snapToGrid w:val="0"/>
                <w:color w:val="auto"/>
                <w:kern w:val="0"/>
                <w:lang w:val="en-US" w:eastAsia="zh-CN" w:bidi="en-US"/>
              </w:rPr>
              <w:t>油田建设过程临时占地及</w:t>
            </w:r>
            <w:r>
              <w:rPr>
                <w:snapToGrid w:val="0"/>
                <w:color w:val="auto"/>
                <w:kern w:val="0"/>
                <w:lang w:val="en-US" w:eastAsia="zh-CN" w:bidi="en-US"/>
              </w:rPr>
              <w:t>油田</w:t>
            </w:r>
            <w:r>
              <w:rPr>
                <w:rFonts w:hint="eastAsia"/>
                <w:snapToGrid w:val="0"/>
                <w:color w:val="auto"/>
                <w:kern w:val="0"/>
                <w:lang w:val="en-US" w:eastAsia="zh-CN" w:bidi="en-US"/>
              </w:rPr>
              <w:t>井间联络道路</w:t>
            </w:r>
            <w:r>
              <w:rPr>
                <w:snapToGrid w:val="0"/>
                <w:color w:val="auto"/>
                <w:kern w:val="0"/>
                <w:lang w:val="en-US" w:eastAsia="zh-CN" w:bidi="en-US"/>
              </w:rPr>
              <w:t>对区域内生态环境产生的影响后所做出的恢复计划及生态补偿措施等；在油田进入正常生产运行期后，生态保护制度主要包括油田生产过程中所进行的油水井作业过程，水井洗井作业，同时包括在生产过程中可能对周围生态环境产生的影响而制定的生态恢复计划和补偿措施等内容。</w:t>
            </w:r>
          </w:p>
        </w:tc>
      </w:tr>
      <w:tr w14:paraId="178047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676" w:type="dxa"/>
            <w:vAlign w:val="center"/>
          </w:tcPr>
          <w:p w14:paraId="29196FFE">
            <w:pPr>
              <w:pStyle w:val="337"/>
              <w:adjustRightInd w:val="0"/>
              <w:snapToGrid w:val="0"/>
              <w:rPr>
                <w:snapToGrid w:val="0"/>
                <w:color w:val="auto"/>
                <w:kern w:val="0"/>
                <w:lang w:val="en-US" w:eastAsia="en-US" w:bidi="en-US"/>
              </w:rPr>
            </w:pPr>
            <w:r>
              <w:rPr>
                <w:snapToGrid w:val="0"/>
                <w:color w:val="auto"/>
                <w:kern w:val="0"/>
                <w:lang w:val="en-US" w:eastAsia="en-US" w:bidi="en-US"/>
              </w:rPr>
              <w:t>7</w:t>
            </w:r>
          </w:p>
        </w:tc>
        <w:tc>
          <w:tcPr>
            <w:tcW w:w="2267" w:type="dxa"/>
            <w:vAlign w:val="center"/>
          </w:tcPr>
          <w:p w14:paraId="33269CD9">
            <w:pPr>
              <w:pStyle w:val="337"/>
              <w:adjustRightInd w:val="0"/>
              <w:snapToGrid w:val="0"/>
              <w:rPr>
                <w:snapToGrid w:val="0"/>
                <w:color w:val="auto"/>
                <w:kern w:val="0"/>
                <w:lang w:val="en-US" w:eastAsia="en-US" w:bidi="en-US"/>
              </w:rPr>
            </w:pPr>
            <w:r>
              <w:rPr>
                <w:snapToGrid w:val="0"/>
                <w:color w:val="auto"/>
                <w:kern w:val="0"/>
                <w:lang w:val="en-US" w:eastAsia="en-US" w:bidi="en-US"/>
              </w:rPr>
              <w:t>事故管理预案</w:t>
            </w:r>
          </w:p>
        </w:tc>
        <w:tc>
          <w:tcPr>
            <w:tcW w:w="5586" w:type="dxa"/>
            <w:vAlign w:val="center"/>
          </w:tcPr>
          <w:p w14:paraId="2FB6C8D2">
            <w:pPr>
              <w:pStyle w:val="337"/>
              <w:adjustRightInd w:val="0"/>
              <w:snapToGrid w:val="0"/>
              <w:rPr>
                <w:snapToGrid w:val="0"/>
                <w:color w:val="auto"/>
                <w:kern w:val="0"/>
                <w:lang w:val="en-US" w:eastAsia="zh-CN" w:bidi="en-US"/>
              </w:rPr>
            </w:pPr>
            <w:r>
              <w:rPr>
                <w:snapToGrid w:val="0"/>
                <w:color w:val="auto"/>
                <w:kern w:val="0"/>
                <w:lang w:val="en-US" w:eastAsia="zh-CN" w:bidi="en-US"/>
              </w:rPr>
              <w:t>明确油田开发建设过程中的诸如油水井作业、油气水管道所可能存在的突发事故</w:t>
            </w:r>
            <w:r>
              <w:rPr>
                <w:rFonts w:hint="eastAsia"/>
                <w:snapToGrid w:val="0"/>
                <w:color w:val="auto"/>
                <w:kern w:val="0"/>
                <w:lang w:val="en-US" w:eastAsia="zh-CN" w:bidi="en-US"/>
              </w:rPr>
              <w:t>、储油罐区风险防范等</w:t>
            </w:r>
            <w:r>
              <w:rPr>
                <w:snapToGrid w:val="0"/>
                <w:color w:val="auto"/>
                <w:kern w:val="0"/>
                <w:lang w:val="en-US" w:eastAsia="zh-CN" w:bidi="en-US"/>
              </w:rPr>
              <w:t>的预防管理措施。</w:t>
            </w:r>
          </w:p>
        </w:tc>
      </w:tr>
    </w:tbl>
    <w:p w14:paraId="53061ADE">
      <w:pPr>
        <w:pStyle w:val="4"/>
      </w:pPr>
      <w:bookmarkStart w:id="1033" w:name="_Toc279676806"/>
      <w:bookmarkStart w:id="1034" w:name="_Toc338663681"/>
      <w:bookmarkStart w:id="1035" w:name="_Toc196215832"/>
      <w:bookmarkStart w:id="1036" w:name="_Toc280020205"/>
      <w:bookmarkStart w:id="1037" w:name="_Toc408414110"/>
      <w:r>
        <w:t>15.1.3管理措施</w:t>
      </w:r>
      <w:bookmarkEnd w:id="1033"/>
      <w:bookmarkEnd w:id="1034"/>
      <w:bookmarkEnd w:id="1035"/>
      <w:bookmarkEnd w:id="1036"/>
      <w:bookmarkEnd w:id="1037"/>
    </w:p>
    <w:p w14:paraId="0F11487A">
      <w:pPr>
        <w:ind w:firstLine="480"/>
        <w:rPr>
          <w:rFonts w:asciiTheme="minorEastAsia" w:hAnsiTheme="minorEastAsia" w:eastAsiaTheme="minorEastAsia"/>
          <w:lang w:eastAsia="zh-CN"/>
        </w:rPr>
      </w:pPr>
      <w:r>
        <w:rPr>
          <w:rFonts w:asciiTheme="minorEastAsia" w:hAnsiTheme="minorEastAsia" w:eastAsiaTheme="minorEastAsia"/>
          <w:lang w:eastAsia="zh-CN"/>
        </w:rPr>
        <w:t>HSE管理体系的管理措施主要包括：</w:t>
      </w:r>
    </w:p>
    <w:p w14:paraId="7F43F6AB">
      <w:pPr>
        <w:ind w:firstLine="480"/>
        <w:outlineLvl w:val="0"/>
        <w:rPr>
          <w:rFonts w:asciiTheme="minorEastAsia" w:hAnsiTheme="minorEastAsia" w:eastAsiaTheme="minorEastAsia"/>
          <w:lang w:eastAsia="zh-CN"/>
        </w:rPr>
      </w:pPr>
      <w:r>
        <w:rPr>
          <w:rFonts w:hint="eastAsia" w:asciiTheme="minorEastAsia" w:hAnsiTheme="minorEastAsia" w:eastAsiaTheme="minorEastAsia"/>
          <w:lang w:eastAsia="zh-CN"/>
        </w:rPr>
        <w:t>（1）</w:t>
      </w:r>
      <w:r>
        <w:rPr>
          <w:rFonts w:asciiTheme="minorEastAsia" w:hAnsiTheme="minorEastAsia" w:eastAsiaTheme="minorEastAsia"/>
          <w:lang w:eastAsia="zh-CN"/>
        </w:rPr>
        <w:t>最高领导层将HSE管理放在与企业生产和经营管理同等重要的位置上；</w:t>
      </w:r>
    </w:p>
    <w:p w14:paraId="79184236">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（2）</w:t>
      </w:r>
      <w:r>
        <w:rPr>
          <w:rFonts w:asciiTheme="minorEastAsia" w:hAnsiTheme="minorEastAsia" w:eastAsiaTheme="minorEastAsia"/>
          <w:lang w:eastAsia="zh-CN"/>
        </w:rPr>
        <w:t>公司员工时刻将HSE责任放在心中；</w:t>
      </w:r>
    </w:p>
    <w:p w14:paraId="53736FC1">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（3）</w:t>
      </w:r>
      <w:r>
        <w:rPr>
          <w:rFonts w:asciiTheme="minorEastAsia" w:hAnsiTheme="minorEastAsia" w:eastAsiaTheme="minorEastAsia"/>
          <w:lang w:eastAsia="zh-CN"/>
        </w:rPr>
        <w:t>制定和落实一岗一责制；</w:t>
      </w:r>
    </w:p>
    <w:p w14:paraId="4F110985">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（4）</w:t>
      </w:r>
      <w:r>
        <w:rPr>
          <w:rFonts w:asciiTheme="minorEastAsia" w:hAnsiTheme="minorEastAsia" w:eastAsiaTheme="minorEastAsia"/>
          <w:lang w:eastAsia="zh-CN"/>
        </w:rPr>
        <w:t>加强生产技术及HSE教育和培训；</w:t>
      </w:r>
    </w:p>
    <w:p w14:paraId="06403628">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（5）</w:t>
      </w:r>
      <w:r>
        <w:rPr>
          <w:rFonts w:asciiTheme="minorEastAsia" w:hAnsiTheme="minorEastAsia" w:eastAsiaTheme="minorEastAsia"/>
          <w:lang w:eastAsia="zh-CN"/>
        </w:rPr>
        <w:t>做好现场审核和整改；</w:t>
      </w:r>
    </w:p>
    <w:p w14:paraId="06EF8C4E">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（6）</w:t>
      </w:r>
      <w:r>
        <w:rPr>
          <w:rFonts w:asciiTheme="minorEastAsia" w:hAnsiTheme="minorEastAsia" w:eastAsiaTheme="minorEastAsia"/>
          <w:lang w:eastAsia="zh-CN"/>
        </w:rPr>
        <w:t>奖优罚劣，持续改进HSE表现。</w:t>
      </w:r>
    </w:p>
    <w:p w14:paraId="4686A3BC">
      <w:pPr>
        <w:ind w:firstLine="480"/>
        <w:rPr>
          <w:rFonts w:asciiTheme="minorEastAsia" w:hAnsiTheme="minorEastAsia" w:eastAsiaTheme="minorEastAsia"/>
          <w:lang w:eastAsia="zh-CN"/>
        </w:rPr>
      </w:pPr>
      <w:r>
        <w:rPr>
          <w:rFonts w:asciiTheme="minorEastAsia" w:hAnsiTheme="minorEastAsia" w:eastAsiaTheme="minorEastAsia"/>
          <w:lang w:eastAsia="zh-CN"/>
        </w:rPr>
        <w:t>同时应按HSE管理要求，制定准许作业手册。应为各种关键操作制定准许手册，这是HSE的关键文件之一，主要包括以下方面的内容：</w:t>
      </w:r>
    </w:p>
    <w:p w14:paraId="7E0210C0">
      <w:pPr>
        <w:ind w:firstLine="480"/>
        <w:outlineLvl w:val="0"/>
        <w:rPr>
          <w:rFonts w:asciiTheme="minorEastAsia" w:hAnsiTheme="minorEastAsia" w:eastAsiaTheme="minorEastAsia"/>
          <w:lang w:eastAsia="zh-CN"/>
        </w:rPr>
      </w:pPr>
      <w:r>
        <w:rPr>
          <w:rFonts w:hint="eastAsia" w:asciiTheme="minorEastAsia" w:hAnsiTheme="minorEastAsia" w:eastAsiaTheme="minorEastAsia"/>
          <w:lang w:eastAsia="zh-CN"/>
        </w:rPr>
        <w:t>（1）</w:t>
      </w:r>
      <w:r>
        <w:rPr>
          <w:rFonts w:asciiTheme="minorEastAsia" w:hAnsiTheme="minorEastAsia" w:eastAsiaTheme="minorEastAsia"/>
          <w:lang w:eastAsia="zh-CN"/>
        </w:rPr>
        <w:t>当前操作正在进行时的限制；</w:t>
      </w:r>
    </w:p>
    <w:p w14:paraId="4C56D4F9">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（2）</w:t>
      </w:r>
      <w:r>
        <w:rPr>
          <w:rFonts w:asciiTheme="minorEastAsia" w:hAnsiTheme="minorEastAsia" w:eastAsiaTheme="minorEastAsia"/>
          <w:lang w:eastAsia="zh-CN"/>
        </w:rPr>
        <w:t>在特殊条件下，操作参数的允许变动范围；</w:t>
      </w:r>
    </w:p>
    <w:p w14:paraId="11D509C3">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（3）</w:t>
      </w:r>
      <w:r>
        <w:rPr>
          <w:rFonts w:asciiTheme="minorEastAsia" w:hAnsiTheme="minorEastAsia" w:eastAsiaTheme="minorEastAsia"/>
          <w:lang w:eastAsia="zh-CN"/>
        </w:rPr>
        <w:t>异常状态下应如何处置的指示。</w:t>
      </w:r>
    </w:p>
    <w:p w14:paraId="409A6C00">
      <w:pPr>
        <w:ind w:firstLine="480"/>
        <w:rPr>
          <w:rFonts w:asciiTheme="minorEastAsia" w:hAnsiTheme="minorEastAsia" w:eastAsiaTheme="minorEastAsia"/>
          <w:lang w:eastAsia="zh-CN"/>
        </w:rPr>
      </w:pPr>
      <w:r>
        <w:rPr>
          <w:rFonts w:asciiTheme="minorEastAsia" w:hAnsiTheme="minorEastAsia" w:eastAsiaTheme="minorEastAsia"/>
          <w:lang w:eastAsia="zh-CN"/>
        </w:rPr>
        <w:t>本项目施工建设和作业，都要求与有资质的施工作业单位签订《工程服务安全生产合同》，并将本项目有关环保文件，包括《环境影响报告书》及其批复意见等的有关内容及时传递给相关方。</w:t>
      </w:r>
    </w:p>
    <w:p w14:paraId="672D0211">
      <w:pPr>
        <w:pStyle w:val="3"/>
        <w:rPr>
          <w:lang w:eastAsia="zh-CN"/>
        </w:rPr>
      </w:pPr>
      <w:bookmarkStart w:id="1038" w:name="_Toc279676807"/>
      <w:bookmarkStart w:id="1039" w:name="_Toc408414111"/>
      <w:bookmarkStart w:id="1040" w:name="_Toc280020206"/>
      <w:bookmarkStart w:id="1041" w:name="_Toc338663682"/>
      <w:r>
        <w:rPr>
          <w:lang w:eastAsia="zh-CN"/>
        </w:rPr>
        <w:t>15.2环境监控</w:t>
      </w:r>
      <w:bookmarkEnd w:id="1038"/>
      <w:bookmarkEnd w:id="1039"/>
      <w:bookmarkEnd w:id="1040"/>
      <w:bookmarkEnd w:id="1041"/>
    </w:p>
    <w:p w14:paraId="171E789B">
      <w:pPr>
        <w:pStyle w:val="4"/>
        <w:rPr>
          <w:lang w:eastAsia="zh-CN"/>
        </w:rPr>
      </w:pPr>
      <w:bookmarkStart w:id="1042" w:name="_Toc338663683"/>
      <w:bookmarkStart w:id="1043" w:name="_Toc279676808"/>
      <w:bookmarkStart w:id="1044" w:name="_Toc280020207"/>
      <w:bookmarkStart w:id="1045" w:name="_Toc408414112"/>
      <w:r>
        <w:rPr>
          <w:lang w:eastAsia="zh-CN"/>
        </w:rPr>
        <w:t>15.2.1环境监理计划</w:t>
      </w:r>
      <w:bookmarkEnd w:id="1042"/>
      <w:bookmarkEnd w:id="1043"/>
      <w:bookmarkEnd w:id="1044"/>
      <w:bookmarkEnd w:id="1045"/>
    </w:p>
    <w:p w14:paraId="492F4375">
      <w:pPr>
        <w:ind w:firstLine="480"/>
        <w:rPr>
          <w:rFonts w:asciiTheme="minorEastAsia" w:hAnsiTheme="minorEastAsia" w:eastAsiaTheme="minorEastAsia"/>
          <w:lang w:eastAsia="zh-CN"/>
        </w:rPr>
      </w:pPr>
      <w:r>
        <w:rPr>
          <w:rFonts w:asciiTheme="minorEastAsia" w:hAnsiTheme="minorEastAsia" w:eastAsiaTheme="minorEastAsia"/>
          <w:lang w:eastAsia="zh-CN"/>
        </w:rPr>
        <w:t>环境监理工作包括生态保护、水土保持、绿化、污染物防治、动植物保护等环境保护工作的所有方面。监理工程师向施工单位提出对生态环境友好的施工建议，制止随意破坏生态环境等行为。</w:t>
      </w:r>
    </w:p>
    <w:p w14:paraId="07C3AABF">
      <w:pPr>
        <w:ind w:firstLine="480"/>
        <w:rPr>
          <w:rFonts w:asciiTheme="minorEastAsia" w:hAnsiTheme="minorEastAsia" w:eastAsiaTheme="minorEastAsia"/>
          <w:lang w:eastAsia="zh-CN"/>
        </w:rPr>
      </w:pPr>
      <w:r>
        <w:rPr>
          <w:rFonts w:asciiTheme="minorEastAsia" w:hAnsiTheme="minorEastAsia" w:eastAsiaTheme="minorEastAsia"/>
          <w:lang w:eastAsia="zh-CN"/>
        </w:rPr>
        <w:t>环境监理人员应由具有环境监理工作经验的监理工程师组成，并邀请有关生态专家参加指导。同时应对环境监理人员和本工程有关环保工作的施工人员进行系统的培训。</w:t>
      </w:r>
    </w:p>
    <w:p w14:paraId="205D0832">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1、环境监理范围</w:t>
      </w:r>
    </w:p>
    <w:p w14:paraId="5F91D4F0">
      <w:pPr>
        <w:ind w:firstLine="480"/>
        <w:rPr>
          <w:rFonts w:asciiTheme="minorEastAsia" w:hAnsiTheme="minorEastAsia" w:eastAsiaTheme="minorEastAsia"/>
          <w:lang w:eastAsia="zh-CN"/>
        </w:rPr>
      </w:pPr>
      <w:r>
        <w:rPr>
          <w:rFonts w:asciiTheme="minorEastAsia" w:hAnsiTheme="minorEastAsia" w:eastAsiaTheme="minorEastAsia"/>
          <w:lang w:eastAsia="zh-CN"/>
        </w:rPr>
        <w:t>工程所在区域与工程影响区域，包括主体工程、临时工程的施工现场、施工营地、施工便道等。</w:t>
      </w:r>
    </w:p>
    <w:p w14:paraId="557CB2A0">
      <w:pPr>
        <w:ind w:firstLine="480"/>
        <w:outlineLvl w:val="0"/>
        <w:rPr>
          <w:rFonts w:asciiTheme="minorEastAsia" w:hAnsiTheme="minorEastAsia" w:eastAsiaTheme="minorEastAsia"/>
          <w:lang w:eastAsia="zh-CN"/>
        </w:rPr>
      </w:pPr>
      <w:r>
        <w:rPr>
          <w:rFonts w:asciiTheme="minorEastAsia" w:hAnsiTheme="minorEastAsia" w:eastAsiaTheme="minorEastAsia"/>
          <w:lang w:eastAsia="zh-CN"/>
        </w:rPr>
        <w:t>2、工程范围</w:t>
      </w:r>
    </w:p>
    <w:p w14:paraId="1E0B7C2E">
      <w:pPr>
        <w:ind w:firstLine="480"/>
        <w:rPr>
          <w:rFonts w:asciiTheme="minorEastAsia" w:hAnsiTheme="minorEastAsia" w:eastAsiaTheme="minorEastAsia"/>
          <w:lang w:eastAsia="zh-CN"/>
        </w:rPr>
      </w:pPr>
      <w:r>
        <w:rPr>
          <w:rFonts w:asciiTheme="minorEastAsia" w:hAnsiTheme="minorEastAsia" w:eastAsiaTheme="minorEastAsia"/>
          <w:lang w:eastAsia="zh-CN"/>
        </w:rPr>
        <w:t>施工现场、生活营地、施工道路以及上述范围内生产施工对周边造成环境污染和生态破坏的区域；工程运营造成环境影响所采取环保措施的区域。</w:t>
      </w:r>
    </w:p>
    <w:p w14:paraId="0AA5A747">
      <w:pPr>
        <w:ind w:firstLine="480"/>
        <w:rPr>
          <w:rFonts w:asciiTheme="minorEastAsia" w:hAnsiTheme="minorEastAsia" w:eastAsiaTheme="minorEastAsia"/>
          <w:lang w:eastAsia="zh-CN"/>
        </w:rPr>
      </w:pPr>
      <w:r>
        <w:rPr>
          <w:rFonts w:asciiTheme="minorEastAsia" w:hAnsiTheme="minorEastAsia" w:eastAsiaTheme="minorEastAsia"/>
          <w:lang w:eastAsia="zh-CN"/>
        </w:rPr>
        <w:t>3、工作阶段</w:t>
      </w:r>
    </w:p>
    <w:p w14:paraId="2D5528BF">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（1）</w:t>
      </w:r>
      <w:r>
        <w:rPr>
          <w:rFonts w:asciiTheme="minorEastAsia" w:hAnsiTheme="minorEastAsia" w:eastAsiaTheme="minorEastAsia"/>
          <w:lang w:eastAsia="zh-CN"/>
        </w:rPr>
        <w:t>施工准备阶段环境监理；</w:t>
      </w:r>
    </w:p>
    <w:p w14:paraId="69E94A1B">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（2）</w:t>
      </w:r>
      <w:r>
        <w:rPr>
          <w:rFonts w:asciiTheme="minorEastAsia" w:hAnsiTheme="minorEastAsia" w:eastAsiaTheme="minorEastAsia"/>
          <w:lang w:eastAsia="zh-CN"/>
        </w:rPr>
        <w:t>施工阶段环境监理；</w:t>
      </w:r>
    </w:p>
    <w:p w14:paraId="7B620961">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（3）</w:t>
      </w:r>
      <w:r>
        <w:rPr>
          <w:rFonts w:asciiTheme="minorEastAsia" w:hAnsiTheme="minorEastAsia" w:eastAsiaTheme="minorEastAsia"/>
          <w:lang w:eastAsia="zh-CN"/>
        </w:rPr>
        <w:t>工程保修阶段(交工及缺陷责任期)环境监理。</w:t>
      </w:r>
    </w:p>
    <w:p w14:paraId="58A0B238">
      <w:pPr>
        <w:ind w:firstLine="480"/>
        <w:rPr>
          <w:rFonts w:asciiTheme="minorEastAsia" w:hAnsiTheme="minorEastAsia" w:eastAsiaTheme="minorEastAsia"/>
          <w:lang w:eastAsia="zh-CN"/>
        </w:rPr>
      </w:pPr>
      <w:r>
        <w:rPr>
          <w:rFonts w:asciiTheme="minorEastAsia" w:hAnsiTheme="minorEastAsia" w:eastAsiaTheme="minorEastAsia"/>
          <w:lang w:eastAsia="zh-CN"/>
        </w:rPr>
        <w:t>4、环境监理内容</w:t>
      </w:r>
    </w:p>
    <w:p w14:paraId="2C0FCE08">
      <w:pPr>
        <w:ind w:firstLine="480"/>
        <w:rPr>
          <w:rFonts w:asciiTheme="minorEastAsia" w:hAnsiTheme="minorEastAsia" w:eastAsiaTheme="minorEastAsia"/>
          <w:lang w:eastAsia="zh-CN"/>
        </w:rPr>
      </w:pPr>
      <w:r>
        <w:rPr>
          <w:rFonts w:asciiTheme="minorEastAsia" w:hAnsiTheme="minorEastAsia" w:eastAsiaTheme="minorEastAsia"/>
          <w:lang w:eastAsia="zh-CN"/>
        </w:rPr>
        <w:t>本项目环境</w:t>
      </w:r>
    </w:p>
    <w:p w14:paraId="5E61168A">
      <w:pPr>
        <w:ind w:firstLine="480"/>
        <w:rPr>
          <w:rFonts w:asciiTheme="minorEastAsia" w:hAnsiTheme="minorEastAsia" w:eastAsiaTheme="minorEastAsia"/>
          <w:lang w:eastAsia="zh-CN"/>
        </w:rPr>
      </w:pPr>
      <w:r>
        <w:rPr>
          <w:rFonts w:asciiTheme="minorEastAsia" w:hAnsiTheme="minorEastAsia" w:eastAsiaTheme="minorEastAsia"/>
          <w:lang w:eastAsia="zh-CN"/>
        </w:rPr>
        <w:t>监理范围及内容具体见表15.2-1。</w:t>
      </w:r>
    </w:p>
    <w:p w14:paraId="4F4D5AC9">
      <w:pPr>
        <w:ind w:firstLine="480"/>
        <w:rPr>
          <w:rFonts w:asciiTheme="minorEastAsia" w:hAnsiTheme="minorEastAsia" w:eastAsiaTheme="minorEastAsia"/>
          <w:lang w:eastAsia="zh-CN"/>
        </w:rPr>
      </w:pPr>
    </w:p>
    <w:p w14:paraId="165123B9">
      <w:pPr>
        <w:ind w:firstLine="480"/>
        <w:rPr>
          <w:rFonts w:asciiTheme="minorEastAsia" w:hAnsiTheme="minorEastAsia" w:eastAsiaTheme="minorEastAsia"/>
          <w:lang w:eastAsia="zh-CN"/>
        </w:rPr>
      </w:pPr>
    </w:p>
    <w:p w14:paraId="4E2EF11C">
      <w:pPr>
        <w:ind w:firstLine="480"/>
        <w:rPr>
          <w:rFonts w:asciiTheme="minorEastAsia" w:hAnsiTheme="minorEastAsia" w:eastAsiaTheme="minorEastAsia"/>
          <w:lang w:eastAsia="zh-CN"/>
        </w:rPr>
      </w:pPr>
    </w:p>
    <w:p w14:paraId="1EB00488">
      <w:pPr>
        <w:spacing w:line="240" w:lineRule="auto"/>
        <w:ind w:firstLine="361" w:firstLineChars="150"/>
        <w:rPr>
          <w:b/>
          <w:lang w:eastAsia="zh-CN"/>
        </w:rPr>
      </w:pPr>
      <w:r>
        <w:rPr>
          <w:b/>
          <w:lang w:eastAsia="zh-CN"/>
        </w:rPr>
        <w:t xml:space="preserve">表15.2-1  </w:t>
      </w:r>
      <w:r>
        <w:rPr>
          <w:rFonts w:hint="eastAsia"/>
          <w:b/>
          <w:lang w:eastAsia="zh-CN"/>
        </w:rPr>
        <w:t xml:space="preserve">  </w:t>
      </w:r>
      <w:r>
        <w:rPr>
          <w:b/>
          <w:lang w:eastAsia="zh-CN"/>
        </w:rPr>
        <w:t>环境监理重点工作内容一览表</w:t>
      </w:r>
    </w:p>
    <w:tbl>
      <w:tblPr>
        <w:tblStyle w:val="7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44"/>
        <w:gridCol w:w="1491"/>
        <w:gridCol w:w="6294"/>
      </w:tblGrid>
      <w:tr w14:paraId="57D16C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44" w:type="dxa"/>
            <w:vAlign w:val="center"/>
          </w:tcPr>
          <w:p w14:paraId="0966B69C">
            <w:pPr>
              <w:pStyle w:val="337"/>
              <w:adjustRightInd w:val="0"/>
              <w:snapToGrid w:val="0"/>
              <w:rPr>
                <w:color w:val="auto"/>
                <w:lang w:val="en-US" w:eastAsia="en-US" w:bidi="en-US"/>
              </w:rPr>
            </w:pPr>
            <w:r>
              <w:rPr>
                <w:color w:val="auto"/>
                <w:lang w:val="en-US" w:eastAsia="en-US" w:bidi="en-US"/>
              </w:rPr>
              <w:t>序号</w:t>
            </w:r>
          </w:p>
        </w:tc>
        <w:tc>
          <w:tcPr>
            <w:tcW w:w="1491" w:type="dxa"/>
            <w:vAlign w:val="center"/>
          </w:tcPr>
          <w:p w14:paraId="24B44D73">
            <w:pPr>
              <w:pStyle w:val="337"/>
              <w:adjustRightInd w:val="0"/>
              <w:snapToGrid w:val="0"/>
              <w:rPr>
                <w:color w:val="auto"/>
                <w:lang w:val="en-US" w:eastAsia="en-US" w:bidi="en-US"/>
              </w:rPr>
            </w:pPr>
            <w:r>
              <w:rPr>
                <w:color w:val="auto"/>
                <w:lang w:val="en-US" w:eastAsia="en-US" w:bidi="en-US"/>
              </w:rPr>
              <w:t>监理地点</w:t>
            </w:r>
          </w:p>
        </w:tc>
        <w:tc>
          <w:tcPr>
            <w:tcW w:w="6294" w:type="dxa"/>
            <w:vAlign w:val="center"/>
          </w:tcPr>
          <w:p w14:paraId="249DEA80">
            <w:pPr>
              <w:pStyle w:val="337"/>
              <w:adjustRightInd w:val="0"/>
              <w:snapToGrid w:val="0"/>
              <w:rPr>
                <w:color w:val="auto"/>
                <w:lang w:val="en-US" w:eastAsia="zh-CN" w:bidi="en-US"/>
              </w:rPr>
            </w:pPr>
            <w:r>
              <w:rPr>
                <w:color w:val="auto"/>
                <w:lang w:val="en-US" w:eastAsia="zh-CN" w:bidi="en-US"/>
              </w:rPr>
              <w:t>环境监理重点具体内容</w:t>
            </w:r>
          </w:p>
        </w:tc>
      </w:tr>
      <w:tr w14:paraId="160885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44" w:type="dxa"/>
            <w:vAlign w:val="center"/>
          </w:tcPr>
          <w:p w14:paraId="7F0D6933">
            <w:pPr>
              <w:pStyle w:val="337"/>
              <w:adjustRightInd w:val="0"/>
              <w:snapToGrid w:val="0"/>
              <w:rPr>
                <w:color w:val="auto"/>
                <w:lang w:val="en-US" w:eastAsia="en-US" w:bidi="en-US"/>
              </w:rPr>
            </w:pPr>
            <w:r>
              <w:rPr>
                <w:color w:val="auto"/>
                <w:lang w:val="en-US" w:eastAsia="en-US" w:bidi="en-US"/>
              </w:rPr>
              <w:t>1</w:t>
            </w:r>
          </w:p>
        </w:tc>
        <w:tc>
          <w:tcPr>
            <w:tcW w:w="1491" w:type="dxa"/>
            <w:vAlign w:val="center"/>
          </w:tcPr>
          <w:p w14:paraId="6A4D0C9A">
            <w:pPr>
              <w:pStyle w:val="337"/>
              <w:adjustRightInd w:val="0"/>
              <w:snapToGrid w:val="0"/>
              <w:rPr>
                <w:color w:val="auto"/>
                <w:lang w:val="en-US" w:eastAsia="en-US" w:bidi="en-US"/>
              </w:rPr>
            </w:pPr>
            <w:r>
              <w:rPr>
                <w:color w:val="auto"/>
                <w:lang w:val="en-US" w:eastAsia="en-US" w:bidi="en-US"/>
              </w:rPr>
              <w:t>施工作业区</w:t>
            </w:r>
          </w:p>
        </w:tc>
        <w:tc>
          <w:tcPr>
            <w:tcW w:w="6294" w:type="dxa"/>
            <w:vAlign w:val="center"/>
          </w:tcPr>
          <w:p w14:paraId="3D7D3AD8">
            <w:pPr>
              <w:pStyle w:val="337"/>
              <w:adjustRightInd w:val="0"/>
              <w:snapToGrid w:val="0"/>
              <w:jc w:val="left"/>
              <w:rPr>
                <w:color w:val="auto"/>
                <w:lang w:val="en-US" w:eastAsia="zh-CN" w:bidi="en-US"/>
              </w:rPr>
            </w:pPr>
            <w:r>
              <w:rPr>
                <w:color w:val="auto"/>
                <w:lang w:val="en-US" w:eastAsia="zh-CN" w:bidi="en-US"/>
              </w:rPr>
              <w:t>监督其在施工前期和施工过程中是否与地方政府密切联系，妥善的处理好征地补偿，占地的补偿等方面对社会环境的影响；监督其在施工过程中是否严格按照环评报告的要求在施工过程中是否采取了严格的减轻噪声、大气污染的措施；监督施工区设安全监督员，设有明显警戒标志及夜用标志灯，禁止行人(尤其老人、小孩)、牲畜进入施工区；是否按照环评要求建设泥浆池等固废防止设施；施工场地(包括施工路段及临时便道等)非雨天洒水；运输车辆防尘措施情况。泥浆池及作业区是否铺设防渗布。</w:t>
            </w:r>
          </w:p>
        </w:tc>
      </w:tr>
      <w:tr w14:paraId="35E6A5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44" w:type="dxa"/>
            <w:vAlign w:val="center"/>
          </w:tcPr>
          <w:p w14:paraId="6BFACCAC">
            <w:pPr>
              <w:pStyle w:val="337"/>
              <w:adjustRightInd w:val="0"/>
              <w:snapToGrid w:val="0"/>
              <w:rPr>
                <w:color w:val="auto"/>
                <w:lang w:val="en-US" w:eastAsia="en-US" w:bidi="en-US"/>
              </w:rPr>
            </w:pPr>
            <w:r>
              <w:rPr>
                <w:color w:val="auto"/>
                <w:lang w:val="en-US" w:eastAsia="en-US" w:bidi="en-US"/>
              </w:rPr>
              <w:t>2</w:t>
            </w:r>
          </w:p>
        </w:tc>
        <w:tc>
          <w:tcPr>
            <w:tcW w:w="1491" w:type="dxa"/>
            <w:vAlign w:val="center"/>
          </w:tcPr>
          <w:p w14:paraId="4E8D9031">
            <w:pPr>
              <w:pStyle w:val="337"/>
              <w:adjustRightInd w:val="0"/>
              <w:snapToGrid w:val="0"/>
              <w:rPr>
                <w:color w:val="auto"/>
                <w:lang w:val="en-US" w:eastAsia="en-US" w:bidi="en-US"/>
              </w:rPr>
            </w:pPr>
            <w:r>
              <w:rPr>
                <w:color w:val="auto"/>
                <w:lang w:val="en-US" w:eastAsia="en-US" w:bidi="en-US"/>
              </w:rPr>
              <w:t>隐蔽工程</w:t>
            </w:r>
          </w:p>
        </w:tc>
        <w:tc>
          <w:tcPr>
            <w:tcW w:w="6294" w:type="dxa"/>
            <w:vAlign w:val="center"/>
          </w:tcPr>
          <w:p w14:paraId="37219A14">
            <w:pPr>
              <w:pStyle w:val="337"/>
              <w:adjustRightInd w:val="0"/>
              <w:snapToGrid w:val="0"/>
              <w:jc w:val="left"/>
              <w:rPr>
                <w:color w:val="auto"/>
                <w:lang w:val="en-US" w:eastAsia="zh-CN" w:bidi="en-US"/>
              </w:rPr>
            </w:pPr>
            <w:r>
              <w:rPr>
                <w:color w:val="auto"/>
                <w:lang w:val="en-US" w:eastAsia="zh-CN" w:bidi="en-US"/>
              </w:rPr>
              <w:t>对于生活污水处理设施等隐蔽工程是否按照环评要求进行了防渗，防渗材料及其防渗能力是否与环评要求一致。</w:t>
            </w:r>
          </w:p>
        </w:tc>
      </w:tr>
      <w:tr w14:paraId="276819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44" w:type="dxa"/>
            <w:vAlign w:val="center"/>
          </w:tcPr>
          <w:p w14:paraId="4894D2C9">
            <w:pPr>
              <w:pStyle w:val="337"/>
              <w:adjustRightInd w:val="0"/>
              <w:snapToGrid w:val="0"/>
              <w:rPr>
                <w:color w:val="auto"/>
                <w:lang w:val="en-US" w:eastAsia="en-US" w:bidi="en-US"/>
              </w:rPr>
            </w:pPr>
            <w:r>
              <w:rPr>
                <w:color w:val="auto"/>
                <w:lang w:val="en-US" w:eastAsia="en-US" w:bidi="en-US"/>
              </w:rPr>
              <w:t>3</w:t>
            </w:r>
          </w:p>
        </w:tc>
        <w:tc>
          <w:tcPr>
            <w:tcW w:w="1491" w:type="dxa"/>
            <w:vAlign w:val="center"/>
          </w:tcPr>
          <w:p w14:paraId="165A505D">
            <w:pPr>
              <w:pStyle w:val="337"/>
              <w:adjustRightInd w:val="0"/>
              <w:snapToGrid w:val="0"/>
              <w:rPr>
                <w:color w:val="auto"/>
                <w:lang w:val="en-US" w:eastAsia="en-US" w:bidi="en-US"/>
              </w:rPr>
            </w:pPr>
            <w:r>
              <w:rPr>
                <w:color w:val="auto"/>
                <w:lang w:val="en-US" w:eastAsia="en-US" w:bidi="en-US"/>
              </w:rPr>
              <w:t>施工便道</w:t>
            </w:r>
          </w:p>
        </w:tc>
        <w:tc>
          <w:tcPr>
            <w:tcW w:w="6294" w:type="dxa"/>
            <w:vAlign w:val="center"/>
          </w:tcPr>
          <w:p w14:paraId="2AF7909C">
            <w:pPr>
              <w:pStyle w:val="337"/>
              <w:adjustRightInd w:val="0"/>
              <w:snapToGrid w:val="0"/>
              <w:jc w:val="left"/>
              <w:rPr>
                <w:color w:val="auto"/>
                <w:lang w:val="en-US" w:eastAsia="zh-CN" w:bidi="en-US"/>
              </w:rPr>
            </w:pPr>
            <w:r>
              <w:rPr>
                <w:color w:val="auto"/>
                <w:lang w:val="en-US" w:eastAsia="zh-CN" w:bidi="en-US"/>
              </w:rPr>
              <w:t>施工便道选择是否合理；</w:t>
            </w:r>
          </w:p>
          <w:p w14:paraId="00A7812C">
            <w:pPr>
              <w:pStyle w:val="337"/>
              <w:adjustRightInd w:val="0"/>
              <w:snapToGrid w:val="0"/>
              <w:jc w:val="left"/>
              <w:rPr>
                <w:color w:val="auto"/>
                <w:lang w:val="en-US" w:eastAsia="zh-CN" w:bidi="en-US"/>
              </w:rPr>
            </w:pPr>
            <w:r>
              <w:rPr>
                <w:color w:val="auto"/>
                <w:lang w:val="en-US" w:eastAsia="zh-CN" w:bidi="en-US"/>
              </w:rPr>
              <w:t>施工便道完工后恢复情况及质量。</w:t>
            </w:r>
          </w:p>
        </w:tc>
      </w:tr>
      <w:tr w14:paraId="4C62C1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44" w:type="dxa"/>
            <w:vAlign w:val="center"/>
          </w:tcPr>
          <w:p w14:paraId="05E2CF15">
            <w:pPr>
              <w:pStyle w:val="337"/>
              <w:adjustRightInd w:val="0"/>
              <w:snapToGrid w:val="0"/>
              <w:rPr>
                <w:color w:val="auto"/>
                <w:lang w:val="en-US" w:eastAsia="en-US" w:bidi="en-US"/>
              </w:rPr>
            </w:pPr>
            <w:r>
              <w:rPr>
                <w:color w:val="auto"/>
                <w:lang w:val="en-US" w:eastAsia="en-US" w:bidi="en-US"/>
              </w:rPr>
              <w:t>4</w:t>
            </w:r>
          </w:p>
        </w:tc>
        <w:tc>
          <w:tcPr>
            <w:tcW w:w="1491" w:type="dxa"/>
            <w:vAlign w:val="center"/>
          </w:tcPr>
          <w:p w14:paraId="3D1A6749">
            <w:pPr>
              <w:pStyle w:val="337"/>
              <w:adjustRightInd w:val="0"/>
              <w:snapToGrid w:val="0"/>
              <w:rPr>
                <w:color w:val="auto"/>
                <w:lang w:val="en-US" w:eastAsia="en-US" w:bidi="en-US"/>
              </w:rPr>
            </w:pPr>
            <w:r>
              <w:rPr>
                <w:color w:val="auto"/>
                <w:lang w:val="en-US" w:eastAsia="en-US" w:bidi="en-US"/>
              </w:rPr>
              <w:t>施工现场</w:t>
            </w:r>
          </w:p>
        </w:tc>
        <w:tc>
          <w:tcPr>
            <w:tcW w:w="6294" w:type="dxa"/>
            <w:vAlign w:val="center"/>
          </w:tcPr>
          <w:p w14:paraId="795B38A0">
            <w:pPr>
              <w:pStyle w:val="337"/>
              <w:adjustRightInd w:val="0"/>
              <w:snapToGrid w:val="0"/>
              <w:jc w:val="left"/>
              <w:rPr>
                <w:color w:val="auto"/>
                <w:lang w:val="en-US" w:eastAsia="en-US" w:bidi="en-US"/>
              </w:rPr>
            </w:pPr>
            <w:r>
              <w:rPr>
                <w:color w:val="auto"/>
                <w:lang w:val="en-US" w:eastAsia="zh-CN" w:bidi="en-US"/>
              </w:rPr>
              <w:t>选址是否符合环保要求；监督施工承包商是否严格执行了标书中的“施工人员环保教育”；监督施工营地环保措施的落实；施工营地的污水严禁直接排放；监督是否按照环评报告的要求，在施工结束后对施工营地进行妥善恢复；施工废水不得随意排放。</w:t>
            </w:r>
            <w:r>
              <w:rPr>
                <w:color w:val="auto"/>
                <w:lang w:val="en-US" w:eastAsia="en-US" w:bidi="en-US"/>
              </w:rPr>
              <w:t>施工结束清理覆土恢复植被。</w:t>
            </w:r>
          </w:p>
        </w:tc>
      </w:tr>
    </w:tbl>
    <w:p w14:paraId="63A46205">
      <w:pPr>
        <w:pStyle w:val="4"/>
        <w:rPr>
          <w:lang w:eastAsia="zh-CN"/>
        </w:rPr>
      </w:pPr>
      <w:bookmarkStart w:id="1046" w:name="_Toc182141042"/>
      <w:bookmarkStart w:id="1047" w:name="_Toc279676809"/>
      <w:bookmarkStart w:id="1048" w:name="_Toc408414113"/>
      <w:bookmarkStart w:id="1049" w:name="_Toc280020208"/>
      <w:bookmarkStart w:id="1050" w:name="_Toc338663684"/>
      <w:r>
        <w:rPr>
          <w:lang w:eastAsia="zh-CN"/>
        </w:rPr>
        <w:t>15.2.2环境监测计划</w:t>
      </w:r>
      <w:bookmarkEnd w:id="1046"/>
      <w:bookmarkEnd w:id="1047"/>
      <w:bookmarkEnd w:id="1048"/>
      <w:bookmarkEnd w:id="1049"/>
      <w:bookmarkEnd w:id="1050"/>
    </w:p>
    <w:p w14:paraId="04AED887">
      <w:pPr>
        <w:ind w:firstLine="480"/>
        <w:rPr>
          <w:rFonts w:asciiTheme="minorEastAsia" w:hAnsiTheme="minorEastAsia" w:eastAsiaTheme="minorEastAsia"/>
          <w:lang w:eastAsia="zh-CN"/>
        </w:rPr>
      </w:pPr>
      <w:r>
        <w:rPr>
          <w:rFonts w:asciiTheme="minorEastAsia" w:hAnsiTheme="minorEastAsia" w:eastAsiaTheme="minorEastAsia"/>
          <w:lang w:eastAsia="zh-CN"/>
        </w:rPr>
        <w:t>建设单位应根据项目的规模、性质和特点，通过环境监测手段，掌握各类污染源各种污染物的排放情况，监督生产安全运行和配合环境管理工作的改进，为控制污染和保护环境提供科学依据。乌里雅斯太油田运行期间污染物排放监测指标见表15.2-2，生态恢复监测指标见表15.2-3。</w:t>
      </w:r>
    </w:p>
    <w:p w14:paraId="3973F921">
      <w:pPr>
        <w:spacing w:line="240" w:lineRule="auto"/>
        <w:ind w:firstLine="602" w:firstLineChars="250"/>
        <w:rPr>
          <w:b/>
          <w:lang w:eastAsia="zh-CN"/>
        </w:rPr>
      </w:pPr>
      <w:r>
        <w:rPr>
          <w:b/>
          <w:lang w:eastAsia="zh-CN"/>
        </w:rPr>
        <w:t xml:space="preserve">表15.2-2  </w:t>
      </w:r>
      <w:r>
        <w:rPr>
          <w:rFonts w:hint="eastAsia"/>
          <w:b/>
          <w:lang w:eastAsia="zh-CN"/>
        </w:rPr>
        <w:t xml:space="preserve">     </w:t>
      </w:r>
      <w:r>
        <w:rPr>
          <w:b/>
          <w:lang w:eastAsia="zh-CN"/>
        </w:rPr>
        <w:t>监测项目一览表</w:t>
      </w:r>
    </w:p>
    <w:tbl>
      <w:tblPr>
        <w:tblStyle w:val="7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2"/>
        <w:gridCol w:w="1880"/>
        <w:gridCol w:w="1320"/>
        <w:gridCol w:w="1539"/>
        <w:gridCol w:w="1539"/>
        <w:gridCol w:w="1539"/>
      </w:tblGrid>
      <w:tr w14:paraId="0AB73B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12" w:type="dxa"/>
            <w:vMerge w:val="restart"/>
            <w:vAlign w:val="center"/>
          </w:tcPr>
          <w:p w14:paraId="20D99815">
            <w:pPr>
              <w:pStyle w:val="337"/>
              <w:adjustRightInd w:val="0"/>
              <w:snapToGrid w:val="0"/>
              <w:rPr>
                <w:color w:val="auto"/>
                <w:lang w:val="en-US" w:eastAsia="en-US" w:bidi="en-US"/>
              </w:rPr>
            </w:pPr>
            <w:r>
              <w:rPr>
                <w:color w:val="auto"/>
                <w:lang w:val="en-US" w:eastAsia="en-US" w:bidi="en-US"/>
              </w:rPr>
              <w:t>序号</w:t>
            </w:r>
          </w:p>
        </w:tc>
        <w:tc>
          <w:tcPr>
            <w:tcW w:w="1880" w:type="dxa"/>
            <w:vMerge w:val="restart"/>
            <w:vAlign w:val="center"/>
          </w:tcPr>
          <w:p w14:paraId="0A1FB5BB">
            <w:pPr>
              <w:pStyle w:val="337"/>
              <w:adjustRightInd w:val="0"/>
              <w:snapToGrid w:val="0"/>
              <w:rPr>
                <w:color w:val="auto"/>
                <w:lang w:val="en-US" w:eastAsia="en-US" w:bidi="en-US"/>
              </w:rPr>
            </w:pPr>
            <w:r>
              <w:rPr>
                <w:color w:val="auto"/>
                <w:lang w:val="en-US" w:eastAsia="en-US" w:bidi="en-US"/>
              </w:rPr>
              <w:t>监测点位</w:t>
            </w:r>
          </w:p>
        </w:tc>
        <w:tc>
          <w:tcPr>
            <w:tcW w:w="1320" w:type="dxa"/>
            <w:vMerge w:val="restart"/>
            <w:vAlign w:val="center"/>
          </w:tcPr>
          <w:p w14:paraId="19EA8DB9">
            <w:pPr>
              <w:pStyle w:val="337"/>
              <w:adjustRightInd w:val="0"/>
              <w:snapToGrid w:val="0"/>
              <w:rPr>
                <w:color w:val="auto"/>
                <w:lang w:val="en-US" w:eastAsia="en-US" w:bidi="en-US"/>
              </w:rPr>
            </w:pPr>
            <w:r>
              <w:rPr>
                <w:color w:val="auto"/>
                <w:lang w:val="en-US" w:eastAsia="en-US" w:bidi="en-US"/>
              </w:rPr>
              <w:t>监测频率</w:t>
            </w:r>
          </w:p>
        </w:tc>
        <w:tc>
          <w:tcPr>
            <w:tcW w:w="4617" w:type="dxa"/>
            <w:gridSpan w:val="3"/>
            <w:vAlign w:val="center"/>
          </w:tcPr>
          <w:p w14:paraId="2FA1E406">
            <w:pPr>
              <w:pStyle w:val="337"/>
              <w:adjustRightInd w:val="0"/>
              <w:snapToGrid w:val="0"/>
              <w:rPr>
                <w:color w:val="auto"/>
                <w:lang w:val="en-US" w:eastAsia="en-US" w:bidi="en-US"/>
              </w:rPr>
            </w:pPr>
            <w:r>
              <w:rPr>
                <w:color w:val="auto"/>
                <w:lang w:val="en-US" w:eastAsia="en-US" w:bidi="en-US"/>
              </w:rPr>
              <w:t>污染因子</w:t>
            </w:r>
          </w:p>
        </w:tc>
      </w:tr>
      <w:tr w14:paraId="08E7EB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12" w:type="dxa"/>
            <w:vMerge w:val="continue"/>
            <w:vAlign w:val="center"/>
          </w:tcPr>
          <w:p w14:paraId="4C746C65">
            <w:pPr>
              <w:pStyle w:val="337"/>
              <w:adjustRightInd w:val="0"/>
              <w:snapToGrid w:val="0"/>
              <w:rPr>
                <w:color w:val="auto"/>
                <w:lang w:val="en-US" w:eastAsia="en-US" w:bidi="en-US"/>
              </w:rPr>
            </w:pPr>
          </w:p>
        </w:tc>
        <w:tc>
          <w:tcPr>
            <w:tcW w:w="1880" w:type="dxa"/>
            <w:vMerge w:val="continue"/>
            <w:vAlign w:val="center"/>
          </w:tcPr>
          <w:p w14:paraId="1BDD3A07">
            <w:pPr>
              <w:pStyle w:val="337"/>
              <w:adjustRightInd w:val="0"/>
              <w:snapToGrid w:val="0"/>
              <w:rPr>
                <w:color w:val="auto"/>
                <w:lang w:val="en-US" w:eastAsia="en-US" w:bidi="en-US"/>
              </w:rPr>
            </w:pPr>
          </w:p>
        </w:tc>
        <w:tc>
          <w:tcPr>
            <w:tcW w:w="1320" w:type="dxa"/>
            <w:vMerge w:val="continue"/>
            <w:vAlign w:val="center"/>
          </w:tcPr>
          <w:p w14:paraId="2FAC6FD5">
            <w:pPr>
              <w:pStyle w:val="337"/>
              <w:adjustRightInd w:val="0"/>
              <w:snapToGrid w:val="0"/>
              <w:rPr>
                <w:color w:val="auto"/>
                <w:lang w:val="en-US" w:eastAsia="en-US" w:bidi="en-US"/>
              </w:rPr>
            </w:pPr>
          </w:p>
        </w:tc>
        <w:tc>
          <w:tcPr>
            <w:tcW w:w="1539" w:type="dxa"/>
            <w:vAlign w:val="center"/>
          </w:tcPr>
          <w:p w14:paraId="4324677F">
            <w:pPr>
              <w:pStyle w:val="337"/>
              <w:adjustRightInd w:val="0"/>
              <w:snapToGrid w:val="0"/>
              <w:rPr>
                <w:color w:val="auto"/>
                <w:lang w:val="en-US" w:eastAsia="en-US" w:bidi="en-US"/>
              </w:rPr>
            </w:pPr>
            <w:r>
              <w:rPr>
                <w:color w:val="auto"/>
                <w:lang w:val="en-US" w:eastAsia="en-US" w:bidi="en-US"/>
              </w:rPr>
              <w:t>废气</w:t>
            </w:r>
          </w:p>
        </w:tc>
        <w:tc>
          <w:tcPr>
            <w:tcW w:w="1539" w:type="dxa"/>
            <w:vAlign w:val="center"/>
          </w:tcPr>
          <w:p w14:paraId="0AED61B6">
            <w:pPr>
              <w:pStyle w:val="337"/>
              <w:adjustRightInd w:val="0"/>
              <w:snapToGrid w:val="0"/>
              <w:rPr>
                <w:color w:val="auto"/>
                <w:lang w:val="en-US" w:eastAsia="en-US" w:bidi="en-US"/>
              </w:rPr>
            </w:pPr>
            <w:r>
              <w:rPr>
                <w:color w:val="auto"/>
                <w:lang w:val="en-US" w:eastAsia="en-US" w:bidi="en-US"/>
              </w:rPr>
              <w:t>废水</w:t>
            </w:r>
          </w:p>
        </w:tc>
        <w:tc>
          <w:tcPr>
            <w:tcW w:w="1539" w:type="dxa"/>
            <w:vAlign w:val="center"/>
          </w:tcPr>
          <w:p w14:paraId="60AB345E">
            <w:pPr>
              <w:pStyle w:val="337"/>
              <w:adjustRightInd w:val="0"/>
              <w:snapToGrid w:val="0"/>
              <w:rPr>
                <w:color w:val="auto"/>
                <w:lang w:val="en-US" w:eastAsia="en-US" w:bidi="en-US"/>
              </w:rPr>
            </w:pPr>
            <w:r>
              <w:rPr>
                <w:color w:val="auto"/>
                <w:lang w:val="en-US" w:eastAsia="en-US" w:bidi="en-US"/>
              </w:rPr>
              <w:t>噪声</w:t>
            </w:r>
          </w:p>
        </w:tc>
      </w:tr>
      <w:tr w14:paraId="0DCACD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12" w:type="dxa"/>
            <w:vMerge w:val="continue"/>
            <w:vAlign w:val="center"/>
          </w:tcPr>
          <w:p w14:paraId="7949AE26">
            <w:pPr>
              <w:pStyle w:val="337"/>
              <w:adjustRightInd w:val="0"/>
              <w:snapToGrid w:val="0"/>
              <w:rPr>
                <w:color w:val="auto"/>
                <w:lang w:val="en-US" w:eastAsia="en-US" w:bidi="en-US"/>
              </w:rPr>
            </w:pPr>
          </w:p>
        </w:tc>
        <w:tc>
          <w:tcPr>
            <w:tcW w:w="1880" w:type="dxa"/>
            <w:vMerge w:val="continue"/>
            <w:vAlign w:val="center"/>
          </w:tcPr>
          <w:p w14:paraId="549D8369">
            <w:pPr>
              <w:pStyle w:val="337"/>
              <w:adjustRightInd w:val="0"/>
              <w:snapToGrid w:val="0"/>
              <w:rPr>
                <w:color w:val="auto"/>
                <w:lang w:val="en-US" w:eastAsia="en-US" w:bidi="en-US"/>
              </w:rPr>
            </w:pPr>
          </w:p>
        </w:tc>
        <w:tc>
          <w:tcPr>
            <w:tcW w:w="1320" w:type="dxa"/>
            <w:vMerge w:val="continue"/>
            <w:vAlign w:val="center"/>
          </w:tcPr>
          <w:p w14:paraId="1377D406">
            <w:pPr>
              <w:pStyle w:val="337"/>
              <w:adjustRightInd w:val="0"/>
              <w:snapToGrid w:val="0"/>
              <w:rPr>
                <w:color w:val="auto"/>
                <w:lang w:val="en-US" w:eastAsia="en-US" w:bidi="en-US"/>
              </w:rPr>
            </w:pPr>
          </w:p>
        </w:tc>
        <w:tc>
          <w:tcPr>
            <w:tcW w:w="1539" w:type="dxa"/>
            <w:vAlign w:val="center"/>
          </w:tcPr>
          <w:p w14:paraId="75E200BB">
            <w:pPr>
              <w:pStyle w:val="337"/>
              <w:adjustRightInd w:val="0"/>
              <w:snapToGrid w:val="0"/>
              <w:rPr>
                <w:color w:val="auto"/>
                <w:lang w:val="en-US" w:eastAsia="en-US" w:bidi="en-US"/>
              </w:rPr>
            </w:pPr>
            <w:r>
              <w:rPr>
                <w:color w:val="auto"/>
                <w:lang w:val="en-US" w:eastAsia="en-US" w:bidi="en-US"/>
              </w:rPr>
              <w:t>监测项目</w:t>
            </w:r>
          </w:p>
        </w:tc>
        <w:tc>
          <w:tcPr>
            <w:tcW w:w="1539" w:type="dxa"/>
            <w:vAlign w:val="center"/>
          </w:tcPr>
          <w:p w14:paraId="1CB96391">
            <w:pPr>
              <w:pStyle w:val="337"/>
              <w:adjustRightInd w:val="0"/>
              <w:snapToGrid w:val="0"/>
              <w:rPr>
                <w:color w:val="auto"/>
                <w:lang w:val="en-US" w:eastAsia="en-US" w:bidi="en-US"/>
              </w:rPr>
            </w:pPr>
            <w:r>
              <w:rPr>
                <w:color w:val="auto"/>
                <w:lang w:val="en-US" w:eastAsia="en-US" w:bidi="en-US"/>
              </w:rPr>
              <w:t>监测项目</w:t>
            </w:r>
          </w:p>
        </w:tc>
        <w:tc>
          <w:tcPr>
            <w:tcW w:w="1539" w:type="dxa"/>
            <w:vAlign w:val="center"/>
          </w:tcPr>
          <w:p w14:paraId="20E8C503">
            <w:pPr>
              <w:pStyle w:val="337"/>
              <w:adjustRightInd w:val="0"/>
              <w:snapToGrid w:val="0"/>
              <w:rPr>
                <w:color w:val="auto"/>
                <w:lang w:val="en-US" w:eastAsia="en-US" w:bidi="en-US"/>
              </w:rPr>
            </w:pPr>
            <w:r>
              <w:rPr>
                <w:color w:val="auto"/>
                <w:lang w:val="en-US" w:eastAsia="en-US" w:bidi="en-US"/>
              </w:rPr>
              <w:t>监测项目</w:t>
            </w:r>
          </w:p>
        </w:tc>
      </w:tr>
      <w:tr w14:paraId="26B20F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12" w:type="dxa"/>
            <w:vAlign w:val="center"/>
          </w:tcPr>
          <w:p w14:paraId="6E8CF678">
            <w:pPr>
              <w:pStyle w:val="337"/>
              <w:adjustRightInd w:val="0"/>
              <w:snapToGrid w:val="0"/>
              <w:rPr>
                <w:color w:val="auto"/>
                <w:lang w:val="en-US" w:eastAsia="en-US" w:bidi="en-US"/>
              </w:rPr>
            </w:pPr>
            <w:r>
              <w:rPr>
                <w:color w:val="auto"/>
                <w:lang w:val="en-US" w:eastAsia="en-US" w:bidi="en-US"/>
              </w:rPr>
              <w:t>1</w:t>
            </w:r>
          </w:p>
        </w:tc>
        <w:tc>
          <w:tcPr>
            <w:tcW w:w="1880" w:type="dxa"/>
            <w:vAlign w:val="center"/>
          </w:tcPr>
          <w:p w14:paraId="0AC98869">
            <w:pPr>
              <w:pStyle w:val="337"/>
              <w:adjustRightInd w:val="0"/>
              <w:snapToGrid w:val="0"/>
              <w:rPr>
                <w:color w:val="auto"/>
                <w:lang w:val="en-US" w:eastAsia="zh-CN" w:bidi="en-US"/>
              </w:rPr>
            </w:pPr>
            <w:r>
              <w:rPr>
                <w:rFonts w:hint="eastAsia"/>
                <w:color w:val="auto"/>
                <w:lang w:val="en-US" w:eastAsia="zh-CN" w:bidi="en-US"/>
              </w:rPr>
              <w:t>加热</w:t>
            </w:r>
            <w:r>
              <w:rPr>
                <w:color w:val="auto"/>
                <w:lang w:val="en-US" w:eastAsia="zh-CN" w:bidi="en-US"/>
              </w:rPr>
              <w:t>锅炉</w:t>
            </w:r>
          </w:p>
          <w:p w14:paraId="588FA4FF">
            <w:pPr>
              <w:pStyle w:val="337"/>
              <w:adjustRightInd w:val="0"/>
              <w:snapToGrid w:val="0"/>
              <w:rPr>
                <w:color w:val="auto"/>
                <w:lang w:val="en-US" w:eastAsia="zh-CN" w:bidi="en-US"/>
              </w:rPr>
            </w:pPr>
            <w:r>
              <w:rPr>
                <w:rFonts w:hint="eastAsia"/>
                <w:color w:val="auto"/>
                <w:lang w:val="en-US" w:eastAsia="zh-CN" w:bidi="en-US"/>
              </w:rPr>
              <w:t>燃气发电机组</w:t>
            </w:r>
          </w:p>
        </w:tc>
        <w:tc>
          <w:tcPr>
            <w:tcW w:w="1320" w:type="dxa"/>
            <w:vAlign w:val="center"/>
          </w:tcPr>
          <w:p w14:paraId="53AC61A7">
            <w:pPr>
              <w:pStyle w:val="337"/>
              <w:adjustRightInd w:val="0"/>
              <w:snapToGrid w:val="0"/>
              <w:rPr>
                <w:color w:val="auto"/>
                <w:lang w:val="en-US" w:eastAsia="en-US" w:bidi="en-US"/>
              </w:rPr>
            </w:pPr>
            <w:r>
              <w:rPr>
                <w:color w:val="auto"/>
                <w:lang w:val="en-US" w:eastAsia="en-US" w:bidi="en-US"/>
              </w:rPr>
              <w:t>2次/年</w:t>
            </w:r>
          </w:p>
        </w:tc>
        <w:tc>
          <w:tcPr>
            <w:tcW w:w="1539" w:type="dxa"/>
            <w:vAlign w:val="center"/>
          </w:tcPr>
          <w:p w14:paraId="2C45D934">
            <w:pPr>
              <w:pStyle w:val="337"/>
              <w:adjustRightInd w:val="0"/>
              <w:snapToGrid w:val="0"/>
              <w:rPr>
                <w:color w:val="auto"/>
                <w:lang w:val="en-US" w:eastAsia="zh-CN" w:bidi="en-US"/>
              </w:rPr>
            </w:pPr>
            <w:r>
              <w:rPr>
                <w:color w:val="auto"/>
                <w:lang w:val="en-US" w:eastAsia="en-US" w:bidi="en-US"/>
              </w:rPr>
              <w:t>NO</w:t>
            </w:r>
            <w:r>
              <w:rPr>
                <w:color w:val="auto"/>
                <w:vertAlign w:val="subscript"/>
                <w:lang w:val="en-US" w:eastAsia="en-US" w:bidi="en-US"/>
              </w:rPr>
              <w:t>2</w:t>
            </w:r>
          </w:p>
        </w:tc>
        <w:tc>
          <w:tcPr>
            <w:tcW w:w="1539" w:type="dxa"/>
            <w:vAlign w:val="center"/>
          </w:tcPr>
          <w:p w14:paraId="7BAD93FE">
            <w:pPr>
              <w:pStyle w:val="337"/>
              <w:adjustRightInd w:val="0"/>
              <w:snapToGrid w:val="0"/>
              <w:rPr>
                <w:color w:val="auto"/>
                <w:lang w:val="en-US" w:eastAsia="zh-CN" w:bidi="en-US"/>
              </w:rPr>
            </w:pPr>
            <w:r>
              <w:rPr>
                <w:rFonts w:hint="eastAsia"/>
                <w:color w:val="auto"/>
                <w:lang w:val="en-US" w:eastAsia="zh-CN" w:bidi="en-US"/>
              </w:rPr>
              <w:t>SO</w:t>
            </w:r>
            <w:r>
              <w:rPr>
                <w:rFonts w:hint="eastAsia"/>
                <w:color w:val="auto"/>
                <w:vertAlign w:val="subscript"/>
                <w:lang w:val="en-US" w:eastAsia="zh-CN" w:bidi="en-US"/>
              </w:rPr>
              <w:t>2</w:t>
            </w:r>
          </w:p>
        </w:tc>
        <w:tc>
          <w:tcPr>
            <w:tcW w:w="1539" w:type="dxa"/>
            <w:vAlign w:val="center"/>
          </w:tcPr>
          <w:p w14:paraId="0C82DE78">
            <w:pPr>
              <w:pStyle w:val="337"/>
              <w:adjustRightInd w:val="0"/>
              <w:snapToGrid w:val="0"/>
              <w:rPr>
                <w:color w:val="auto"/>
                <w:lang w:val="en-US" w:eastAsia="zh-CN" w:bidi="en-US"/>
              </w:rPr>
            </w:pPr>
            <w:r>
              <w:rPr>
                <w:color w:val="auto"/>
                <w:lang w:val="en-US" w:eastAsia="zh-CN" w:bidi="en-US"/>
              </w:rPr>
              <w:t>PM</w:t>
            </w:r>
            <w:r>
              <w:rPr>
                <w:color w:val="auto"/>
                <w:vertAlign w:val="subscript"/>
                <w:lang w:val="en-US" w:eastAsia="zh-CN" w:bidi="en-US"/>
              </w:rPr>
              <w:t>10</w:t>
            </w:r>
          </w:p>
        </w:tc>
      </w:tr>
      <w:tr w14:paraId="731F3F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12" w:type="dxa"/>
            <w:vAlign w:val="center"/>
          </w:tcPr>
          <w:p w14:paraId="50EA4709">
            <w:pPr>
              <w:pStyle w:val="337"/>
              <w:adjustRightInd w:val="0"/>
              <w:snapToGrid w:val="0"/>
              <w:rPr>
                <w:color w:val="auto"/>
                <w:lang w:val="en-US" w:eastAsia="en-US" w:bidi="en-US"/>
              </w:rPr>
            </w:pPr>
            <w:r>
              <w:rPr>
                <w:color w:val="auto"/>
                <w:lang w:val="en-US" w:eastAsia="en-US" w:bidi="en-US"/>
              </w:rPr>
              <w:t>2</w:t>
            </w:r>
          </w:p>
        </w:tc>
        <w:tc>
          <w:tcPr>
            <w:tcW w:w="1880" w:type="dxa"/>
            <w:vAlign w:val="center"/>
          </w:tcPr>
          <w:p w14:paraId="73814BDC">
            <w:pPr>
              <w:pStyle w:val="337"/>
              <w:adjustRightInd w:val="0"/>
              <w:snapToGrid w:val="0"/>
              <w:rPr>
                <w:color w:val="auto"/>
                <w:lang w:val="en-US" w:eastAsia="zh-CN" w:bidi="en-US"/>
              </w:rPr>
            </w:pPr>
            <w:r>
              <w:rPr>
                <w:rFonts w:hint="eastAsia"/>
                <w:color w:val="auto"/>
                <w:lang w:val="en-US" w:eastAsia="zh-CN" w:bidi="en-US"/>
              </w:rPr>
              <w:t>各站场</w:t>
            </w:r>
          </w:p>
        </w:tc>
        <w:tc>
          <w:tcPr>
            <w:tcW w:w="1320" w:type="dxa"/>
            <w:vAlign w:val="center"/>
          </w:tcPr>
          <w:p w14:paraId="4AA4F47A">
            <w:pPr>
              <w:pStyle w:val="337"/>
              <w:adjustRightInd w:val="0"/>
              <w:snapToGrid w:val="0"/>
              <w:rPr>
                <w:color w:val="auto"/>
                <w:lang w:val="en-US" w:eastAsia="en-US" w:bidi="en-US"/>
              </w:rPr>
            </w:pPr>
            <w:r>
              <w:rPr>
                <w:color w:val="auto"/>
                <w:lang w:val="en-US" w:eastAsia="en-US" w:bidi="en-US"/>
              </w:rPr>
              <w:t>1次/年</w:t>
            </w:r>
          </w:p>
        </w:tc>
        <w:tc>
          <w:tcPr>
            <w:tcW w:w="1539" w:type="dxa"/>
            <w:vAlign w:val="center"/>
          </w:tcPr>
          <w:p w14:paraId="2FAA00A7">
            <w:pPr>
              <w:pStyle w:val="337"/>
              <w:adjustRightInd w:val="0"/>
              <w:snapToGrid w:val="0"/>
              <w:rPr>
                <w:color w:val="auto"/>
                <w:lang w:val="en-US" w:eastAsia="en-US" w:bidi="en-US"/>
              </w:rPr>
            </w:pPr>
            <w:r>
              <w:rPr>
                <w:color w:val="auto"/>
                <w:lang w:val="en-US" w:eastAsia="en-US" w:bidi="en-US"/>
              </w:rPr>
              <w:t>烃类</w:t>
            </w:r>
          </w:p>
        </w:tc>
        <w:tc>
          <w:tcPr>
            <w:tcW w:w="1539" w:type="dxa"/>
            <w:vAlign w:val="center"/>
          </w:tcPr>
          <w:p w14:paraId="4DF4598C">
            <w:pPr>
              <w:pStyle w:val="337"/>
              <w:adjustRightInd w:val="0"/>
              <w:snapToGrid w:val="0"/>
              <w:rPr>
                <w:color w:val="auto"/>
                <w:lang w:val="en-US" w:eastAsia="en-US" w:bidi="en-US"/>
              </w:rPr>
            </w:pPr>
            <w:r>
              <w:rPr>
                <w:color w:val="auto"/>
                <w:lang w:val="en-US" w:eastAsia="en-US" w:bidi="en-US"/>
              </w:rPr>
              <w:t>COD、氨氮</w:t>
            </w:r>
          </w:p>
        </w:tc>
        <w:tc>
          <w:tcPr>
            <w:tcW w:w="1539" w:type="dxa"/>
            <w:vAlign w:val="center"/>
          </w:tcPr>
          <w:p w14:paraId="18646D86">
            <w:pPr>
              <w:pStyle w:val="337"/>
              <w:adjustRightInd w:val="0"/>
              <w:snapToGrid w:val="0"/>
              <w:rPr>
                <w:color w:val="auto"/>
                <w:lang w:val="en-US" w:eastAsia="en-US" w:bidi="en-US"/>
              </w:rPr>
            </w:pPr>
            <w:r>
              <w:rPr>
                <w:color w:val="auto"/>
                <w:lang w:val="en-US" w:eastAsia="en-US" w:bidi="en-US"/>
              </w:rPr>
              <w:t>环境噪声</w:t>
            </w:r>
          </w:p>
        </w:tc>
      </w:tr>
      <w:tr w14:paraId="5CC6F5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12" w:type="dxa"/>
            <w:vAlign w:val="center"/>
          </w:tcPr>
          <w:p w14:paraId="38696AB6">
            <w:pPr>
              <w:pStyle w:val="337"/>
              <w:adjustRightInd w:val="0"/>
              <w:snapToGrid w:val="0"/>
              <w:rPr>
                <w:color w:val="auto"/>
                <w:lang w:val="en-US" w:eastAsia="en-US" w:bidi="en-US"/>
              </w:rPr>
            </w:pPr>
            <w:r>
              <w:rPr>
                <w:color w:val="auto"/>
                <w:lang w:val="en-US" w:eastAsia="en-US" w:bidi="en-US"/>
              </w:rPr>
              <w:t>3</w:t>
            </w:r>
          </w:p>
        </w:tc>
        <w:tc>
          <w:tcPr>
            <w:tcW w:w="1880" w:type="dxa"/>
            <w:vAlign w:val="center"/>
          </w:tcPr>
          <w:p w14:paraId="315AFFA8">
            <w:pPr>
              <w:pStyle w:val="337"/>
              <w:adjustRightInd w:val="0"/>
              <w:snapToGrid w:val="0"/>
              <w:rPr>
                <w:color w:val="auto"/>
                <w:lang w:val="en-US" w:eastAsia="zh-CN" w:bidi="en-US"/>
              </w:rPr>
            </w:pPr>
            <w:r>
              <w:rPr>
                <w:color w:val="auto"/>
                <w:lang w:val="en-US" w:eastAsia="en-US" w:bidi="en-US"/>
              </w:rPr>
              <w:t>采油井</w:t>
            </w:r>
            <w:r>
              <w:rPr>
                <w:rFonts w:hint="eastAsia"/>
                <w:color w:val="auto"/>
                <w:lang w:val="en-US" w:eastAsia="zh-CN" w:bidi="en-US"/>
              </w:rPr>
              <w:t>场</w:t>
            </w:r>
          </w:p>
          <w:p w14:paraId="6C85AC2E">
            <w:pPr>
              <w:pStyle w:val="337"/>
              <w:adjustRightInd w:val="0"/>
              <w:snapToGrid w:val="0"/>
              <w:rPr>
                <w:color w:val="auto"/>
                <w:lang w:val="en-US" w:eastAsia="en-US" w:bidi="en-US"/>
              </w:rPr>
            </w:pPr>
            <w:r>
              <w:rPr>
                <w:color w:val="auto"/>
                <w:lang w:val="en-US" w:eastAsia="en-US" w:bidi="en-US"/>
              </w:rPr>
              <w:t>附近土壤</w:t>
            </w:r>
          </w:p>
        </w:tc>
        <w:tc>
          <w:tcPr>
            <w:tcW w:w="1320" w:type="dxa"/>
            <w:vAlign w:val="center"/>
          </w:tcPr>
          <w:p w14:paraId="3231EB92">
            <w:pPr>
              <w:pStyle w:val="337"/>
              <w:adjustRightInd w:val="0"/>
              <w:snapToGrid w:val="0"/>
              <w:rPr>
                <w:color w:val="auto"/>
                <w:lang w:val="en-US" w:eastAsia="en-US" w:bidi="en-US"/>
              </w:rPr>
            </w:pPr>
            <w:r>
              <w:rPr>
                <w:color w:val="auto"/>
                <w:lang w:val="en-US" w:eastAsia="en-US" w:bidi="en-US"/>
              </w:rPr>
              <w:t>1次/年</w:t>
            </w:r>
          </w:p>
        </w:tc>
        <w:tc>
          <w:tcPr>
            <w:tcW w:w="4617" w:type="dxa"/>
            <w:gridSpan w:val="3"/>
            <w:vAlign w:val="center"/>
          </w:tcPr>
          <w:p w14:paraId="26410326">
            <w:pPr>
              <w:pStyle w:val="337"/>
              <w:adjustRightInd w:val="0"/>
              <w:snapToGrid w:val="0"/>
              <w:rPr>
                <w:color w:val="auto"/>
                <w:lang w:val="en-US" w:eastAsia="zh-CN" w:bidi="en-US"/>
              </w:rPr>
            </w:pPr>
            <w:r>
              <w:rPr>
                <w:color w:val="auto"/>
                <w:lang w:val="en-US" w:eastAsia="zh-CN" w:bidi="en-US"/>
              </w:rPr>
              <w:t xml:space="preserve">pH、石油类、铅、铬 </w:t>
            </w:r>
            <w:r>
              <w:rPr>
                <w:rFonts w:hint="eastAsia"/>
                <w:color w:val="auto"/>
                <w:lang w:val="en-US" w:eastAsia="zh-CN" w:bidi="en-US"/>
              </w:rPr>
              <w:t>等</w:t>
            </w:r>
            <w:r>
              <w:rPr>
                <w:color w:val="auto"/>
                <w:lang w:val="en-US" w:eastAsia="zh-CN" w:bidi="en-US"/>
              </w:rPr>
              <w:t xml:space="preserve">  </w:t>
            </w:r>
          </w:p>
        </w:tc>
      </w:tr>
      <w:tr w14:paraId="4E7E04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12" w:type="dxa"/>
            <w:vAlign w:val="center"/>
          </w:tcPr>
          <w:p w14:paraId="244D55E4">
            <w:pPr>
              <w:pStyle w:val="337"/>
              <w:adjustRightInd w:val="0"/>
              <w:snapToGrid w:val="0"/>
              <w:rPr>
                <w:color w:val="auto"/>
                <w:lang w:val="en-US" w:eastAsia="en-US" w:bidi="en-US"/>
              </w:rPr>
            </w:pPr>
            <w:r>
              <w:rPr>
                <w:color w:val="auto"/>
                <w:lang w:val="en-US" w:eastAsia="en-US" w:bidi="en-US"/>
              </w:rPr>
              <w:t>4</w:t>
            </w:r>
          </w:p>
        </w:tc>
        <w:tc>
          <w:tcPr>
            <w:tcW w:w="1880" w:type="dxa"/>
            <w:vAlign w:val="center"/>
          </w:tcPr>
          <w:p w14:paraId="20344C32">
            <w:pPr>
              <w:pStyle w:val="337"/>
              <w:adjustRightInd w:val="0"/>
              <w:snapToGrid w:val="0"/>
              <w:rPr>
                <w:color w:val="auto"/>
                <w:lang w:val="en-US" w:eastAsia="en-US" w:bidi="en-US"/>
              </w:rPr>
            </w:pPr>
            <w:r>
              <w:rPr>
                <w:color w:val="auto"/>
                <w:lang w:val="en-US" w:eastAsia="en-US" w:bidi="en-US"/>
              </w:rPr>
              <w:t>事故地点</w:t>
            </w:r>
          </w:p>
        </w:tc>
        <w:tc>
          <w:tcPr>
            <w:tcW w:w="1320" w:type="dxa"/>
            <w:vAlign w:val="center"/>
          </w:tcPr>
          <w:p w14:paraId="6E1FEB5B">
            <w:pPr>
              <w:pStyle w:val="337"/>
              <w:adjustRightInd w:val="0"/>
              <w:snapToGrid w:val="0"/>
              <w:rPr>
                <w:color w:val="auto"/>
                <w:lang w:val="en-US" w:eastAsia="en-US" w:bidi="en-US"/>
              </w:rPr>
            </w:pPr>
            <w:r>
              <w:rPr>
                <w:snapToGrid w:val="0"/>
                <w:color w:val="auto"/>
                <w:kern w:val="0"/>
                <w:lang w:val="en-US" w:eastAsia="en-US" w:bidi="en-US"/>
              </w:rPr>
              <w:t>事故发生24小时内</w:t>
            </w:r>
          </w:p>
        </w:tc>
        <w:tc>
          <w:tcPr>
            <w:tcW w:w="1539" w:type="dxa"/>
            <w:vAlign w:val="center"/>
          </w:tcPr>
          <w:p w14:paraId="6BD2D8EF">
            <w:pPr>
              <w:pStyle w:val="337"/>
              <w:adjustRightInd w:val="0"/>
              <w:snapToGrid w:val="0"/>
              <w:rPr>
                <w:snapToGrid w:val="0"/>
                <w:color w:val="auto"/>
                <w:kern w:val="0"/>
                <w:lang w:val="en-US" w:eastAsia="en-US" w:bidi="en-US"/>
              </w:rPr>
            </w:pPr>
            <w:r>
              <w:rPr>
                <w:snapToGrid w:val="0"/>
                <w:color w:val="auto"/>
                <w:kern w:val="0"/>
                <w:lang w:val="en-US" w:eastAsia="en-US" w:bidi="en-US"/>
              </w:rPr>
              <w:t>总烃</w:t>
            </w:r>
          </w:p>
        </w:tc>
        <w:tc>
          <w:tcPr>
            <w:tcW w:w="1539" w:type="dxa"/>
            <w:vAlign w:val="center"/>
          </w:tcPr>
          <w:p w14:paraId="24B3DDF7">
            <w:pPr>
              <w:pStyle w:val="337"/>
              <w:adjustRightInd w:val="0"/>
              <w:snapToGrid w:val="0"/>
              <w:rPr>
                <w:color w:val="auto"/>
                <w:lang w:val="en-US" w:eastAsia="en-US" w:bidi="en-US"/>
              </w:rPr>
            </w:pPr>
            <w:r>
              <w:rPr>
                <w:snapToGrid w:val="0"/>
                <w:color w:val="auto"/>
                <w:kern w:val="0"/>
                <w:lang w:val="en-US" w:eastAsia="en-US" w:bidi="en-US"/>
              </w:rPr>
              <w:t>石油类、</w:t>
            </w:r>
            <w:r>
              <w:rPr>
                <w:color w:val="auto"/>
                <w:lang w:val="en-US" w:eastAsia="en-US" w:bidi="en-US"/>
              </w:rPr>
              <w:t>C</w:t>
            </w:r>
            <w:r>
              <w:rPr>
                <w:snapToGrid w:val="0"/>
                <w:color w:val="auto"/>
                <w:kern w:val="0"/>
                <w:lang w:val="en-US" w:eastAsia="en-US" w:bidi="en-US"/>
              </w:rPr>
              <w:t>OD</w:t>
            </w:r>
            <w:r>
              <w:rPr>
                <w:snapToGrid w:val="0"/>
                <w:color w:val="auto"/>
                <w:kern w:val="0"/>
                <w:vertAlign w:val="subscript"/>
                <w:lang w:val="en-US" w:eastAsia="en-US" w:bidi="en-US"/>
              </w:rPr>
              <w:t>Cr</w:t>
            </w:r>
          </w:p>
        </w:tc>
        <w:tc>
          <w:tcPr>
            <w:tcW w:w="1539" w:type="dxa"/>
            <w:vAlign w:val="center"/>
          </w:tcPr>
          <w:p w14:paraId="72A7FEA0">
            <w:pPr>
              <w:pStyle w:val="337"/>
              <w:adjustRightInd w:val="0"/>
              <w:snapToGrid w:val="0"/>
              <w:rPr>
                <w:color w:val="auto"/>
                <w:lang w:val="en-US" w:eastAsia="en-US" w:bidi="en-US"/>
              </w:rPr>
            </w:pPr>
            <w:r>
              <w:rPr>
                <w:snapToGrid w:val="0"/>
                <w:color w:val="auto"/>
                <w:kern w:val="0"/>
                <w:lang w:val="en-US" w:eastAsia="en-US" w:bidi="en-US"/>
              </w:rPr>
              <w:t>土壤：石油类</w:t>
            </w:r>
          </w:p>
        </w:tc>
      </w:tr>
    </w:tbl>
    <w:p w14:paraId="2A4D6993">
      <w:pPr>
        <w:spacing w:beforeLines="50" w:line="240" w:lineRule="auto"/>
        <w:ind w:firstLine="241" w:firstLineChars="100"/>
        <w:rPr>
          <w:b/>
          <w:lang w:eastAsia="zh-CN"/>
        </w:rPr>
      </w:pPr>
      <w:r>
        <w:rPr>
          <w:b/>
          <w:lang w:eastAsia="zh-CN"/>
        </w:rPr>
        <w:t xml:space="preserve">表15.2-3  </w:t>
      </w:r>
      <w:r>
        <w:rPr>
          <w:rFonts w:hint="eastAsia"/>
          <w:b/>
          <w:lang w:eastAsia="zh-CN"/>
        </w:rPr>
        <w:t xml:space="preserve">  </w:t>
      </w:r>
      <w:r>
        <w:rPr>
          <w:b/>
          <w:lang w:eastAsia="zh-CN"/>
        </w:rPr>
        <w:t>生态恢复监测指标一览表</w:t>
      </w:r>
    </w:p>
    <w:tbl>
      <w:tblPr>
        <w:tblStyle w:val="7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33"/>
        <w:gridCol w:w="1254"/>
        <w:gridCol w:w="1438"/>
        <w:gridCol w:w="1438"/>
        <w:gridCol w:w="1440"/>
        <w:gridCol w:w="1213"/>
        <w:gridCol w:w="1213"/>
      </w:tblGrid>
      <w:tr w14:paraId="04EED6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3" w:type="dxa"/>
            <w:vMerge w:val="restart"/>
            <w:vAlign w:val="center"/>
          </w:tcPr>
          <w:p w14:paraId="0FB236A9">
            <w:pPr>
              <w:pStyle w:val="337"/>
              <w:rPr>
                <w:color w:val="auto"/>
                <w:lang w:val="en-US" w:eastAsia="en-US" w:bidi="en-US"/>
              </w:rPr>
            </w:pPr>
            <w:r>
              <w:rPr>
                <w:color w:val="auto"/>
                <w:lang w:val="en-US" w:eastAsia="en-US" w:bidi="en-US"/>
              </w:rPr>
              <w:t>序号</w:t>
            </w:r>
          </w:p>
        </w:tc>
        <w:tc>
          <w:tcPr>
            <w:tcW w:w="1254" w:type="dxa"/>
            <w:vMerge w:val="restart"/>
            <w:vAlign w:val="center"/>
          </w:tcPr>
          <w:p w14:paraId="1317A0FD">
            <w:pPr>
              <w:pStyle w:val="337"/>
              <w:rPr>
                <w:color w:val="auto"/>
                <w:lang w:val="en-US" w:eastAsia="en-US" w:bidi="en-US"/>
              </w:rPr>
            </w:pPr>
            <w:r>
              <w:rPr>
                <w:color w:val="auto"/>
                <w:lang w:val="en-US" w:eastAsia="en-US" w:bidi="en-US"/>
              </w:rPr>
              <w:t>监测内容</w:t>
            </w:r>
          </w:p>
        </w:tc>
        <w:tc>
          <w:tcPr>
            <w:tcW w:w="4316" w:type="dxa"/>
            <w:gridSpan w:val="3"/>
            <w:tcBorders>
              <w:bottom w:val="single" w:color="auto" w:sz="4" w:space="0"/>
            </w:tcBorders>
            <w:vAlign w:val="center"/>
          </w:tcPr>
          <w:p w14:paraId="4519AF57">
            <w:pPr>
              <w:pStyle w:val="337"/>
              <w:rPr>
                <w:color w:val="auto"/>
                <w:lang w:val="en-US" w:eastAsia="en-US" w:bidi="en-US"/>
              </w:rPr>
            </w:pPr>
            <w:r>
              <w:rPr>
                <w:color w:val="auto"/>
                <w:lang w:val="en-US" w:eastAsia="en-US" w:bidi="en-US"/>
              </w:rPr>
              <w:t>主要技术要求</w:t>
            </w:r>
          </w:p>
        </w:tc>
        <w:tc>
          <w:tcPr>
            <w:tcW w:w="1213" w:type="dxa"/>
            <w:vMerge w:val="restart"/>
            <w:vAlign w:val="center"/>
          </w:tcPr>
          <w:p w14:paraId="0B9462AC">
            <w:pPr>
              <w:pStyle w:val="337"/>
              <w:rPr>
                <w:color w:val="auto"/>
                <w:lang w:val="en-US" w:eastAsia="en-US" w:bidi="en-US"/>
              </w:rPr>
            </w:pPr>
            <w:r>
              <w:rPr>
                <w:color w:val="auto"/>
                <w:lang w:val="en-US" w:eastAsia="en-US" w:bidi="en-US"/>
              </w:rPr>
              <w:t>实施单位</w:t>
            </w:r>
          </w:p>
        </w:tc>
        <w:tc>
          <w:tcPr>
            <w:tcW w:w="1213" w:type="dxa"/>
            <w:vMerge w:val="restart"/>
            <w:vAlign w:val="center"/>
          </w:tcPr>
          <w:p w14:paraId="3FCCCF8B">
            <w:pPr>
              <w:pStyle w:val="337"/>
              <w:rPr>
                <w:color w:val="auto"/>
                <w:lang w:val="en-US" w:eastAsia="en-US" w:bidi="en-US"/>
              </w:rPr>
            </w:pPr>
            <w:r>
              <w:rPr>
                <w:color w:val="auto"/>
                <w:lang w:val="en-US" w:eastAsia="en-US" w:bidi="en-US"/>
              </w:rPr>
              <w:t>管理机构</w:t>
            </w:r>
          </w:p>
        </w:tc>
      </w:tr>
      <w:tr w14:paraId="478527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3" w:type="dxa"/>
            <w:vMerge w:val="continue"/>
            <w:vAlign w:val="center"/>
          </w:tcPr>
          <w:p w14:paraId="3AFF1787">
            <w:pPr>
              <w:pStyle w:val="337"/>
              <w:rPr>
                <w:color w:val="auto"/>
                <w:lang w:val="en-US" w:eastAsia="en-US" w:bidi="en-US"/>
              </w:rPr>
            </w:pPr>
          </w:p>
        </w:tc>
        <w:tc>
          <w:tcPr>
            <w:tcW w:w="1254" w:type="dxa"/>
            <w:vMerge w:val="continue"/>
            <w:vAlign w:val="center"/>
          </w:tcPr>
          <w:p w14:paraId="1003B042">
            <w:pPr>
              <w:pStyle w:val="337"/>
              <w:rPr>
                <w:color w:val="auto"/>
                <w:lang w:val="en-US" w:eastAsia="en-US" w:bidi="en-US"/>
              </w:rPr>
            </w:pPr>
          </w:p>
        </w:tc>
        <w:tc>
          <w:tcPr>
            <w:tcW w:w="1438" w:type="dxa"/>
            <w:tcBorders>
              <w:top w:val="single" w:color="auto" w:sz="4" w:space="0"/>
              <w:right w:val="single" w:color="auto" w:sz="4" w:space="0"/>
            </w:tcBorders>
            <w:vAlign w:val="center"/>
          </w:tcPr>
          <w:p w14:paraId="04F8F4D6">
            <w:pPr>
              <w:pStyle w:val="337"/>
              <w:rPr>
                <w:color w:val="auto"/>
                <w:lang w:val="en-US" w:eastAsia="en-US" w:bidi="en-US"/>
              </w:rPr>
            </w:pPr>
            <w:r>
              <w:rPr>
                <w:color w:val="auto"/>
                <w:lang w:val="en-US" w:eastAsia="en-US" w:bidi="en-US"/>
              </w:rPr>
              <w:t>监测项目</w:t>
            </w:r>
          </w:p>
        </w:tc>
        <w:tc>
          <w:tcPr>
            <w:tcW w:w="1438" w:type="dxa"/>
            <w:tcBorders>
              <w:top w:val="single" w:color="auto" w:sz="4" w:space="0"/>
              <w:left w:val="single" w:color="auto" w:sz="4" w:space="0"/>
              <w:right w:val="single" w:color="auto" w:sz="4" w:space="0"/>
            </w:tcBorders>
            <w:vAlign w:val="center"/>
          </w:tcPr>
          <w:p w14:paraId="3EA285A0">
            <w:pPr>
              <w:pStyle w:val="337"/>
              <w:rPr>
                <w:color w:val="auto"/>
                <w:lang w:val="en-US" w:eastAsia="en-US" w:bidi="en-US"/>
              </w:rPr>
            </w:pPr>
            <w:r>
              <w:rPr>
                <w:color w:val="auto"/>
                <w:lang w:val="en-US" w:eastAsia="en-US" w:bidi="en-US"/>
              </w:rPr>
              <w:t>监测频率</w:t>
            </w:r>
          </w:p>
        </w:tc>
        <w:tc>
          <w:tcPr>
            <w:tcW w:w="1440" w:type="dxa"/>
            <w:tcBorders>
              <w:top w:val="single" w:color="auto" w:sz="4" w:space="0"/>
              <w:left w:val="single" w:color="auto" w:sz="4" w:space="0"/>
            </w:tcBorders>
            <w:vAlign w:val="center"/>
          </w:tcPr>
          <w:p w14:paraId="514D87AA">
            <w:pPr>
              <w:pStyle w:val="337"/>
              <w:rPr>
                <w:color w:val="auto"/>
                <w:lang w:val="en-US" w:eastAsia="en-US" w:bidi="en-US"/>
              </w:rPr>
            </w:pPr>
            <w:r>
              <w:rPr>
                <w:color w:val="auto"/>
                <w:lang w:val="en-US" w:eastAsia="en-US" w:bidi="en-US"/>
              </w:rPr>
              <w:t>监测地点</w:t>
            </w:r>
          </w:p>
        </w:tc>
        <w:tc>
          <w:tcPr>
            <w:tcW w:w="1213" w:type="dxa"/>
            <w:vMerge w:val="continue"/>
            <w:vAlign w:val="center"/>
          </w:tcPr>
          <w:p w14:paraId="3375733B">
            <w:pPr>
              <w:pStyle w:val="337"/>
              <w:rPr>
                <w:color w:val="auto"/>
                <w:lang w:val="en-US" w:eastAsia="en-US" w:bidi="en-US"/>
              </w:rPr>
            </w:pPr>
          </w:p>
        </w:tc>
        <w:tc>
          <w:tcPr>
            <w:tcW w:w="1213" w:type="dxa"/>
            <w:vMerge w:val="continue"/>
            <w:vAlign w:val="center"/>
          </w:tcPr>
          <w:p w14:paraId="075055CE">
            <w:pPr>
              <w:pStyle w:val="337"/>
              <w:rPr>
                <w:color w:val="auto"/>
                <w:lang w:val="en-US" w:eastAsia="en-US" w:bidi="en-US"/>
              </w:rPr>
            </w:pPr>
          </w:p>
        </w:tc>
      </w:tr>
      <w:tr w14:paraId="1F25FF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3" w:type="dxa"/>
            <w:vAlign w:val="center"/>
          </w:tcPr>
          <w:p w14:paraId="45F00DDE">
            <w:pPr>
              <w:pStyle w:val="337"/>
              <w:rPr>
                <w:color w:val="auto"/>
                <w:lang w:val="en-US" w:eastAsia="en-US" w:bidi="en-US"/>
              </w:rPr>
            </w:pPr>
            <w:r>
              <w:rPr>
                <w:color w:val="auto"/>
                <w:lang w:val="en-US" w:eastAsia="en-US" w:bidi="en-US"/>
              </w:rPr>
              <w:t>1</w:t>
            </w:r>
          </w:p>
        </w:tc>
        <w:tc>
          <w:tcPr>
            <w:tcW w:w="1254" w:type="dxa"/>
            <w:vAlign w:val="center"/>
          </w:tcPr>
          <w:p w14:paraId="7BC17656">
            <w:pPr>
              <w:pStyle w:val="337"/>
              <w:rPr>
                <w:color w:val="auto"/>
                <w:lang w:val="en-US" w:eastAsia="en-US" w:bidi="en-US"/>
              </w:rPr>
            </w:pPr>
            <w:r>
              <w:rPr>
                <w:color w:val="auto"/>
                <w:lang w:val="en-US" w:eastAsia="en-US" w:bidi="en-US"/>
              </w:rPr>
              <w:t>植被恢复情况</w:t>
            </w:r>
          </w:p>
        </w:tc>
        <w:tc>
          <w:tcPr>
            <w:tcW w:w="1438" w:type="dxa"/>
            <w:tcBorders>
              <w:right w:val="single" w:color="auto" w:sz="4" w:space="0"/>
            </w:tcBorders>
            <w:vAlign w:val="center"/>
          </w:tcPr>
          <w:p w14:paraId="5792BFF5">
            <w:pPr>
              <w:pStyle w:val="337"/>
              <w:rPr>
                <w:color w:val="auto"/>
                <w:lang w:val="en-US" w:eastAsia="zh-CN" w:bidi="en-US"/>
              </w:rPr>
            </w:pPr>
            <w:r>
              <w:rPr>
                <w:color w:val="auto"/>
                <w:lang w:val="en-US" w:eastAsia="zh-CN" w:bidi="en-US"/>
              </w:rPr>
              <w:t>植被覆盖度、生物量</w:t>
            </w:r>
          </w:p>
        </w:tc>
        <w:tc>
          <w:tcPr>
            <w:tcW w:w="1438" w:type="dxa"/>
            <w:tcBorders>
              <w:left w:val="single" w:color="auto" w:sz="4" w:space="0"/>
              <w:right w:val="single" w:color="auto" w:sz="4" w:space="0"/>
            </w:tcBorders>
            <w:vAlign w:val="center"/>
          </w:tcPr>
          <w:p w14:paraId="1533AE75">
            <w:pPr>
              <w:pStyle w:val="337"/>
              <w:rPr>
                <w:color w:val="auto"/>
                <w:lang w:val="en-US" w:eastAsia="zh-CN" w:bidi="en-US"/>
              </w:rPr>
            </w:pPr>
            <w:r>
              <w:rPr>
                <w:color w:val="auto"/>
                <w:lang w:val="en-US" w:eastAsia="zh-CN" w:bidi="en-US"/>
              </w:rPr>
              <w:t>达产期后的五年内，一次/年</w:t>
            </w:r>
          </w:p>
        </w:tc>
        <w:tc>
          <w:tcPr>
            <w:tcW w:w="1440" w:type="dxa"/>
            <w:tcBorders>
              <w:left w:val="single" w:color="auto" w:sz="4" w:space="0"/>
            </w:tcBorders>
            <w:vAlign w:val="center"/>
          </w:tcPr>
          <w:p w14:paraId="36E8E3AD">
            <w:pPr>
              <w:pStyle w:val="337"/>
              <w:rPr>
                <w:color w:val="auto"/>
                <w:lang w:val="en-US" w:eastAsia="zh-CN" w:bidi="en-US"/>
              </w:rPr>
            </w:pPr>
            <w:r>
              <w:rPr>
                <w:color w:val="auto"/>
                <w:lang w:val="en-US" w:eastAsia="zh-CN" w:bidi="en-US"/>
              </w:rPr>
              <w:t>施工破坏区、道路两侧</w:t>
            </w:r>
          </w:p>
        </w:tc>
        <w:tc>
          <w:tcPr>
            <w:tcW w:w="1213" w:type="dxa"/>
            <w:vAlign w:val="center"/>
          </w:tcPr>
          <w:p w14:paraId="3A84B108">
            <w:pPr>
              <w:pStyle w:val="337"/>
              <w:rPr>
                <w:color w:val="auto"/>
                <w:lang w:val="en-US" w:eastAsia="zh-CN" w:bidi="en-US"/>
              </w:rPr>
            </w:pPr>
            <w:r>
              <w:rPr>
                <w:color w:val="auto"/>
                <w:lang w:val="en-US" w:eastAsia="zh-CN" w:bidi="en-US"/>
              </w:rPr>
              <w:t>当地环境监测站及建设单位</w:t>
            </w:r>
          </w:p>
        </w:tc>
        <w:tc>
          <w:tcPr>
            <w:tcW w:w="1213" w:type="dxa"/>
            <w:vAlign w:val="center"/>
          </w:tcPr>
          <w:p w14:paraId="76149D3B">
            <w:pPr>
              <w:pStyle w:val="337"/>
              <w:rPr>
                <w:color w:val="auto"/>
                <w:lang w:val="en-US" w:eastAsia="zh-CN" w:bidi="en-US"/>
              </w:rPr>
            </w:pPr>
            <w:r>
              <w:rPr>
                <w:color w:val="auto"/>
                <w:lang w:val="en-US" w:eastAsia="zh-CN" w:bidi="en-US"/>
              </w:rPr>
              <w:t>当地政府和当地环境保护局</w:t>
            </w:r>
          </w:p>
        </w:tc>
      </w:tr>
      <w:tr w14:paraId="40D77C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33" w:type="dxa"/>
            <w:vAlign w:val="center"/>
          </w:tcPr>
          <w:p w14:paraId="29222501">
            <w:pPr>
              <w:pStyle w:val="337"/>
              <w:rPr>
                <w:color w:val="auto"/>
                <w:lang w:val="en-US" w:eastAsia="en-US" w:bidi="en-US"/>
              </w:rPr>
            </w:pPr>
            <w:r>
              <w:rPr>
                <w:color w:val="auto"/>
                <w:lang w:val="en-US" w:eastAsia="en-US" w:bidi="en-US"/>
              </w:rPr>
              <w:t>2</w:t>
            </w:r>
          </w:p>
        </w:tc>
        <w:tc>
          <w:tcPr>
            <w:tcW w:w="1254" w:type="dxa"/>
            <w:vAlign w:val="center"/>
          </w:tcPr>
          <w:p w14:paraId="0DCD8BA4">
            <w:pPr>
              <w:pStyle w:val="337"/>
              <w:rPr>
                <w:color w:val="auto"/>
                <w:lang w:val="en-US" w:eastAsia="en-US" w:bidi="en-US"/>
              </w:rPr>
            </w:pPr>
            <w:r>
              <w:rPr>
                <w:color w:val="auto"/>
                <w:lang w:val="en-US" w:eastAsia="en-US" w:bidi="en-US"/>
              </w:rPr>
              <w:t>绿化与生态建设</w:t>
            </w:r>
          </w:p>
        </w:tc>
        <w:tc>
          <w:tcPr>
            <w:tcW w:w="1438" w:type="dxa"/>
            <w:tcBorders>
              <w:right w:val="single" w:color="auto" w:sz="4" w:space="0"/>
            </w:tcBorders>
            <w:vAlign w:val="center"/>
          </w:tcPr>
          <w:p w14:paraId="448207A8">
            <w:pPr>
              <w:pStyle w:val="337"/>
              <w:rPr>
                <w:color w:val="auto"/>
                <w:lang w:val="en-US" w:eastAsia="zh-CN" w:bidi="en-US"/>
              </w:rPr>
            </w:pPr>
            <w:r>
              <w:rPr>
                <w:color w:val="auto"/>
                <w:lang w:val="en-US" w:eastAsia="zh-CN" w:bidi="en-US"/>
              </w:rPr>
              <w:t>草地生长情况及效果</w:t>
            </w:r>
          </w:p>
        </w:tc>
        <w:tc>
          <w:tcPr>
            <w:tcW w:w="1438" w:type="dxa"/>
            <w:tcBorders>
              <w:left w:val="single" w:color="auto" w:sz="4" w:space="0"/>
              <w:right w:val="single" w:color="auto" w:sz="4" w:space="0"/>
            </w:tcBorders>
            <w:vAlign w:val="center"/>
          </w:tcPr>
          <w:p w14:paraId="1096C851">
            <w:pPr>
              <w:pStyle w:val="337"/>
              <w:rPr>
                <w:color w:val="auto"/>
                <w:lang w:val="en-US" w:eastAsia="zh-CN" w:bidi="en-US"/>
              </w:rPr>
            </w:pPr>
            <w:r>
              <w:rPr>
                <w:color w:val="auto"/>
                <w:lang w:val="en-US" w:eastAsia="zh-CN" w:bidi="en-US"/>
              </w:rPr>
              <w:t>达产期后的五年内，一次/年</w:t>
            </w:r>
          </w:p>
        </w:tc>
        <w:tc>
          <w:tcPr>
            <w:tcW w:w="1440" w:type="dxa"/>
            <w:tcBorders>
              <w:left w:val="single" w:color="auto" w:sz="4" w:space="0"/>
            </w:tcBorders>
            <w:vAlign w:val="center"/>
          </w:tcPr>
          <w:p w14:paraId="4D12D574">
            <w:pPr>
              <w:pStyle w:val="337"/>
              <w:rPr>
                <w:color w:val="auto"/>
                <w:lang w:val="en-US" w:eastAsia="zh-CN" w:bidi="en-US"/>
              </w:rPr>
            </w:pPr>
            <w:r>
              <w:rPr>
                <w:color w:val="auto"/>
                <w:lang w:val="en-US" w:eastAsia="zh-CN" w:bidi="en-US"/>
              </w:rPr>
              <w:t>开发区块周围、采油井场周围及道路两侧</w:t>
            </w:r>
          </w:p>
        </w:tc>
        <w:tc>
          <w:tcPr>
            <w:tcW w:w="1213" w:type="dxa"/>
            <w:vAlign w:val="center"/>
          </w:tcPr>
          <w:p w14:paraId="78EE562C">
            <w:pPr>
              <w:pStyle w:val="337"/>
              <w:rPr>
                <w:color w:val="auto"/>
                <w:lang w:val="en-US" w:eastAsia="zh-CN" w:bidi="en-US"/>
              </w:rPr>
            </w:pPr>
            <w:r>
              <w:rPr>
                <w:color w:val="auto"/>
                <w:lang w:val="en-US" w:eastAsia="zh-CN" w:bidi="en-US"/>
              </w:rPr>
              <w:t>当地环境监测站及建设单位</w:t>
            </w:r>
          </w:p>
        </w:tc>
        <w:tc>
          <w:tcPr>
            <w:tcW w:w="1213" w:type="dxa"/>
            <w:vAlign w:val="center"/>
          </w:tcPr>
          <w:p w14:paraId="49B9EA9A">
            <w:pPr>
              <w:pStyle w:val="337"/>
              <w:rPr>
                <w:color w:val="auto"/>
                <w:lang w:val="en-US" w:eastAsia="zh-CN" w:bidi="en-US"/>
              </w:rPr>
            </w:pPr>
            <w:r>
              <w:rPr>
                <w:color w:val="auto"/>
                <w:lang w:val="en-US" w:eastAsia="zh-CN" w:bidi="en-US"/>
              </w:rPr>
              <w:t>当地政府和当地环境保护局</w:t>
            </w:r>
          </w:p>
        </w:tc>
      </w:tr>
    </w:tbl>
    <w:p w14:paraId="47A2AB2B">
      <w:pPr>
        <w:ind w:firstLine="480"/>
        <w:rPr>
          <w:lang w:eastAsia="zh-CN"/>
        </w:rPr>
      </w:pPr>
      <w:r>
        <w:rPr>
          <w:lang w:eastAsia="zh-CN"/>
        </w:rPr>
        <w:t>各监测项目应按相关规范执行，如有个别超标的项目和监测点，则要重点监测，并分析其超标原因，研究出具体的治理措施方案。</w:t>
      </w:r>
    </w:p>
    <w:p w14:paraId="7D2747B3">
      <w:pPr>
        <w:pStyle w:val="3"/>
        <w:rPr>
          <w:lang w:eastAsia="zh-CN"/>
        </w:rPr>
      </w:pPr>
      <w:bookmarkStart w:id="1051" w:name="_Toc338663685"/>
      <w:bookmarkStart w:id="1052" w:name="_Toc408414114"/>
      <w:r>
        <w:rPr>
          <w:lang w:eastAsia="zh-CN"/>
        </w:rPr>
        <w:t>15.3环保措施汇总及竣工验收一览表</w:t>
      </w:r>
      <w:bookmarkEnd w:id="1051"/>
      <w:bookmarkEnd w:id="1052"/>
    </w:p>
    <w:p w14:paraId="2CC41204">
      <w:pPr>
        <w:ind w:firstLine="480"/>
        <w:rPr>
          <w:lang w:eastAsia="zh-CN"/>
        </w:rPr>
      </w:pPr>
      <w:r>
        <w:rPr>
          <w:lang w:eastAsia="zh-CN"/>
        </w:rPr>
        <w:t>根据油田开发区域的环境现状，结合工程的具体情况，提出环境影响减缓措施，以最大限度减轻对环境的影响，详见表15.3-1，环保竣工验收详见表15.3-2。</w:t>
      </w:r>
    </w:p>
    <w:p w14:paraId="2983E1F9">
      <w:pPr>
        <w:autoSpaceDE w:val="0"/>
        <w:autoSpaceDN w:val="0"/>
        <w:spacing w:line="240" w:lineRule="auto"/>
        <w:ind w:firstLine="361" w:firstLineChars="150"/>
        <w:rPr>
          <w:b/>
          <w:lang w:eastAsia="zh-CN"/>
        </w:rPr>
      </w:pPr>
      <w:r>
        <w:rPr>
          <w:b/>
          <w:lang w:eastAsia="zh-CN"/>
        </w:rPr>
        <w:t xml:space="preserve">表15.3-1  </w:t>
      </w:r>
      <w:r>
        <w:rPr>
          <w:rFonts w:hint="eastAsia"/>
          <w:b/>
          <w:lang w:eastAsia="zh-CN"/>
        </w:rPr>
        <w:t xml:space="preserve">    项目</w:t>
      </w:r>
      <w:r>
        <w:rPr>
          <w:b/>
          <w:lang w:eastAsia="zh-CN"/>
        </w:rPr>
        <w:t>环境保护</w:t>
      </w:r>
      <w:r>
        <w:rPr>
          <w:rFonts w:hint="eastAsia"/>
          <w:b/>
          <w:lang w:eastAsia="zh-CN"/>
        </w:rPr>
        <w:t>主要</w:t>
      </w:r>
      <w:r>
        <w:rPr>
          <w:b/>
          <w:lang w:eastAsia="zh-CN"/>
        </w:rPr>
        <w:t>措施表</w:t>
      </w:r>
    </w:p>
    <w:tbl>
      <w:tblPr>
        <w:tblStyle w:val="7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84"/>
        <w:gridCol w:w="5813"/>
        <w:gridCol w:w="1332"/>
      </w:tblGrid>
      <w:tr w14:paraId="7E6B67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7197" w:type="dxa"/>
            <w:gridSpan w:val="2"/>
            <w:vAlign w:val="center"/>
          </w:tcPr>
          <w:p w14:paraId="4EF9C9BF">
            <w:pPr>
              <w:pStyle w:val="337"/>
              <w:adjustRightInd w:val="0"/>
              <w:snapToGrid w:val="0"/>
              <w:rPr>
                <w:color w:val="auto"/>
                <w:lang w:val="en-US" w:eastAsia="zh-CN" w:bidi="en-US"/>
              </w:rPr>
            </w:pPr>
            <w:r>
              <w:rPr>
                <w:color w:val="auto"/>
                <w:lang w:val="en-US" w:eastAsia="zh-CN" w:bidi="en-US"/>
              </w:rPr>
              <w:t>不同阶段环境影响减缓措施</w:t>
            </w:r>
          </w:p>
        </w:tc>
        <w:tc>
          <w:tcPr>
            <w:tcW w:w="1332" w:type="dxa"/>
            <w:vAlign w:val="center"/>
          </w:tcPr>
          <w:p w14:paraId="28E9EA54">
            <w:pPr>
              <w:pStyle w:val="337"/>
              <w:adjustRightInd w:val="0"/>
              <w:snapToGrid w:val="0"/>
              <w:rPr>
                <w:color w:val="auto"/>
                <w:lang w:val="en-US" w:eastAsia="en-US" w:bidi="en-US"/>
              </w:rPr>
            </w:pPr>
            <w:r>
              <w:rPr>
                <w:color w:val="auto"/>
                <w:lang w:val="en-US" w:eastAsia="en-US" w:bidi="en-US"/>
              </w:rPr>
              <w:t>实施方案</w:t>
            </w:r>
          </w:p>
        </w:tc>
      </w:tr>
      <w:tr w14:paraId="5FAB7C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84" w:type="dxa"/>
            <w:vAlign w:val="center"/>
          </w:tcPr>
          <w:p w14:paraId="06AD3EEC">
            <w:pPr>
              <w:pStyle w:val="337"/>
              <w:adjustRightInd w:val="0"/>
              <w:snapToGrid w:val="0"/>
              <w:rPr>
                <w:color w:val="auto"/>
                <w:lang w:val="en-US" w:eastAsia="en-US" w:bidi="en-US"/>
              </w:rPr>
            </w:pPr>
            <w:r>
              <w:rPr>
                <w:color w:val="auto"/>
                <w:lang w:val="en-US" w:eastAsia="en-US" w:bidi="en-US"/>
              </w:rPr>
              <w:t>设计期</w:t>
            </w:r>
          </w:p>
        </w:tc>
        <w:tc>
          <w:tcPr>
            <w:tcW w:w="5813" w:type="dxa"/>
            <w:vAlign w:val="center"/>
          </w:tcPr>
          <w:p w14:paraId="301F440B">
            <w:pPr>
              <w:pStyle w:val="337"/>
              <w:adjustRightInd w:val="0"/>
              <w:snapToGrid w:val="0"/>
              <w:jc w:val="left"/>
              <w:rPr>
                <w:color w:val="auto"/>
                <w:lang w:val="en-US" w:eastAsia="en-US" w:bidi="en-US"/>
              </w:rPr>
            </w:pPr>
            <w:r>
              <w:rPr>
                <w:color w:val="auto"/>
                <w:lang w:val="en-US" w:eastAsia="en-US" w:bidi="en-US"/>
              </w:rPr>
              <w:t>环保措施设计阶段</w:t>
            </w:r>
          </w:p>
        </w:tc>
        <w:tc>
          <w:tcPr>
            <w:tcW w:w="1332" w:type="dxa"/>
            <w:vMerge w:val="restart"/>
            <w:vAlign w:val="center"/>
          </w:tcPr>
          <w:p w14:paraId="072AA53E">
            <w:pPr>
              <w:pStyle w:val="337"/>
              <w:adjustRightInd w:val="0"/>
              <w:snapToGrid w:val="0"/>
              <w:rPr>
                <w:color w:val="auto"/>
                <w:lang w:val="en-US" w:eastAsia="zh-CN" w:bidi="en-US"/>
              </w:rPr>
            </w:pPr>
            <w:r>
              <w:rPr>
                <w:color w:val="auto"/>
                <w:lang w:val="en-US" w:eastAsia="zh-CN" w:bidi="en-US"/>
              </w:rPr>
              <w:t>设计单位负责执行，环保部门抽查</w:t>
            </w:r>
          </w:p>
        </w:tc>
      </w:tr>
      <w:tr w14:paraId="6F3EB8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84" w:type="dxa"/>
            <w:vAlign w:val="center"/>
          </w:tcPr>
          <w:p w14:paraId="4B1A5B5D">
            <w:pPr>
              <w:pStyle w:val="337"/>
              <w:adjustRightInd w:val="0"/>
              <w:snapToGrid w:val="0"/>
              <w:rPr>
                <w:color w:val="auto"/>
                <w:lang w:val="en-US" w:eastAsia="en-US" w:bidi="en-US"/>
              </w:rPr>
            </w:pPr>
            <w:r>
              <w:rPr>
                <w:color w:val="auto"/>
                <w:lang w:val="en-US" w:eastAsia="en-US" w:bidi="en-US"/>
              </w:rPr>
              <w:t>大气环境</w:t>
            </w:r>
          </w:p>
        </w:tc>
        <w:tc>
          <w:tcPr>
            <w:tcW w:w="5813" w:type="dxa"/>
            <w:vAlign w:val="center"/>
          </w:tcPr>
          <w:p w14:paraId="4D877ED9">
            <w:pPr>
              <w:pStyle w:val="337"/>
              <w:adjustRightInd w:val="0"/>
              <w:snapToGrid w:val="0"/>
              <w:jc w:val="left"/>
              <w:rPr>
                <w:color w:val="auto"/>
                <w:lang w:val="en-US" w:eastAsia="zh-CN" w:bidi="en-US"/>
              </w:rPr>
            </w:pPr>
            <w:r>
              <w:rPr>
                <w:color w:val="auto"/>
                <w:lang w:val="en-US" w:eastAsia="zh-CN" w:bidi="en-US"/>
              </w:rPr>
              <w:t>选择合适的钻井地点，采用先进的技术和设备，减少烃类挥发。</w:t>
            </w:r>
          </w:p>
        </w:tc>
        <w:tc>
          <w:tcPr>
            <w:tcW w:w="1332" w:type="dxa"/>
            <w:vMerge w:val="continue"/>
            <w:vAlign w:val="center"/>
          </w:tcPr>
          <w:p w14:paraId="4CB20982">
            <w:pPr>
              <w:pStyle w:val="337"/>
              <w:adjustRightInd w:val="0"/>
              <w:snapToGrid w:val="0"/>
              <w:rPr>
                <w:color w:val="auto"/>
                <w:lang w:val="en-US" w:eastAsia="zh-CN" w:bidi="en-US"/>
              </w:rPr>
            </w:pPr>
          </w:p>
        </w:tc>
      </w:tr>
      <w:tr w14:paraId="297A89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84" w:type="dxa"/>
            <w:vAlign w:val="center"/>
          </w:tcPr>
          <w:p w14:paraId="5F5E08AF">
            <w:pPr>
              <w:pStyle w:val="337"/>
              <w:adjustRightInd w:val="0"/>
              <w:snapToGrid w:val="0"/>
              <w:rPr>
                <w:color w:val="auto"/>
                <w:lang w:val="en-US" w:eastAsia="en-US" w:bidi="en-US"/>
              </w:rPr>
            </w:pPr>
            <w:r>
              <w:rPr>
                <w:color w:val="auto"/>
                <w:lang w:val="en-US" w:eastAsia="en-US" w:bidi="en-US"/>
              </w:rPr>
              <w:t>水环境</w:t>
            </w:r>
          </w:p>
        </w:tc>
        <w:tc>
          <w:tcPr>
            <w:tcW w:w="5813" w:type="dxa"/>
            <w:vAlign w:val="center"/>
          </w:tcPr>
          <w:p w14:paraId="17D76C54">
            <w:pPr>
              <w:pStyle w:val="337"/>
              <w:adjustRightInd w:val="0"/>
              <w:snapToGrid w:val="0"/>
              <w:jc w:val="left"/>
              <w:rPr>
                <w:color w:val="auto"/>
                <w:lang w:val="en-US" w:eastAsia="en-US" w:bidi="en-US"/>
              </w:rPr>
            </w:pPr>
            <w:r>
              <w:rPr>
                <w:color w:val="auto"/>
                <w:lang w:val="en-US" w:eastAsia="en-US" w:bidi="en-US"/>
              </w:rPr>
              <w:t>设防渗泥浆池。</w:t>
            </w:r>
          </w:p>
        </w:tc>
        <w:tc>
          <w:tcPr>
            <w:tcW w:w="1332" w:type="dxa"/>
            <w:vMerge w:val="continue"/>
            <w:vAlign w:val="center"/>
          </w:tcPr>
          <w:p w14:paraId="2C049FE4">
            <w:pPr>
              <w:pStyle w:val="337"/>
              <w:adjustRightInd w:val="0"/>
              <w:snapToGrid w:val="0"/>
              <w:rPr>
                <w:color w:val="auto"/>
                <w:lang w:val="en-US" w:eastAsia="en-US" w:bidi="en-US"/>
              </w:rPr>
            </w:pPr>
          </w:p>
        </w:tc>
      </w:tr>
      <w:tr w14:paraId="4A9567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84" w:type="dxa"/>
            <w:vAlign w:val="center"/>
          </w:tcPr>
          <w:p w14:paraId="5F7B3A28">
            <w:pPr>
              <w:pStyle w:val="337"/>
              <w:adjustRightInd w:val="0"/>
              <w:snapToGrid w:val="0"/>
              <w:rPr>
                <w:color w:val="auto"/>
                <w:lang w:val="en-US" w:eastAsia="en-US" w:bidi="en-US"/>
              </w:rPr>
            </w:pPr>
            <w:r>
              <w:rPr>
                <w:color w:val="auto"/>
                <w:lang w:val="en-US" w:eastAsia="en-US" w:bidi="en-US"/>
              </w:rPr>
              <w:t>固体废物</w:t>
            </w:r>
          </w:p>
        </w:tc>
        <w:tc>
          <w:tcPr>
            <w:tcW w:w="5813" w:type="dxa"/>
            <w:vAlign w:val="center"/>
          </w:tcPr>
          <w:p w14:paraId="1B836EAF">
            <w:pPr>
              <w:pStyle w:val="337"/>
              <w:adjustRightInd w:val="0"/>
              <w:snapToGrid w:val="0"/>
              <w:jc w:val="left"/>
              <w:rPr>
                <w:color w:val="auto"/>
                <w:lang w:val="en-US" w:eastAsia="zh-CN" w:bidi="en-US"/>
              </w:rPr>
            </w:pPr>
            <w:r>
              <w:rPr>
                <w:color w:val="auto"/>
                <w:lang w:val="en-US" w:eastAsia="zh-CN" w:bidi="en-US"/>
              </w:rPr>
              <w:t>井场设置原油罐，试油时原油进罐，作业场地铺设防渗布。</w:t>
            </w:r>
          </w:p>
          <w:p w14:paraId="2EE24003">
            <w:pPr>
              <w:pStyle w:val="337"/>
              <w:adjustRightInd w:val="0"/>
              <w:snapToGrid w:val="0"/>
              <w:jc w:val="left"/>
              <w:rPr>
                <w:color w:val="auto"/>
                <w:lang w:val="en-US" w:eastAsia="zh-CN" w:bidi="en-US"/>
              </w:rPr>
            </w:pPr>
            <w:r>
              <w:rPr>
                <w:color w:val="auto"/>
                <w:lang w:val="en-US" w:eastAsia="zh-CN" w:bidi="en-US"/>
              </w:rPr>
              <w:t>工业垃圾全部集中处理。</w:t>
            </w:r>
          </w:p>
        </w:tc>
        <w:tc>
          <w:tcPr>
            <w:tcW w:w="1332" w:type="dxa"/>
            <w:vMerge w:val="continue"/>
            <w:vAlign w:val="center"/>
          </w:tcPr>
          <w:p w14:paraId="21351FB8">
            <w:pPr>
              <w:pStyle w:val="337"/>
              <w:adjustRightInd w:val="0"/>
              <w:snapToGrid w:val="0"/>
              <w:rPr>
                <w:color w:val="auto"/>
                <w:lang w:val="en-US" w:eastAsia="zh-CN" w:bidi="en-US"/>
              </w:rPr>
            </w:pPr>
          </w:p>
        </w:tc>
      </w:tr>
      <w:tr w14:paraId="225C81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84" w:type="dxa"/>
            <w:vAlign w:val="center"/>
          </w:tcPr>
          <w:p w14:paraId="6D159D4D">
            <w:pPr>
              <w:pStyle w:val="337"/>
              <w:adjustRightInd w:val="0"/>
              <w:snapToGrid w:val="0"/>
              <w:rPr>
                <w:color w:val="auto"/>
                <w:lang w:val="en-US" w:eastAsia="en-US" w:bidi="en-US"/>
              </w:rPr>
            </w:pPr>
            <w:r>
              <w:rPr>
                <w:color w:val="auto"/>
                <w:lang w:val="en-US" w:eastAsia="en-US" w:bidi="en-US"/>
              </w:rPr>
              <w:t>生态环境</w:t>
            </w:r>
          </w:p>
        </w:tc>
        <w:tc>
          <w:tcPr>
            <w:tcW w:w="5813" w:type="dxa"/>
            <w:vAlign w:val="center"/>
          </w:tcPr>
          <w:p w14:paraId="3E2C20E7">
            <w:pPr>
              <w:pStyle w:val="337"/>
              <w:adjustRightInd w:val="0"/>
              <w:snapToGrid w:val="0"/>
              <w:jc w:val="left"/>
              <w:rPr>
                <w:color w:val="auto"/>
                <w:lang w:val="en-US" w:eastAsia="zh-CN" w:bidi="en-US"/>
              </w:rPr>
            </w:pPr>
            <w:r>
              <w:rPr>
                <w:color w:val="auto"/>
                <w:lang w:val="en-US" w:eastAsia="zh-CN" w:bidi="en-US"/>
              </w:rPr>
              <w:t>合理设计管线，尽量避开优质草地。</w:t>
            </w:r>
          </w:p>
          <w:p w14:paraId="2C5F6513">
            <w:pPr>
              <w:pStyle w:val="337"/>
              <w:adjustRightInd w:val="0"/>
              <w:snapToGrid w:val="0"/>
              <w:jc w:val="left"/>
              <w:rPr>
                <w:color w:val="auto"/>
                <w:lang w:val="en-US" w:eastAsia="zh-CN" w:bidi="en-US"/>
              </w:rPr>
            </w:pPr>
            <w:r>
              <w:rPr>
                <w:color w:val="auto"/>
                <w:lang w:val="en-US" w:eastAsia="zh-CN" w:bidi="en-US"/>
              </w:rPr>
              <w:t>合理安排施工场地，减少占地。</w:t>
            </w:r>
          </w:p>
          <w:p w14:paraId="178625AC">
            <w:pPr>
              <w:pStyle w:val="337"/>
              <w:adjustRightInd w:val="0"/>
              <w:snapToGrid w:val="0"/>
              <w:jc w:val="left"/>
              <w:rPr>
                <w:color w:val="auto"/>
                <w:lang w:val="en-US" w:eastAsia="zh-CN" w:bidi="en-US"/>
              </w:rPr>
            </w:pPr>
            <w:r>
              <w:rPr>
                <w:color w:val="auto"/>
                <w:lang w:val="en-US" w:eastAsia="zh-CN" w:bidi="en-US"/>
              </w:rPr>
              <w:t>合理设计道路路线，尽量减少占地</w:t>
            </w:r>
          </w:p>
        </w:tc>
        <w:tc>
          <w:tcPr>
            <w:tcW w:w="1332" w:type="dxa"/>
            <w:vMerge w:val="continue"/>
            <w:vAlign w:val="center"/>
          </w:tcPr>
          <w:p w14:paraId="115C086D">
            <w:pPr>
              <w:pStyle w:val="337"/>
              <w:adjustRightInd w:val="0"/>
              <w:snapToGrid w:val="0"/>
              <w:rPr>
                <w:color w:val="auto"/>
                <w:lang w:val="en-US" w:eastAsia="zh-CN" w:bidi="en-US"/>
              </w:rPr>
            </w:pPr>
          </w:p>
        </w:tc>
      </w:tr>
      <w:tr w14:paraId="540932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84" w:type="dxa"/>
            <w:vAlign w:val="center"/>
          </w:tcPr>
          <w:p w14:paraId="6A6B37A3">
            <w:pPr>
              <w:pStyle w:val="337"/>
              <w:adjustRightInd w:val="0"/>
              <w:snapToGrid w:val="0"/>
              <w:rPr>
                <w:color w:val="auto"/>
                <w:lang w:val="en-US" w:eastAsia="en-US" w:bidi="en-US"/>
              </w:rPr>
            </w:pPr>
            <w:r>
              <w:rPr>
                <w:color w:val="auto"/>
                <w:lang w:val="en-US" w:eastAsia="en-US" w:bidi="en-US"/>
              </w:rPr>
              <w:t>施工期</w:t>
            </w:r>
          </w:p>
        </w:tc>
        <w:tc>
          <w:tcPr>
            <w:tcW w:w="5813" w:type="dxa"/>
            <w:vAlign w:val="center"/>
          </w:tcPr>
          <w:p w14:paraId="4AC436ED">
            <w:pPr>
              <w:pStyle w:val="337"/>
              <w:adjustRightInd w:val="0"/>
              <w:snapToGrid w:val="0"/>
              <w:jc w:val="left"/>
              <w:rPr>
                <w:color w:val="auto"/>
                <w:lang w:val="en-US" w:eastAsia="en-US" w:bidi="en-US"/>
              </w:rPr>
            </w:pPr>
            <w:r>
              <w:rPr>
                <w:color w:val="auto"/>
                <w:lang w:val="en-US" w:eastAsia="en-US" w:bidi="en-US"/>
              </w:rPr>
              <w:t>环保措施实施阶段</w:t>
            </w:r>
          </w:p>
        </w:tc>
        <w:tc>
          <w:tcPr>
            <w:tcW w:w="1332" w:type="dxa"/>
            <w:vMerge w:val="restart"/>
            <w:vAlign w:val="center"/>
          </w:tcPr>
          <w:p w14:paraId="42295728">
            <w:pPr>
              <w:pStyle w:val="337"/>
              <w:adjustRightInd w:val="0"/>
              <w:snapToGrid w:val="0"/>
              <w:rPr>
                <w:color w:val="auto"/>
                <w:lang w:val="en-US" w:eastAsia="zh-CN" w:bidi="en-US"/>
              </w:rPr>
            </w:pPr>
            <w:r>
              <w:rPr>
                <w:color w:val="auto"/>
                <w:lang w:val="en-US" w:eastAsia="zh-CN" w:bidi="en-US"/>
              </w:rPr>
              <w:t>施工单位负责落实，环保部门监测检查，政府环保部门抽查。</w:t>
            </w:r>
          </w:p>
        </w:tc>
      </w:tr>
      <w:tr w14:paraId="04C050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84" w:type="dxa"/>
            <w:vAlign w:val="center"/>
          </w:tcPr>
          <w:p w14:paraId="7691E679">
            <w:pPr>
              <w:pStyle w:val="337"/>
              <w:adjustRightInd w:val="0"/>
              <w:snapToGrid w:val="0"/>
              <w:rPr>
                <w:color w:val="auto"/>
                <w:lang w:val="en-US" w:eastAsia="en-US" w:bidi="en-US"/>
              </w:rPr>
            </w:pPr>
            <w:r>
              <w:rPr>
                <w:color w:val="auto"/>
                <w:lang w:val="en-US" w:eastAsia="en-US" w:bidi="en-US"/>
              </w:rPr>
              <w:t>大气环境</w:t>
            </w:r>
          </w:p>
        </w:tc>
        <w:tc>
          <w:tcPr>
            <w:tcW w:w="5813" w:type="dxa"/>
            <w:vAlign w:val="center"/>
          </w:tcPr>
          <w:p w14:paraId="7CC87597">
            <w:pPr>
              <w:pStyle w:val="337"/>
              <w:adjustRightInd w:val="0"/>
              <w:snapToGrid w:val="0"/>
              <w:jc w:val="left"/>
              <w:rPr>
                <w:color w:val="auto"/>
                <w:lang w:val="en-US" w:eastAsia="zh-CN" w:bidi="en-US"/>
              </w:rPr>
            </w:pPr>
            <w:r>
              <w:rPr>
                <w:color w:val="auto"/>
                <w:lang w:val="en-US" w:eastAsia="zh-CN" w:bidi="en-US"/>
              </w:rPr>
              <w:t>钻井井场柴油机定期检查，减少燃烧黑烟；施工车辆定期保养，减少黑烟排放。</w:t>
            </w:r>
          </w:p>
          <w:p w14:paraId="7E275AD6">
            <w:pPr>
              <w:pStyle w:val="337"/>
              <w:adjustRightInd w:val="0"/>
              <w:snapToGrid w:val="0"/>
              <w:jc w:val="left"/>
              <w:rPr>
                <w:color w:val="auto"/>
                <w:lang w:val="en-US" w:eastAsia="zh-CN" w:bidi="en-US"/>
              </w:rPr>
            </w:pPr>
            <w:r>
              <w:rPr>
                <w:color w:val="auto"/>
                <w:lang w:val="en-US" w:eastAsia="zh-CN" w:bidi="en-US"/>
              </w:rPr>
              <w:t>钻井钻进含油层时，对于随泥浆返出的原油应及时回收；完井试油时，应确保原油进罐，减少落地原油的产生量，并及时回收清理落地原油。文明施工，按</w:t>
            </w:r>
            <w:r>
              <w:rPr>
                <w:rFonts w:hint="eastAsia"/>
                <w:color w:val="auto"/>
                <w:lang w:val="en-US" w:eastAsia="zh-CN" w:bidi="en-US"/>
              </w:rPr>
              <w:t>路</w:t>
            </w:r>
            <w:r>
              <w:rPr>
                <w:color w:val="auto"/>
                <w:lang w:val="en-US" w:eastAsia="zh-CN" w:bidi="en-US"/>
              </w:rPr>
              <w:t>行驶，减少扬尘。</w:t>
            </w:r>
          </w:p>
          <w:p w14:paraId="1A1604EA">
            <w:pPr>
              <w:pStyle w:val="337"/>
              <w:adjustRightInd w:val="0"/>
              <w:snapToGrid w:val="0"/>
              <w:jc w:val="left"/>
              <w:rPr>
                <w:color w:val="auto"/>
                <w:lang w:val="en-US" w:eastAsia="zh-CN" w:bidi="en-US"/>
              </w:rPr>
            </w:pPr>
            <w:r>
              <w:rPr>
                <w:rFonts w:hint="eastAsia"/>
                <w:color w:val="auto"/>
                <w:lang w:val="en-US" w:eastAsia="zh-CN" w:bidi="en-US"/>
              </w:rPr>
              <w:t>加热</w:t>
            </w:r>
            <w:r>
              <w:rPr>
                <w:color w:val="auto"/>
                <w:lang w:val="en-US" w:eastAsia="zh-CN" w:bidi="en-US"/>
              </w:rPr>
              <w:t>锅炉燃烧清洁能源</w:t>
            </w:r>
            <w:r>
              <w:rPr>
                <w:rFonts w:hint="eastAsia"/>
                <w:color w:val="auto"/>
                <w:lang w:val="en-US" w:eastAsia="zh-CN" w:bidi="en-US"/>
              </w:rPr>
              <w:t>伴生气。</w:t>
            </w:r>
          </w:p>
          <w:p w14:paraId="35DC96C3">
            <w:pPr>
              <w:pStyle w:val="337"/>
              <w:adjustRightInd w:val="0"/>
              <w:snapToGrid w:val="0"/>
              <w:jc w:val="left"/>
              <w:rPr>
                <w:color w:val="auto"/>
                <w:lang w:val="en-US" w:eastAsia="zh-CN" w:bidi="en-US"/>
              </w:rPr>
            </w:pPr>
            <w:r>
              <w:rPr>
                <w:rFonts w:hint="eastAsia"/>
                <w:color w:val="auto"/>
                <w:lang w:val="en-US" w:eastAsia="zh-CN" w:bidi="en-US"/>
              </w:rPr>
              <w:t>燃气发电机组，</w:t>
            </w:r>
            <w:r>
              <w:rPr>
                <w:color w:val="auto"/>
                <w:lang w:val="en-US" w:eastAsia="zh-CN" w:bidi="en-US"/>
              </w:rPr>
              <w:t>燃烧清洁能源</w:t>
            </w:r>
            <w:r>
              <w:rPr>
                <w:rFonts w:hint="eastAsia"/>
                <w:color w:val="auto"/>
                <w:lang w:val="en-US" w:eastAsia="zh-CN" w:bidi="en-US"/>
              </w:rPr>
              <w:t>伴生气，余热回收利用。</w:t>
            </w:r>
          </w:p>
        </w:tc>
        <w:tc>
          <w:tcPr>
            <w:tcW w:w="1332" w:type="dxa"/>
            <w:vMerge w:val="continue"/>
            <w:vAlign w:val="center"/>
          </w:tcPr>
          <w:p w14:paraId="2C629AE8">
            <w:pPr>
              <w:pStyle w:val="337"/>
              <w:adjustRightInd w:val="0"/>
              <w:snapToGrid w:val="0"/>
              <w:rPr>
                <w:color w:val="auto"/>
                <w:lang w:val="en-US" w:eastAsia="zh-CN" w:bidi="en-US"/>
              </w:rPr>
            </w:pPr>
          </w:p>
        </w:tc>
      </w:tr>
      <w:tr w14:paraId="5518F6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84" w:type="dxa"/>
            <w:vAlign w:val="center"/>
          </w:tcPr>
          <w:p w14:paraId="4C072D46">
            <w:pPr>
              <w:pStyle w:val="337"/>
              <w:adjustRightInd w:val="0"/>
              <w:snapToGrid w:val="0"/>
              <w:rPr>
                <w:color w:val="auto"/>
                <w:lang w:val="en-US" w:eastAsia="en-US" w:bidi="en-US"/>
              </w:rPr>
            </w:pPr>
            <w:r>
              <w:rPr>
                <w:color w:val="auto"/>
                <w:lang w:val="en-US" w:eastAsia="en-US" w:bidi="en-US"/>
              </w:rPr>
              <w:t>水环境</w:t>
            </w:r>
          </w:p>
        </w:tc>
        <w:tc>
          <w:tcPr>
            <w:tcW w:w="5813" w:type="dxa"/>
            <w:vAlign w:val="center"/>
          </w:tcPr>
          <w:p w14:paraId="7357E2C5">
            <w:pPr>
              <w:pStyle w:val="337"/>
              <w:adjustRightInd w:val="0"/>
              <w:snapToGrid w:val="0"/>
              <w:jc w:val="left"/>
              <w:rPr>
                <w:color w:val="auto"/>
                <w:lang w:val="en-US" w:eastAsia="zh-CN" w:bidi="en-US"/>
              </w:rPr>
            </w:pPr>
            <w:r>
              <w:rPr>
                <w:color w:val="auto"/>
                <w:lang w:val="en-US" w:eastAsia="zh-CN" w:bidi="en-US"/>
              </w:rPr>
              <w:t>钻井废水进入泥浆池。施工过程中产生的各种废弃物应集中收存，不得随意丢弃。</w:t>
            </w:r>
          </w:p>
        </w:tc>
        <w:tc>
          <w:tcPr>
            <w:tcW w:w="1332" w:type="dxa"/>
            <w:vMerge w:val="continue"/>
            <w:vAlign w:val="center"/>
          </w:tcPr>
          <w:p w14:paraId="2EF0FA54">
            <w:pPr>
              <w:pStyle w:val="337"/>
              <w:adjustRightInd w:val="0"/>
              <w:snapToGrid w:val="0"/>
              <w:rPr>
                <w:color w:val="auto"/>
                <w:lang w:val="en-US" w:eastAsia="zh-CN" w:bidi="en-US"/>
              </w:rPr>
            </w:pPr>
          </w:p>
        </w:tc>
      </w:tr>
      <w:tr w14:paraId="1FCAD9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84" w:type="dxa"/>
            <w:vAlign w:val="center"/>
          </w:tcPr>
          <w:p w14:paraId="0D0A52FA">
            <w:pPr>
              <w:pStyle w:val="337"/>
              <w:adjustRightInd w:val="0"/>
              <w:snapToGrid w:val="0"/>
              <w:rPr>
                <w:color w:val="auto"/>
                <w:lang w:val="en-US" w:eastAsia="en-US" w:bidi="en-US"/>
              </w:rPr>
            </w:pPr>
            <w:r>
              <w:rPr>
                <w:color w:val="auto"/>
                <w:lang w:val="en-US" w:eastAsia="en-US" w:bidi="en-US"/>
              </w:rPr>
              <w:t>声环境</w:t>
            </w:r>
          </w:p>
        </w:tc>
        <w:tc>
          <w:tcPr>
            <w:tcW w:w="5813" w:type="dxa"/>
            <w:vAlign w:val="center"/>
          </w:tcPr>
          <w:p w14:paraId="73F28629">
            <w:pPr>
              <w:pStyle w:val="337"/>
              <w:adjustRightInd w:val="0"/>
              <w:snapToGrid w:val="0"/>
              <w:jc w:val="left"/>
              <w:rPr>
                <w:color w:val="auto"/>
                <w:lang w:val="en-US" w:eastAsia="zh-CN" w:bidi="en-US"/>
              </w:rPr>
            </w:pPr>
            <w:r>
              <w:rPr>
                <w:color w:val="auto"/>
                <w:lang w:val="en-US" w:eastAsia="zh-CN" w:bidi="en-US"/>
              </w:rPr>
              <w:t>定期对各类设施进行检查保养，特别是钻井井场的各类设施，确保其处于良好状态，关于减少非稳定运行的强噪声。</w:t>
            </w:r>
          </w:p>
          <w:p w14:paraId="5760269B">
            <w:pPr>
              <w:pStyle w:val="337"/>
              <w:adjustRightInd w:val="0"/>
              <w:snapToGrid w:val="0"/>
              <w:jc w:val="left"/>
              <w:rPr>
                <w:color w:val="auto"/>
                <w:lang w:val="en-US" w:eastAsia="zh-CN" w:bidi="en-US"/>
              </w:rPr>
            </w:pPr>
            <w:r>
              <w:rPr>
                <w:color w:val="auto"/>
                <w:lang w:val="en-US" w:eastAsia="zh-CN" w:bidi="en-US"/>
              </w:rPr>
              <w:t>站场建设等施工过程夜间严禁施工，减少扰民。</w:t>
            </w:r>
          </w:p>
        </w:tc>
        <w:tc>
          <w:tcPr>
            <w:tcW w:w="1332" w:type="dxa"/>
            <w:vMerge w:val="continue"/>
            <w:vAlign w:val="center"/>
          </w:tcPr>
          <w:p w14:paraId="144BC43D">
            <w:pPr>
              <w:pStyle w:val="337"/>
              <w:adjustRightInd w:val="0"/>
              <w:snapToGrid w:val="0"/>
              <w:rPr>
                <w:color w:val="auto"/>
                <w:lang w:val="en-US" w:eastAsia="zh-CN" w:bidi="en-US"/>
              </w:rPr>
            </w:pPr>
          </w:p>
        </w:tc>
      </w:tr>
      <w:tr w14:paraId="2E81DB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84" w:type="dxa"/>
            <w:vAlign w:val="center"/>
          </w:tcPr>
          <w:p w14:paraId="2C6F8C66">
            <w:pPr>
              <w:pStyle w:val="337"/>
              <w:adjustRightInd w:val="0"/>
              <w:snapToGrid w:val="0"/>
              <w:rPr>
                <w:color w:val="auto"/>
                <w:lang w:val="en-US" w:eastAsia="en-US" w:bidi="en-US"/>
              </w:rPr>
            </w:pPr>
            <w:r>
              <w:rPr>
                <w:color w:val="auto"/>
                <w:lang w:val="en-US" w:eastAsia="en-US" w:bidi="en-US"/>
              </w:rPr>
              <w:t>生态环境</w:t>
            </w:r>
          </w:p>
        </w:tc>
        <w:tc>
          <w:tcPr>
            <w:tcW w:w="5813" w:type="dxa"/>
            <w:vAlign w:val="center"/>
          </w:tcPr>
          <w:p w14:paraId="6D6109FC">
            <w:pPr>
              <w:pStyle w:val="337"/>
              <w:adjustRightInd w:val="0"/>
              <w:snapToGrid w:val="0"/>
              <w:jc w:val="left"/>
              <w:rPr>
                <w:color w:val="auto"/>
                <w:lang w:val="en-US" w:eastAsia="zh-CN" w:bidi="en-US"/>
              </w:rPr>
            </w:pPr>
            <w:r>
              <w:rPr>
                <w:color w:val="auto"/>
                <w:lang w:val="en-US" w:eastAsia="zh-CN" w:bidi="en-US"/>
              </w:rPr>
              <w:t>施工过程严格控制占地面积，减少对土壤的扰动和对植被的破坏；施工车辆和设施严格按道行驶，减少对地表的破坏。</w:t>
            </w:r>
          </w:p>
          <w:p w14:paraId="32033A7C">
            <w:pPr>
              <w:pStyle w:val="337"/>
              <w:adjustRightInd w:val="0"/>
              <w:snapToGrid w:val="0"/>
              <w:jc w:val="left"/>
              <w:rPr>
                <w:color w:val="auto"/>
                <w:lang w:val="en-US" w:eastAsia="zh-CN" w:bidi="en-US"/>
              </w:rPr>
            </w:pPr>
            <w:r>
              <w:rPr>
                <w:color w:val="auto"/>
                <w:lang w:val="en-US" w:eastAsia="zh-CN" w:bidi="en-US"/>
              </w:rPr>
              <w:t>管线施工和钻井泥浆池开挖过程中，应尽可能对表层土分开堆放，回填时将表层土填于上部，以利于植被的生长。</w:t>
            </w:r>
          </w:p>
          <w:p w14:paraId="769CF3A3">
            <w:pPr>
              <w:pStyle w:val="337"/>
              <w:adjustRightInd w:val="0"/>
              <w:snapToGrid w:val="0"/>
              <w:jc w:val="left"/>
              <w:rPr>
                <w:color w:val="auto"/>
                <w:lang w:val="en-US" w:eastAsia="zh-CN" w:bidi="en-US"/>
              </w:rPr>
            </w:pPr>
            <w:r>
              <w:rPr>
                <w:color w:val="auto"/>
                <w:lang w:val="en-US" w:eastAsia="zh-CN" w:bidi="en-US"/>
              </w:rPr>
              <w:t>施工临时占地在施工结束后要及时恢复地貌。</w:t>
            </w:r>
          </w:p>
        </w:tc>
        <w:tc>
          <w:tcPr>
            <w:tcW w:w="1332" w:type="dxa"/>
            <w:vMerge w:val="continue"/>
            <w:vAlign w:val="center"/>
          </w:tcPr>
          <w:p w14:paraId="36371C8D">
            <w:pPr>
              <w:pStyle w:val="337"/>
              <w:adjustRightInd w:val="0"/>
              <w:snapToGrid w:val="0"/>
              <w:rPr>
                <w:color w:val="auto"/>
                <w:lang w:val="en-US" w:eastAsia="zh-CN" w:bidi="en-US"/>
              </w:rPr>
            </w:pPr>
          </w:p>
        </w:tc>
      </w:tr>
      <w:tr w14:paraId="58EFC1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84" w:type="dxa"/>
            <w:vAlign w:val="center"/>
          </w:tcPr>
          <w:p w14:paraId="2F1B8207">
            <w:pPr>
              <w:pStyle w:val="337"/>
              <w:adjustRightInd w:val="0"/>
              <w:snapToGrid w:val="0"/>
              <w:rPr>
                <w:color w:val="auto"/>
                <w:lang w:val="en-US" w:eastAsia="en-US" w:bidi="en-US"/>
              </w:rPr>
            </w:pPr>
            <w:r>
              <w:rPr>
                <w:color w:val="auto"/>
                <w:lang w:val="en-US" w:eastAsia="en-US" w:bidi="en-US"/>
              </w:rPr>
              <w:t>固体废物</w:t>
            </w:r>
          </w:p>
        </w:tc>
        <w:tc>
          <w:tcPr>
            <w:tcW w:w="5813" w:type="dxa"/>
            <w:vAlign w:val="center"/>
          </w:tcPr>
          <w:p w14:paraId="5EF44155">
            <w:pPr>
              <w:pStyle w:val="337"/>
              <w:adjustRightInd w:val="0"/>
              <w:snapToGrid w:val="0"/>
              <w:jc w:val="left"/>
              <w:rPr>
                <w:color w:val="auto"/>
                <w:lang w:val="en-US" w:eastAsia="zh-CN" w:bidi="en-US"/>
              </w:rPr>
            </w:pPr>
            <w:r>
              <w:rPr>
                <w:color w:val="auto"/>
                <w:lang w:val="en-US" w:eastAsia="zh-CN" w:bidi="en-US"/>
              </w:rPr>
              <w:t>钻井废弃泥浆的无害化处理应保证效果，确保废弃泥浆中各种污染物得到有效固化，对于固化后有泥浆池应覆土填埋，覆土厚度大于0.5m，地表恢复原貌。</w:t>
            </w:r>
          </w:p>
          <w:p w14:paraId="6D55340C">
            <w:pPr>
              <w:pStyle w:val="337"/>
              <w:adjustRightInd w:val="0"/>
              <w:snapToGrid w:val="0"/>
              <w:jc w:val="left"/>
              <w:rPr>
                <w:color w:val="auto"/>
                <w:lang w:val="en-US" w:eastAsia="zh-CN" w:bidi="en-US"/>
              </w:rPr>
            </w:pPr>
            <w:r>
              <w:rPr>
                <w:color w:val="auto"/>
                <w:lang w:val="en-US" w:eastAsia="zh-CN" w:bidi="en-US"/>
              </w:rPr>
              <w:t>泥浆池覆土上方设置明显的标识，防止其它施工活动将泥浆池挖开，导致泥浆重新露出地表，影响环境。</w:t>
            </w:r>
          </w:p>
          <w:p w14:paraId="342BDBA9">
            <w:pPr>
              <w:pStyle w:val="337"/>
              <w:adjustRightInd w:val="0"/>
              <w:snapToGrid w:val="0"/>
              <w:jc w:val="left"/>
              <w:rPr>
                <w:color w:val="auto"/>
                <w:lang w:val="en-US" w:eastAsia="zh-CN" w:bidi="en-US"/>
              </w:rPr>
            </w:pPr>
            <w:r>
              <w:rPr>
                <w:color w:val="auto"/>
                <w:lang w:val="en-US" w:eastAsia="zh-CN" w:bidi="en-US"/>
              </w:rPr>
              <w:t>各种施工废物和生活垃圾全部集中处理，不得随意丢弃。</w:t>
            </w:r>
          </w:p>
        </w:tc>
        <w:tc>
          <w:tcPr>
            <w:tcW w:w="1332" w:type="dxa"/>
            <w:vMerge w:val="continue"/>
            <w:vAlign w:val="center"/>
          </w:tcPr>
          <w:p w14:paraId="1CBE4739">
            <w:pPr>
              <w:pStyle w:val="337"/>
              <w:adjustRightInd w:val="0"/>
              <w:snapToGrid w:val="0"/>
              <w:rPr>
                <w:color w:val="auto"/>
                <w:lang w:val="en-US" w:eastAsia="zh-CN" w:bidi="en-US"/>
              </w:rPr>
            </w:pPr>
          </w:p>
        </w:tc>
      </w:tr>
      <w:tr w14:paraId="0B17DE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84" w:type="dxa"/>
            <w:vAlign w:val="center"/>
          </w:tcPr>
          <w:p w14:paraId="2480896A">
            <w:pPr>
              <w:pStyle w:val="337"/>
              <w:adjustRightInd w:val="0"/>
              <w:snapToGrid w:val="0"/>
              <w:ind w:firstLine="210" w:firstLineChars="100"/>
              <w:jc w:val="both"/>
              <w:rPr>
                <w:color w:val="auto"/>
                <w:lang w:val="en-US" w:eastAsia="en-US" w:bidi="en-US"/>
              </w:rPr>
            </w:pPr>
            <w:r>
              <w:rPr>
                <w:color w:val="auto"/>
                <w:lang w:val="en-US" w:eastAsia="en-US" w:bidi="en-US"/>
              </w:rPr>
              <w:t>事故风险</w:t>
            </w:r>
          </w:p>
        </w:tc>
        <w:tc>
          <w:tcPr>
            <w:tcW w:w="5813" w:type="dxa"/>
            <w:vAlign w:val="center"/>
          </w:tcPr>
          <w:p w14:paraId="42C6F3D6">
            <w:pPr>
              <w:pStyle w:val="337"/>
              <w:adjustRightInd w:val="0"/>
              <w:snapToGrid w:val="0"/>
              <w:jc w:val="left"/>
              <w:rPr>
                <w:color w:val="auto"/>
                <w:lang w:val="en-US" w:eastAsia="zh-CN" w:bidi="en-US"/>
              </w:rPr>
            </w:pPr>
            <w:r>
              <w:rPr>
                <w:color w:val="auto"/>
                <w:lang w:val="en-US" w:eastAsia="zh-CN" w:bidi="en-US"/>
              </w:rPr>
              <w:t>钻井作业中严格执行井控制措施，防止井喷污染，钻开油层前必须进行检查；注意用火安全，防止火灾。</w:t>
            </w:r>
          </w:p>
          <w:p w14:paraId="62626C1B">
            <w:pPr>
              <w:pStyle w:val="337"/>
              <w:adjustRightInd w:val="0"/>
              <w:snapToGrid w:val="0"/>
              <w:jc w:val="left"/>
              <w:rPr>
                <w:color w:val="auto"/>
                <w:lang w:val="en-US" w:eastAsia="zh-CN" w:bidi="en-US"/>
              </w:rPr>
            </w:pPr>
            <w:r>
              <w:rPr>
                <w:color w:val="auto"/>
                <w:lang w:val="en-US" w:eastAsia="zh-CN" w:bidi="en-US"/>
              </w:rPr>
              <w:t>对钻井处理剂严加管理，以防丢失、被盗。</w:t>
            </w:r>
          </w:p>
          <w:p w14:paraId="77851ACE">
            <w:pPr>
              <w:pStyle w:val="337"/>
              <w:adjustRightInd w:val="0"/>
              <w:snapToGrid w:val="0"/>
              <w:jc w:val="left"/>
              <w:rPr>
                <w:color w:val="auto"/>
                <w:lang w:val="en-US" w:eastAsia="zh-CN" w:bidi="en-US"/>
              </w:rPr>
            </w:pPr>
            <w:r>
              <w:rPr>
                <w:color w:val="auto"/>
                <w:lang w:val="en-US" w:eastAsia="zh-CN" w:bidi="en-US"/>
              </w:rPr>
              <w:t>严禁大风大雨天气进行地面工程施工。</w:t>
            </w:r>
          </w:p>
        </w:tc>
        <w:tc>
          <w:tcPr>
            <w:tcW w:w="1332" w:type="dxa"/>
            <w:vMerge w:val="continue"/>
            <w:vAlign w:val="center"/>
          </w:tcPr>
          <w:p w14:paraId="2D06B291">
            <w:pPr>
              <w:pStyle w:val="337"/>
              <w:adjustRightInd w:val="0"/>
              <w:snapToGrid w:val="0"/>
              <w:rPr>
                <w:color w:val="auto"/>
                <w:lang w:val="en-US" w:eastAsia="zh-CN" w:bidi="en-US"/>
              </w:rPr>
            </w:pPr>
          </w:p>
        </w:tc>
      </w:tr>
      <w:tr w14:paraId="36F179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84" w:type="dxa"/>
            <w:vAlign w:val="center"/>
          </w:tcPr>
          <w:p w14:paraId="28534374">
            <w:pPr>
              <w:pStyle w:val="337"/>
              <w:adjustRightInd w:val="0"/>
              <w:snapToGrid w:val="0"/>
              <w:rPr>
                <w:color w:val="auto"/>
                <w:lang w:val="en-US" w:eastAsia="en-US" w:bidi="en-US"/>
              </w:rPr>
            </w:pPr>
            <w:r>
              <w:rPr>
                <w:color w:val="auto"/>
                <w:lang w:val="en-US" w:eastAsia="en-US" w:bidi="en-US"/>
              </w:rPr>
              <w:t>运行期</w:t>
            </w:r>
          </w:p>
        </w:tc>
        <w:tc>
          <w:tcPr>
            <w:tcW w:w="5813" w:type="dxa"/>
            <w:vAlign w:val="center"/>
          </w:tcPr>
          <w:p w14:paraId="1A888DA2">
            <w:pPr>
              <w:pStyle w:val="337"/>
              <w:adjustRightInd w:val="0"/>
              <w:snapToGrid w:val="0"/>
              <w:jc w:val="left"/>
              <w:rPr>
                <w:color w:val="auto"/>
                <w:lang w:val="en-US" w:eastAsia="en-US" w:bidi="en-US"/>
              </w:rPr>
            </w:pPr>
            <w:r>
              <w:rPr>
                <w:color w:val="auto"/>
                <w:lang w:val="en-US" w:eastAsia="en-US" w:bidi="en-US"/>
              </w:rPr>
              <w:t>环保措施落实阶段</w:t>
            </w:r>
          </w:p>
        </w:tc>
        <w:tc>
          <w:tcPr>
            <w:tcW w:w="1332" w:type="dxa"/>
            <w:vMerge w:val="restart"/>
            <w:vAlign w:val="center"/>
          </w:tcPr>
          <w:p w14:paraId="1965BB47">
            <w:pPr>
              <w:pStyle w:val="337"/>
              <w:adjustRightInd w:val="0"/>
              <w:snapToGrid w:val="0"/>
              <w:rPr>
                <w:color w:val="auto"/>
                <w:lang w:val="en-US" w:eastAsia="zh-CN" w:bidi="en-US"/>
              </w:rPr>
            </w:pPr>
            <w:r>
              <w:rPr>
                <w:color w:val="auto"/>
                <w:lang w:val="en-US" w:eastAsia="zh-CN" w:bidi="en-US"/>
              </w:rPr>
              <w:t>生产主管部门负责执行，环保部门监督检查，政府环保部</w:t>
            </w:r>
            <w:r>
              <w:rPr>
                <w:rFonts w:hint="eastAsia"/>
                <w:color w:val="auto"/>
                <w:lang w:val="en-US" w:eastAsia="zh-CN" w:bidi="en-US"/>
              </w:rPr>
              <w:t>门</w:t>
            </w:r>
            <w:r>
              <w:rPr>
                <w:color w:val="auto"/>
                <w:lang w:val="en-US" w:eastAsia="zh-CN" w:bidi="en-US"/>
              </w:rPr>
              <w:t>抽查。</w:t>
            </w:r>
          </w:p>
        </w:tc>
      </w:tr>
      <w:tr w14:paraId="2C9F7F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84" w:type="dxa"/>
            <w:vAlign w:val="center"/>
          </w:tcPr>
          <w:p w14:paraId="2604980E">
            <w:pPr>
              <w:pStyle w:val="337"/>
              <w:adjustRightInd w:val="0"/>
              <w:snapToGrid w:val="0"/>
              <w:rPr>
                <w:color w:val="auto"/>
                <w:lang w:val="en-US" w:eastAsia="en-US" w:bidi="en-US"/>
              </w:rPr>
            </w:pPr>
            <w:r>
              <w:rPr>
                <w:color w:val="auto"/>
                <w:lang w:val="en-US" w:eastAsia="en-US" w:bidi="en-US"/>
              </w:rPr>
              <w:t>大气环境</w:t>
            </w:r>
          </w:p>
        </w:tc>
        <w:tc>
          <w:tcPr>
            <w:tcW w:w="5813" w:type="dxa"/>
            <w:vAlign w:val="center"/>
          </w:tcPr>
          <w:p w14:paraId="6C5B8457">
            <w:pPr>
              <w:pStyle w:val="337"/>
              <w:adjustRightInd w:val="0"/>
              <w:snapToGrid w:val="0"/>
              <w:jc w:val="left"/>
              <w:rPr>
                <w:color w:val="auto"/>
                <w:lang w:val="en-US" w:eastAsia="zh-CN" w:bidi="en-US"/>
              </w:rPr>
            </w:pPr>
            <w:r>
              <w:rPr>
                <w:color w:val="auto"/>
                <w:lang w:val="en-US" w:eastAsia="zh-CN" w:bidi="en-US"/>
              </w:rPr>
              <w:t>对站场的管线、设备、阀门等定期进行检查，防止跑、冒、滴、漏；及时巡检管线，消除事故隐患。</w:t>
            </w:r>
          </w:p>
          <w:p w14:paraId="2B112CF9">
            <w:pPr>
              <w:pStyle w:val="337"/>
              <w:adjustRightInd w:val="0"/>
              <w:snapToGrid w:val="0"/>
              <w:jc w:val="left"/>
              <w:rPr>
                <w:color w:val="auto"/>
                <w:lang w:val="en-US" w:eastAsia="zh-CN" w:bidi="en-US"/>
              </w:rPr>
            </w:pPr>
            <w:r>
              <w:rPr>
                <w:color w:val="auto"/>
                <w:lang w:val="en-US" w:eastAsia="zh-CN" w:bidi="en-US"/>
              </w:rPr>
              <w:t>在运营期配备洒水车对井场内联络道路进行洒水抑尘。</w:t>
            </w:r>
          </w:p>
        </w:tc>
        <w:tc>
          <w:tcPr>
            <w:tcW w:w="1332" w:type="dxa"/>
            <w:vMerge w:val="continue"/>
            <w:vAlign w:val="center"/>
          </w:tcPr>
          <w:p w14:paraId="3629701D">
            <w:pPr>
              <w:pStyle w:val="337"/>
              <w:adjustRightInd w:val="0"/>
              <w:snapToGrid w:val="0"/>
              <w:rPr>
                <w:color w:val="auto"/>
                <w:lang w:val="en-US" w:eastAsia="zh-CN" w:bidi="en-US"/>
              </w:rPr>
            </w:pPr>
          </w:p>
        </w:tc>
      </w:tr>
      <w:tr w14:paraId="38AA62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84" w:type="dxa"/>
            <w:vAlign w:val="center"/>
          </w:tcPr>
          <w:p w14:paraId="56734204">
            <w:pPr>
              <w:pStyle w:val="337"/>
              <w:adjustRightInd w:val="0"/>
              <w:snapToGrid w:val="0"/>
              <w:rPr>
                <w:color w:val="auto"/>
                <w:lang w:val="en-US" w:eastAsia="en-US" w:bidi="en-US"/>
              </w:rPr>
            </w:pPr>
            <w:r>
              <w:rPr>
                <w:color w:val="auto"/>
                <w:lang w:val="en-US" w:eastAsia="en-US" w:bidi="en-US"/>
              </w:rPr>
              <w:t>水环境</w:t>
            </w:r>
          </w:p>
        </w:tc>
        <w:tc>
          <w:tcPr>
            <w:tcW w:w="5813" w:type="dxa"/>
            <w:vAlign w:val="center"/>
          </w:tcPr>
          <w:p w14:paraId="119D7B98">
            <w:pPr>
              <w:pStyle w:val="337"/>
              <w:adjustRightInd w:val="0"/>
              <w:snapToGrid w:val="0"/>
              <w:jc w:val="left"/>
              <w:rPr>
                <w:color w:val="auto"/>
                <w:lang w:val="en-US" w:eastAsia="zh-CN" w:bidi="en-US"/>
              </w:rPr>
            </w:pPr>
            <w:r>
              <w:rPr>
                <w:color w:val="auto"/>
                <w:lang w:val="en-US" w:eastAsia="zh-CN" w:bidi="en-US"/>
              </w:rPr>
              <w:t>各种生产废水全部排入宝力格联合站内设置的污水处理系统，生活污水经地埋式一体化处理设施处理后用于绿化及道路降尘洒水。</w:t>
            </w:r>
            <w:r>
              <w:rPr>
                <w:rFonts w:hint="eastAsia"/>
                <w:color w:val="auto"/>
                <w:lang w:val="en-US" w:eastAsia="zh-CN" w:bidi="en-US"/>
              </w:rPr>
              <w:t>油井洗井及修井废水进废液池，经有效降解、沉降后经除油罐，与含油废水一同处理。</w:t>
            </w:r>
          </w:p>
          <w:p w14:paraId="18A2D166">
            <w:pPr>
              <w:pStyle w:val="337"/>
              <w:adjustRightInd w:val="0"/>
              <w:snapToGrid w:val="0"/>
              <w:jc w:val="left"/>
              <w:rPr>
                <w:color w:val="auto"/>
                <w:lang w:val="en-US" w:eastAsia="zh-CN" w:bidi="en-US"/>
              </w:rPr>
            </w:pPr>
            <w:r>
              <w:rPr>
                <w:color w:val="auto"/>
                <w:lang w:val="en-US" w:eastAsia="zh-CN" w:bidi="en-US"/>
              </w:rPr>
              <w:t>作业过程中形成的落地原油及时清理回收，防止地表径流。</w:t>
            </w:r>
          </w:p>
        </w:tc>
        <w:tc>
          <w:tcPr>
            <w:tcW w:w="1332" w:type="dxa"/>
            <w:vMerge w:val="continue"/>
            <w:vAlign w:val="center"/>
          </w:tcPr>
          <w:p w14:paraId="18CCA6B9">
            <w:pPr>
              <w:pStyle w:val="337"/>
              <w:adjustRightInd w:val="0"/>
              <w:snapToGrid w:val="0"/>
              <w:rPr>
                <w:color w:val="auto"/>
                <w:lang w:val="en-US" w:eastAsia="zh-CN" w:bidi="en-US"/>
              </w:rPr>
            </w:pPr>
          </w:p>
        </w:tc>
      </w:tr>
      <w:tr w14:paraId="1F8937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84" w:type="dxa"/>
            <w:vAlign w:val="center"/>
          </w:tcPr>
          <w:p w14:paraId="5AB90F69">
            <w:pPr>
              <w:pStyle w:val="337"/>
              <w:adjustRightInd w:val="0"/>
              <w:snapToGrid w:val="0"/>
              <w:rPr>
                <w:color w:val="auto"/>
                <w:lang w:val="en-US" w:eastAsia="en-US" w:bidi="en-US"/>
              </w:rPr>
            </w:pPr>
            <w:r>
              <w:rPr>
                <w:color w:val="auto"/>
                <w:lang w:val="en-US" w:eastAsia="en-US" w:bidi="en-US"/>
              </w:rPr>
              <w:t>生态环境</w:t>
            </w:r>
          </w:p>
        </w:tc>
        <w:tc>
          <w:tcPr>
            <w:tcW w:w="5813" w:type="dxa"/>
            <w:vAlign w:val="center"/>
          </w:tcPr>
          <w:p w14:paraId="43B188EF">
            <w:pPr>
              <w:pStyle w:val="337"/>
              <w:adjustRightInd w:val="0"/>
              <w:snapToGrid w:val="0"/>
              <w:jc w:val="left"/>
              <w:rPr>
                <w:color w:val="auto"/>
                <w:lang w:val="en-US" w:eastAsia="zh-CN" w:bidi="en-US"/>
              </w:rPr>
            </w:pPr>
            <w:r>
              <w:rPr>
                <w:color w:val="auto"/>
                <w:lang w:val="en-US" w:eastAsia="zh-CN" w:bidi="en-US"/>
              </w:rPr>
              <w:t>对临时破坏植被进行生态恢复</w:t>
            </w:r>
          </w:p>
        </w:tc>
        <w:tc>
          <w:tcPr>
            <w:tcW w:w="1332" w:type="dxa"/>
            <w:vMerge w:val="continue"/>
            <w:vAlign w:val="center"/>
          </w:tcPr>
          <w:p w14:paraId="6D9F938C">
            <w:pPr>
              <w:pStyle w:val="337"/>
              <w:adjustRightInd w:val="0"/>
              <w:snapToGrid w:val="0"/>
              <w:rPr>
                <w:color w:val="auto"/>
                <w:lang w:val="en-US" w:eastAsia="zh-CN" w:bidi="en-US"/>
              </w:rPr>
            </w:pPr>
          </w:p>
        </w:tc>
      </w:tr>
      <w:tr w14:paraId="60A301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84" w:type="dxa"/>
            <w:vAlign w:val="center"/>
          </w:tcPr>
          <w:p w14:paraId="5690D25F">
            <w:pPr>
              <w:pStyle w:val="337"/>
              <w:adjustRightInd w:val="0"/>
              <w:snapToGrid w:val="0"/>
              <w:rPr>
                <w:color w:val="auto"/>
                <w:lang w:val="en-US" w:eastAsia="en-US" w:bidi="en-US"/>
              </w:rPr>
            </w:pPr>
            <w:r>
              <w:rPr>
                <w:color w:val="auto"/>
                <w:lang w:val="en-US" w:eastAsia="en-US" w:bidi="en-US"/>
              </w:rPr>
              <w:t>服役后期</w:t>
            </w:r>
          </w:p>
        </w:tc>
        <w:tc>
          <w:tcPr>
            <w:tcW w:w="5813" w:type="dxa"/>
            <w:vAlign w:val="center"/>
          </w:tcPr>
          <w:p w14:paraId="0D0A7BE7">
            <w:pPr>
              <w:pStyle w:val="337"/>
              <w:adjustRightInd w:val="0"/>
              <w:snapToGrid w:val="0"/>
              <w:jc w:val="left"/>
              <w:rPr>
                <w:color w:val="auto"/>
                <w:lang w:val="en-US" w:eastAsia="zh-CN" w:bidi="en-US"/>
              </w:rPr>
            </w:pPr>
            <w:r>
              <w:rPr>
                <w:color w:val="auto"/>
                <w:lang w:val="en-US" w:eastAsia="zh-CN" w:bidi="en-US"/>
              </w:rPr>
              <w:t>环保措施具体见效阶段</w:t>
            </w:r>
          </w:p>
        </w:tc>
        <w:tc>
          <w:tcPr>
            <w:tcW w:w="1332" w:type="dxa"/>
            <w:vMerge w:val="restart"/>
            <w:vAlign w:val="center"/>
          </w:tcPr>
          <w:p w14:paraId="02D4E76F">
            <w:pPr>
              <w:pStyle w:val="337"/>
              <w:adjustRightInd w:val="0"/>
              <w:snapToGrid w:val="0"/>
              <w:rPr>
                <w:color w:val="auto"/>
                <w:lang w:val="en-US" w:eastAsia="zh-CN" w:bidi="en-US"/>
              </w:rPr>
            </w:pPr>
            <w:r>
              <w:rPr>
                <w:color w:val="auto"/>
                <w:lang w:val="en-US" w:eastAsia="zh-CN" w:bidi="en-US"/>
              </w:rPr>
              <w:t>生产单位和管理部门负责执行，地方政府监督检查。</w:t>
            </w:r>
          </w:p>
        </w:tc>
      </w:tr>
      <w:tr w14:paraId="6626C1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84" w:type="dxa"/>
            <w:vAlign w:val="center"/>
          </w:tcPr>
          <w:p w14:paraId="7F2DD537">
            <w:pPr>
              <w:pStyle w:val="337"/>
              <w:adjustRightInd w:val="0"/>
              <w:snapToGrid w:val="0"/>
              <w:rPr>
                <w:color w:val="auto"/>
                <w:lang w:val="en-US" w:eastAsia="en-US" w:bidi="en-US"/>
              </w:rPr>
            </w:pPr>
            <w:r>
              <w:rPr>
                <w:color w:val="auto"/>
                <w:lang w:val="en-US" w:eastAsia="en-US" w:bidi="en-US"/>
              </w:rPr>
              <w:t>地下水</w:t>
            </w:r>
          </w:p>
        </w:tc>
        <w:tc>
          <w:tcPr>
            <w:tcW w:w="5813" w:type="dxa"/>
            <w:vAlign w:val="center"/>
          </w:tcPr>
          <w:p w14:paraId="60E84B98">
            <w:pPr>
              <w:pStyle w:val="337"/>
              <w:adjustRightInd w:val="0"/>
              <w:snapToGrid w:val="0"/>
              <w:jc w:val="left"/>
              <w:rPr>
                <w:color w:val="auto"/>
                <w:lang w:val="en-US" w:eastAsia="zh-CN" w:bidi="en-US"/>
              </w:rPr>
            </w:pPr>
            <w:r>
              <w:rPr>
                <w:color w:val="auto"/>
                <w:lang w:val="en-US" w:eastAsia="zh-CN" w:bidi="en-US"/>
              </w:rPr>
              <w:t>对废弃采油井、注水井进行水泥封固，防止发生油水串层，污染地下水资源。</w:t>
            </w:r>
          </w:p>
        </w:tc>
        <w:tc>
          <w:tcPr>
            <w:tcW w:w="1332" w:type="dxa"/>
            <w:vMerge w:val="continue"/>
            <w:vAlign w:val="center"/>
          </w:tcPr>
          <w:p w14:paraId="5903389B">
            <w:pPr>
              <w:pStyle w:val="337"/>
              <w:adjustRightInd w:val="0"/>
              <w:snapToGrid w:val="0"/>
              <w:rPr>
                <w:color w:val="auto"/>
                <w:lang w:val="en-US" w:eastAsia="zh-CN" w:bidi="en-US"/>
              </w:rPr>
            </w:pPr>
          </w:p>
        </w:tc>
      </w:tr>
      <w:tr w14:paraId="218424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384" w:type="dxa"/>
            <w:vAlign w:val="center"/>
          </w:tcPr>
          <w:p w14:paraId="3FBBFA42">
            <w:pPr>
              <w:pStyle w:val="337"/>
              <w:adjustRightInd w:val="0"/>
              <w:snapToGrid w:val="0"/>
              <w:rPr>
                <w:color w:val="auto"/>
                <w:lang w:val="en-US" w:eastAsia="en-US" w:bidi="en-US"/>
              </w:rPr>
            </w:pPr>
            <w:r>
              <w:rPr>
                <w:color w:val="auto"/>
                <w:lang w:val="en-US" w:eastAsia="en-US" w:bidi="en-US"/>
              </w:rPr>
              <w:t>生态环境</w:t>
            </w:r>
          </w:p>
        </w:tc>
        <w:tc>
          <w:tcPr>
            <w:tcW w:w="5813" w:type="dxa"/>
            <w:vAlign w:val="center"/>
          </w:tcPr>
          <w:p w14:paraId="4BEB4532">
            <w:pPr>
              <w:pStyle w:val="337"/>
              <w:adjustRightInd w:val="0"/>
              <w:snapToGrid w:val="0"/>
              <w:jc w:val="left"/>
              <w:rPr>
                <w:color w:val="auto"/>
                <w:lang w:val="en-US" w:eastAsia="zh-CN" w:bidi="en-US"/>
              </w:rPr>
            </w:pPr>
            <w:r>
              <w:rPr>
                <w:color w:val="auto"/>
                <w:lang w:val="en-US" w:eastAsia="zh-CN" w:bidi="en-US"/>
              </w:rPr>
              <w:t>废弃站场拆除各类设施，彻底清除油品，消除事故隐患。</w:t>
            </w:r>
          </w:p>
          <w:p w14:paraId="01564203">
            <w:pPr>
              <w:pStyle w:val="337"/>
              <w:adjustRightInd w:val="0"/>
              <w:snapToGrid w:val="0"/>
              <w:jc w:val="left"/>
              <w:rPr>
                <w:color w:val="auto"/>
                <w:lang w:val="en-US" w:eastAsia="zh-CN" w:bidi="en-US"/>
              </w:rPr>
            </w:pPr>
            <w:r>
              <w:rPr>
                <w:color w:val="auto"/>
                <w:lang w:val="en-US" w:eastAsia="zh-CN" w:bidi="en-US"/>
              </w:rPr>
              <w:t>站场的绿化植物继续进行管理或移交地方管理。</w:t>
            </w:r>
          </w:p>
        </w:tc>
        <w:tc>
          <w:tcPr>
            <w:tcW w:w="1332" w:type="dxa"/>
            <w:vMerge w:val="continue"/>
            <w:vAlign w:val="center"/>
          </w:tcPr>
          <w:p w14:paraId="103AFBC0">
            <w:pPr>
              <w:pStyle w:val="337"/>
              <w:adjustRightInd w:val="0"/>
              <w:snapToGrid w:val="0"/>
              <w:rPr>
                <w:color w:val="auto"/>
                <w:lang w:val="en-US" w:eastAsia="zh-CN" w:bidi="en-US"/>
              </w:rPr>
            </w:pPr>
          </w:p>
        </w:tc>
      </w:tr>
    </w:tbl>
    <w:p w14:paraId="1C5C4F79">
      <w:pPr>
        <w:autoSpaceDE w:val="0"/>
        <w:autoSpaceDN w:val="0"/>
        <w:spacing w:line="240" w:lineRule="auto"/>
        <w:ind w:firstLine="0" w:firstLineChars="0"/>
        <w:jc w:val="center"/>
        <w:rPr>
          <w:b/>
          <w:lang w:eastAsia="zh-CN"/>
        </w:rPr>
      </w:pPr>
    </w:p>
    <w:p w14:paraId="71D9CAD2">
      <w:pPr>
        <w:autoSpaceDE w:val="0"/>
        <w:autoSpaceDN w:val="0"/>
        <w:spacing w:line="240" w:lineRule="auto"/>
        <w:ind w:firstLine="361" w:firstLineChars="150"/>
        <w:rPr>
          <w:b/>
          <w:lang w:eastAsia="zh-CN"/>
        </w:rPr>
      </w:pPr>
      <w:r>
        <w:rPr>
          <w:b/>
          <w:lang w:eastAsia="zh-CN"/>
        </w:rPr>
        <w:t xml:space="preserve">表15.3-2  </w:t>
      </w:r>
      <w:r>
        <w:rPr>
          <w:rFonts w:hint="eastAsia"/>
          <w:b/>
          <w:lang w:eastAsia="zh-CN"/>
        </w:rPr>
        <w:t xml:space="preserve">   </w:t>
      </w:r>
      <w:r>
        <w:rPr>
          <w:b/>
          <w:lang w:eastAsia="zh-CN"/>
        </w:rPr>
        <w:t>环保工程验收“三同时”一览表</w:t>
      </w:r>
    </w:p>
    <w:tbl>
      <w:tblPr>
        <w:tblStyle w:val="76"/>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11"/>
        <w:gridCol w:w="1980"/>
        <w:gridCol w:w="3550"/>
        <w:gridCol w:w="1788"/>
      </w:tblGrid>
      <w:tr w14:paraId="117B9A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11" w:type="dxa"/>
            <w:vAlign w:val="center"/>
          </w:tcPr>
          <w:p w14:paraId="5070FAC3">
            <w:pPr>
              <w:pStyle w:val="337"/>
              <w:adjustRightInd w:val="0"/>
              <w:snapToGrid w:val="0"/>
              <w:rPr>
                <w:color w:val="auto"/>
                <w:lang w:val="en-US" w:eastAsia="en-US" w:bidi="en-US"/>
              </w:rPr>
            </w:pPr>
            <w:bookmarkStart w:id="1053" w:name="_Toc208825542"/>
            <w:bookmarkStart w:id="1054" w:name="_Toc208829702"/>
            <w:bookmarkStart w:id="1055" w:name="_Toc208829972"/>
            <w:bookmarkStart w:id="1056" w:name="_Toc208825992"/>
            <w:bookmarkStart w:id="1057" w:name="_Toc209538796"/>
            <w:bookmarkStart w:id="1058" w:name="_Toc208828146"/>
            <w:bookmarkStart w:id="1059" w:name="_Toc226348478"/>
            <w:bookmarkStart w:id="1060" w:name="_Toc208826870"/>
            <w:bookmarkStart w:id="1061" w:name="_Toc306547511"/>
            <w:bookmarkStart w:id="1062" w:name="_Toc312228445"/>
            <w:bookmarkStart w:id="1063" w:name="_Toc203878134"/>
            <w:bookmarkStart w:id="1064" w:name="_Toc248649474"/>
            <w:bookmarkStart w:id="1065" w:name="_Toc208824129"/>
            <w:bookmarkStart w:id="1066" w:name="_Toc189535457"/>
            <w:bookmarkStart w:id="1067" w:name="_Toc312229154"/>
            <w:bookmarkStart w:id="1068" w:name="_Toc196215850"/>
            <w:bookmarkStart w:id="1069" w:name="_Toc208827872"/>
            <w:bookmarkStart w:id="1070" w:name="_Toc226349959"/>
            <w:bookmarkStart w:id="1071" w:name="_Toc206995861"/>
            <w:bookmarkStart w:id="1072" w:name="_Toc208826584"/>
            <w:bookmarkStart w:id="1073" w:name="_Toc208830242"/>
            <w:r>
              <w:rPr>
                <w:color w:val="auto"/>
                <w:lang w:val="en-US" w:eastAsia="en-US" w:bidi="en-US"/>
              </w:rPr>
              <w:t>类别</w:t>
            </w:r>
          </w:p>
        </w:tc>
        <w:tc>
          <w:tcPr>
            <w:tcW w:w="1980" w:type="dxa"/>
            <w:vAlign w:val="center"/>
          </w:tcPr>
          <w:p w14:paraId="0BA68B84">
            <w:pPr>
              <w:pStyle w:val="337"/>
              <w:adjustRightInd w:val="0"/>
              <w:snapToGrid w:val="0"/>
              <w:rPr>
                <w:color w:val="auto"/>
                <w:lang w:val="en-US" w:eastAsia="en-US" w:bidi="en-US"/>
              </w:rPr>
            </w:pPr>
            <w:r>
              <w:rPr>
                <w:color w:val="auto"/>
                <w:lang w:val="en-US" w:eastAsia="en-US" w:bidi="en-US"/>
              </w:rPr>
              <w:t>环保措施</w:t>
            </w:r>
          </w:p>
        </w:tc>
        <w:tc>
          <w:tcPr>
            <w:tcW w:w="3550" w:type="dxa"/>
            <w:vAlign w:val="center"/>
          </w:tcPr>
          <w:p w14:paraId="227D9807">
            <w:pPr>
              <w:pStyle w:val="337"/>
              <w:adjustRightInd w:val="0"/>
              <w:snapToGrid w:val="0"/>
              <w:rPr>
                <w:color w:val="auto"/>
                <w:lang w:val="en-US" w:eastAsia="en-US" w:bidi="en-US"/>
              </w:rPr>
            </w:pPr>
            <w:r>
              <w:rPr>
                <w:color w:val="auto"/>
                <w:lang w:val="en-US" w:eastAsia="en-US" w:bidi="en-US"/>
              </w:rPr>
              <w:t>措施说明</w:t>
            </w:r>
          </w:p>
        </w:tc>
        <w:tc>
          <w:tcPr>
            <w:tcW w:w="1788" w:type="dxa"/>
            <w:vAlign w:val="center"/>
          </w:tcPr>
          <w:p w14:paraId="7F44F22C">
            <w:pPr>
              <w:pStyle w:val="337"/>
              <w:adjustRightInd w:val="0"/>
              <w:snapToGrid w:val="0"/>
              <w:rPr>
                <w:color w:val="auto"/>
                <w:lang w:val="en-US" w:eastAsia="en-US" w:bidi="en-US"/>
              </w:rPr>
            </w:pPr>
            <w:r>
              <w:rPr>
                <w:color w:val="auto"/>
                <w:lang w:val="en-US" w:eastAsia="en-US" w:bidi="en-US"/>
              </w:rPr>
              <w:t>实施时间</w:t>
            </w:r>
          </w:p>
        </w:tc>
      </w:tr>
      <w:tr w14:paraId="440DE6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11" w:type="dxa"/>
            <w:vAlign w:val="center"/>
          </w:tcPr>
          <w:p w14:paraId="6A6A4230">
            <w:pPr>
              <w:pStyle w:val="337"/>
              <w:adjustRightInd w:val="0"/>
              <w:snapToGrid w:val="0"/>
              <w:rPr>
                <w:color w:val="auto"/>
                <w:lang w:val="en-US" w:eastAsia="zh-CN" w:bidi="en-US"/>
              </w:rPr>
            </w:pPr>
            <w:r>
              <w:rPr>
                <w:color w:val="auto"/>
                <w:lang w:val="en-US" w:eastAsia="zh-CN" w:bidi="en-US"/>
              </w:rPr>
              <w:t>生态环境</w:t>
            </w:r>
          </w:p>
        </w:tc>
        <w:tc>
          <w:tcPr>
            <w:tcW w:w="1980" w:type="dxa"/>
            <w:vAlign w:val="center"/>
          </w:tcPr>
          <w:p w14:paraId="6382D479">
            <w:pPr>
              <w:pStyle w:val="337"/>
              <w:adjustRightInd w:val="0"/>
              <w:snapToGrid w:val="0"/>
              <w:rPr>
                <w:color w:val="auto"/>
                <w:lang w:val="en-US" w:eastAsia="en-US" w:bidi="en-US"/>
              </w:rPr>
            </w:pPr>
            <w:r>
              <w:rPr>
                <w:color w:val="auto"/>
                <w:lang w:val="en-US" w:eastAsia="en-US" w:bidi="en-US"/>
              </w:rPr>
              <w:t>临时占地土地复垦</w:t>
            </w:r>
          </w:p>
        </w:tc>
        <w:tc>
          <w:tcPr>
            <w:tcW w:w="3550" w:type="dxa"/>
            <w:vAlign w:val="center"/>
          </w:tcPr>
          <w:p w14:paraId="75B88812">
            <w:pPr>
              <w:pStyle w:val="337"/>
              <w:adjustRightInd w:val="0"/>
              <w:snapToGrid w:val="0"/>
              <w:rPr>
                <w:color w:val="auto"/>
                <w:lang w:val="en-US" w:eastAsia="en-US" w:bidi="en-US"/>
              </w:rPr>
            </w:pPr>
            <w:r>
              <w:rPr>
                <w:color w:val="auto"/>
                <w:lang w:val="en-US" w:eastAsia="en-US" w:bidi="en-US"/>
              </w:rPr>
              <w:t>临时占地恢复其功能</w:t>
            </w:r>
          </w:p>
        </w:tc>
        <w:tc>
          <w:tcPr>
            <w:tcW w:w="1788" w:type="dxa"/>
            <w:vAlign w:val="center"/>
          </w:tcPr>
          <w:p w14:paraId="20992D87">
            <w:pPr>
              <w:pStyle w:val="337"/>
              <w:adjustRightInd w:val="0"/>
              <w:snapToGrid w:val="0"/>
              <w:rPr>
                <w:color w:val="auto"/>
                <w:lang w:val="en-US" w:eastAsia="en-US" w:bidi="en-US"/>
              </w:rPr>
            </w:pPr>
            <w:r>
              <w:rPr>
                <w:color w:val="auto"/>
                <w:lang w:val="en-US" w:eastAsia="en-US" w:bidi="en-US"/>
              </w:rPr>
              <w:t>施工后期</w:t>
            </w:r>
          </w:p>
        </w:tc>
      </w:tr>
      <w:tr w14:paraId="211497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11" w:type="dxa"/>
            <w:vMerge w:val="restart"/>
            <w:vAlign w:val="center"/>
          </w:tcPr>
          <w:p w14:paraId="02A7AC5A">
            <w:pPr>
              <w:pStyle w:val="337"/>
              <w:adjustRightInd w:val="0"/>
              <w:snapToGrid w:val="0"/>
              <w:rPr>
                <w:color w:val="auto"/>
                <w:lang w:val="en-US" w:eastAsia="zh-CN" w:bidi="en-US"/>
              </w:rPr>
            </w:pPr>
            <w:r>
              <w:rPr>
                <w:color w:val="auto"/>
                <w:lang w:val="en-US" w:eastAsia="en-US" w:bidi="en-US"/>
              </w:rPr>
              <w:t>大气环境</w:t>
            </w:r>
          </w:p>
        </w:tc>
        <w:tc>
          <w:tcPr>
            <w:tcW w:w="1980" w:type="dxa"/>
            <w:vAlign w:val="center"/>
          </w:tcPr>
          <w:p w14:paraId="7551A082">
            <w:pPr>
              <w:pStyle w:val="337"/>
              <w:adjustRightInd w:val="0"/>
              <w:snapToGrid w:val="0"/>
              <w:rPr>
                <w:color w:val="auto"/>
                <w:lang w:val="en-US" w:eastAsia="en-US" w:bidi="en-US"/>
              </w:rPr>
            </w:pPr>
            <w:r>
              <w:rPr>
                <w:color w:val="auto"/>
                <w:lang w:val="en-US" w:eastAsia="en-US" w:bidi="en-US"/>
              </w:rPr>
              <w:t>减少烃排放</w:t>
            </w:r>
          </w:p>
        </w:tc>
        <w:tc>
          <w:tcPr>
            <w:tcW w:w="3550" w:type="dxa"/>
            <w:vAlign w:val="center"/>
          </w:tcPr>
          <w:p w14:paraId="4E4E594B">
            <w:pPr>
              <w:pStyle w:val="337"/>
              <w:adjustRightInd w:val="0"/>
              <w:snapToGrid w:val="0"/>
              <w:rPr>
                <w:color w:val="auto"/>
                <w:lang w:val="en-US" w:eastAsia="zh-CN" w:bidi="en-US"/>
              </w:rPr>
            </w:pPr>
            <w:r>
              <w:rPr>
                <w:color w:val="auto"/>
                <w:lang w:val="en-US" w:eastAsia="zh-CN" w:bidi="en-US"/>
              </w:rPr>
              <w:t>油井井口及集输管线的密闭</w:t>
            </w:r>
          </w:p>
        </w:tc>
        <w:tc>
          <w:tcPr>
            <w:tcW w:w="1788" w:type="dxa"/>
            <w:vAlign w:val="center"/>
          </w:tcPr>
          <w:p w14:paraId="09E7F035">
            <w:pPr>
              <w:pStyle w:val="337"/>
              <w:adjustRightInd w:val="0"/>
              <w:snapToGrid w:val="0"/>
              <w:rPr>
                <w:color w:val="auto"/>
                <w:lang w:val="en-US" w:eastAsia="zh-CN" w:bidi="en-US"/>
              </w:rPr>
            </w:pPr>
            <w:r>
              <w:rPr>
                <w:rFonts w:hint="eastAsia"/>
                <w:color w:val="auto"/>
                <w:lang w:val="en-US" w:eastAsia="zh-CN" w:bidi="en-US"/>
              </w:rPr>
              <w:t>开发初期</w:t>
            </w:r>
          </w:p>
          <w:p w14:paraId="75ADCE59">
            <w:pPr>
              <w:pStyle w:val="337"/>
              <w:adjustRightInd w:val="0"/>
              <w:snapToGrid w:val="0"/>
              <w:rPr>
                <w:color w:val="auto"/>
                <w:lang w:val="en-US" w:eastAsia="zh-CN" w:bidi="en-US"/>
              </w:rPr>
            </w:pPr>
            <w:r>
              <w:rPr>
                <w:rFonts w:hint="eastAsia"/>
                <w:color w:val="auto"/>
                <w:lang w:val="en-US" w:eastAsia="zh-CN" w:bidi="en-US"/>
              </w:rPr>
              <w:t>运营期</w:t>
            </w:r>
          </w:p>
        </w:tc>
      </w:tr>
      <w:tr w14:paraId="0ADAEA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11" w:type="dxa"/>
            <w:vMerge w:val="continue"/>
            <w:vAlign w:val="center"/>
          </w:tcPr>
          <w:p w14:paraId="23BF50E6">
            <w:pPr>
              <w:pStyle w:val="337"/>
              <w:adjustRightInd w:val="0"/>
              <w:snapToGrid w:val="0"/>
              <w:rPr>
                <w:color w:val="auto"/>
                <w:lang w:val="en-US" w:eastAsia="en-US" w:bidi="en-US"/>
              </w:rPr>
            </w:pPr>
          </w:p>
        </w:tc>
        <w:tc>
          <w:tcPr>
            <w:tcW w:w="1980" w:type="dxa"/>
            <w:vAlign w:val="center"/>
          </w:tcPr>
          <w:p w14:paraId="4D6F9D89">
            <w:pPr>
              <w:pStyle w:val="337"/>
              <w:adjustRightInd w:val="0"/>
              <w:snapToGrid w:val="0"/>
              <w:rPr>
                <w:color w:val="auto"/>
                <w:lang w:val="en-US" w:eastAsia="zh-CN" w:bidi="en-US"/>
              </w:rPr>
            </w:pPr>
            <w:r>
              <w:rPr>
                <w:color w:val="auto"/>
                <w:lang w:val="en-US" w:eastAsia="en-US" w:bidi="en-US"/>
              </w:rPr>
              <w:t>配备洒水车</w:t>
            </w:r>
          </w:p>
        </w:tc>
        <w:tc>
          <w:tcPr>
            <w:tcW w:w="3550" w:type="dxa"/>
            <w:vAlign w:val="center"/>
          </w:tcPr>
          <w:p w14:paraId="523E6B2D">
            <w:pPr>
              <w:pStyle w:val="337"/>
              <w:adjustRightInd w:val="0"/>
              <w:snapToGrid w:val="0"/>
              <w:rPr>
                <w:color w:val="auto"/>
                <w:lang w:val="en-US" w:eastAsia="zh-CN" w:bidi="en-US"/>
              </w:rPr>
            </w:pPr>
            <w:r>
              <w:rPr>
                <w:color w:val="auto"/>
                <w:lang w:val="en-US" w:eastAsia="zh-CN" w:bidi="en-US"/>
              </w:rPr>
              <w:t>对井场内的井排路、通井路等联络道路进行洒水抑尘</w:t>
            </w:r>
          </w:p>
        </w:tc>
        <w:tc>
          <w:tcPr>
            <w:tcW w:w="1788" w:type="dxa"/>
            <w:vAlign w:val="center"/>
          </w:tcPr>
          <w:p w14:paraId="389A4690">
            <w:pPr>
              <w:pStyle w:val="337"/>
              <w:adjustRightInd w:val="0"/>
              <w:snapToGrid w:val="0"/>
              <w:rPr>
                <w:color w:val="auto"/>
                <w:lang w:val="en-US" w:eastAsia="en-US" w:bidi="en-US"/>
              </w:rPr>
            </w:pPr>
            <w:r>
              <w:rPr>
                <w:color w:val="auto"/>
                <w:lang w:val="en-US" w:eastAsia="en-US" w:bidi="en-US"/>
              </w:rPr>
              <w:t>运营期</w:t>
            </w:r>
          </w:p>
        </w:tc>
      </w:tr>
      <w:tr w14:paraId="16847E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11" w:type="dxa"/>
            <w:vMerge w:val="continue"/>
            <w:vAlign w:val="center"/>
          </w:tcPr>
          <w:p w14:paraId="06F0A2CC">
            <w:pPr>
              <w:pStyle w:val="337"/>
              <w:adjustRightInd w:val="0"/>
              <w:snapToGrid w:val="0"/>
              <w:rPr>
                <w:color w:val="auto"/>
                <w:lang w:val="en-US" w:eastAsia="en-US" w:bidi="en-US"/>
              </w:rPr>
            </w:pPr>
          </w:p>
        </w:tc>
        <w:tc>
          <w:tcPr>
            <w:tcW w:w="1980" w:type="dxa"/>
            <w:vAlign w:val="center"/>
          </w:tcPr>
          <w:p w14:paraId="0D3F4F3A">
            <w:pPr>
              <w:pStyle w:val="337"/>
              <w:adjustRightInd w:val="0"/>
              <w:snapToGrid w:val="0"/>
              <w:rPr>
                <w:color w:val="auto"/>
                <w:lang w:val="en-US" w:eastAsia="zh-CN" w:bidi="en-US"/>
              </w:rPr>
            </w:pPr>
            <w:r>
              <w:rPr>
                <w:rFonts w:hint="eastAsia"/>
                <w:color w:val="auto"/>
                <w:lang w:val="en-US" w:eastAsia="zh-CN" w:bidi="en-US"/>
              </w:rPr>
              <w:t>加热锅炉</w:t>
            </w:r>
          </w:p>
          <w:p w14:paraId="14CA6CCD">
            <w:pPr>
              <w:pStyle w:val="337"/>
              <w:adjustRightInd w:val="0"/>
              <w:snapToGrid w:val="0"/>
              <w:rPr>
                <w:color w:val="auto"/>
                <w:lang w:val="en-US" w:eastAsia="zh-CN" w:bidi="en-US"/>
              </w:rPr>
            </w:pPr>
            <w:r>
              <w:rPr>
                <w:rFonts w:hint="eastAsia"/>
                <w:color w:val="auto"/>
                <w:lang w:val="en-US" w:eastAsia="zh-CN" w:bidi="en-US"/>
              </w:rPr>
              <w:t>燃气发电机组</w:t>
            </w:r>
          </w:p>
        </w:tc>
        <w:tc>
          <w:tcPr>
            <w:tcW w:w="3550" w:type="dxa"/>
            <w:vAlign w:val="center"/>
          </w:tcPr>
          <w:p w14:paraId="72304A70">
            <w:pPr>
              <w:pStyle w:val="337"/>
              <w:adjustRightInd w:val="0"/>
              <w:snapToGrid w:val="0"/>
              <w:rPr>
                <w:color w:val="auto"/>
                <w:lang w:val="en-US" w:eastAsia="zh-CN" w:bidi="en-US"/>
              </w:rPr>
            </w:pPr>
            <w:r>
              <w:rPr>
                <w:rFonts w:hint="eastAsia"/>
                <w:color w:val="auto"/>
                <w:lang w:val="en-US" w:eastAsia="zh-CN" w:bidi="en-US"/>
              </w:rPr>
              <w:t>燃烧分离后的伴生气</w:t>
            </w:r>
          </w:p>
        </w:tc>
        <w:tc>
          <w:tcPr>
            <w:tcW w:w="1788" w:type="dxa"/>
            <w:vAlign w:val="center"/>
          </w:tcPr>
          <w:p w14:paraId="0D0AAAD5">
            <w:pPr>
              <w:pStyle w:val="337"/>
              <w:adjustRightInd w:val="0"/>
              <w:snapToGrid w:val="0"/>
              <w:rPr>
                <w:color w:val="auto"/>
                <w:lang w:val="en-US" w:eastAsia="zh-CN" w:bidi="en-US"/>
              </w:rPr>
            </w:pPr>
            <w:r>
              <w:rPr>
                <w:rFonts w:hint="eastAsia"/>
                <w:color w:val="auto"/>
                <w:lang w:val="en-US" w:eastAsia="zh-CN" w:bidi="en-US"/>
              </w:rPr>
              <w:t>运营期</w:t>
            </w:r>
          </w:p>
        </w:tc>
      </w:tr>
      <w:tr w14:paraId="0B1ADF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11" w:type="dxa"/>
            <w:vAlign w:val="center"/>
          </w:tcPr>
          <w:p w14:paraId="001E6DED">
            <w:pPr>
              <w:pStyle w:val="337"/>
              <w:adjustRightInd w:val="0"/>
              <w:snapToGrid w:val="0"/>
              <w:rPr>
                <w:color w:val="auto"/>
                <w:lang w:val="en-US" w:eastAsia="en-US" w:bidi="en-US"/>
              </w:rPr>
            </w:pPr>
            <w:r>
              <w:rPr>
                <w:color w:val="auto"/>
                <w:lang w:val="en-US" w:eastAsia="en-US" w:bidi="en-US"/>
              </w:rPr>
              <w:t>水环境</w:t>
            </w:r>
          </w:p>
        </w:tc>
        <w:tc>
          <w:tcPr>
            <w:tcW w:w="1980" w:type="dxa"/>
            <w:vAlign w:val="center"/>
          </w:tcPr>
          <w:p w14:paraId="1181B8EF">
            <w:pPr>
              <w:pStyle w:val="337"/>
              <w:adjustRightInd w:val="0"/>
              <w:snapToGrid w:val="0"/>
              <w:rPr>
                <w:color w:val="auto"/>
                <w:lang w:val="en-US" w:eastAsia="zh-CN" w:bidi="en-US"/>
              </w:rPr>
            </w:pPr>
            <w:r>
              <w:rPr>
                <w:color w:val="auto"/>
                <w:lang w:val="en-US" w:eastAsia="zh-CN" w:bidi="en-US"/>
              </w:rPr>
              <w:t>含油废水、钻井岩屑、生活</w:t>
            </w:r>
          </w:p>
          <w:p w14:paraId="0CE3242B">
            <w:pPr>
              <w:pStyle w:val="337"/>
              <w:adjustRightInd w:val="0"/>
              <w:snapToGrid w:val="0"/>
              <w:rPr>
                <w:color w:val="auto"/>
                <w:lang w:val="en-US" w:eastAsia="zh-CN" w:bidi="en-US"/>
              </w:rPr>
            </w:pPr>
            <w:r>
              <w:rPr>
                <w:color w:val="auto"/>
                <w:lang w:val="en-US" w:eastAsia="zh-CN" w:bidi="en-US"/>
              </w:rPr>
              <w:t>污水处理</w:t>
            </w:r>
          </w:p>
        </w:tc>
        <w:tc>
          <w:tcPr>
            <w:tcW w:w="3550" w:type="dxa"/>
            <w:vAlign w:val="center"/>
          </w:tcPr>
          <w:p w14:paraId="318A0898">
            <w:pPr>
              <w:pStyle w:val="337"/>
              <w:adjustRightInd w:val="0"/>
              <w:snapToGrid w:val="0"/>
              <w:rPr>
                <w:color w:val="auto"/>
                <w:lang w:val="en-US" w:eastAsia="zh-CN" w:bidi="en-US"/>
              </w:rPr>
            </w:pPr>
            <w:r>
              <w:rPr>
                <w:color w:val="auto"/>
                <w:lang w:val="en-US" w:eastAsia="zh-CN" w:bidi="en-US"/>
              </w:rPr>
              <w:t>含油废水经污水处理系统处理，钻井岩屑排入防渗泥浆池并进行无害化、稳定化及固化处理，生活污水经地埋式一体化处理设施处理</w:t>
            </w:r>
          </w:p>
        </w:tc>
        <w:tc>
          <w:tcPr>
            <w:tcW w:w="1788" w:type="dxa"/>
            <w:vAlign w:val="center"/>
          </w:tcPr>
          <w:p w14:paraId="0DFD3991">
            <w:pPr>
              <w:pStyle w:val="337"/>
              <w:adjustRightInd w:val="0"/>
              <w:snapToGrid w:val="0"/>
              <w:rPr>
                <w:color w:val="auto"/>
                <w:lang w:val="en-US" w:eastAsia="en-US" w:bidi="en-US"/>
              </w:rPr>
            </w:pPr>
            <w:r>
              <w:rPr>
                <w:color w:val="auto"/>
                <w:lang w:val="en-US" w:eastAsia="en-US" w:bidi="en-US"/>
              </w:rPr>
              <w:t>运营期</w:t>
            </w:r>
          </w:p>
        </w:tc>
      </w:tr>
      <w:tr w14:paraId="265E89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11" w:type="dxa"/>
            <w:vAlign w:val="center"/>
          </w:tcPr>
          <w:p w14:paraId="196EFB76">
            <w:pPr>
              <w:pStyle w:val="337"/>
              <w:adjustRightInd w:val="0"/>
              <w:snapToGrid w:val="0"/>
              <w:rPr>
                <w:color w:val="auto"/>
                <w:lang w:val="en-US" w:eastAsia="en-US" w:bidi="en-US"/>
              </w:rPr>
            </w:pPr>
            <w:r>
              <w:rPr>
                <w:color w:val="auto"/>
                <w:lang w:val="en-US" w:eastAsia="en-US" w:bidi="en-US"/>
              </w:rPr>
              <w:t>声环境</w:t>
            </w:r>
          </w:p>
        </w:tc>
        <w:tc>
          <w:tcPr>
            <w:tcW w:w="1980" w:type="dxa"/>
            <w:vAlign w:val="center"/>
          </w:tcPr>
          <w:p w14:paraId="304161BF">
            <w:pPr>
              <w:pStyle w:val="337"/>
              <w:adjustRightInd w:val="0"/>
              <w:snapToGrid w:val="0"/>
              <w:rPr>
                <w:color w:val="auto"/>
                <w:lang w:val="en-US" w:eastAsia="en-US" w:bidi="en-US"/>
              </w:rPr>
            </w:pPr>
            <w:r>
              <w:rPr>
                <w:color w:val="auto"/>
                <w:lang w:val="en-US" w:eastAsia="en-US" w:bidi="en-US"/>
              </w:rPr>
              <w:t>锅炉、泵房减噪</w:t>
            </w:r>
          </w:p>
        </w:tc>
        <w:tc>
          <w:tcPr>
            <w:tcW w:w="3550" w:type="dxa"/>
            <w:vAlign w:val="center"/>
          </w:tcPr>
          <w:p w14:paraId="6BE89A9E">
            <w:pPr>
              <w:pStyle w:val="337"/>
              <w:adjustRightInd w:val="0"/>
              <w:snapToGrid w:val="0"/>
              <w:rPr>
                <w:color w:val="auto"/>
                <w:lang w:val="en-US" w:eastAsia="zh-CN" w:bidi="en-US"/>
              </w:rPr>
            </w:pPr>
            <w:r>
              <w:rPr>
                <w:color w:val="auto"/>
                <w:lang w:val="en-US" w:eastAsia="zh-CN" w:bidi="en-US"/>
              </w:rPr>
              <w:t>机泵设置在泵房内，</w:t>
            </w:r>
            <w:r>
              <w:rPr>
                <w:rFonts w:hint="eastAsia"/>
                <w:color w:val="auto"/>
                <w:lang w:val="en-US" w:eastAsia="zh-CN" w:bidi="en-US"/>
              </w:rPr>
              <w:t>曝气风机设置在风机房内，</w:t>
            </w:r>
            <w:r>
              <w:rPr>
                <w:color w:val="auto"/>
                <w:lang w:val="en-US" w:eastAsia="zh-CN" w:bidi="en-US"/>
              </w:rPr>
              <w:t>设计采取墙壁吸音、设备机座隔振、设置隔声罩等</w:t>
            </w:r>
          </w:p>
        </w:tc>
        <w:tc>
          <w:tcPr>
            <w:tcW w:w="1788" w:type="dxa"/>
            <w:vAlign w:val="center"/>
          </w:tcPr>
          <w:p w14:paraId="4B6C63E8">
            <w:pPr>
              <w:pStyle w:val="337"/>
              <w:adjustRightInd w:val="0"/>
              <w:snapToGrid w:val="0"/>
              <w:rPr>
                <w:color w:val="auto"/>
                <w:lang w:val="en-US" w:eastAsia="en-US" w:bidi="en-US"/>
              </w:rPr>
            </w:pPr>
            <w:r>
              <w:rPr>
                <w:color w:val="auto"/>
                <w:lang w:val="en-US" w:eastAsia="en-US" w:bidi="en-US"/>
              </w:rPr>
              <w:t>运营期</w:t>
            </w:r>
          </w:p>
        </w:tc>
      </w:tr>
      <w:tr w14:paraId="2A48FB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11" w:type="dxa"/>
            <w:vMerge w:val="restart"/>
            <w:vAlign w:val="center"/>
          </w:tcPr>
          <w:p w14:paraId="7E52B230">
            <w:pPr>
              <w:pStyle w:val="337"/>
              <w:adjustRightInd w:val="0"/>
              <w:snapToGrid w:val="0"/>
              <w:rPr>
                <w:color w:val="auto"/>
                <w:lang w:val="en-US" w:eastAsia="en-US" w:bidi="en-US"/>
              </w:rPr>
            </w:pPr>
            <w:r>
              <w:rPr>
                <w:color w:val="auto"/>
                <w:lang w:val="en-US" w:eastAsia="en-US" w:bidi="en-US"/>
              </w:rPr>
              <w:t>固废环境</w:t>
            </w:r>
          </w:p>
        </w:tc>
        <w:tc>
          <w:tcPr>
            <w:tcW w:w="1980" w:type="dxa"/>
            <w:vAlign w:val="center"/>
          </w:tcPr>
          <w:p w14:paraId="5C9B81AB">
            <w:pPr>
              <w:pStyle w:val="337"/>
              <w:adjustRightInd w:val="0"/>
              <w:snapToGrid w:val="0"/>
              <w:rPr>
                <w:color w:val="auto"/>
                <w:lang w:val="en-US" w:eastAsia="zh-CN" w:bidi="en-US"/>
              </w:rPr>
            </w:pPr>
            <w:r>
              <w:rPr>
                <w:color w:val="auto"/>
                <w:lang w:val="en-US" w:eastAsia="en-US" w:bidi="en-US"/>
              </w:rPr>
              <w:t>油泥</w:t>
            </w:r>
            <w:r>
              <w:rPr>
                <w:rFonts w:hint="eastAsia"/>
                <w:color w:val="auto"/>
                <w:lang w:val="en-US" w:eastAsia="zh-CN" w:bidi="en-US"/>
              </w:rPr>
              <w:t>砂</w:t>
            </w:r>
          </w:p>
        </w:tc>
        <w:tc>
          <w:tcPr>
            <w:tcW w:w="3550" w:type="dxa"/>
            <w:vAlign w:val="center"/>
          </w:tcPr>
          <w:p w14:paraId="69DED71D">
            <w:pPr>
              <w:pStyle w:val="337"/>
              <w:adjustRightInd w:val="0"/>
              <w:snapToGrid w:val="0"/>
              <w:rPr>
                <w:color w:val="auto"/>
                <w:lang w:val="en-US" w:eastAsia="zh-CN" w:bidi="en-US"/>
              </w:rPr>
            </w:pPr>
            <w:r>
              <w:rPr>
                <w:rFonts w:hint="eastAsia"/>
                <w:color w:val="auto"/>
                <w:lang w:val="en-US" w:eastAsia="zh-CN" w:bidi="en-US"/>
              </w:rPr>
              <w:t>卸入废液池，与洗井废液和修井废液等一同经有效降解、沉降后回收到除油罐，与采油废水一起处理。</w:t>
            </w:r>
          </w:p>
        </w:tc>
        <w:tc>
          <w:tcPr>
            <w:tcW w:w="1788" w:type="dxa"/>
            <w:vAlign w:val="center"/>
          </w:tcPr>
          <w:p w14:paraId="3ADF13BD">
            <w:pPr>
              <w:pStyle w:val="337"/>
              <w:adjustRightInd w:val="0"/>
              <w:snapToGrid w:val="0"/>
              <w:ind w:firstLine="420" w:firstLineChars="200"/>
              <w:jc w:val="both"/>
              <w:rPr>
                <w:color w:val="auto"/>
                <w:lang w:val="en-US" w:eastAsia="en-US" w:bidi="en-US"/>
              </w:rPr>
            </w:pPr>
            <w:r>
              <w:rPr>
                <w:color w:val="auto"/>
                <w:lang w:val="en-US" w:eastAsia="en-US" w:bidi="en-US"/>
              </w:rPr>
              <w:t>运营期</w:t>
            </w:r>
          </w:p>
        </w:tc>
      </w:tr>
      <w:tr w14:paraId="73FDE6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11" w:type="dxa"/>
            <w:vMerge w:val="continue"/>
            <w:vAlign w:val="center"/>
          </w:tcPr>
          <w:p w14:paraId="325B9555">
            <w:pPr>
              <w:pStyle w:val="337"/>
              <w:adjustRightInd w:val="0"/>
              <w:snapToGrid w:val="0"/>
              <w:rPr>
                <w:color w:val="auto"/>
                <w:lang w:val="en-US" w:eastAsia="zh-CN" w:bidi="en-US"/>
              </w:rPr>
            </w:pPr>
          </w:p>
        </w:tc>
        <w:tc>
          <w:tcPr>
            <w:tcW w:w="1980" w:type="dxa"/>
            <w:vAlign w:val="center"/>
          </w:tcPr>
          <w:p w14:paraId="60E68FE1">
            <w:pPr>
              <w:pStyle w:val="337"/>
              <w:adjustRightInd w:val="0"/>
              <w:snapToGrid w:val="0"/>
              <w:rPr>
                <w:color w:val="auto"/>
                <w:lang w:val="en-US" w:eastAsia="en-US" w:bidi="en-US"/>
              </w:rPr>
            </w:pPr>
            <w:r>
              <w:rPr>
                <w:color w:val="auto"/>
                <w:lang w:val="en-US" w:eastAsia="en-US" w:bidi="en-US"/>
              </w:rPr>
              <w:t>落地油收集</w:t>
            </w:r>
          </w:p>
        </w:tc>
        <w:tc>
          <w:tcPr>
            <w:tcW w:w="3550" w:type="dxa"/>
            <w:vAlign w:val="center"/>
          </w:tcPr>
          <w:p w14:paraId="75E8EF8E">
            <w:pPr>
              <w:pStyle w:val="337"/>
              <w:adjustRightInd w:val="0"/>
              <w:snapToGrid w:val="0"/>
              <w:rPr>
                <w:color w:val="auto"/>
                <w:lang w:val="en-US" w:eastAsia="zh-CN" w:bidi="en-US"/>
              </w:rPr>
            </w:pPr>
            <w:r>
              <w:rPr>
                <w:color w:val="auto"/>
                <w:lang w:val="en-US" w:eastAsia="zh-CN" w:bidi="en-US"/>
              </w:rPr>
              <w:t>铺防渗布</w:t>
            </w:r>
            <w:r>
              <w:rPr>
                <w:rFonts w:hint="eastAsia"/>
                <w:color w:val="auto"/>
                <w:lang w:val="en-US" w:eastAsia="zh-CN" w:bidi="en-US"/>
              </w:rPr>
              <w:t>。带有剩余少量落地油的防渗布卷起来暂存在专业防渗袋中，</w:t>
            </w:r>
            <w:r>
              <w:rPr>
                <w:rFonts w:hint="eastAsia" w:asciiTheme="minorEastAsia" w:hAnsiTheme="minorEastAsia" w:eastAsiaTheme="minorEastAsia"/>
                <w:color w:val="auto"/>
                <w:lang w:val="en-US" w:eastAsia="zh-CN"/>
              </w:rPr>
              <w:t>委托东乌珠穆沁旗高科危险废物处理有限公司进行处置</w:t>
            </w:r>
            <w:r>
              <w:rPr>
                <w:rFonts w:hint="eastAsia"/>
                <w:color w:val="auto"/>
                <w:lang w:val="en-US" w:eastAsia="zh-CN" w:bidi="en-US"/>
              </w:rPr>
              <w:t>。</w:t>
            </w:r>
          </w:p>
        </w:tc>
        <w:tc>
          <w:tcPr>
            <w:tcW w:w="1788" w:type="dxa"/>
            <w:vAlign w:val="center"/>
          </w:tcPr>
          <w:p w14:paraId="7250405A">
            <w:pPr>
              <w:pStyle w:val="337"/>
              <w:adjustRightInd w:val="0"/>
              <w:snapToGrid w:val="0"/>
              <w:rPr>
                <w:color w:val="auto"/>
                <w:lang w:val="en-US" w:eastAsia="en-US" w:bidi="en-US"/>
              </w:rPr>
            </w:pPr>
            <w:r>
              <w:rPr>
                <w:color w:val="auto"/>
                <w:lang w:val="en-US" w:eastAsia="en-US" w:bidi="en-US"/>
              </w:rPr>
              <w:t>运营期</w:t>
            </w:r>
          </w:p>
        </w:tc>
      </w:tr>
      <w:tr w14:paraId="0E73F7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11" w:type="dxa"/>
            <w:vMerge w:val="continue"/>
            <w:vAlign w:val="center"/>
          </w:tcPr>
          <w:p w14:paraId="0C2F3FEA">
            <w:pPr>
              <w:pStyle w:val="337"/>
              <w:adjustRightInd w:val="0"/>
              <w:snapToGrid w:val="0"/>
              <w:rPr>
                <w:color w:val="auto"/>
                <w:lang w:val="en-US" w:eastAsia="en-US" w:bidi="en-US"/>
              </w:rPr>
            </w:pPr>
          </w:p>
        </w:tc>
        <w:tc>
          <w:tcPr>
            <w:tcW w:w="1980" w:type="dxa"/>
            <w:vAlign w:val="center"/>
          </w:tcPr>
          <w:p w14:paraId="1732E865">
            <w:pPr>
              <w:pStyle w:val="337"/>
              <w:adjustRightInd w:val="0"/>
              <w:snapToGrid w:val="0"/>
              <w:rPr>
                <w:color w:val="auto"/>
                <w:lang w:val="en-US" w:eastAsia="en-US" w:bidi="en-US"/>
              </w:rPr>
            </w:pPr>
            <w:r>
              <w:rPr>
                <w:color w:val="auto"/>
                <w:lang w:val="en-US" w:eastAsia="en-US" w:bidi="en-US"/>
              </w:rPr>
              <w:t>泥浆</w:t>
            </w:r>
          </w:p>
        </w:tc>
        <w:tc>
          <w:tcPr>
            <w:tcW w:w="3550" w:type="dxa"/>
            <w:vAlign w:val="center"/>
          </w:tcPr>
          <w:p w14:paraId="61F046F5">
            <w:pPr>
              <w:pStyle w:val="337"/>
              <w:adjustRightInd w:val="0"/>
              <w:snapToGrid w:val="0"/>
              <w:rPr>
                <w:color w:val="auto"/>
                <w:lang w:val="en-US" w:eastAsia="zh-CN" w:bidi="en-US"/>
              </w:rPr>
            </w:pPr>
            <w:r>
              <w:rPr>
                <w:color w:val="auto"/>
                <w:lang w:val="en-US" w:eastAsia="zh-CN" w:bidi="en-US"/>
              </w:rPr>
              <w:t>钻井废弃泥浆进入防渗泥浆池，渗透系数小于10</w:t>
            </w:r>
            <w:r>
              <w:rPr>
                <w:color w:val="auto"/>
                <w:vertAlign w:val="superscript"/>
                <w:lang w:val="en-US" w:eastAsia="zh-CN" w:bidi="en-US"/>
              </w:rPr>
              <w:t>-7</w:t>
            </w:r>
            <w:r>
              <w:rPr>
                <w:color w:val="auto"/>
                <w:lang w:val="en-US" w:eastAsia="zh-CN" w:bidi="en-US"/>
              </w:rPr>
              <w:t>cm/s，废弃泥浆池固化、无害化</w:t>
            </w:r>
            <w:r>
              <w:rPr>
                <w:rFonts w:hint="eastAsia"/>
                <w:color w:val="auto"/>
                <w:lang w:val="en-US" w:eastAsia="zh-CN" w:bidi="en-US"/>
              </w:rPr>
              <w:t>稳定处理，覆土回复植被。</w:t>
            </w:r>
          </w:p>
        </w:tc>
        <w:tc>
          <w:tcPr>
            <w:tcW w:w="1788" w:type="dxa"/>
            <w:vAlign w:val="center"/>
          </w:tcPr>
          <w:p w14:paraId="50436CAC">
            <w:pPr>
              <w:pStyle w:val="337"/>
              <w:adjustRightInd w:val="0"/>
              <w:snapToGrid w:val="0"/>
              <w:rPr>
                <w:color w:val="auto"/>
                <w:lang w:val="en-US" w:eastAsia="zh-CN" w:bidi="en-US"/>
              </w:rPr>
            </w:pPr>
            <w:r>
              <w:rPr>
                <w:color w:val="auto"/>
                <w:lang w:val="en-US" w:eastAsia="zh-CN" w:bidi="en-US"/>
              </w:rPr>
              <w:t>运营期</w:t>
            </w:r>
          </w:p>
        </w:tc>
      </w:tr>
      <w:tr w14:paraId="48D549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11" w:type="dxa"/>
            <w:vAlign w:val="center"/>
          </w:tcPr>
          <w:p w14:paraId="3E4245AA">
            <w:pPr>
              <w:pStyle w:val="337"/>
              <w:adjustRightInd w:val="0"/>
              <w:snapToGrid w:val="0"/>
              <w:rPr>
                <w:color w:val="auto"/>
                <w:lang w:val="en-US" w:eastAsia="zh-CN" w:bidi="en-US"/>
              </w:rPr>
            </w:pPr>
            <w:r>
              <w:rPr>
                <w:color w:val="auto"/>
                <w:lang w:val="en-US" w:eastAsia="zh-CN" w:bidi="en-US"/>
              </w:rPr>
              <w:t>环境风险</w:t>
            </w:r>
          </w:p>
        </w:tc>
        <w:tc>
          <w:tcPr>
            <w:tcW w:w="1980" w:type="dxa"/>
            <w:vAlign w:val="center"/>
          </w:tcPr>
          <w:p w14:paraId="2237659E">
            <w:pPr>
              <w:pStyle w:val="337"/>
              <w:adjustRightInd w:val="0"/>
              <w:snapToGrid w:val="0"/>
              <w:rPr>
                <w:color w:val="auto"/>
                <w:lang w:val="en-US" w:eastAsia="zh-CN" w:bidi="en-US"/>
              </w:rPr>
            </w:pPr>
            <w:r>
              <w:rPr>
                <w:color w:val="auto"/>
                <w:lang w:val="en-US" w:eastAsia="zh-CN" w:bidi="en-US"/>
              </w:rPr>
              <w:t>风险防控</w:t>
            </w:r>
          </w:p>
        </w:tc>
        <w:tc>
          <w:tcPr>
            <w:tcW w:w="3550" w:type="dxa"/>
            <w:vAlign w:val="center"/>
          </w:tcPr>
          <w:p w14:paraId="73E95B02">
            <w:pPr>
              <w:pStyle w:val="337"/>
              <w:adjustRightInd w:val="0"/>
              <w:snapToGrid w:val="0"/>
              <w:rPr>
                <w:color w:val="auto"/>
                <w:lang w:val="en-US" w:eastAsia="zh-CN" w:bidi="en-US"/>
              </w:rPr>
            </w:pPr>
            <w:r>
              <w:rPr>
                <w:color w:val="auto"/>
                <w:lang w:val="en-US" w:eastAsia="zh-CN" w:bidi="en-US"/>
              </w:rPr>
              <w:t>油罐储区建隔油池5×5×3、溢流堰700m</w:t>
            </w:r>
            <w:r>
              <w:rPr>
                <w:color w:val="auto"/>
                <w:vertAlign w:val="superscript"/>
                <w:lang w:val="en-US" w:eastAsia="zh-CN" w:bidi="en-US"/>
              </w:rPr>
              <w:t>3</w:t>
            </w:r>
            <w:r>
              <w:rPr>
                <w:color w:val="auto"/>
                <w:lang w:val="en-US" w:eastAsia="zh-CN" w:bidi="en-US"/>
              </w:rPr>
              <w:t>，地下应急缓冲</w:t>
            </w:r>
            <w:r>
              <w:rPr>
                <w:rFonts w:hint="eastAsia"/>
                <w:color w:val="auto"/>
                <w:lang w:val="en-US" w:eastAsia="zh-CN" w:bidi="en-US"/>
              </w:rPr>
              <w:t>池</w:t>
            </w:r>
            <w:r>
              <w:rPr>
                <w:color w:val="auto"/>
                <w:lang w:val="en-US" w:eastAsia="zh-CN" w:bidi="en-US"/>
              </w:rPr>
              <w:t>10×5×3</w:t>
            </w:r>
          </w:p>
        </w:tc>
        <w:tc>
          <w:tcPr>
            <w:tcW w:w="1788" w:type="dxa"/>
            <w:vAlign w:val="center"/>
          </w:tcPr>
          <w:p w14:paraId="039A37B3">
            <w:pPr>
              <w:pStyle w:val="337"/>
              <w:adjustRightInd w:val="0"/>
              <w:snapToGrid w:val="0"/>
              <w:rPr>
                <w:color w:val="auto"/>
                <w:lang w:val="en-US" w:eastAsia="zh-CN" w:bidi="en-US"/>
              </w:rPr>
            </w:pPr>
            <w:r>
              <w:rPr>
                <w:color w:val="auto"/>
                <w:lang w:val="en-US" w:eastAsia="zh-CN" w:bidi="en-US"/>
              </w:rPr>
              <w:t>施工后期</w:t>
            </w:r>
          </w:p>
        </w:tc>
      </w:tr>
    </w:tbl>
    <w:p w14:paraId="34D358BA">
      <w:pPr>
        <w:pStyle w:val="380"/>
        <w:rPr>
          <w:rFonts w:cs="Times New Roman"/>
          <w:lang w:eastAsia="zh-CN"/>
        </w:rPr>
        <w:sectPr>
          <w:headerReference r:id="rId15" w:type="even"/>
          <w:pgSz w:w="11907" w:h="16840"/>
          <w:pgMar w:top="1440" w:right="1797" w:bottom="1440" w:left="1797" w:header="851" w:footer="992" w:gutter="0"/>
          <w:cols w:space="720" w:num="1"/>
          <w:docGrid w:linePitch="312" w:charSpace="0"/>
        </w:sectPr>
      </w:pPr>
    </w:p>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p w14:paraId="562A0D42">
      <w:pPr>
        <w:pStyle w:val="380"/>
        <w:spacing w:before="0" w:after="0"/>
        <w:rPr>
          <w:rFonts w:cs="Times New Roman"/>
          <w:lang w:eastAsia="zh-CN"/>
        </w:rPr>
      </w:pPr>
      <w:bookmarkStart w:id="1074" w:name="_Toc408414115"/>
      <w:bookmarkStart w:id="1075" w:name="_Toc338663694"/>
      <w:r>
        <w:rPr>
          <w:rFonts w:cs="Times New Roman"/>
          <w:lang w:eastAsia="zh-CN"/>
        </w:rPr>
        <w:t>16公众参与</w:t>
      </w:r>
      <w:bookmarkEnd w:id="1074"/>
    </w:p>
    <w:p w14:paraId="16AE7627">
      <w:pPr>
        <w:pStyle w:val="3"/>
        <w:rPr>
          <w:lang w:eastAsia="zh-CN"/>
        </w:rPr>
      </w:pPr>
      <w:bookmarkStart w:id="1076" w:name="_Toc408414116"/>
      <w:r>
        <w:rPr>
          <w:lang w:eastAsia="zh-CN"/>
        </w:rPr>
        <w:t>16.1公众参与</w:t>
      </w:r>
      <w:r>
        <w:rPr>
          <w:rFonts w:hint="eastAsia"/>
          <w:lang w:eastAsia="zh-CN"/>
        </w:rPr>
        <w:t>的目的和意义</w:t>
      </w:r>
      <w:bookmarkEnd w:id="1076"/>
    </w:p>
    <w:p w14:paraId="5F752DF9">
      <w:pPr>
        <w:ind w:firstLine="480"/>
        <w:rPr>
          <w:rFonts w:asciiTheme="minorEastAsia" w:hAnsiTheme="minorEastAsia" w:eastAsiaTheme="minorEastAsia"/>
          <w:lang w:eastAsia="zh-CN"/>
        </w:rPr>
      </w:pPr>
      <w:r>
        <w:rPr>
          <w:rFonts w:asciiTheme="minorEastAsia" w:hAnsiTheme="minorEastAsia" w:eastAsiaTheme="minorEastAsia"/>
          <w:lang w:eastAsia="zh-CN"/>
        </w:rPr>
        <w:t>根据《中华人民共和国环境保护法》的有关规定，及国务院第253号令《建设项目环境保护管理条例》的要求：</w:t>
      </w:r>
      <w:r>
        <w:rPr>
          <w:rFonts w:hint="eastAsia" w:asciiTheme="minorEastAsia" w:hAnsiTheme="minorEastAsia" w:eastAsiaTheme="minorEastAsia"/>
          <w:lang w:eastAsia="zh-CN"/>
        </w:rPr>
        <w:t>“</w:t>
      </w:r>
      <w:r>
        <w:rPr>
          <w:rFonts w:asciiTheme="minorEastAsia" w:hAnsiTheme="minorEastAsia" w:eastAsiaTheme="minorEastAsia"/>
          <w:lang w:eastAsia="zh-CN"/>
        </w:rPr>
        <w:t>建设单位编制的环境影响报告书，应当依照有关法律规定，征求建设项目所在地有关单位和居民的意见</w:t>
      </w:r>
      <w:r>
        <w:rPr>
          <w:rFonts w:hint="eastAsia" w:asciiTheme="minorEastAsia" w:hAnsiTheme="minorEastAsia" w:eastAsiaTheme="minorEastAsia"/>
          <w:lang w:eastAsia="zh-CN"/>
        </w:rPr>
        <w:t>”</w:t>
      </w:r>
      <w:r>
        <w:rPr>
          <w:rFonts w:asciiTheme="minorEastAsia" w:hAnsiTheme="minorEastAsia" w:eastAsiaTheme="minorEastAsia"/>
          <w:lang w:eastAsia="zh-CN"/>
        </w:rPr>
        <w:t>。</w:t>
      </w:r>
    </w:p>
    <w:p w14:paraId="03099E69">
      <w:pPr>
        <w:ind w:firstLine="480"/>
        <w:rPr>
          <w:rFonts w:asciiTheme="minorEastAsia" w:hAnsiTheme="minorEastAsia" w:eastAsiaTheme="minorEastAsia"/>
          <w:lang w:eastAsia="zh-CN"/>
        </w:rPr>
      </w:pPr>
      <w:r>
        <w:rPr>
          <w:rFonts w:asciiTheme="minorEastAsia" w:hAnsiTheme="minorEastAsia" w:eastAsiaTheme="minorEastAsia"/>
          <w:lang w:eastAsia="zh-CN"/>
        </w:rPr>
        <w:t>公众参与是建设项目环境影响评价的重要组成部分，是完善决策的一种有效方法，有助于确定符合实际的替代方案和设计方案以及减缓措施，有助于广泛取得公众的理解和支持，减缓项目建设带来的社会、经济和环境方面的其它影响。通过公众参与的方式，让其切身利益受影响的沿线政府、社团和公众，了解项目建设情况和可能带来的环境影响，积极为建设献计献策，同时反馈各种意见和建议，完善设计方案，使工程对环境影响减少到最低限度。</w:t>
      </w:r>
    </w:p>
    <w:p w14:paraId="1D5C10D8">
      <w:pPr>
        <w:ind w:firstLine="480"/>
        <w:rPr>
          <w:rFonts w:asciiTheme="minorEastAsia" w:hAnsiTheme="minorEastAsia" w:eastAsiaTheme="minorEastAsia"/>
          <w:lang w:eastAsia="zh-CN"/>
        </w:rPr>
      </w:pPr>
      <w:r>
        <w:rPr>
          <w:rFonts w:asciiTheme="minorEastAsia" w:hAnsiTheme="minorEastAsia" w:eastAsiaTheme="minorEastAsia"/>
          <w:lang w:eastAsia="zh-CN"/>
        </w:rPr>
        <w:t>为充分了解当地各部门和群众的意见，切实保护受影响居民的利益，同时也可为建设单位的设计、施工提供参考意见，项目组根据《环境影响评价公众参与暂行办法》（国家环境保护总局环发[2006]28号文件）开展了公众参与工作</w:t>
      </w:r>
      <w:r>
        <w:rPr>
          <w:rFonts w:hint="eastAsia" w:asciiTheme="minorEastAsia" w:hAnsiTheme="minorEastAsia" w:eastAsiaTheme="minorEastAsia"/>
          <w:lang w:eastAsia="zh-CN"/>
        </w:rPr>
        <w:t>，</w:t>
      </w:r>
      <w:r>
        <w:rPr>
          <w:rFonts w:asciiTheme="minorEastAsia" w:hAnsiTheme="minorEastAsia" w:eastAsiaTheme="minorEastAsia"/>
          <w:lang w:eastAsia="zh-CN"/>
        </w:rPr>
        <w:t>于201</w:t>
      </w:r>
      <w:r>
        <w:rPr>
          <w:rFonts w:hint="eastAsia" w:asciiTheme="minorEastAsia" w:hAnsiTheme="minorEastAsia" w:eastAsiaTheme="minorEastAsia"/>
          <w:lang w:eastAsia="zh-CN"/>
        </w:rPr>
        <w:t>4</w:t>
      </w:r>
      <w:r>
        <w:rPr>
          <w:rFonts w:asciiTheme="minorEastAsia" w:hAnsiTheme="minorEastAsia" w:eastAsiaTheme="minorEastAsia"/>
          <w:lang w:eastAsia="zh-CN"/>
        </w:rPr>
        <w:t>年</w:t>
      </w:r>
      <w:r>
        <w:rPr>
          <w:rFonts w:hint="eastAsia" w:asciiTheme="minorEastAsia" w:hAnsiTheme="minorEastAsia" w:eastAsiaTheme="minorEastAsia"/>
          <w:lang w:eastAsia="zh-CN"/>
        </w:rPr>
        <w:t>10</w:t>
      </w:r>
      <w:r>
        <w:rPr>
          <w:rFonts w:asciiTheme="minorEastAsia" w:hAnsiTheme="minorEastAsia" w:eastAsiaTheme="minorEastAsia"/>
          <w:lang w:eastAsia="zh-CN"/>
        </w:rPr>
        <w:t>月项目组进行了现场踏勘，在</w:t>
      </w:r>
      <w:r>
        <w:rPr>
          <w:rFonts w:hint="eastAsia" w:asciiTheme="minorEastAsia" w:hAnsiTheme="minorEastAsia" w:eastAsiaTheme="minorEastAsia"/>
          <w:lang w:eastAsia="zh-CN"/>
        </w:rPr>
        <w:t>乌里雅斯太油田及乌里雅斯太镇</w:t>
      </w:r>
      <w:r>
        <w:rPr>
          <w:rFonts w:asciiTheme="minorEastAsia" w:hAnsiTheme="minorEastAsia" w:eastAsiaTheme="minorEastAsia"/>
          <w:lang w:eastAsia="zh-CN"/>
        </w:rPr>
        <w:t>主要街道和居民集中地张贴了本</w:t>
      </w:r>
      <w:r>
        <w:rPr>
          <w:rFonts w:hint="eastAsia" w:asciiTheme="minorEastAsia" w:hAnsiTheme="minorEastAsia" w:eastAsiaTheme="minorEastAsia"/>
          <w:lang w:eastAsia="zh-CN"/>
        </w:rPr>
        <w:t>项目</w:t>
      </w:r>
      <w:r>
        <w:rPr>
          <w:rFonts w:asciiTheme="minorEastAsia" w:hAnsiTheme="minorEastAsia" w:eastAsiaTheme="minorEastAsia"/>
          <w:lang w:eastAsia="zh-CN"/>
        </w:rPr>
        <w:t>环境影响评价公告，征询了公众意见</w:t>
      </w:r>
      <w:r>
        <w:rPr>
          <w:rFonts w:hint="eastAsia" w:asciiTheme="minorEastAsia" w:hAnsiTheme="minorEastAsia" w:eastAsiaTheme="minorEastAsia"/>
          <w:lang w:eastAsia="zh-CN"/>
        </w:rPr>
        <w:t>，</w:t>
      </w:r>
      <w:r>
        <w:rPr>
          <w:rFonts w:asciiTheme="minorEastAsia" w:hAnsiTheme="minorEastAsia" w:eastAsiaTheme="minorEastAsia"/>
          <w:lang w:eastAsia="zh-CN"/>
        </w:rPr>
        <w:t>于201</w:t>
      </w:r>
      <w:r>
        <w:rPr>
          <w:rFonts w:hint="eastAsia" w:asciiTheme="minorEastAsia" w:hAnsiTheme="minorEastAsia" w:eastAsiaTheme="minorEastAsia"/>
          <w:lang w:eastAsia="zh-CN"/>
        </w:rPr>
        <w:t>4</w:t>
      </w:r>
      <w:r>
        <w:rPr>
          <w:rFonts w:asciiTheme="minorEastAsia" w:hAnsiTheme="minorEastAsia" w:eastAsiaTheme="minorEastAsia"/>
          <w:lang w:eastAsia="zh-CN"/>
        </w:rPr>
        <w:t>年</w:t>
      </w:r>
      <w:r>
        <w:rPr>
          <w:rFonts w:hint="eastAsia" w:asciiTheme="minorEastAsia" w:hAnsiTheme="minorEastAsia" w:eastAsiaTheme="minorEastAsia"/>
          <w:lang w:eastAsia="zh-CN"/>
        </w:rPr>
        <w:t>11</w:t>
      </w:r>
      <w:r>
        <w:rPr>
          <w:rFonts w:asciiTheme="minorEastAsia" w:hAnsiTheme="minorEastAsia" w:eastAsiaTheme="minorEastAsia"/>
          <w:lang w:eastAsia="zh-CN"/>
        </w:rPr>
        <w:t>月</w:t>
      </w:r>
      <w:r>
        <w:rPr>
          <w:rFonts w:hint="eastAsia" w:asciiTheme="minorEastAsia" w:hAnsiTheme="minorEastAsia" w:eastAsiaTheme="minorEastAsia"/>
          <w:lang w:eastAsia="zh-CN"/>
        </w:rPr>
        <w:t>27</w:t>
      </w:r>
      <w:r>
        <w:rPr>
          <w:rFonts w:asciiTheme="minorEastAsia" w:hAnsiTheme="minorEastAsia" w:eastAsiaTheme="minorEastAsia"/>
          <w:lang w:eastAsia="zh-CN"/>
        </w:rPr>
        <w:t>日在锡盟日报上进行第二次公告。</w:t>
      </w:r>
    </w:p>
    <w:p w14:paraId="6C8CD33F">
      <w:pPr>
        <w:pStyle w:val="3"/>
        <w:rPr>
          <w:lang w:eastAsia="zh-CN"/>
        </w:rPr>
      </w:pPr>
      <w:bookmarkStart w:id="1077" w:name="_Toc408414117"/>
      <w:r>
        <w:rPr>
          <w:lang w:eastAsia="zh-CN"/>
        </w:rPr>
        <w:t>16.</w:t>
      </w:r>
      <w:r>
        <w:rPr>
          <w:rFonts w:hint="eastAsia"/>
          <w:lang w:eastAsia="zh-CN"/>
        </w:rPr>
        <w:t>2</w:t>
      </w:r>
      <w:r>
        <w:rPr>
          <w:lang w:eastAsia="zh-CN"/>
        </w:rPr>
        <w:t>公众参与</w:t>
      </w:r>
      <w:r>
        <w:rPr>
          <w:rFonts w:hint="eastAsia"/>
          <w:lang w:eastAsia="zh-CN"/>
        </w:rPr>
        <w:t>的方式和范围</w:t>
      </w:r>
      <w:bookmarkEnd w:id="1077"/>
    </w:p>
    <w:p w14:paraId="0E18C7E0">
      <w:pPr>
        <w:ind w:firstLine="480"/>
        <w:rPr>
          <w:rFonts w:asciiTheme="minorEastAsia" w:hAnsiTheme="minorEastAsia" w:eastAsiaTheme="minorEastAsia"/>
          <w:lang w:eastAsia="zh-CN"/>
        </w:rPr>
      </w:pPr>
      <w:r>
        <w:rPr>
          <w:rFonts w:asciiTheme="minorEastAsia" w:hAnsiTheme="minorEastAsia" w:eastAsiaTheme="minorEastAsia"/>
          <w:lang w:eastAsia="zh-CN"/>
        </w:rPr>
        <w:t>本次评价公众参与调查以针对性和随机性相结合的原则开展了公众参与工作，根据《环境影响评价公众参与暂行办法》，本次调查使用了现场公示</w:t>
      </w:r>
      <w:r>
        <w:rPr>
          <w:rFonts w:hint="eastAsia" w:asciiTheme="minorEastAsia" w:hAnsiTheme="minorEastAsia" w:eastAsiaTheme="minorEastAsia"/>
          <w:lang w:eastAsia="zh-CN"/>
        </w:rPr>
        <w:t>、</w:t>
      </w:r>
      <w:r>
        <w:rPr>
          <w:rFonts w:asciiTheme="minorEastAsia" w:hAnsiTheme="minorEastAsia" w:eastAsiaTheme="minorEastAsia"/>
          <w:lang w:eastAsia="zh-CN"/>
        </w:rPr>
        <w:t>问卷调查</w:t>
      </w:r>
      <w:r>
        <w:rPr>
          <w:rFonts w:hint="eastAsia" w:asciiTheme="minorEastAsia" w:hAnsiTheme="minorEastAsia" w:eastAsiaTheme="minorEastAsia"/>
          <w:lang w:eastAsia="zh-CN"/>
        </w:rPr>
        <w:t>以及当地主要报纸进行公告</w:t>
      </w:r>
      <w:r>
        <w:rPr>
          <w:rFonts w:asciiTheme="minorEastAsia" w:hAnsiTheme="minorEastAsia" w:eastAsiaTheme="minorEastAsia"/>
          <w:lang w:eastAsia="zh-CN"/>
        </w:rPr>
        <w:t>的方式进行。公众调查主要包括以下方式。</w:t>
      </w:r>
    </w:p>
    <w:p w14:paraId="0F511C2A">
      <w:pPr>
        <w:pStyle w:val="3"/>
        <w:rPr>
          <w:lang w:eastAsia="zh-CN"/>
        </w:rPr>
      </w:pPr>
      <w:bookmarkStart w:id="1078" w:name="_Toc408414118"/>
      <w:r>
        <w:rPr>
          <w:lang w:eastAsia="zh-CN"/>
        </w:rPr>
        <w:t>16.</w:t>
      </w:r>
      <w:r>
        <w:rPr>
          <w:rFonts w:hint="eastAsia"/>
          <w:lang w:eastAsia="zh-CN"/>
        </w:rPr>
        <w:t>3第一次公示</w:t>
      </w:r>
      <w:bookmarkEnd w:id="1078"/>
      <w:r>
        <w:rPr>
          <w:lang w:eastAsia="zh-CN"/>
        </w:rPr>
        <w:t xml:space="preserve"> </w:t>
      </w:r>
    </w:p>
    <w:p w14:paraId="7767B42B">
      <w:pPr>
        <w:pStyle w:val="4"/>
        <w:rPr>
          <w:lang w:eastAsia="zh-CN"/>
        </w:rPr>
      </w:pPr>
      <w:bookmarkStart w:id="1079" w:name="_Toc408414119"/>
      <w:r>
        <w:rPr>
          <w:lang w:eastAsia="zh-CN"/>
        </w:rPr>
        <w:t>16.</w:t>
      </w:r>
      <w:r>
        <w:rPr>
          <w:rFonts w:hint="eastAsia"/>
          <w:lang w:eastAsia="zh-CN"/>
        </w:rPr>
        <w:t>3</w:t>
      </w:r>
      <w:r>
        <w:rPr>
          <w:lang w:eastAsia="zh-CN"/>
        </w:rPr>
        <w:t>.</w:t>
      </w:r>
      <w:r>
        <w:rPr>
          <w:rFonts w:hint="eastAsia"/>
          <w:lang w:eastAsia="zh-CN"/>
        </w:rPr>
        <w:t>1第一次</w:t>
      </w:r>
      <w:r>
        <w:rPr>
          <w:lang w:eastAsia="zh-CN"/>
        </w:rPr>
        <w:t>公示</w:t>
      </w:r>
      <w:bookmarkEnd w:id="1079"/>
    </w:p>
    <w:p w14:paraId="7429CCA6">
      <w:pPr>
        <w:pStyle w:val="351"/>
        <w:spacing w:beforeLines="0" w:line="360" w:lineRule="auto"/>
        <w:rPr>
          <w:rFonts w:asciiTheme="minorEastAsia" w:hAnsiTheme="minorEastAsia" w:eastAsiaTheme="minorEastAsia"/>
          <w:lang w:eastAsia="zh-CN"/>
        </w:rPr>
      </w:pPr>
      <w:r>
        <w:rPr>
          <w:rFonts w:asciiTheme="minorEastAsia" w:hAnsiTheme="minorEastAsia" w:eastAsiaTheme="minorEastAsia"/>
          <w:lang w:eastAsia="zh-CN"/>
        </w:rPr>
        <w:t>接受</w:t>
      </w:r>
      <w:r>
        <w:rPr>
          <w:rFonts w:hint="eastAsia" w:asciiTheme="minorEastAsia" w:hAnsiTheme="minorEastAsia" w:eastAsiaTheme="minorEastAsia"/>
          <w:lang w:eastAsia="zh-CN"/>
        </w:rPr>
        <w:t>建设单位</w:t>
      </w:r>
      <w:r>
        <w:rPr>
          <w:rFonts w:asciiTheme="minorEastAsia" w:hAnsiTheme="minorEastAsia" w:eastAsiaTheme="minorEastAsia"/>
          <w:lang w:eastAsia="zh-CN"/>
        </w:rPr>
        <w:t>委托后，</w:t>
      </w:r>
      <w:r>
        <w:rPr>
          <w:rFonts w:hint="eastAsia" w:asciiTheme="minorEastAsia" w:hAnsiTheme="minorEastAsia" w:eastAsiaTheme="minorEastAsia"/>
          <w:lang w:eastAsia="zh-CN"/>
        </w:rPr>
        <w:t>评价单位</w:t>
      </w:r>
      <w:r>
        <w:rPr>
          <w:rFonts w:asciiTheme="minorEastAsia" w:hAnsiTheme="minorEastAsia" w:eastAsiaTheme="minorEastAsia"/>
          <w:lang w:eastAsia="zh-CN"/>
        </w:rPr>
        <w:t>于201</w:t>
      </w:r>
      <w:r>
        <w:rPr>
          <w:rFonts w:hint="eastAsia" w:asciiTheme="minorEastAsia" w:hAnsiTheme="minorEastAsia" w:eastAsiaTheme="minorEastAsia"/>
          <w:lang w:eastAsia="zh-CN"/>
        </w:rPr>
        <w:t>4</w:t>
      </w:r>
      <w:r>
        <w:rPr>
          <w:rFonts w:asciiTheme="minorEastAsia" w:hAnsiTheme="minorEastAsia" w:eastAsiaTheme="minorEastAsia"/>
          <w:lang w:eastAsia="zh-CN"/>
        </w:rPr>
        <w:t>年</w:t>
      </w:r>
      <w:r>
        <w:rPr>
          <w:rFonts w:hint="eastAsia" w:asciiTheme="minorEastAsia" w:hAnsiTheme="minorEastAsia" w:eastAsiaTheme="minorEastAsia"/>
          <w:lang w:eastAsia="zh-CN"/>
        </w:rPr>
        <w:t>10</w:t>
      </w:r>
      <w:r>
        <w:rPr>
          <w:rFonts w:asciiTheme="minorEastAsia" w:hAnsiTheme="minorEastAsia" w:eastAsiaTheme="minorEastAsia"/>
          <w:lang w:eastAsia="zh-CN"/>
        </w:rPr>
        <w:t>月</w:t>
      </w:r>
      <w:r>
        <w:rPr>
          <w:rFonts w:hint="eastAsia" w:asciiTheme="minorEastAsia" w:hAnsiTheme="minorEastAsia" w:eastAsiaTheme="minorEastAsia"/>
          <w:lang w:eastAsia="zh-CN"/>
        </w:rPr>
        <w:t>18日</w:t>
      </w:r>
      <w:r>
        <w:rPr>
          <w:rFonts w:asciiTheme="minorEastAsia" w:hAnsiTheme="minorEastAsia" w:eastAsiaTheme="minorEastAsia"/>
          <w:lang w:eastAsia="zh-CN"/>
        </w:rPr>
        <w:t>对</w:t>
      </w:r>
      <w:r>
        <w:rPr>
          <w:rFonts w:hint="eastAsia" w:asciiTheme="minorEastAsia" w:hAnsiTheme="minorEastAsia" w:eastAsiaTheme="minorEastAsia"/>
          <w:lang w:eastAsia="zh-CN"/>
        </w:rPr>
        <w:t>《乌里雅斯太油田地面产能开发建设项目环境影响评价报告书》</w:t>
      </w:r>
      <w:r>
        <w:rPr>
          <w:rFonts w:asciiTheme="minorEastAsia" w:hAnsiTheme="minorEastAsia" w:eastAsiaTheme="minorEastAsia"/>
          <w:lang w:eastAsia="zh-CN"/>
        </w:rPr>
        <w:t>进行第一次现场公示，公示地点为</w:t>
      </w:r>
      <w:r>
        <w:rPr>
          <w:rFonts w:hint="eastAsia" w:asciiTheme="minorEastAsia" w:hAnsiTheme="minorEastAsia" w:eastAsiaTheme="minorEastAsia"/>
          <w:lang w:eastAsia="zh-CN"/>
        </w:rPr>
        <w:t>受建设</w:t>
      </w:r>
      <w:r>
        <w:rPr>
          <w:rFonts w:asciiTheme="minorEastAsia" w:hAnsiTheme="minorEastAsia" w:eastAsiaTheme="minorEastAsia"/>
          <w:lang w:eastAsia="zh-CN"/>
        </w:rPr>
        <w:t>项目</w:t>
      </w:r>
      <w:r>
        <w:rPr>
          <w:rFonts w:hint="eastAsia" w:asciiTheme="minorEastAsia" w:hAnsiTheme="minorEastAsia" w:eastAsiaTheme="minorEastAsia"/>
          <w:lang w:eastAsia="zh-CN"/>
        </w:rPr>
        <w:t>影响的乌里雅斯太油田范围以及乌里雅斯太镇</w:t>
      </w:r>
      <w:r>
        <w:rPr>
          <w:rFonts w:asciiTheme="minorEastAsia" w:hAnsiTheme="minorEastAsia" w:eastAsiaTheme="minorEastAsia"/>
          <w:lang w:eastAsia="zh-CN"/>
        </w:rPr>
        <w:t>，</w:t>
      </w:r>
      <w:r>
        <w:rPr>
          <w:rFonts w:hint="eastAsia" w:asciiTheme="minorEastAsia" w:hAnsiTheme="minorEastAsia" w:eastAsiaTheme="minorEastAsia"/>
          <w:lang w:eastAsia="zh-CN"/>
        </w:rPr>
        <w:t>公示对象</w:t>
      </w:r>
      <w:r>
        <w:rPr>
          <w:rFonts w:asciiTheme="minorEastAsia" w:hAnsiTheme="minorEastAsia" w:eastAsiaTheme="minorEastAsia"/>
          <w:lang w:eastAsia="zh-CN"/>
        </w:rPr>
        <w:t>来自社会各阶层，包括不同年龄、文化程度、职业等，具有一定的代表性，就建设项目的基本情况向广大民众告知。</w:t>
      </w:r>
      <w:r>
        <w:rPr>
          <w:rFonts w:hint="eastAsia" w:asciiTheme="minorEastAsia" w:hAnsiTheme="minorEastAsia" w:eastAsiaTheme="minorEastAsia"/>
          <w:lang w:eastAsia="zh-CN"/>
        </w:rPr>
        <w:t>第一次公示内容见表16.1-1。公示情况见图16.1-1。</w:t>
      </w:r>
    </w:p>
    <w:p w14:paraId="2CFB2CB8">
      <w:pPr>
        <w:pStyle w:val="351"/>
        <w:spacing w:beforeLines="0" w:line="360" w:lineRule="auto"/>
        <w:rPr>
          <w:lang w:eastAsia="zh-CN"/>
        </w:rPr>
      </w:pPr>
      <w:r>
        <w:rPr>
          <w:lang w:eastAsia="zh-CN" w:bidi="ar-SA"/>
        </w:rPr>
        <w:drawing>
          <wp:inline distT="0" distB="0" distL="0" distR="0">
            <wp:extent cx="4324350" cy="3171825"/>
            <wp:effectExtent l="19050" t="0" r="0" b="0"/>
            <wp:docPr id="30" name="图片 7" descr="苏和家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descr="苏和家 (6).JPG"/>
                    <pic:cNvPicPr>
                      <a:picLocks noChangeAspect="1" noChangeArrowheads="1"/>
                    </pic:cNvPicPr>
                  </pic:nvPicPr>
                  <pic:blipFill>
                    <a:blip r:embed="rId69" cstate="print"/>
                    <a:srcRect l="23833"/>
                    <a:stretch>
                      <a:fillRect/>
                    </a:stretch>
                  </pic:blipFill>
                  <pic:spPr>
                    <a:xfrm>
                      <a:off x="0" y="0"/>
                      <a:ext cx="4324350" cy="3171825"/>
                    </a:xfrm>
                    <a:prstGeom prst="rect">
                      <a:avLst/>
                    </a:prstGeom>
                    <a:noFill/>
                    <a:ln w="9525">
                      <a:noFill/>
                      <a:miter lim="800000"/>
                      <a:headEnd/>
                      <a:tailEnd/>
                    </a:ln>
                  </pic:spPr>
                </pic:pic>
              </a:graphicData>
            </a:graphic>
          </wp:inline>
        </w:drawing>
      </w:r>
    </w:p>
    <w:p w14:paraId="729E24BC">
      <w:pPr>
        <w:pStyle w:val="351"/>
        <w:spacing w:beforeLines="0" w:line="360" w:lineRule="auto"/>
        <w:rPr>
          <w:lang w:eastAsia="zh-CN"/>
        </w:rPr>
      </w:pPr>
      <w:r>
        <w:rPr>
          <w:lang w:eastAsia="zh-CN" w:bidi="ar-SA"/>
        </w:rPr>
        <w:drawing>
          <wp:inline distT="0" distB="0" distL="0" distR="0">
            <wp:extent cx="4448175" cy="3333750"/>
            <wp:effectExtent l="19050" t="0" r="9525" b="0"/>
            <wp:docPr id="31" name="图片 5" descr="镇区内一次公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descr="镇区内一次公示 (3).JPG"/>
                    <pic:cNvPicPr>
                      <a:picLocks noChangeAspect="1" noChangeArrowheads="1"/>
                    </pic:cNvPicPr>
                  </pic:nvPicPr>
                  <pic:blipFill>
                    <a:blip r:embed="rId70" cstate="print"/>
                    <a:srcRect r="28252"/>
                    <a:stretch>
                      <a:fillRect/>
                    </a:stretch>
                  </pic:blipFill>
                  <pic:spPr>
                    <a:xfrm>
                      <a:off x="0" y="0"/>
                      <a:ext cx="4448175" cy="3333750"/>
                    </a:xfrm>
                    <a:prstGeom prst="rect">
                      <a:avLst/>
                    </a:prstGeom>
                    <a:noFill/>
                    <a:ln w="9525">
                      <a:noFill/>
                      <a:miter lim="800000"/>
                      <a:headEnd/>
                      <a:tailEnd/>
                    </a:ln>
                  </pic:spPr>
                </pic:pic>
              </a:graphicData>
            </a:graphic>
          </wp:inline>
        </w:drawing>
      </w:r>
    </w:p>
    <w:p w14:paraId="7BA19DA8">
      <w:pPr>
        <w:pStyle w:val="351"/>
        <w:tabs>
          <w:tab w:val="left" w:pos="1277"/>
          <w:tab w:val="center" w:pos="4153"/>
        </w:tabs>
        <w:spacing w:beforeLines="0" w:line="360" w:lineRule="auto"/>
        <w:ind w:firstLine="0" w:firstLineChars="0"/>
        <w:jc w:val="center"/>
        <w:rPr>
          <w:b/>
          <w:lang w:eastAsia="zh-CN"/>
        </w:rPr>
      </w:pPr>
      <w:r>
        <w:rPr>
          <w:b/>
          <w:lang w:eastAsia="zh-CN"/>
        </w:rPr>
        <w:tab/>
      </w:r>
      <w:r>
        <w:rPr>
          <w:b/>
          <w:lang w:eastAsia="zh-CN"/>
        </w:rPr>
        <w:t xml:space="preserve">  </w:t>
      </w:r>
    </w:p>
    <w:p w14:paraId="2CF45E79">
      <w:pPr>
        <w:pStyle w:val="351"/>
        <w:spacing w:beforeLines="0" w:line="360" w:lineRule="auto"/>
        <w:ind w:firstLine="0" w:firstLineChars="0"/>
        <w:jc w:val="center"/>
        <w:rPr>
          <w:b/>
          <w:lang w:eastAsia="zh-CN"/>
        </w:rPr>
      </w:pPr>
      <w:r>
        <w:rPr>
          <w:b/>
          <w:lang w:eastAsia="zh-CN"/>
        </w:rPr>
        <w:t>图16.1-1  第一次公示情况</w:t>
      </w:r>
    </w:p>
    <w:p w14:paraId="2ECB9C1D">
      <w:pPr>
        <w:pStyle w:val="203"/>
        <w:spacing w:line="240" w:lineRule="auto"/>
        <w:ind w:firstLine="2289" w:firstLineChars="950"/>
        <w:rPr>
          <w:rFonts w:ascii="Times New Roman" w:hAnsi="Times New Roman"/>
          <w:b/>
        </w:rPr>
      </w:pPr>
      <w:r>
        <w:rPr>
          <w:rFonts w:ascii="Times New Roman" w:hAnsi="Times New Roman"/>
          <w:b/>
        </w:rPr>
        <w:br w:type="page"/>
      </w:r>
      <w:r>
        <w:rPr>
          <w:rFonts w:ascii="Times New Roman" w:hAnsi="Times New Roman"/>
          <w:b/>
        </w:rPr>
        <w:t>表16.1-1   第一次公示内容</w:t>
      </w:r>
    </w:p>
    <w:tbl>
      <w:tblPr>
        <w:tblStyle w:val="76"/>
        <w:tblW w:w="0" w:type="auto"/>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522"/>
      </w:tblGrid>
      <w:tr w14:paraId="58C34FC5">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374" w:hRule="atLeast"/>
        </w:trPr>
        <w:tc>
          <w:tcPr>
            <w:tcW w:w="8522" w:type="dxa"/>
          </w:tcPr>
          <w:p w14:paraId="2EADB57D">
            <w:pPr>
              <w:ind w:firstLine="480"/>
              <w:rPr>
                <w:lang w:eastAsia="zh-CN"/>
              </w:rPr>
            </w:pPr>
            <w:r>
              <w:rPr>
                <w:lang w:eastAsia="zh-CN"/>
              </w:rPr>
              <w:t>乌里雅斯太油田地面产能开发建设项目环境影响评价公众参与</w:t>
            </w:r>
            <w:r>
              <w:rPr>
                <w:rFonts w:hint="eastAsia"/>
                <w:lang w:eastAsia="zh-CN"/>
              </w:rPr>
              <w:t>第一次公示</w:t>
            </w:r>
          </w:p>
          <w:p w14:paraId="57068CE8">
            <w:pPr>
              <w:ind w:firstLine="480"/>
              <w:rPr>
                <w:lang w:eastAsia="zh-CN"/>
              </w:rPr>
            </w:pPr>
            <w:r>
              <w:rPr>
                <w:rFonts w:hint="eastAsia"/>
                <w:lang w:eastAsia="zh-CN"/>
              </w:rPr>
              <w:t>一、 项目概况：</w:t>
            </w:r>
          </w:p>
          <w:p w14:paraId="648662A6">
            <w:pPr>
              <w:ind w:firstLine="480"/>
              <w:rPr>
                <w:lang w:eastAsia="zh-CN"/>
              </w:rPr>
            </w:pPr>
            <w:r>
              <w:rPr>
                <w:lang w:eastAsia="zh-CN"/>
              </w:rPr>
              <w:t>乌里雅斯太油田地面产能开发建设项目</w:t>
            </w:r>
            <w:r>
              <w:rPr>
                <w:rFonts w:hint="eastAsia"/>
                <w:lang w:eastAsia="zh-CN"/>
              </w:rPr>
              <w:t>为改扩建项目。乌里雅斯太油田位于乌里雅斯太镇北约7km，隶属于锡林郭勒盟东乌珠穆沁旗。项目建设包括采油工程和地面工程。采油工程位于太53断块和太27断块，新钻93口井（其中：油井74口，注水井19口），采用地下注水方式开采。地面工程，将雅一站扩建为雅斯联合站，建设规模8×104t/a，主要包括集油、分离、沉降脱水、加热、掺水、伴生气处理、天然气发电、装卸车、注水、污水处理、变配电等功能。建设项目总投资1310万元。</w:t>
            </w:r>
          </w:p>
          <w:p w14:paraId="35EC7088">
            <w:pPr>
              <w:ind w:firstLine="480"/>
              <w:rPr>
                <w:lang w:eastAsia="zh-CN"/>
              </w:rPr>
            </w:pPr>
            <w:r>
              <w:rPr>
                <w:rFonts w:hint="eastAsia"/>
                <w:lang w:eastAsia="zh-CN"/>
              </w:rPr>
              <w:t>二、项目建设涉及的有关问题：</w:t>
            </w:r>
          </w:p>
          <w:p w14:paraId="4A8DCD1B">
            <w:pPr>
              <w:ind w:firstLine="480"/>
              <w:rPr>
                <w:lang w:eastAsia="zh-CN"/>
              </w:rPr>
            </w:pPr>
            <w:r>
              <w:rPr>
                <w:rFonts w:hint="eastAsia"/>
                <w:lang w:eastAsia="zh-CN"/>
              </w:rPr>
              <w:t>1、对水环境的影响：项目产生的钻井废水、洗井废水、采油废水等对地下水环境质量的影响；</w:t>
            </w:r>
          </w:p>
          <w:p w14:paraId="147C568B">
            <w:pPr>
              <w:ind w:firstLine="480"/>
              <w:rPr>
                <w:lang w:eastAsia="zh-CN"/>
              </w:rPr>
            </w:pPr>
            <w:r>
              <w:rPr>
                <w:rFonts w:hint="eastAsia"/>
                <w:lang w:eastAsia="zh-CN"/>
              </w:rPr>
              <w:t>2、对大气环境的影响：项目生产过程中产生燃气加热炉及发电机组排放的废气，以及无组织排放的烃类气体对周围环境的影响；</w:t>
            </w:r>
          </w:p>
          <w:p w14:paraId="00E85ABC">
            <w:pPr>
              <w:ind w:firstLine="480"/>
              <w:rPr>
                <w:lang w:eastAsia="zh-CN"/>
              </w:rPr>
            </w:pPr>
            <w:r>
              <w:rPr>
                <w:rFonts w:hint="eastAsia"/>
                <w:lang w:eastAsia="zh-CN"/>
              </w:rPr>
              <w:t>3、对声环境的影响：施工期和运营期机械噪声以及交通噪声对周围环境的影响；</w:t>
            </w:r>
          </w:p>
          <w:p w14:paraId="567C36F8">
            <w:pPr>
              <w:ind w:firstLine="480"/>
              <w:rPr>
                <w:lang w:eastAsia="zh-CN"/>
              </w:rPr>
            </w:pPr>
            <w:r>
              <w:rPr>
                <w:rFonts w:hint="eastAsia"/>
                <w:lang w:eastAsia="zh-CN"/>
              </w:rPr>
              <w:t>4、项目运行过程中产生的落地油、废岩屑及废弃泥浆等会对环境产生一定的影响。</w:t>
            </w:r>
          </w:p>
          <w:p w14:paraId="235C2813">
            <w:pPr>
              <w:ind w:firstLine="480"/>
              <w:rPr>
                <w:lang w:eastAsia="zh-CN"/>
              </w:rPr>
            </w:pPr>
            <w:r>
              <w:rPr>
                <w:rFonts w:hint="eastAsia"/>
                <w:lang w:eastAsia="zh-CN"/>
              </w:rPr>
              <w:t>5. 对生态环境的影响：项目建设过程中落地油等会对土壤产生一定影响，而且占用草地等也会对当地生态环境造成影响。</w:t>
            </w:r>
          </w:p>
          <w:p w14:paraId="2CCD380A">
            <w:pPr>
              <w:ind w:firstLine="480"/>
              <w:rPr>
                <w:lang w:eastAsia="zh-CN"/>
              </w:rPr>
            </w:pPr>
            <w:r>
              <w:rPr>
                <w:rFonts w:hint="eastAsia"/>
                <w:lang w:eastAsia="zh-CN"/>
              </w:rPr>
              <w:t xml:space="preserve">三、征求公众意见的主要事项 </w:t>
            </w:r>
          </w:p>
          <w:p w14:paraId="15CB238D">
            <w:pPr>
              <w:ind w:firstLine="480"/>
              <w:rPr>
                <w:lang w:eastAsia="zh-CN"/>
              </w:rPr>
            </w:pPr>
            <w:r>
              <w:rPr>
                <w:rFonts w:hint="eastAsia"/>
                <w:lang w:eastAsia="zh-CN"/>
              </w:rPr>
              <w:t>1. 您认为该区域目前最大的环境问题是什么？</w:t>
            </w:r>
          </w:p>
          <w:p w14:paraId="524B166F">
            <w:pPr>
              <w:ind w:firstLine="480"/>
              <w:rPr>
                <w:lang w:eastAsia="zh-CN"/>
              </w:rPr>
            </w:pPr>
            <w:r>
              <w:rPr>
                <w:rFonts w:hint="eastAsia"/>
                <w:lang w:eastAsia="zh-CN"/>
              </w:rPr>
              <w:t>2. 您认为本项目的建设会对周围环境影响如何？</w:t>
            </w:r>
          </w:p>
          <w:p w14:paraId="33D0D059">
            <w:pPr>
              <w:ind w:firstLine="480"/>
              <w:rPr>
                <w:lang w:eastAsia="zh-CN"/>
              </w:rPr>
            </w:pPr>
            <w:r>
              <w:rPr>
                <w:rFonts w:hint="eastAsia"/>
                <w:lang w:eastAsia="zh-CN"/>
              </w:rPr>
              <w:t>3. 您认为项目的选址是否合适？</w:t>
            </w:r>
          </w:p>
          <w:p w14:paraId="2D22C83E">
            <w:pPr>
              <w:ind w:firstLine="480"/>
              <w:rPr>
                <w:lang w:eastAsia="zh-CN"/>
              </w:rPr>
            </w:pPr>
            <w:r>
              <w:rPr>
                <w:rFonts w:hint="eastAsia"/>
                <w:lang w:eastAsia="zh-CN"/>
              </w:rPr>
              <w:t>4. 您是否同意本项目的建设？</w:t>
            </w:r>
          </w:p>
          <w:p w14:paraId="5A811670">
            <w:pPr>
              <w:ind w:firstLine="480"/>
              <w:rPr>
                <w:lang w:eastAsia="zh-CN"/>
              </w:rPr>
            </w:pPr>
            <w:r>
              <w:rPr>
                <w:rFonts w:hint="eastAsia"/>
                <w:lang w:eastAsia="zh-CN"/>
              </w:rPr>
              <w:t>5. 您对本项目有什么其它要求和建议？</w:t>
            </w:r>
          </w:p>
          <w:p w14:paraId="0134508D">
            <w:pPr>
              <w:ind w:firstLine="480"/>
              <w:rPr>
                <w:lang w:eastAsia="zh-CN"/>
              </w:rPr>
            </w:pPr>
            <w:r>
              <w:rPr>
                <w:rFonts w:hint="eastAsia"/>
                <w:lang w:eastAsia="zh-CN"/>
              </w:rPr>
              <w:t xml:space="preserve">四、公众提出意见的主要方式 </w:t>
            </w:r>
          </w:p>
          <w:p w14:paraId="22ADE322">
            <w:pPr>
              <w:ind w:firstLine="480"/>
              <w:rPr>
                <w:lang w:eastAsia="zh-CN"/>
              </w:rPr>
            </w:pPr>
            <w:r>
              <w:rPr>
                <w:rFonts w:hint="eastAsia"/>
                <w:lang w:eastAsia="zh-CN"/>
              </w:rPr>
              <w:t>1. 把意见以书面形式反馈到建设单位、环评机构或主管部门，并留下详细联系方式。</w:t>
            </w:r>
          </w:p>
          <w:p w14:paraId="1AF14971">
            <w:pPr>
              <w:ind w:firstLine="480"/>
              <w:rPr>
                <w:lang w:eastAsia="zh-CN"/>
              </w:rPr>
            </w:pPr>
            <w:r>
              <w:rPr>
                <w:rFonts w:hint="eastAsia"/>
                <w:lang w:eastAsia="zh-CN"/>
              </w:rPr>
              <w:t>2. 填写建设单位或环评单位发放的公众参与调查表。</w:t>
            </w:r>
          </w:p>
          <w:p w14:paraId="18335010">
            <w:pPr>
              <w:ind w:firstLine="480"/>
              <w:rPr>
                <w:lang w:eastAsia="zh-CN"/>
              </w:rPr>
            </w:pPr>
            <w:r>
              <w:rPr>
                <w:rFonts w:hint="eastAsia"/>
                <w:lang w:eastAsia="zh-CN"/>
              </w:rPr>
              <w:t>建设单位：中国石油华北油田公司合作开发项目部  建设联系人：何磊  电话：18604792673  环评单位</w:t>
            </w:r>
            <w:r>
              <w:rPr>
                <w:lang w:eastAsia="zh-CN"/>
              </w:rPr>
              <w:t>名称：</w:t>
            </w:r>
            <w:r>
              <w:rPr>
                <w:rFonts w:hint="eastAsia"/>
                <w:lang w:eastAsia="zh-CN"/>
              </w:rPr>
              <w:t xml:space="preserve">中晟环保科技开发投资有限公司  </w:t>
            </w:r>
            <w:r>
              <w:rPr>
                <w:lang w:eastAsia="zh-CN"/>
              </w:rPr>
              <w:t>联系人：</w:t>
            </w:r>
            <w:r>
              <w:rPr>
                <w:rFonts w:hint="eastAsia"/>
                <w:lang w:eastAsia="zh-CN"/>
              </w:rPr>
              <w:t>于兴华 联系电话：0479-8208955 邮箱：814556282@qq.com</w:t>
            </w:r>
          </w:p>
          <w:p w14:paraId="5F1F710A">
            <w:pPr>
              <w:ind w:firstLine="480"/>
              <w:rPr>
                <w:lang w:eastAsia="zh-CN"/>
              </w:rPr>
            </w:pPr>
            <w:r>
              <w:rPr>
                <w:rFonts w:hint="eastAsia"/>
                <w:lang w:eastAsia="zh-CN"/>
              </w:rPr>
              <w:t>五</w:t>
            </w:r>
            <w:r>
              <w:rPr>
                <w:lang w:eastAsia="zh-CN"/>
              </w:rPr>
              <w:t>、公示时间</w:t>
            </w:r>
          </w:p>
          <w:p w14:paraId="63E0633C">
            <w:pPr>
              <w:ind w:firstLine="480"/>
              <w:rPr>
                <w:lang w:eastAsia="zh-CN"/>
              </w:rPr>
            </w:pPr>
            <w:r>
              <w:rPr>
                <w:lang w:eastAsia="zh-CN"/>
              </w:rPr>
              <w:t>自本公告发布之日起的15日内。</w:t>
            </w:r>
          </w:p>
          <w:p w14:paraId="2A89AFC4">
            <w:pPr>
              <w:ind w:firstLine="4440" w:firstLineChars="1850"/>
              <w:rPr>
                <w:lang w:eastAsia="zh-CN"/>
              </w:rPr>
            </w:pPr>
            <w:r>
              <w:rPr>
                <w:rFonts w:hint="eastAsia"/>
                <w:lang w:eastAsia="zh-CN"/>
              </w:rPr>
              <w:t xml:space="preserve">中晟环保科技开发投资有限公司                                   </w:t>
            </w:r>
          </w:p>
          <w:p w14:paraId="0254F1E7">
            <w:pPr>
              <w:ind w:firstLine="4560" w:firstLineChars="1900"/>
              <w:rPr>
                <w:lang w:eastAsia="zh-CN"/>
              </w:rPr>
            </w:pPr>
            <w:r>
              <w:rPr>
                <w:rFonts w:hint="eastAsia"/>
                <w:lang w:eastAsia="zh-CN"/>
              </w:rPr>
              <w:t>2014 年10月18日</w:t>
            </w:r>
          </w:p>
        </w:tc>
      </w:tr>
    </w:tbl>
    <w:p w14:paraId="600D9489">
      <w:pPr>
        <w:pStyle w:val="4"/>
        <w:rPr>
          <w:lang w:eastAsia="zh-CN"/>
        </w:rPr>
      </w:pPr>
      <w:bookmarkStart w:id="1080" w:name="_Toc408414120"/>
      <w:r>
        <w:rPr>
          <w:lang w:eastAsia="zh-CN"/>
        </w:rPr>
        <w:t>16.</w:t>
      </w:r>
      <w:r>
        <w:rPr>
          <w:rFonts w:hint="eastAsia"/>
          <w:lang w:eastAsia="zh-CN"/>
        </w:rPr>
        <w:t>3</w:t>
      </w:r>
      <w:r>
        <w:rPr>
          <w:lang w:eastAsia="zh-CN"/>
        </w:rPr>
        <w:t>.2</w:t>
      </w:r>
      <w:r>
        <w:rPr>
          <w:rFonts w:hint="eastAsia"/>
          <w:lang w:eastAsia="zh-CN"/>
        </w:rPr>
        <w:t>第一次</w:t>
      </w:r>
      <w:r>
        <w:rPr>
          <w:lang w:eastAsia="zh-CN"/>
        </w:rPr>
        <w:t>公示结果</w:t>
      </w:r>
      <w:bookmarkEnd w:id="1080"/>
    </w:p>
    <w:p w14:paraId="1990AFCA">
      <w:pPr>
        <w:ind w:firstLine="480"/>
        <w:rPr>
          <w:rFonts w:asciiTheme="minorEastAsia" w:hAnsiTheme="minorEastAsia" w:eastAsiaTheme="minorEastAsia"/>
          <w:lang w:eastAsia="zh-CN"/>
        </w:rPr>
      </w:pPr>
      <w:r>
        <w:rPr>
          <w:rFonts w:asciiTheme="minorEastAsia" w:hAnsiTheme="minorEastAsia" w:eastAsiaTheme="minorEastAsia"/>
          <w:lang w:eastAsia="zh-CN"/>
        </w:rPr>
        <w:t>建设单位与评价单位于201</w:t>
      </w:r>
      <w:r>
        <w:rPr>
          <w:rFonts w:hint="eastAsia" w:asciiTheme="minorEastAsia" w:hAnsiTheme="minorEastAsia" w:eastAsiaTheme="minorEastAsia"/>
          <w:lang w:eastAsia="zh-CN"/>
        </w:rPr>
        <w:t>4</w:t>
      </w:r>
      <w:r>
        <w:rPr>
          <w:rFonts w:asciiTheme="minorEastAsia" w:hAnsiTheme="minorEastAsia" w:eastAsiaTheme="minorEastAsia"/>
          <w:lang w:eastAsia="zh-CN"/>
        </w:rPr>
        <w:t>年</w:t>
      </w:r>
      <w:r>
        <w:rPr>
          <w:rFonts w:hint="eastAsia" w:asciiTheme="minorEastAsia" w:hAnsiTheme="minorEastAsia" w:eastAsiaTheme="minorEastAsia"/>
          <w:lang w:eastAsia="zh-CN"/>
        </w:rPr>
        <w:t>10</w:t>
      </w:r>
      <w:r>
        <w:rPr>
          <w:rFonts w:asciiTheme="minorEastAsia" w:hAnsiTheme="minorEastAsia" w:eastAsiaTheme="minorEastAsia"/>
          <w:lang w:eastAsia="zh-CN"/>
        </w:rPr>
        <w:t>月</w:t>
      </w:r>
      <w:r>
        <w:rPr>
          <w:rFonts w:hint="eastAsia" w:asciiTheme="minorEastAsia" w:hAnsiTheme="minorEastAsia" w:eastAsiaTheme="minorEastAsia"/>
          <w:lang w:eastAsia="zh-CN"/>
        </w:rPr>
        <w:t>18日</w:t>
      </w:r>
      <w:r>
        <w:rPr>
          <w:rFonts w:asciiTheme="minorEastAsia" w:hAnsiTheme="minorEastAsia" w:eastAsiaTheme="minorEastAsia"/>
          <w:lang w:eastAsia="zh-CN"/>
        </w:rPr>
        <w:t>进行了环境影响评价第一次公示，公示期间</w:t>
      </w:r>
      <w:r>
        <w:rPr>
          <w:rFonts w:hint="eastAsia" w:asciiTheme="minorEastAsia" w:hAnsiTheme="minorEastAsia" w:eastAsiaTheme="minorEastAsia"/>
          <w:lang w:eastAsia="zh-CN"/>
        </w:rPr>
        <w:t>没有</w:t>
      </w:r>
      <w:r>
        <w:rPr>
          <w:rFonts w:asciiTheme="minorEastAsia" w:hAnsiTheme="minorEastAsia" w:eastAsiaTheme="minorEastAsia"/>
          <w:lang w:eastAsia="zh-CN"/>
        </w:rPr>
        <w:t>收到任何公众的任何反馈信息</w:t>
      </w:r>
      <w:r>
        <w:rPr>
          <w:rFonts w:hint="eastAsia" w:asciiTheme="minorEastAsia" w:hAnsiTheme="minorEastAsia" w:eastAsiaTheme="minorEastAsia"/>
          <w:lang w:eastAsia="zh-CN"/>
        </w:rPr>
        <w:t>，</w:t>
      </w:r>
      <w:r>
        <w:rPr>
          <w:rFonts w:asciiTheme="minorEastAsia" w:hAnsiTheme="minorEastAsia" w:eastAsiaTheme="minorEastAsia"/>
          <w:lang w:eastAsia="zh-CN"/>
        </w:rPr>
        <w:t>没有人发表反对意见。</w:t>
      </w:r>
    </w:p>
    <w:p w14:paraId="30E70746">
      <w:pPr>
        <w:pStyle w:val="3"/>
        <w:rPr>
          <w:lang w:eastAsia="zh-CN"/>
        </w:rPr>
      </w:pPr>
      <w:bookmarkStart w:id="1081" w:name="_Toc408414121"/>
      <w:r>
        <w:rPr>
          <w:lang w:eastAsia="zh-CN"/>
        </w:rPr>
        <w:t>16.</w:t>
      </w:r>
      <w:r>
        <w:rPr>
          <w:rFonts w:hint="eastAsia"/>
          <w:lang w:eastAsia="zh-CN"/>
        </w:rPr>
        <w:t>4</w:t>
      </w:r>
      <w:r>
        <w:rPr>
          <w:lang w:eastAsia="zh-CN"/>
        </w:rPr>
        <w:t>第二次公众参与</w:t>
      </w:r>
      <w:bookmarkEnd w:id="1081"/>
    </w:p>
    <w:p w14:paraId="41F4CC82">
      <w:pPr>
        <w:pStyle w:val="4"/>
        <w:rPr>
          <w:lang w:eastAsia="zh-CN"/>
        </w:rPr>
      </w:pPr>
      <w:bookmarkStart w:id="1082" w:name="_Toc408414122"/>
      <w:r>
        <w:rPr>
          <w:lang w:eastAsia="zh-CN"/>
        </w:rPr>
        <w:t>16.</w:t>
      </w:r>
      <w:r>
        <w:rPr>
          <w:rFonts w:hint="eastAsia"/>
          <w:lang w:eastAsia="zh-CN"/>
        </w:rPr>
        <w:t>4</w:t>
      </w:r>
      <w:r>
        <w:rPr>
          <w:lang w:eastAsia="zh-CN"/>
        </w:rPr>
        <w:t>.1媒体公示</w:t>
      </w:r>
      <w:bookmarkEnd w:id="1082"/>
      <w:r>
        <w:rPr>
          <w:lang w:eastAsia="zh-CN"/>
        </w:rPr>
        <w:t xml:space="preserve">  </w:t>
      </w:r>
    </w:p>
    <w:p w14:paraId="18FE4BAB">
      <w:pPr>
        <w:pStyle w:val="97"/>
        <w:keepNext w:val="0"/>
        <w:ind w:firstLine="491" w:firstLineChars="205"/>
        <w:jc w:val="left"/>
        <w:rPr>
          <w:rFonts w:asciiTheme="minorEastAsia" w:hAnsiTheme="minorEastAsia" w:eastAsiaTheme="minorEastAsia"/>
        </w:rPr>
      </w:pPr>
      <w:r>
        <w:rPr>
          <w:rFonts w:asciiTheme="minorEastAsia" w:hAnsiTheme="minorEastAsia" w:eastAsiaTheme="minorEastAsia"/>
        </w:rPr>
        <w:t>本项目在初稿完成之后，于201</w:t>
      </w:r>
      <w:r>
        <w:rPr>
          <w:rFonts w:hint="eastAsia" w:asciiTheme="minorEastAsia" w:hAnsiTheme="minorEastAsia" w:eastAsiaTheme="minorEastAsia"/>
        </w:rPr>
        <w:t>4</w:t>
      </w:r>
      <w:r>
        <w:rPr>
          <w:rFonts w:asciiTheme="minorEastAsia" w:hAnsiTheme="minorEastAsia" w:eastAsiaTheme="minorEastAsia"/>
        </w:rPr>
        <w:t>年</w:t>
      </w:r>
      <w:r>
        <w:rPr>
          <w:rFonts w:hint="eastAsia" w:asciiTheme="minorEastAsia" w:hAnsiTheme="minorEastAsia" w:eastAsiaTheme="minorEastAsia"/>
        </w:rPr>
        <w:t>11</w:t>
      </w:r>
      <w:r>
        <w:rPr>
          <w:rFonts w:asciiTheme="minorEastAsia" w:hAnsiTheme="minorEastAsia" w:eastAsiaTheme="minorEastAsia"/>
        </w:rPr>
        <w:t>月</w:t>
      </w:r>
      <w:r>
        <w:rPr>
          <w:rFonts w:hint="eastAsia" w:asciiTheme="minorEastAsia" w:hAnsiTheme="minorEastAsia" w:eastAsiaTheme="minorEastAsia"/>
        </w:rPr>
        <w:t>27</w:t>
      </w:r>
      <w:r>
        <w:rPr>
          <w:rFonts w:asciiTheme="minorEastAsia" w:hAnsiTheme="minorEastAsia" w:eastAsiaTheme="minorEastAsia"/>
        </w:rPr>
        <w:t>日在当地报纸《锡林郭勒日报》上进行第二次公示，公示截图见图1</w:t>
      </w:r>
      <w:r>
        <w:rPr>
          <w:rFonts w:hint="eastAsia" w:asciiTheme="minorEastAsia" w:hAnsiTheme="minorEastAsia" w:eastAsiaTheme="minorEastAsia"/>
        </w:rPr>
        <w:t>6</w:t>
      </w:r>
      <w:r>
        <w:rPr>
          <w:rFonts w:asciiTheme="minorEastAsia" w:hAnsiTheme="minorEastAsia" w:eastAsiaTheme="minorEastAsia"/>
        </w:rPr>
        <w:t>.2-</w:t>
      </w:r>
      <w:r>
        <w:rPr>
          <w:rFonts w:hint="eastAsia" w:asciiTheme="minorEastAsia" w:hAnsiTheme="minorEastAsia" w:eastAsiaTheme="minorEastAsia"/>
        </w:rPr>
        <w:t>1</w:t>
      </w:r>
      <w:r>
        <w:rPr>
          <w:rFonts w:asciiTheme="minorEastAsia" w:hAnsiTheme="minorEastAsia" w:eastAsiaTheme="minorEastAsia"/>
        </w:rPr>
        <w:t>。</w:t>
      </w:r>
    </w:p>
    <w:p w14:paraId="50544161">
      <w:pPr>
        <w:pStyle w:val="97"/>
        <w:keepNext w:val="0"/>
        <w:ind w:firstLine="491" w:firstLineChars="205"/>
        <w:jc w:val="left"/>
        <w:rPr>
          <w:rFonts w:asciiTheme="minorEastAsia" w:hAnsiTheme="minorEastAsia" w:eastAsiaTheme="minorEastAsia"/>
        </w:rPr>
      </w:pPr>
      <w:r>
        <w:rPr>
          <w:rFonts w:asciiTheme="minorEastAsia" w:hAnsiTheme="minorEastAsia" w:eastAsiaTheme="minorEastAsia"/>
        </w:rPr>
        <w:drawing>
          <wp:inline distT="0" distB="0" distL="0" distR="0">
            <wp:extent cx="4838700" cy="1285875"/>
            <wp:effectExtent l="19050" t="0" r="0" b="0"/>
            <wp:docPr id="32" name="图片 3" descr="P1060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descr="P1060694.JPG"/>
                    <pic:cNvPicPr>
                      <a:picLocks noChangeAspect="1" noChangeArrowheads="1"/>
                    </pic:cNvPicPr>
                  </pic:nvPicPr>
                  <pic:blipFill>
                    <a:blip r:embed="rId71"/>
                    <a:srcRect t="31808" b="27026"/>
                    <a:stretch>
                      <a:fillRect/>
                    </a:stretch>
                  </pic:blipFill>
                  <pic:spPr>
                    <a:xfrm>
                      <a:off x="0" y="0"/>
                      <a:ext cx="4838700" cy="1285875"/>
                    </a:xfrm>
                    <a:prstGeom prst="rect">
                      <a:avLst/>
                    </a:prstGeom>
                    <a:noFill/>
                    <a:ln w="9525">
                      <a:noFill/>
                      <a:miter lim="800000"/>
                      <a:headEnd/>
                      <a:tailEnd/>
                    </a:ln>
                  </pic:spPr>
                </pic:pic>
              </a:graphicData>
            </a:graphic>
          </wp:inline>
        </w:drawing>
      </w:r>
    </w:p>
    <w:p w14:paraId="253AD1A3">
      <w:pPr>
        <w:pStyle w:val="97"/>
        <w:keepNext w:val="0"/>
        <w:ind w:firstLine="491" w:firstLineChars="205"/>
        <w:jc w:val="left"/>
        <w:rPr>
          <w:rFonts w:asciiTheme="minorEastAsia" w:hAnsiTheme="minorEastAsia" w:eastAsiaTheme="minorEastAsia"/>
        </w:rPr>
      </w:pPr>
      <w:r>
        <w:rPr>
          <w:rFonts w:asciiTheme="minorEastAsia" w:hAnsiTheme="minorEastAsia" w:eastAsiaTheme="minorEastAsia"/>
        </w:rPr>
        <w:drawing>
          <wp:inline distT="0" distB="0" distL="0" distR="0">
            <wp:extent cx="4838700" cy="2428875"/>
            <wp:effectExtent l="19050" t="0" r="0" b="0"/>
            <wp:docPr id="33" name="图片 9" descr="P1060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9" descr="P1060695.jpg"/>
                    <pic:cNvPicPr>
                      <a:picLocks noChangeAspect="1" noChangeArrowheads="1"/>
                    </pic:cNvPicPr>
                  </pic:nvPicPr>
                  <pic:blipFill>
                    <a:blip r:embed="rId72"/>
                    <a:srcRect l="11989" t="6445" r="12173" b="1247"/>
                    <a:stretch>
                      <a:fillRect/>
                    </a:stretch>
                  </pic:blipFill>
                  <pic:spPr>
                    <a:xfrm>
                      <a:off x="0" y="0"/>
                      <a:ext cx="4838700" cy="2428875"/>
                    </a:xfrm>
                    <a:prstGeom prst="rect">
                      <a:avLst/>
                    </a:prstGeom>
                    <a:noFill/>
                    <a:ln w="9525">
                      <a:noFill/>
                      <a:miter lim="800000"/>
                      <a:headEnd/>
                      <a:tailEnd/>
                    </a:ln>
                  </pic:spPr>
                </pic:pic>
              </a:graphicData>
            </a:graphic>
          </wp:inline>
        </w:drawing>
      </w:r>
    </w:p>
    <w:p w14:paraId="1916E6C0">
      <w:pPr>
        <w:pStyle w:val="97"/>
        <w:keepNext w:val="0"/>
        <w:spacing w:line="240" w:lineRule="auto"/>
        <w:ind w:firstLine="0" w:firstLineChars="0"/>
        <w:jc w:val="center"/>
        <w:rPr>
          <w:b/>
        </w:rPr>
      </w:pPr>
      <w:r>
        <w:rPr>
          <w:b/>
        </w:rPr>
        <w:t>图16.2-1  第二次报纸公示情况</w:t>
      </w:r>
    </w:p>
    <w:p w14:paraId="361AA813">
      <w:pPr>
        <w:pStyle w:val="4"/>
        <w:rPr>
          <w:lang w:eastAsia="zh-CN"/>
        </w:rPr>
      </w:pPr>
      <w:bookmarkStart w:id="1083" w:name="_Toc408414123"/>
      <w:r>
        <w:rPr>
          <w:lang w:eastAsia="zh-CN"/>
        </w:rPr>
        <w:t>16.</w:t>
      </w:r>
      <w:r>
        <w:rPr>
          <w:rFonts w:hint="eastAsia"/>
          <w:lang w:eastAsia="zh-CN"/>
        </w:rPr>
        <w:t>4</w:t>
      </w:r>
      <w:r>
        <w:rPr>
          <w:lang w:eastAsia="zh-CN"/>
        </w:rPr>
        <w:t>.2</w:t>
      </w:r>
      <w:r>
        <w:rPr>
          <w:rFonts w:hint="eastAsia"/>
          <w:lang w:eastAsia="zh-CN"/>
        </w:rPr>
        <w:t>第二次</w:t>
      </w:r>
      <w:r>
        <w:rPr>
          <w:lang w:eastAsia="zh-CN"/>
        </w:rPr>
        <w:t>公示结果</w:t>
      </w:r>
      <w:bookmarkEnd w:id="1083"/>
    </w:p>
    <w:p w14:paraId="4F4A0828">
      <w:pPr>
        <w:pStyle w:val="127"/>
        <w:ind w:firstLine="480"/>
        <w:rPr>
          <w:lang w:eastAsia="zh-CN"/>
        </w:rPr>
      </w:pPr>
      <w:r>
        <w:rPr>
          <w:lang w:eastAsia="zh-CN"/>
        </w:rPr>
        <w:t>环评单位于201</w:t>
      </w:r>
      <w:r>
        <w:rPr>
          <w:rFonts w:hint="eastAsia"/>
          <w:lang w:eastAsia="zh-CN"/>
        </w:rPr>
        <w:t>4</w:t>
      </w:r>
      <w:r>
        <w:rPr>
          <w:lang w:eastAsia="zh-CN"/>
        </w:rPr>
        <w:t>年</w:t>
      </w:r>
      <w:r>
        <w:rPr>
          <w:rFonts w:hint="eastAsia"/>
          <w:lang w:eastAsia="zh-CN"/>
        </w:rPr>
        <w:t>11</w:t>
      </w:r>
      <w:r>
        <w:rPr>
          <w:lang w:eastAsia="zh-CN"/>
        </w:rPr>
        <w:t>月</w:t>
      </w:r>
      <w:r>
        <w:rPr>
          <w:rFonts w:hint="eastAsia"/>
          <w:lang w:eastAsia="zh-CN"/>
        </w:rPr>
        <w:t>27</w:t>
      </w:r>
      <w:r>
        <w:rPr>
          <w:lang w:eastAsia="zh-CN"/>
        </w:rPr>
        <w:t>日在</w:t>
      </w:r>
      <w:r>
        <w:rPr>
          <w:rFonts w:asciiTheme="minorEastAsia" w:hAnsiTheme="minorEastAsia" w:eastAsiaTheme="minorEastAsia"/>
          <w:lang w:eastAsia="zh-CN"/>
        </w:rPr>
        <w:t>《锡林郭勒日报》</w:t>
      </w:r>
      <w:r>
        <w:rPr>
          <w:lang w:eastAsia="zh-CN"/>
        </w:rPr>
        <w:t>上进行了环境影响评价第二次公示，公示时间共计10</w:t>
      </w:r>
      <w:r>
        <w:rPr>
          <w:rFonts w:hint="eastAsia"/>
          <w:lang w:eastAsia="zh-CN"/>
        </w:rPr>
        <w:t>个工作</w:t>
      </w:r>
      <w:r>
        <w:rPr>
          <w:lang w:eastAsia="zh-CN"/>
        </w:rPr>
        <w:t>日。公示期间没有人发表反对意见和其他意见建议。</w:t>
      </w:r>
    </w:p>
    <w:p w14:paraId="092E36D8">
      <w:pPr>
        <w:pStyle w:val="3"/>
        <w:rPr>
          <w:lang w:eastAsia="zh-CN"/>
        </w:rPr>
      </w:pPr>
      <w:bookmarkStart w:id="1084" w:name="_Toc408414124"/>
      <w:r>
        <w:rPr>
          <w:lang w:eastAsia="zh-CN"/>
        </w:rPr>
        <w:t xml:space="preserve">16. </w:t>
      </w:r>
      <w:r>
        <w:rPr>
          <w:rFonts w:hint="eastAsia"/>
          <w:lang w:eastAsia="zh-CN"/>
        </w:rPr>
        <w:t>5</w:t>
      </w:r>
      <w:r>
        <w:rPr>
          <w:lang w:eastAsia="zh-CN"/>
        </w:rPr>
        <w:t>问卷调查</w:t>
      </w:r>
      <w:bookmarkEnd w:id="1084"/>
    </w:p>
    <w:p w14:paraId="77B7DDBA">
      <w:pPr>
        <w:pStyle w:val="4"/>
        <w:rPr>
          <w:lang w:eastAsia="zh-CN"/>
        </w:rPr>
      </w:pPr>
      <w:bookmarkStart w:id="1085" w:name="_Toc408414125"/>
      <w:r>
        <w:rPr>
          <w:lang w:eastAsia="zh-CN"/>
        </w:rPr>
        <w:t>16.</w:t>
      </w:r>
      <w:r>
        <w:rPr>
          <w:rFonts w:hint="eastAsia"/>
          <w:lang w:eastAsia="zh-CN"/>
        </w:rPr>
        <w:t>5</w:t>
      </w:r>
      <w:r>
        <w:rPr>
          <w:lang w:eastAsia="zh-CN"/>
        </w:rPr>
        <w:t>.</w:t>
      </w:r>
      <w:r>
        <w:rPr>
          <w:rFonts w:hint="eastAsia"/>
          <w:lang w:eastAsia="zh-CN"/>
        </w:rPr>
        <w:t>1问卷调查</w:t>
      </w:r>
      <w:bookmarkEnd w:id="1085"/>
    </w:p>
    <w:p w14:paraId="6CBC9F3E">
      <w:pPr>
        <w:ind w:firstLine="480"/>
        <w:rPr>
          <w:lang w:eastAsia="zh-CN"/>
        </w:rPr>
      </w:pPr>
      <w:r>
        <w:rPr>
          <w:lang w:eastAsia="zh-CN"/>
        </w:rPr>
        <w:t>为了更清楚、更全面的了解项目建设对环境的影响以及收集项目直接或间接影响居民的建议和要求，公示之后对</w:t>
      </w:r>
      <w:r>
        <w:rPr>
          <w:rFonts w:hint="eastAsia"/>
          <w:lang w:eastAsia="zh-CN"/>
        </w:rPr>
        <w:t>厂区附近</w:t>
      </w:r>
      <w:r>
        <w:rPr>
          <w:lang w:eastAsia="zh-CN"/>
        </w:rPr>
        <w:t>直接受影响的</w:t>
      </w:r>
      <w:r>
        <w:rPr>
          <w:rFonts w:hint="eastAsia"/>
          <w:lang w:eastAsia="zh-CN"/>
        </w:rPr>
        <w:t>牧民、</w:t>
      </w:r>
      <w:r>
        <w:rPr>
          <w:lang w:eastAsia="zh-CN"/>
        </w:rPr>
        <w:t>村民和单位采用访谈、发放公众参与调查表及个别咨询、访谈相结合的方式进行抽样调查。调查人员首先向被调查对象详细介绍</w:t>
      </w:r>
      <w:r>
        <w:rPr>
          <w:rFonts w:hint="eastAsia"/>
          <w:lang w:eastAsia="zh-CN"/>
        </w:rPr>
        <w:t>该项目</w:t>
      </w:r>
      <w:r>
        <w:rPr>
          <w:lang w:eastAsia="zh-CN"/>
        </w:rPr>
        <w:t>的基本情况、工程规模、对当地可能带来的有利影响和不利影响，被调查人</w:t>
      </w:r>
      <w:r>
        <w:rPr>
          <w:rFonts w:hint="eastAsia"/>
          <w:lang w:eastAsia="zh-CN"/>
        </w:rPr>
        <w:t>以</w:t>
      </w:r>
      <w:r>
        <w:rPr>
          <w:lang w:eastAsia="zh-CN"/>
        </w:rPr>
        <w:t>填写《环境影响评价公众参与调查表》或口头说明的形式发表意见，由调查人员记录备案，进行整理和汇总。公众参与调查表见表1</w:t>
      </w:r>
      <w:r>
        <w:rPr>
          <w:rFonts w:hint="eastAsia"/>
          <w:lang w:eastAsia="zh-CN"/>
        </w:rPr>
        <w:t>6.3</w:t>
      </w:r>
      <w:r>
        <w:rPr>
          <w:lang w:eastAsia="zh-CN"/>
        </w:rPr>
        <w:t>-1所示。</w:t>
      </w:r>
    </w:p>
    <w:p w14:paraId="7F999ADB">
      <w:pPr>
        <w:pStyle w:val="203"/>
        <w:spacing w:line="240" w:lineRule="auto"/>
        <w:ind w:firstLine="236" w:firstLineChars="98"/>
        <w:rPr>
          <w:rFonts w:ascii="Times New Roman" w:hAnsi="Times New Roman"/>
          <w:b/>
        </w:rPr>
      </w:pPr>
      <w:r>
        <w:rPr>
          <w:rFonts w:ascii="Times New Roman" w:hAnsi="Times New Roman"/>
          <w:b/>
        </w:rPr>
        <w:t>表1</w:t>
      </w:r>
      <w:r>
        <w:rPr>
          <w:rFonts w:hint="eastAsia" w:ascii="Times New Roman" w:hAnsi="Times New Roman"/>
          <w:b/>
        </w:rPr>
        <w:t>6.3</w:t>
      </w:r>
      <w:r>
        <w:rPr>
          <w:rFonts w:ascii="Times New Roman" w:hAnsi="Times New Roman"/>
          <w:b/>
        </w:rPr>
        <w:t>-1</w:t>
      </w:r>
      <w:r>
        <w:rPr>
          <w:rFonts w:hint="eastAsia" w:ascii="Times New Roman" w:hAnsi="Times New Roman"/>
          <w:b/>
        </w:rPr>
        <w:t xml:space="preserve"> 乌里雅斯太油田地面产能开发建设项目</w:t>
      </w:r>
      <w:r>
        <w:rPr>
          <w:rFonts w:ascii="Times New Roman" w:hAnsi="Times New Roman"/>
          <w:b/>
        </w:rPr>
        <w:t>环境影响评价</w:t>
      </w:r>
    </w:p>
    <w:p w14:paraId="3A6B0CD6">
      <w:pPr>
        <w:pStyle w:val="203"/>
        <w:spacing w:line="240" w:lineRule="auto"/>
        <w:ind w:firstLine="236" w:firstLineChars="98"/>
        <w:jc w:val="center"/>
        <w:rPr>
          <w:rFonts w:ascii="Times New Roman" w:hAnsi="Times New Roman"/>
          <w:b/>
        </w:rPr>
      </w:pPr>
      <w:r>
        <w:rPr>
          <w:rFonts w:ascii="Times New Roman" w:hAnsi="Times New Roman"/>
          <w:b/>
        </w:rPr>
        <w:t>公众参与调查表</w:t>
      </w:r>
    </w:p>
    <w:p w14:paraId="402B11E2">
      <w:pPr>
        <w:ind w:firstLine="199" w:firstLineChars="83"/>
        <w:rPr>
          <w:lang w:eastAsia="zh-CN"/>
        </w:rPr>
      </w:pPr>
      <w:r>
        <w:rPr>
          <w:lang w:eastAsia="zh-CN" w:bidi="ar-SA"/>
        </w:rPr>
        <w:drawing>
          <wp:inline distT="0" distB="0" distL="0" distR="0">
            <wp:extent cx="5276850" cy="7258050"/>
            <wp:effectExtent l="19050" t="0" r="0" b="0"/>
            <wp:docPr id="34" name="图片 17" descr="252 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7" descr="252 045.jpg"/>
                    <pic:cNvPicPr>
                      <a:picLocks noChangeAspect="1" noChangeArrowheads="1"/>
                    </pic:cNvPicPr>
                  </pic:nvPicPr>
                  <pic:blipFill>
                    <a:blip r:embed="rId73"/>
                    <a:srcRect/>
                    <a:stretch>
                      <a:fillRect/>
                    </a:stretch>
                  </pic:blipFill>
                  <pic:spPr>
                    <a:xfrm>
                      <a:off x="0" y="0"/>
                      <a:ext cx="5276850" cy="7258050"/>
                    </a:xfrm>
                    <a:prstGeom prst="rect">
                      <a:avLst/>
                    </a:prstGeom>
                    <a:noFill/>
                    <a:ln w="9525">
                      <a:noFill/>
                      <a:miter lim="800000"/>
                      <a:headEnd/>
                      <a:tailEnd/>
                    </a:ln>
                  </pic:spPr>
                </pic:pic>
              </a:graphicData>
            </a:graphic>
          </wp:inline>
        </w:drawing>
      </w:r>
    </w:p>
    <w:p w14:paraId="769E4B9D">
      <w:pPr>
        <w:pStyle w:val="4"/>
        <w:rPr>
          <w:lang w:eastAsia="zh-CN"/>
        </w:rPr>
      </w:pPr>
      <w:bookmarkStart w:id="1086" w:name="_Toc408414126"/>
      <w:r>
        <w:rPr>
          <w:lang w:eastAsia="zh-CN"/>
        </w:rPr>
        <w:t>16.</w:t>
      </w:r>
      <w:r>
        <w:rPr>
          <w:rFonts w:hint="eastAsia"/>
          <w:lang w:eastAsia="zh-CN"/>
        </w:rPr>
        <w:t>5</w:t>
      </w:r>
      <w:r>
        <w:rPr>
          <w:lang w:eastAsia="zh-CN"/>
        </w:rPr>
        <w:t>.</w:t>
      </w:r>
      <w:r>
        <w:rPr>
          <w:rFonts w:hint="eastAsia"/>
          <w:lang w:eastAsia="zh-CN"/>
        </w:rPr>
        <w:t>2调查对象</w:t>
      </w:r>
      <w:bookmarkEnd w:id="1086"/>
    </w:p>
    <w:p w14:paraId="72FFA1AC">
      <w:pPr>
        <w:ind w:firstLine="480"/>
        <w:rPr>
          <w:rFonts w:asciiTheme="minorEastAsia" w:hAnsiTheme="minorEastAsia" w:eastAsiaTheme="minorEastAsia"/>
          <w:lang w:eastAsia="zh-CN"/>
        </w:rPr>
      </w:pPr>
      <w:r>
        <w:rPr>
          <w:rFonts w:asciiTheme="minorEastAsia" w:hAnsiTheme="minorEastAsia" w:eastAsiaTheme="minorEastAsia"/>
          <w:lang w:eastAsia="zh-CN"/>
        </w:rPr>
        <w:t>公众意见调查发放问卷5</w:t>
      </w:r>
      <w:r>
        <w:rPr>
          <w:rFonts w:hint="eastAsia" w:asciiTheme="minorEastAsia" w:hAnsiTheme="minorEastAsia" w:eastAsiaTheme="minorEastAsia"/>
          <w:lang w:eastAsia="zh-CN"/>
        </w:rPr>
        <w:t>0</w:t>
      </w:r>
      <w:r>
        <w:rPr>
          <w:rFonts w:asciiTheme="minorEastAsia" w:hAnsiTheme="minorEastAsia" w:eastAsiaTheme="minorEastAsia"/>
          <w:lang w:eastAsia="zh-CN"/>
        </w:rPr>
        <w:t>份，回收</w:t>
      </w:r>
      <w:r>
        <w:rPr>
          <w:rFonts w:hint="eastAsia" w:asciiTheme="minorEastAsia" w:hAnsiTheme="minorEastAsia" w:eastAsiaTheme="minorEastAsia"/>
          <w:lang w:eastAsia="zh-CN"/>
        </w:rPr>
        <w:t>48</w:t>
      </w:r>
      <w:r>
        <w:rPr>
          <w:rFonts w:asciiTheme="minorEastAsia" w:hAnsiTheme="minorEastAsia" w:eastAsiaTheme="minorEastAsia"/>
          <w:lang w:eastAsia="zh-CN"/>
        </w:rPr>
        <w:t>份，回收率</w:t>
      </w:r>
      <w:r>
        <w:rPr>
          <w:rFonts w:hint="eastAsia" w:asciiTheme="minorEastAsia" w:hAnsiTheme="minorEastAsia" w:eastAsiaTheme="minorEastAsia"/>
          <w:lang w:eastAsia="zh-CN"/>
        </w:rPr>
        <w:t>96</w:t>
      </w:r>
      <w:r>
        <w:rPr>
          <w:rFonts w:asciiTheme="minorEastAsia" w:hAnsiTheme="minorEastAsia" w:eastAsiaTheme="minorEastAsia"/>
          <w:lang w:eastAsia="zh-CN"/>
        </w:rPr>
        <w:t>%。被调查人员积极参与，对</w:t>
      </w:r>
      <w:r>
        <w:rPr>
          <w:rFonts w:hint="eastAsia" w:asciiTheme="minorEastAsia" w:hAnsiTheme="minorEastAsia" w:eastAsiaTheme="minorEastAsia"/>
          <w:lang w:eastAsia="zh-CN"/>
        </w:rPr>
        <w:t>项目的建设</w:t>
      </w:r>
      <w:r>
        <w:rPr>
          <w:rFonts w:asciiTheme="minorEastAsia" w:hAnsiTheme="minorEastAsia" w:eastAsiaTheme="minorEastAsia"/>
          <w:lang w:eastAsia="zh-CN"/>
        </w:rPr>
        <w:t>表现了极大的关注，调查对象名单及情况</w:t>
      </w:r>
      <w:r>
        <w:rPr>
          <w:rFonts w:hint="eastAsia" w:asciiTheme="minorEastAsia" w:hAnsiTheme="minorEastAsia" w:eastAsiaTheme="minorEastAsia"/>
          <w:lang w:eastAsia="zh-CN"/>
        </w:rPr>
        <w:t>见</w:t>
      </w:r>
      <w:r>
        <w:rPr>
          <w:rFonts w:asciiTheme="minorEastAsia" w:hAnsiTheme="minorEastAsia" w:eastAsiaTheme="minorEastAsia"/>
          <w:lang w:eastAsia="zh-CN"/>
        </w:rPr>
        <w:t>表1</w:t>
      </w:r>
      <w:r>
        <w:rPr>
          <w:rFonts w:hint="eastAsia" w:asciiTheme="minorEastAsia" w:hAnsiTheme="minorEastAsia" w:eastAsiaTheme="minorEastAsia"/>
          <w:lang w:eastAsia="zh-CN"/>
        </w:rPr>
        <w:t>6</w:t>
      </w:r>
      <w:r>
        <w:rPr>
          <w:rFonts w:asciiTheme="minorEastAsia" w:hAnsiTheme="minorEastAsia" w:eastAsiaTheme="minorEastAsia"/>
          <w:lang w:eastAsia="zh-CN"/>
        </w:rPr>
        <w:t>.3-</w:t>
      </w:r>
      <w:r>
        <w:rPr>
          <w:rFonts w:hint="eastAsia" w:asciiTheme="minorEastAsia" w:hAnsiTheme="minorEastAsia" w:eastAsiaTheme="minorEastAsia"/>
          <w:lang w:eastAsia="zh-CN"/>
        </w:rPr>
        <w:t>2（见附件13）。</w:t>
      </w:r>
    </w:p>
    <w:p w14:paraId="122C6DF6">
      <w:pPr>
        <w:ind w:firstLine="480"/>
        <w:rPr>
          <w:rFonts w:asciiTheme="minorEastAsia" w:hAnsiTheme="minorEastAsia" w:eastAsiaTheme="minorEastAsia"/>
          <w:lang w:eastAsia="zh-CN"/>
        </w:rPr>
      </w:pPr>
    </w:p>
    <w:p w14:paraId="27CE8903">
      <w:pPr>
        <w:pStyle w:val="203"/>
        <w:spacing w:line="240" w:lineRule="auto"/>
        <w:ind w:firstLine="318" w:firstLineChars="132"/>
        <w:rPr>
          <w:rFonts w:ascii="Times New Roman" w:hAnsi="Times New Roman"/>
          <w:b/>
        </w:rPr>
      </w:pPr>
      <w:r>
        <w:rPr>
          <w:rFonts w:ascii="Times New Roman" w:hAnsi="Times New Roman"/>
          <w:b/>
        </w:rPr>
        <w:t>表1</w:t>
      </w:r>
      <w:r>
        <w:rPr>
          <w:rFonts w:hint="eastAsia" w:ascii="Times New Roman" w:hAnsi="Times New Roman"/>
          <w:b/>
        </w:rPr>
        <w:t>6</w:t>
      </w:r>
      <w:r>
        <w:rPr>
          <w:rFonts w:ascii="Times New Roman" w:hAnsi="Times New Roman"/>
          <w:b/>
        </w:rPr>
        <w:t>.3-</w:t>
      </w:r>
      <w:r>
        <w:rPr>
          <w:rFonts w:hint="eastAsia" w:ascii="Times New Roman" w:hAnsi="Times New Roman"/>
          <w:b/>
        </w:rPr>
        <w:t>2</w:t>
      </w:r>
      <w:r>
        <w:rPr>
          <w:rFonts w:ascii="Times New Roman" w:hAnsi="Times New Roman"/>
          <w:b/>
        </w:rPr>
        <w:t xml:space="preserve">    </w:t>
      </w:r>
      <w:r>
        <w:rPr>
          <w:rFonts w:hint="eastAsia" w:ascii="Times New Roman" w:hAnsi="Times New Roman"/>
          <w:b/>
        </w:rPr>
        <w:t xml:space="preserve">   </w:t>
      </w:r>
      <w:r>
        <w:rPr>
          <w:rFonts w:ascii="Times New Roman" w:hAnsi="Times New Roman"/>
          <w:b/>
        </w:rPr>
        <w:t>被调查人员情况汇总表</w:t>
      </w:r>
    </w:p>
    <w:tbl>
      <w:tblPr>
        <w:tblStyle w:val="76"/>
        <w:tblW w:w="5282" w:type="pct"/>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544"/>
        <w:gridCol w:w="465"/>
        <w:gridCol w:w="629"/>
        <w:gridCol w:w="757"/>
        <w:gridCol w:w="744"/>
        <w:gridCol w:w="2591"/>
        <w:gridCol w:w="1574"/>
      </w:tblGrid>
      <w:tr w14:paraId="6D2A24C9">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2" w:type="pct"/>
            <w:vAlign w:val="center"/>
          </w:tcPr>
          <w:p w14:paraId="6184CA3A">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编号</w:t>
            </w:r>
          </w:p>
        </w:tc>
        <w:tc>
          <w:tcPr>
            <w:tcW w:w="857" w:type="pct"/>
            <w:vAlign w:val="center"/>
          </w:tcPr>
          <w:p w14:paraId="5AF5D2F8">
            <w:pPr>
              <w:widowControl/>
              <w:snapToGrid w:val="0"/>
              <w:spacing w:line="320" w:lineRule="exact"/>
              <w:ind w:firstLine="0" w:firstLineChars="0"/>
              <w:jc w:val="center"/>
              <w:rPr>
                <w:kern w:val="2"/>
                <w:sz w:val="21"/>
                <w:szCs w:val="21"/>
                <w:lang w:eastAsia="zh-CN" w:bidi="ar-SA"/>
              </w:rPr>
            </w:pPr>
            <w:r>
              <w:rPr>
                <w:kern w:val="2"/>
                <w:sz w:val="21"/>
                <w:szCs w:val="21"/>
                <w:lang w:eastAsia="zh-CN" w:bidi="ar-SA"/>
              </w:rPr>
              <w:t>姓名</w:t>
            </w:r>
          </w:p>
        </w:tc>
        <w:tc>
          <w:tcPr>
            <w:tcW w:w="258" w:type="pct"/>
            <w:vAlign w:val="center"/>
          </w:tcPr>
          <w:p w14:paraId="03D68B7C">
            <w:pPr>
              <w:widowControl/>
              <w:snapToGrid w:val="0"/>
              <w:spacing w:line="320" w:lineRule="exact"/>
              <w:ind w:firstLine="0" w:firstLineChars="0"/>
              <w:jc w:val="center"/>
              <w:rPr>
                <w:kern w:val="2"/>
                <w:sz w:val="21"/>
                <w:szCs w:val="21"/>
                <w:lang w:eastAsia="zh-CN" w:bidi="ar-SA"/>
              </w:rPr>
            </w:pPr>
            <w:r>
              <w:rPr>
                <w:kern w:val="2"/>
                <w:sz w:val="21"/>
                <w:szCs w:val="21"/>
                <w:lang w:eastAsia="zh-CN" w:bidi="ar-SA"/>
              </w:rPr>
              <w:t>性别</w:t>
            </w:r>
          </w:p>
        </w:tc>
        <w:tc>
          <w:tcPr>
            <w:tcW w:w="349" w:type="pct"/>
            <w:vAlign w:val="center"/>
          </w:tcPr>
          <w:p w14:paraId="689807DE">
            <w:pPr>
              <w:widowControl/>
              <w:snapToGrid w:val="0"/>
              <w:spacing w:line="320" w:lineRule="exact"/>
              <w:ind w:firstLine="0" w:firstLineChars="0"/>
              <w:jc w:val="center"/>
              <w:rPr>
                <w:kern w:val="2"/>
                <w:sz w:val="21"/>
                <w:szCs w:val="21"/>
                <w:lang w:eastAsia="zh-CN" w:bidi="ar-SA"/>
              </w:rPr>
            </w:pPr>
            <w:r>
              <w:rPr>
                <w:kern w:val="2"/>
                <w:sz w:val="21"/>
                <w:szCs w:val="21"/>
                <w:lang w:eastAsia="zh-CN" w:bidi="ar-SA"/>
              </w:rPr>
              <w:t>年龄</w:t>
            </w:r>
          </w:p>
        </w:tc>
        <w:tc>
          <w:tcPr>
            <w:tcW w:w="420" w:type="pct"/>
            <w:tcBorders>
              <w:left w:val="single" w:color="auto" w:sz="2" w:space="0"/>
            </w:tcBorders>
            <w:vAlign w:val="center"/>
          </w:tcPr>
          <w:p w14:paraId="48B1EA23">
            <w:pPr>
              <w:widowControl/>
              <w:snapToGrid w:val="0"/>
              <w:spacing w:line="320" w:lineRule="exact"/>
              <w:ind w:firstLine="0" w:firstLineChars="0"/>
              <w:jc w:val="center"/>
              <w:rPr>
                <w:kern w:val="2"/>
                <w:sz w:val="21"/>
                <w:szCs w:val="21"/>
                <w:lang w:eastAsia="zh-CN" w:bidi="ar-SA"/>
              </w:rPr>
            </w:pPr>
            <w:r>
              <w:rPr>
                <w:kern w:val="2"/>
                <w:sz w:val="21"/>
                <w:szCs w:val="21"/>
                <w:lang w:eastAsia="zh-CN" w:bidi="ar-SA"/>
              </w:rPr>
              <w:t>文化程度</w:t>
            </w:r>
          </w:p>
        </w:tc>
        <w:tc>
          <w:tcPr>
            <w:tcW w:w="413" w:type="pct"/>
            <w:vAlign w:val="center"/>
          </w:tcPr>
          <w:p w14:paraId="12095CCF">
            <w:pPr>
              <w:widowControl/>
              <w:snapToGrid w:val="0"/>
              <w:spacing w:line="320" w:lineRule="exact"/>
              <w:ind w:firstLine="0" w:firstLineChars="0"/>
              <w:jc w:val="center"/>
              <w:rPr>
                <w:kern w:val="2"/>
                <w:sz w:val="21"/>
                <w:szCs w:val="21"/>
                <w:lang w:eastAsia="zh-CN" w:bidi="ar-SA"/>
              </w:rPr>
            </w:pPr>
            <w:r>
              <w:rPr>
                <w:kern w:val="2"/>
                <w:sz w:val="21"/>
                <w:szCs w:val="21"/>
                <w:lang w:eastAsia="zh-CN" w:bidi="ar-SA"/>
              </w:rPr>
              <w:t>职业</w:t>
            </w:r>
          </w:p>
        </w:tc>
        <w:tc>
          <w:tcPr>
            <w:tcW w:w="1438" w:type="pct"/>
            <w:tcBorders>
              <w:right w:val="single" w:color="auto" w:sz="4" w:space="0"/>
            </w:tcBorders>
            <w:vAlign w:val="center"/>
          </w:tcPr>
          <w:p w14:paraId="5C7354F1">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家庭</w:t>
            </w:r>
            <w:r>
              <w:rPr>
                <w:kern w:val="2"/>
                <w:sz w:val="21"/>
                <w:szCs w:val="21"/>
                <w:lang w:eastAsia="zh-CN" w:bidi="ar-SA"/>
              </w:rPr>
              <w:t>住址</w:t>
            </w:r>
          </w:p>
        </w:tc>
        <w:tc>
          <w:tcPr>
            <w:tcW w:w="873" w:type="pct"/>
            <w:tcBorders>
              <w:top w:val="single" w:color="auto" w:sz="12" w:space="0"/>
              <w:left w:val="single" w:color="auto" w:sz="4" w:space="0"/>
              <w:bottom w:val="single" w:color="auto" w:sz="4" w:space="0"/>
            </w:tcBorders>
            <w:vAlign w:val="center"/>
          </w:tcPr>
          <w:p w14:paraId="3BEE0804">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联系电话</w:t>
            </w:r>
          </w:p>
        </w:tc>
      </w:tr>
      <w:tr w14:paraId="2FF22065">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392" w:type="pct"/>
            <w:vAlign w:val="center"/>
          </w:tcPr>
          <w:p w14:paraId="669C7F32">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w:t>
            </w:r>
          </w:p>
        </w:tc>
        <w:tc>
          <w:tcPr>
            <w:tcW w:w="857" w:type="pct"/>
            <w:vAlign w:val="center"/>
          </w:tcPr>
          <w:p w14:paraId="3517353A">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乌云花尔</w:t>
            </w:r>
          </w:p>
        </w:tc>
        <w:tc>
          <w:tcPr>
            <w:tcW w:w="258" w:type="pct"/>
            <w:vAlign w:val="center"/>
          </w:tcPr>
          <w:p w14:paraId="48C15AFF">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女</w:t>
            </w:r>
          </w:p>
        </w:tc>
        <w:tc>
          <w:tcPr>
            <w:tcW w:w="349" w:type="pct"/>
            <w:vAlign w:val="center"/>
          </w:tcPr>
          <w:p w14:paraId="46241840">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38</w:t>
            </w:r>
          </w:p>
        </w:tc>
        <w:tc>
          <w:tcPr>
            <w:tcW w:w="420" w:type="pct"/>
            <w:tcBorders>
              <w:left w:val="single" w:color="auto" w:sz="2" w:space="0"/>
            </w:tcBorders>
            <w:vAlign w:val="center"/>
          </w:tcPr>
          <w:p w14:paraId="58B3C37D">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小学</w:t>
            </w:r>
          </w:p>
        </w:tc>
        <w:tc>
          <w:tcPr>
            <w:tcW w:w="413" w:type="pct"/>
            <w:vAlign w:val="center"/>
          </w:tcPr>
          <w:p w14:paraId="7FD77833">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牧民</w:t>
            </w:r>
          </w:p>
        </w:tc>
        <w:tc>
          <w:tcPr>
            <w:tcW w:w="1438" w:type="pct"/>
            <w:tcBorders>
              <w:right w:val="single" w:color="auto" w:sz="4" w:space="0"/>
            </w:tcBorders>
            <w:vAlign w:val="center"/>
          </w:tcPr>
          <w:p w14:paraId="70B25203">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乌里雅斯太镇阿枯楞大队</w:t>
            </w:r>
          </w:p>
        </w:tc>
        <w:tc>
          <w:tcPr>
            <w:tcW w:w="873" w:type="pct"/>
            <w:tcBorders>
              <w:top w:val="single" w:color="auto" w:sz="4" w:space="0"/>
              <w:left w:val="single" w:color="auto" w:sz="4" w:space="0"/>
              <w:bottom w:val="single" w:color="auto" w:sz="4" w:space="0"/>
            </w:tcBorders>
            <w:vAlign w:val="center"/>
          </w:tcPr>
          <w:p w14:paraId="1423F55E">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15847978331</w:t>
            </w:r>
          </w:p>
        </w:tc>
      </w:tr>
      <w:tr w14:paraId="3F10F358">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392" w:type="pct"/>
            <w:vAlign w:val="center"/>
          </w:tcPr>
          <w:p w14:paraId="76D9863A">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2</w:t>
            </w:r>
          </w:p>
        </w:tc>
        <w:tc>
          <w:tcPr>
            <w:tcW w:w="857" w:type="pct"/>
            <w:vAlign w:val="center"/>
          </w:tcPr>
          <w:p w14:paraId="2BB1EDB2">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于万峰</w:t>
            </w:r>
          </w:p>
        </w:tc>
        <w:tc>
          <w:tcPr>
            <w:tcW w:w="258" w:type="pct"/>
            <w:vAlign w:val="center"/>
          </w:tcPr>
          <w:p w14:paraId="19A89ACA">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男</w:t>
            </w:r>
          </w:p>
        </w:tc>
        <w:tc>
          <w:tcPr>
            <w:tcW w:w="349" w:type="pct"/>
            <w:vAlign w:val="center"/>
          </w:tcPr>
          <w:p w14:paraId="70BFAFC7">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43</w:t>
            </w:r>
          </w:p>
        </w:tc>
        <w:tc>
          <w:tcPr>
            <w:tcW w:w="420" w:type="pct"/>
            <w:tcBorders>
              <w:left w:val="single" w:color="auto" w:sz="2" w:space="0"/>
            </w:tcBorders>
            <w:vAlign w:val="center"/>
          </w:tcPr>
          <w:p w14:paraId="368DD2AD">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小学</w:t>
            </w:r>
          </w:p>
        </w:tc>
        <w:tc>
          <w:tcPr>
            <w:tcW w:w="413" w:type="pct"/>
            <w:vAlign w:val="center"/>
          </w:tcPr>
          <w:p w14:paraId="082A3925">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牧民</w:t>
            </w:r>
          </w:p>
        </w:tc>
        <w:tc>
          <w:tcPr>
            <w:tcW w:w="1438" w:type="pct"/>
            <w:tcBorders>
              <w:right w:val="single" w:color="auto" w:sz="4" w:space="0"/>
            </w:tcBorders>
            <w:vAlign w:val="center"/>
          </w:tcPr>
          <w:p w14:paraId="0835E938">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乌里雅斯太镇阿枯楞大队</w:t>
            </w:r>
          </w:p>
        </w:tc>
        <w:tc>
          <w:tcPr>
            <w:tcW w:w="873" w:type="pct"/>
            <w:tcBorders>
              <w:top w:val="single" w:color="auto" w:sz="4" w:space="0"/>
              <w:left w:val="single" w:color="auto" w:sz="4" w:space="0"/>
              <w:bottom w:val="single" w:color="auto" w:sz="4" w:space="0"/>
            </w:tcBorders>
            <w:vAlign w:val="center"/>
          </w:tcPr>
          <w:p w14:paraId="43B95C3F">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15847949577</w:t>
            </w:r>
          </w:p>
        </w:tc>
      </w:tr>
      <w:tr w14:paraId="47AA58BC">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392" w:type="pct"/>
            <w:vAlign w:val="center"/>
          </w:tcPr>
          <w:p w14:paraId="6C153135">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3</w:t>
            </w:r>
          </w:p>
        </w:tc>
        <w:tc>
          <w:tcPr>
            <w:tcW w:w="857" w:type="pct"/>
            <w:vAlign w:val="center"/>
          </w:tcPr>
          <w:p w14:paraId="70B87B93">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敖特根花尔</w:t>
            </w:r>
          </w:p>
        </w:tc>
        <w:tc>
          <w:tcPr>
            <w:tcW w:w="258" w:type="pct"/>
            <w:vAlign w:val="center"/>
          </w:tcPr>
          <w:p w14:paraId="3CFE74F9">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女</w:t>
            </w:r>
          </w:p>
        </w:tc>
        <w:tc>
          <w:tcPr>
            <w:tcW w:w="349" w:type="pct"/>
            <w:vAlign w:val="center"/>
          </w:tcPr>
          <w:p w14:paraId="5253E4BD">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41</w:t>
            </w:r>
          </w:p>
        </w:tc>
        <w:tc>
          <w:tcPr>
            <w:tcW w:w="420" w:type="pct"/>
            <w:tcBorders>
              <w:left w:val="single" w:color="auto" w:sz="2" w:space="0"/>
            </w:tcBorders>
            <w:vAlign w:val="center"/>
          </w:tcPr>
          <w:p w14:paraId="58020CBD">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小学</w:t>
            </w:r>
          </w:p>
        </w:tc>
        <w:tc>
          <w:tcPr>
            <w:tcW w:w="413" w:type="pct"/>
            <w:vAlign w:val="center"/>
          </w:tcPr>
          <w:p w14:paraId="0330DB46">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牧民</w:t>
            </w:r>
          </w:p>
        </w:tc>
        <w:tc>
          <w:tcPr>
            <w:tcW w:w="1438" w:type="pct"/>
            <w:tcBorders>
              <w:right w:val="single" w:color="auto" w:sz="4" w:space="0"/>
            </w:tcBorders>
            <w:vAlign w:val="center"/>
          </w:tcPr>
          <w:p w14:paraId="201EEB39">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乌里雅斯太镇阿枯楞大队</w:t>
            </w:r>
          </w:p>
        </w:tc>
        <w:tc>
          <w:tcPr>
            <w:tcW w:w="873" w:type="pct"/>
            <w:tcBorders>
              <w:top w:val="single" w:color="auto" w:sz="4" w:space="0"/>
              <w:left w:val="single" w:color="auto" w:sz="4" w:space="0"/>
              <w:bottom w:val="single" w:color="auto" w:sz="4" w:space="0"/>
            </w:tcBorders>
            <w:vAlign w:val="center"/>
          </w:tcPr>
          <w:p w14:paraId="61291B8A">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15004790768</w:t>
            </w:r>
          </w:p>
        </w:tc>
      </w:tr>
      <w:tr w14:paraId="2B46545D">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392" w:type="pct"/>
            <w:vAlign w:val="center"/>
          </w:tcPr>
          <w:p w14:paraId="685B7A3A">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4</w:t>
            </w:r>
          </w:p>
        </w:tc>
        <w:tc>
          <w:tcPr>
            <w:tcW w:w="857" w:type="pct"/>
            <w:vAlign w:val="center"/>
          </w:tcPr>
          <w:p w14:paraId="7BFB4510">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新虎</w:t>
            </w:r>
          </w:p>
        </w:tc>
        <w:tc>
          <w:tcPr>
            <w:tcW w:w="258" w:type="pct"/>
            <w:vAlign w:val="center"/>
          </w:tcPr>
          <w:p w14:paraId="3CF47CE1">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男</w:t>
            </w:r>
          </w:p>
        </w:tc>
        <w:tc>
          <w:tcPr>
            <w:tcW w:w="349" w:type="pct"/>
            <w:vAlign w:val="center"/>
          </w:tcPr>
          <w:p w14:paraId="002611CA">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47</w:t>
            </w:r>
          </w:p>
        </w:tc>
        <w:tc>
          <w:tcPr>
            <w:tcW w:w="420" w:type="pct"/>
            <w:tcBorders>
              <w:left w:val="single" w:color="auto" w:sz="2" w:space="0"/>
            </w:tcBorders>
            <w:vAlign w:val="center"/>
          </w:tcPr>
          <w:p w14:paraId="01034FB6">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小学</w:t>
            </w:r>
          </w:p>
        </w:tc>
        <w:tc>
          <w:tcPr>
            <w:tcW w:w="413" w:type="pct"/>
            <w:vAlign w:val="center"/>
          </w:tcPr>
          <w:p w14:paraId="7268DC66">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牧民</w:t>
            </w:r>
          </w:p>
        </w:tc>
        <w:tc>
          <w:tcPr>
            <w:tcW w:w="1438" w:type="pct"/>
            <w:tcBorders>
              <w:right w:val="single" w:color="auto" w:sz="4" w:space="0"/>
            </w:tcBorders>
            <w:vAlign w:val="center"/>
          </w:tcPr>
          <w:p w14:paraId="5E388D4C">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乌里雅斯太镇阿枯楞大队</w:t>
            </w:r>
          </w:p>
        </w:tc>
        <w:tc>
          <w:tcPr>
            <w:tcW w:w="873" w:type="pct"/>
            <w:tcBorders>
              <w:top w:val="single" w:color="auto" w:sz="4" w:space="0"/>
              <w:left w:val="single" w:color="auto" w:sz="4" w:space="0"/>
              <w:bottom w:val="single" w:color="auto" w:sz="4" w:space="0"/>
            </w:tcBorders>
            <w:vAlign w:val="center"/>
          </w:tcPr>
          <w:p w14:paraId="16B394DA">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15947294517</w:t>
            </w:r>
          </w:p>
        </w:tc>
      </w:tr>
      <w:tr w14:paraId="5CEC3672">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92" w:type="pct"/>
            <w:vAlign w:val="center"/>
          </w:tcPr>
          <w:p w14:paraId="163817D8">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5</w:t>
            </w:r>
          </w:p>
        </w:tc>
        <w:tc>
          <w:tcPr>
            <w:tcW w:w="857" w:type="pct"/>
            <w:vAlign w:val="center"/>
          </w:tcPr>
          <w:p w14:paraId="3608FC05">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玉荣</w:t>
            </w:r>
          </w:p>
        </w:tc>
        <w:tc>
          <w:tcPr>
            <w:tcW w:w="258" w:type="pct"/>
            <w:vAlign w:val="center"/>
          </w:tcPr>
          <w:p w14:paraId="50DD3375">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女</w:t>
            </w:r>
          </w:p>
        </w:tc>
        <w:tc>
          <w:tcPr>
            <w:tcW w:w="349" w:type="pct"/>
            <w:vAlign w:val="center"/>
          </w:tcPr>
          <w:p w14:paraId="24C6562A">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45</w:t>
            </w:r>
          </w:p>
        </w:tc>
        <w:tc>
          <w:tcPr>
            <w:tcW w:w="420" w:type="pct"/>
            <w:tcBorders>
              <w:left w:val="single" w:color="auto" w:sz="2" w:space="0"/>
            </w:tcBorders>
            <w:vAlign w:val="center"/>
          </w:tcPr>
          <w:p w14:paraId="6B747DC0">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小学</w:t>
            </w:r>
          </w:p>
        </w:tc>
        <w:tc>
          <w:tcPr>
            <w:tcW w:w="413" w:type="pct"/>
            <w:vAlign w:val="center"/>
          </w:tcPr>
          <w:p w14:paraId="419E7BC4">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牧民</w:t>
            </w:r>
          </w:p>
        </w:tc>
        <w:tc>
          <w:tcPr>
            <w:tcW w:w="1438" w:type="pct"/>
            <w:tcBorders>
              <w:right w:val="single" w:color="auto" w:sz="4" w:space="0"/>
            </w:tcBorders>
            <w:vAlign w:val="center"/>
          </w:tcPr>
          <w:p w14:paraId="0F0F03F3">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乌里雅斯太镇阿枯楞大队</w:t>
            </w:r>
          </w:p>
        </w:tc>
        <w:tc>
          <w:tcPr>
            <w:tcW w:w="873" w:type="pct"/>
            <w:tcBorders>
              <w:top w:val="single" w:color="auto" w:sz="4" w:space="0"/>
              <w:left w:val="single" w:color="auto" w:sz="4" w:space="0"/>
              <w:bottom w:val="single" w:color="auto" w:sz="4" w:space="0"/>
            </w:tcBorders>
            <w:vAlign w:val="center"/>
          </w:tcPr>
          <w:p w14:paraId="5218D40E">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15204793351</w:t>
            </w:r>
          </w:p>
        </w:tc>
      </w:tr>
      <w:tr w14:paraId="213CEAE9">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392" w:type="pct"/>
            <w:vAlign w:val="center"/>
          </w:tcPr>
          <w:p w14:paraId="2930AB8B">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6</w:t>
            </w:r>
          </w:p>
        </w:tc>
        <w:tc>
          <w:tcPr>
            <w:tcW w:w="857" w:type="pct"/>
            <w:vAlign w:val="center"/>
          </w:tcPr>
          <w:p w14:paraId="5A25BFE6">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孙占金</w:t>
            </w:r>
          </w:p>
        </w:tc>
        <w:tc>
          <w:tcPr>
            <w:tcW w:w="258" w:type="pct"/>
            <w:vAlign w:val="center"/>
          </w:tcPr>
          <w:p w14:paraId="1F90376B">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男</w:t>
            </w:r>
          </w:p>
        </w:tc>
        <w:tc>
          <w:tcPr>
            <w:tcW w:w="349" w:type="pct"/>
            <w:vAlign w:val="center"/>
          </w:tcPr>
          <w:p w14:paraId="5870A24D">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39</w:t>
            </w:r>
          </w:p>
        </w:tc>
        <w:tc>
          <w:tcPr>
            <w:tcW w:w="420" w:type="pct"/>
            <w:tcBorders>
              <w:left w:val="single" w:color="auto" w:sz="2" w:space="0"/>
            </w:tcBorders>
            <w:vAlign w:val="center"/>
          </w:tcPr>
          <w:p w14:paraId="10AFBD34">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大专</w:t>
            </w:r>
          </w:p>
        </w:tc>
        <w:tc>
          <w:tcPr>
            <w:tcW w:w="413" w:type="pct"/>
            <w:vAlign w:val="center"/>
          </w:tcPr>
          <w:p w14:paraId="281FC6DB">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机关</w:t>
            </w:r>
          </w:p>
        </w:tc>
        <w:tc>
          <w:tcPr>
            <w:tcW w:w="1438" w:type="pct"/>
            <w:tcBorders>
              <w:right w:val="single" w:color="auto" w:sz="4" w:space="0"/>
            </w:tcBorders>
            <w:vAlign w:val="center"/>
          </w:tcPr>
          <w:p w14:paraId="0F54FD42">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乌里雅斯太镇</w:t>
            </w:r>
          </w:p>
        </w:tc>
        <w:tc>
          <w:tcPr>
            <w:tcW w:w="873" w:type="pct"/>
            <w:tcBorders>
              <w:top w:val="single" w:color="auto" w:sz="4" w:space="0"/>
              <w:left w:val="single" w:color="auto" w:sz="4" w:space="0"/>
              <w:bottom w:val="single" w:color="auto" w:sz="4" w:space="0"/>
            </w:tcBorders>
            <w:vAlign w:val="center"/>
          </w:tcPr>
          <w:p w14:paraId="3C96F360">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15247909299</w:t>
            </w:r>
          </w:p>
        </w:tc>
      </w:tr>
      <w:tr w14:paraId="0B278B7F">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392" w:type="pct"/>
            <w:vAlign w:val="center"/>
          </w:tcPr>
          <w:p w14:paraId="43841EB7">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7</w:t>
            </w:r>
          </w:p>
        </w:tc>
        <w:tc>
          <w:tcPr>
            <w:tcW w:w="857" w:type="pct"/>
            <w:vAlign w:val="center"/>
          </w:tcPr>
          <w:p w14:paraId="0C758EA2">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塔娜</w:t>
            </w:r>
          </w:p>
        </w:tc>
        <w:tc>
          <w:tcPr>
            <w:tcW w:w="258" w:type="pct"/>
            <w:vAlign w:val="center"/>
          </w:tcPr>
          <w:p w14:paraId="6167A66B">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女</w:t>
            </w:r>
          </w:p>
        </w:tc>
        <w:tc>
          <w:tcPr>
            <w:tcW w:w="349" w:type="pct"/>
            <w:vAlign w:val="center"/>
          </w:tcPr>
          <w:p w14:paraId="44136A7B">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38</w:t>
            </w:r>
          </w:p>
        </w:tc>
        <w:tc>
          <w:tcPr>
            <w:tcW w:w="420" w:type="pct"/>
            <w:tcBorders>
              <w:left w:val="single" w:color="auto" w:sz="2" w:space="0"/>
            </w:tcBorders>
            <w:vAlign w:val="center"/>
          </w:tcPr>
          <w:p w14:paraId="751EAA1A">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初中</w:t>
            </w:r>
          </w:p>
        </w:tc>
        <w:tc>
          <w:tcPr>
            <w:tcW w:w="413" w:type="pct"/>
            <w:vAlign w:val="center"/>
          </w:tcPr>
          <w:p w14:paraId="156E412A">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个体</w:t>
            </w:r>
          </w:p>
        </w:tc>
        <w:tc>
          <w:tcPr>
            <w:tcW w:w="1438" w:type="pct"/>
            <w:tcBorders>
              <w:right w:val="single" w:color="auto" w:sz="4" w:space="0"/>
            </w:tcBorders>
            <w:vAlign w:val="center"/>
          </w:tcPr>
          <w:p w14:paraId="017F6692">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乌里雅斯太镇</w:t>
            </w:r>
          </w:p>
        </w:tc>
        <w:tc>
          <w:tcPr>
            <w:tcW w:w="873" w:type="pct"/>
            <w:tcBorders>
              <w:top w:val="single" w:color="auto" w:sz="4" w:space="0"/>
              <w:left w:val="single" w:color="auto" w:sz="4" w:space="0"/>
              <w:bottom w:val="single" w:color="auto" w:sz="4" w:space="0"/>
            </w:tcBorders>
            <w:vAlign w:val="center"/>
          </w:tcPr>
          <w:p w14:paraId="67E739E6">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18847932765</w:t>
            </w:r>
          </w:p>
        </w:tc>
      </w:tr>
      <w:tr w14:paraId="6A553889">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392" w:type="pct"/>
            <w:vAlign w:val="center"/>
          </w:tcPr>
          <w:p w14:paraId="60D5819A">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8</w:t>
            </w:r>
          </w:p>
        </w:tc>
        <w:tc>
          <w:tcPr>
            <w:tcW w:w="857" w:type="pct"/>
            <w:vAlign w:val="center"/>
          </w:tcPr>
          <w:p w14:paraId="76C5E4CF">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萧东</w:t>
            </w:r>
          </w:p>
        </w:tc>
        <w:tc>
          <w:tcPr>
            <w:tcW w:w="258" w:type="pct"/>
            <w:vAlign w:val="center"/>
          </w:tcPr>
          <w:p w14:paraId="565B269F">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男</w:t>
            </w:r>
          </w:p>
        </w:tc>
        <w:tc>
          <w:tcPr>
            <w:tcW w:w="349" w:type="pct"/>
            <w:vAlign w:val="center"/>
          </w:tcPr>
          <w:p w14:paraId="445ED045">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36</w:t>
            </w:r>
          </w:p>
        </w:tc>
        <w:tc>
          <w:tcPr>
            <w:tcW w:w="420" w:type="pct"/>
            <w:tcBorders>
              <w:left w:val="single" w:color="auto" w:sz="2" w:space="0"/>
            </w:tcBorders>
            <w:vAlign w:val="center"/>
          </w:tcPr>
          <w:p w14:paraId="52346867">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初中</w:t>
            </w:r>
          </w:p>
        </w:tc>
        <w:tc>
          <w:tcPr>
            <w:tcW w:w="413" w:type="pct"/>
            <w:vAlign w:val="center"/>
          </w:tcPr>
          <w:p w14:paraId="419A857A">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服务</w:t>
            </w:r>
          </w:p>
        </w:tc>
        <w:tc>
          <w:tcPr>
            <w:tcW w:w="1438" w:type="pct"/>
            <w:tcBorders>
              <w:right w:val="single" w:color="auto" w:sz="4" w:space="0"/>
            </w:tcBorders>
            <w:vAlign w:val="center"/>
          </w:tcPr>
          <w:p w14:paraId="397535AE">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乌里雅斯太镇</w:t>
            </w:r>
          </w:p>
        </w:tc>
        <w:tc>
          <w:tcPr>
            <w:tcW w:w="873" w:type="pct"/>
            <w:tcBorders>
              <w:top w:val="single" w:color="auto" w:sz="4" w:space="0"/>
              <w:left w:val="single" w:color="auto" w:sz="4" w:space="0"/>
              <w:bottom w:val="single" w:color="auto" w:sz="4" w:space="0"/>
            </w:tcBorders>
            <w:vAlign w:val="center"/>
          </w:tcPr>
          <w:p w14:paraId="115D050B">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13847926664</w:t>
            </w:r>
          </w:p>
        </w:tc>
      </w:tr>
      <w:tr w14:paraId="6758EE9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392" w:type="pct"/>
            <w:vAlign w:val="center"/>
          </w:tcPr>
          <w:p w14:paraId="174CB97B">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9</w:t>
            </w:r>
          </w:p>
        </w:tc>
        <w:tc>
          <w:tcPr>
            <w:tcW w:w="857" w:type="pct"/>
            <w:vAlign w:val="center"/>
          </w:tcPr>
          <w:p w14:paraId="00AEDE14">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李有成</w:t>
            </w:r>
          </w:p>
        </w:tc>
        <w:tc>
          <w:tcPr>
            <w:tcW w:w="258" w:type="pct"/>
            <w:vAlign w:val="center"/>
          </w:tcPr>
          <w:p w14:paraId="02FC89B3">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男</w:t>
            </w:r>
          </w:p>
        </w:tc>
        <w:tc>
          <w:tcPr>
            <w:tcW w:w="349" w:type="pct"/>
            <w:vAlign w:val="center"/>
          </w:tcPr>
          <w:p w14:paraId="6D450BBE">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40</w:t>
            </w:r>
          </w:p>
        </w:tc>
        <w:tc>
          <w:tcPr>
            <w:tcW w:w="420" w:type="pct"/>
            <w:tcBorders>
              <w:left w:val="single" w:color="auto" w:sz="2" w:space="0"/>
            </w:tcBorders>
            <w:vAlign w:val="center"/>
          </w:tcPr>
          <w:p w14:paraId="53B00DDC">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高中</w:t>
            </w:r>
          </w:p>
        </w:tc>
        <w:tc>
          <w:tcPr>
            <w:tcW w:w="413" w:type="pct"/>
            <w:vAlign w:val="center"/>
          </w:tcPr>
          <w:p w14:paraId="7E331CFE">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个体</w:t>
            </w:r>
          </w:p>
        </w:tc>
        <w:tc>
          <w:tcPr>
            <w:tcW w:w="1438" w:type="pct"/>
            <w:tcBorders>
              <w:right w:val="single" w:color="auto" w:sz="4" w:space="0"/>
            </w:tcBorders>
            <w:vAlign w:val="center"/>
          </w:tcPr>
          <w:p w14:paraId="5018A5AA">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乌里雅斯太镇</w:t>
            </w:r>
          </w:p>
        </w:tc>
        <w:tc>
          <w:tcPr>
            <w:tcW w:w="873" w:type="pct"/>
            <w:tcBorders>
              <w:top w:val="single" w:color="auto" w:sz="4" w:space="0"/>
              <w:left w:val="single" w:color="auto" w:sz="4" w:space="0"/>
              <w:bottom w:val="single" w:color="auto" w:sz="4" w:space="0"/>
            </w:tcBorders>
            <w:vAlign w:val="center"/>
          </w:tcPr>
          <w:p w14:paraId="552FB421">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13654890467</w:t>
            </w:r>
          </w:p>
        </w:tc>
      </w:tr>
      <w:tr w14:paraId="4F16CEF4">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2" w:type="pct"/>
            <w:vAlign w:val="center"/>
          </w:tcPr>
          <w:p w14:paraId="1D4C7FB8">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10</w:t>
            </w:r>
          </w:p>
        </w:tc>
        <w:tc>
          <w:tcPr>
            <w:tcW w:w="857" w:type="pct"/>
            <w:vAlign w:val="center"/>
          </w:tcPr>
          <w:p w14:paraId="1F3629E9">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刘春桃</w:t>
            </w:r>
          </w:p>
        </w:tc>
        <w:tc>
          <w:tcPr>
            <w:tcW w:w="258" w:type="pct"/>
            <w:vAlign w:val="center"/>
          </w:tcPr>
          <w:p w14:paraId="40B89024">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女</w:t>
            </w:r>
          </w:p>
        </w:tc>
        <w:tc>
          <w:tcPr>
            <w:tcW w:w="349" w:type="pct"/>
            <w:vAlign w:val="center"/>
          </w:tcPr>
          <w:p w14:paraId="6229DD8F">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38</w:t>
            </w:r>
          </w:p>
        </w:tc>
        <w:tc>
          <w:tcPr>
            <w:tcW w:w="420" w:type="pct"/>
            <w:tcBorders>
              <w:left w:val="single" w:color="auto" w:sz="2" w:space="0"/>
            </w:tcBorders>
            <w:vAlign w:val="center"/>
          </w:tcPr>
          <w:p w14:paraId="4F00A2DE">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小学</w:t>
            </w:r>
          </w:p>
        </w:tc>
        <w:tc>
          <w:tcPr>
            <w:tcW w:w="413" w:type="pct"/>
            <w:vAlign w:val="center"/>
          </w:tcPr>
          <w:p w14:paraId="04DF5A2B">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个体</w:t>
            </w:r>
          </w:p>
        </w:tc>
        <w:tc>
          <w:tcPr>
            <w:tcW w:w="1438" w:type="pct"/>
            <w:tcBorders>
              <w:right w:val="single" w:color="auto" w:sz="4" w:space="0"/>
            </w:tcBorders>
            <w:vAlign w:val="center"/>
          </w:tcPr>
          <w:p w14:paraId="24029685">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乌里雅斯太镇</w:t>
            </w:r>
          </w:p>
        </w:tc>
        <w:tc>
          <w:tcPr>
            <w:tcW w:w="873" w:type="pct"/>
            <w:tcBorders>
              <w:top w:val="single" w:color="auto" w:sz="4" w:space="0"/>
              <w:left w:val="single" w:color="auto" w:sz="4" w:space="0"/>
              <w:bottom w:val="single" w:color="auto" w:sz="4" w:space="0"/>
            </w:tcBorders>
            <w:vAlign w:val="center"/>
          </w:tcPr>
          <w:p w14:paraId="5714BA83">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13722098294</w:t>
            </w:r>
          </w:p>
        </w:tc>
      </w:tr>
      <w:tr w14:paraId="1EDCFE8F">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392" w:type="pct"/>
            <w:vAlign w:val="center"/>
          </w:tcPr>
          <w:p w14:paraId="77D43ABA">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11</w:t>
            </w:r>
          </w:p>
        </w:tc>
        <w:tc>
          <w:tcPr>
            <w:tcW w:w="857" w:type="pct"/>
            <w:vAlign w:val="center"/>
          </w:tcPr>
          <w:p w14:paraId="40F382A2">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赵建东</w:t>
            </w:r>
          </w:p>
        </w:tc>
        <w:tc>
          <w:tcPr>
            <w:tcW w:w="258" w:type="pct"/>
            <w:vAlign w:val="center"/>
          </w:tcPr>
          <w:p w14:paraId="4C57646F">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男</w:t>
            </w:r>
          </w:p>
        </w:tc>
        <w:tc>
          <w:tcPr>
            <w:tcW w:w="349" w:type="pct"/>
            <w:vAlign w:val="center"/>
          </w:tcPr>
          <w:p w14:paraId="34541C5A">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38</w:t>
            </w:r>
          </w:p>
        </w:tc>
        <w:tc>
          <w:tcPr>
            <w:tcW w:w="420" w:type="pct"/>
            <w:tcBorders>
              <w:left w:val="single" w:color="auto" w:sz="2" w:space="0"/>
            </w:tcBorders>
            <w:vAlign w:val="center"/>
          </w:tcPr>
          <w:p w14:paraId="597D817C">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初中</w:t>
            </w:r>
          </w:p>
        </w:tc>
        <w:tc>
          <w:tcPr>
            <w:tcW w:w="413" w:type="pct"/>
            <w:vAlign w:val="center"/>
          </w:tcPr>
          <w:p w14:paraId="25428A89">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个体</w:t>
            </w:r>
          </w:p>
        </w:tc>
        <w:tc>
          <w:tcPr>
            <w:tcW w:w="1438" w:type="pct"/>
            <w:tcBorders>
              <w:right w:val="single" w:color="auto" w:sz="4" w:space="0"/>
            </w:tcBorders>
            <w:vAlign w:val="center"/>
          </w:tcPr>
          <w:p w14:paraId="480DB662">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乌里雅斯太镇</w:t>
            </w:r>
          </w:p>
        </w:tc>
        <w:tc>
          <w:tcPr>
            <w:tcW w:w="873" w:type="pct"/>
            <w:tcBorders>
              <w:top w:val="single" w:color="auto" w:sz="4" w:space="0"/>
              <w:left w:val="single" w:color="auto" w:sz="4" w:space="0"/>
              <w:bottom w:val="single" w:color="auto" w:sz="4" w:space="0"/>
            </w:tcBorders>
            <w:vAlign w:val="center"/>
          </w:tcPr>
          <w:p w14:paraId="65274EC5">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15048926616</w:t>
            </w:r>
          </w:p>
        </w:tc>
      </w:tr>
      <w:tr w14:paraId="20C7EF07">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392" w:type="pct"/>
            <w:vAlign w:val="center"/>
          </w:tcPr>
          <w:p w14:paraId="6D70FCA3">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12</w:t>
            </w:r>
          </w:p>
        </w:tc>
        <w:tc>
          <w:tcPr>
            <w:tcW w:w="857" w:type="pct"/>
            <w:vAlign w:val="center"/>
          </w:tcPr>
          <w:p w14:paraId="1DC8583F">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张德军</w:t>
            </w:r>
          </w:p>
        </w:tc>
        <w:tc>
          <w:tcPr>
            <w:tcW w:w="258" w:type="pct"/>
            <w:vAlign w:val="center"/>
          </w:tcPr>
          <w:p w14:paraId="746E0C5A">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男</w:t>
            </w:r>
          </w:p>
        </w:tc>
        <w:tc>
          <w:tcPr>
            <w:tcW w:w="349" w:type="pct"/>
            <w:vAlign w:val="center"/>
          </w:tcPr>
          <w:p w14:paraId="39A3C1D6">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43</w:t>
            </w:r>
          </w:p>
        </w:tc>
        <w:tc>
          <w:tcPr>
            <w:tcW w:w="420" w:type="pct"/>
            <w:tcBorders>
              <w:left w:val="single" w:color="auto" w:sz="2" w:space="0"/>
            </w:tcBorders>
            <w:vAlign w:val="center"/>
          </w:tcPr>
          <w:p w14:paraId="6551F72C">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高中</w:t>
            </w:r>
          </w:p>
        </w:tc>
        <w:tc>
          <w:tcPr>
            <w:tcW w:w="413" w:type="pct"/>
            <w:vAlign w:val="center"/>
          </w:tcPr>
          <w:p w14:paraId="502009A5">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个体</w:t>
            </w:r>
          </w:p>
        </w:tc>
        <w:tc>
          <w:tcPr>
            <w:tcW w:w="1438" w:type="pct"/>
            <w:tcBorders>
              <w:right w:val="single" w:color="auto" w:sz="4" w:space="0"/>
            </w:tcBorders>
            <w:vAlign w:val="center"/>
          </w:tcPr>
          <w:p w14:paraId="39B94147">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乌里雅斯太镇</w:t>
            </w:r>
          </w:p>
        </w:tc>
        <w:tc>
          <w:tcPr>
            <w:tcW w:w="873" w:type="pct"/>
            <w:tcBorders>
              <w:top w:val="single" w:color="auto" w:sz="4" w:space="0"/>
              <w:left w:val="single" w:color="auto" w:sz="4" w:space="0"/>
              <w:bottom w:val="single" w:color="auto" w:sz="4" w:space="0"/>
            </w:tcBorders>
            <w:vAlign w:val="center"/>
          </w:tcPr>
          <w:p w14:paraId="0227DC22">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13947905896</w:t>
            </w:r>
          </w:p>
        </w:tc>
      </w:tr>
      <w:tr w14:paraId="480174FF">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jc w:val="center"/>
        </w:trPr>
        <w:tc>
          <w:tcPr>
            <w:tcW w:w="392" w:type="pct"/>
            <w:vAlign w:val="center"/>
          </w:tcPr>
          <w:p w14:paraId="1711B4DC">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13</w:t>
            </w:r>
          </w:p>
        </w:tc>
        <w:tc>
          <w:tcPr>
            <w:tcW w:w="857" w:type="pct"/>
            <w:vAlign w:val="center"/>
          </w:tcPr>
          <w:p w14:paraId="2110A316">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包晓蕾</w:t>
            </w:r>
          </w:p>
        </w:tc>
        <w:tc>
          <w:tcPr>
            <w:tcW w:w="258" w:type="pct"/>
            <w:vAlign w:val="center"/>
          </w:tcPr>
          <w:p w14:paraId="12E4298E">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女</w:t>
            </w:r>
          </w:p>
        </w:tc>
        <w:tc>
          <w:tcPr>
            <w:tcW w:w="349" w:type="pct"/>
            <w:vAlign w:val="center"/>
          </w:tcPr>
          <w:p w14:paraId="37A37FD2">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32</w:t>
            </w:r>
          </w:p>
        </w:tc>
        <w:tc>
          <w:tcPr>
            <w:tcW w:w="420" w:type="pct"/>
            <w:tcBorders>
              <w:left w:val="single" w:color="auto" w:sz="2" w:space="0"/>
            </w:tcBorders>
            <w:vAlign w:val="center"/>
          </w:tcPr>
          <w:p w14:paraId="3773D83E">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大专</w:t>
            </w:r>
          </w:p>
        </w:tc>
        <w:tc>
          <w:tcPr>
            <w:tcW w:w="413" w:type="pct"/>
            <w:vAlign w:val="center"/>
          </w:tcPr>
          <w:p w14:paraId="502D6122">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销售</w:t>
            </w:r>
          </w:p>
        </w:tc>
        <w:tc>
          <w:tcPr>
            <w:tcW w:w="1438" w:type="pct"/>
            <w:tcBorders>
              <w:right w:val="single" w:color="auto" w:sz="4" w:space="0"/>
            </w:tcBorders>
            <w:vAlign w:val="center"/>
          </w:tcPr>
          <w:p w14:paraId="1357023C">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乌里雅斯太镇</w:t>
            </w:r>
          </w:p>
        </w:tc>
        <w:tc>
          <w:tcPr>
            <w:tcW w:w="873" w:type="pct"/>
            <w:tcBorders>
              <w:top w:val="single" w:color="auto" w:sz="4" w:space="0"/>
              <w:left w:val="single" w:color="auto" w:sz="4" w:space="0"/>
              <w:bottom w:val="single" w:color="auto" w:sz="4" w:space="0"/>
            </w:tcBorders>
            <w:vAlign w:val="center"/>
          </w:tcPr>
          <w:p w14:paraId="67A3D187">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18849111114</w:t>
            </w:r>
          </w:p>
        </w:tc>
      </w:tr>
      <w:tr w14:paraId="284666EB">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92" w:type="pct"/>
            <w:vAlign w:val="center"/>
          </w:tcPr>
          <w:p w14:paraId="0DA500B0">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14</w:t>
            </w:r>
          </w:p>
        </w:tc>
        <w:tc>
          <w:tcPr>
            <w:tcW w:w="857" w:type="pct"/>
            <w:vAlign w:val="center"/>
          </w:tcPr>
          <w:p w14:paraId="13055B0B">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蔡冬月</w:t>
            </w:r>
          </w:p>
        </w:tc>
        <w:tc>
          <w:tcPr>
            <w:tcW w:w="258" w:type="pct"/>
            <w:vAlign w:val="center"/>
          </w:tcPr>
          <w:p w14:paraId="362CBB28">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女</w:t>
            </w:r>
          </w:p>
        </w:tc>
        <w:tc>
          <w:tcPr>
            <w:tcW w:w="349" w:type="pct"/>
            <w:vAlign w:val="center"/>
          </w:tcPr>
          <w:p w14:paraId="7B4DBEFA">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38</w:t>
            </w:r>
          </w:p>
        </w:tc>
        <w:tc>
          <w:tcPr>
            <w:tcW w:w="420" w:type="pct"/>
            <w:tcBorders>
              <w:left w:val="single" w:color="auto" w:sz="2" w:space="0"/>
            </w:tcBorders>
            <w:vAlign w:val="center"/>
          </w:tcPr>
          <w:p w14:paraId="2B316899">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初中</w:t>
            </w:r>
          </w:p>
        </w:tc>
        <w:tc>
          <w:tcPr>
            <w:tcW w:w="413" w:type="pct"/>
            <w:vAlign w:val="center"/>
          </w:tcPr>
          <w:p w14:paraId="23577B5E">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个体</w:t>
            </w:r>
          </w:p>
        </w:tc>
        <w:tc>
          <w:tcPr>
            <w:tcW w:w="1438" w:type="pct"/>
            <w:tcBorders>
              <w:right w:val="single" w:color="auto" w:sz="4" w:space="0"/>
            </w:tcBorders>
            <w:vAlign w:val="center"/>
          </w:tcPr>
          <w:p w14:paraId="0F8F5266">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乌里雅斯太镇</w:t>
            </w:r>
          </w:p>
        </w:tc>
        <w:tc>
          <w:tcPr>
            <w:tcW w:w="873" w:type="pct"/>
            <w:tcBorders>
              <w:top w:val="single" w:color="auto" w:sz="4" w:space="0"/>
              <w:left w:val="single" w:color="auto" w:sz="4" w:space="0"/>
              <w:bottom w:val="single" w:color="auto" w:sz="4" w:space="0"/>
            </w:tcBorders>
            <w:vAlign w:val="center"/>
          </w:tcPr>
          <w:p w14:paraId="1AF4C25F">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13947966948</w:t>
            </w:r>
          </w:p>
        </w:tc>
      </w:tr>
      <w:tr w14:paraId="53B3BC27">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92" w:type="pct"/>
            <w:vAlign w:val="center"/>
          </w:tcPr>
          <w:p w14:paraId="57C0431D">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15</w:t>
            </w:r>
          </w:p>
        </w:tc>
        <w:tc>
          <w:tcPr>
            <w:tcW w:w="857" w:type="pct"/>
            <w:vAlign w:val="center"/>
          </w:tcPr>
          <w:p w14:paraId="2F91938A">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格日勒</w:t>
            </w:r>
          </w:p>
        </w:tc>
        <w:tc>
          <w:tcPr>
            <w:tcW w:w="258" w:type="pct"/>
            <w:vAlign w:val="center"/>
          </w:tcPr>
          <w:p w14:paraId="6B960173">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男</w:t>
            </w:r>
          </w:p>
        </w:tc>
        <w:tc>
          <w:tcPr>
            <w:tcW w:w="349" w:type="pct"/>
            <w:vAlign w:val="center"/>
          </w:tcPr>
          <w:p w14:paraId="10AE39CC">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41</w:t>
            </w:r>
          </w:p>
        </w:tc>
        <w:tc>
          <w:tcPr>
            <w:tcW w:w="420" w:type="pct"/>
            <w:tcBorders>
              <w:left w:val="single" w:color="auto" w:sz="2" w:space="0"/>
            </w:tcBorders>
            <w:vAlign w:val="center"/>
          </w:tcPr>
          <w:p w14:paraId="00DCB102">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初中</w:t>
            </w:r>
          </w:p>
        </w:tc>
        <w:tc>
          <w:tcPr>
            <w:tcW w:w="413" w:type="pct"/>
            <w:vAlign w:val="center"/>
          </w:tcPr>
          <w:p w14:paraId="39E53FFB">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销售</w:t>
            </w:r>
          </w:p>
        </w:tc>
        <w:tc>
          <w:tcPr>
            <w:tcW w:w="1438" w:type="pct"/>
            <w:tcBorders>
              <w:right w:val="single" w:color="auto" w:sz="4" w:space="0"/>
            </w:tcBorders>
            <w:vAlign w:val="center"/>
          </w:tcPr>
          <w:p w14:paraId="72129940">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乌里雅斯太镇</w:t>
            </w:r>
          </w:p>
        </w:tc>
        <w:tc>
          <w:tcPr>
            <w:tcW w:w="873" w:type="pct"/>
            <w:tcBorders>
              <w:top w:val="single" w:color="auto" w:sz="4" w:space="0"/>
              <w:left w:val="single" w:color="auto" w:sz="4" w:space="0"/>
              <w:bottom w:val="single" w:color="auto" w:sz="4" w:space="0"/>
            </w:tcBorders>
            <w:vAlign w:val="center"/>
          </w:tcPr>
          <w:p w14:paraId="6EB01B2D">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15847967637</w:t>
            </w:r>
          </w:p>
        </w:tc>
      </w:tr>
      <w:tr w14:paraId="3ED7AB2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392" w:type="pct"/>
            <w:vAlign w:val="center"/>
          </w:tcPr>
          <w:p w14:paraId="606F6C76">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16</w:t>
            </w:r>
          </w:p>
        </w:tc>
        <w:tc>
          <w:tcPr>
            <w:tcW w:w="857" w:type="pct"/>
            <w:vAlign w:val="center"/>
          </w:tcPr>
          <w:p w14:paraId="3D7839BC">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胡日查</w:t>
            </w:r>
          </w:p>
        </w:tc>
        <w:tc>
          <w:tcPr>
            <w:tcW w:w="258" w:type="pct"/>
            <w:vAlign w:val="center"/>
          </w:tcPr>
          <w:p w14:paraId="39C3A0F8">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男</w:t>
            </w:r>
          </w:p>
        </w:tc>
        <w:tc>
          <w:tcPr>
            <w:tcW w:w="349" w:type="pct"/>
            <w:vAlign w:val="center"/>
          </w:tcPr>
          <w:p w14:paraId="103D3665">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37</w:t>
            </w:r>
          </w:p>
        </w:tc>
        <w:tc>
          <w:tcPr>
            <w:tcW w:w="420" w:type="pct"/>
            <w:tcBorders>
              <w:left w:val="single" w:color="auto" w:sz="2" w:space="0"/>
            </w:tcBorders>
            <w:vAlign w:val="center"/>
          </w:tcPr>
          <w:p w14:paraId="0508031C">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高中</w:t>
            </w:r>
          </w:p>
        </w:tc>
        <w:tc>
          <w:tcPr>
            <w:tcW w:w="413" w:type="pct"/>
            <w:vAlign w:val="center"/>
          </w:tcPr>
          <w:p w14:paraId="3828DB72">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保管</w:t>
            </w:r>
          </w:p>
        </w:tc>
        <w:tc>
          <w:tcPr>
            <w:tcW w:w="1438" w:type="pct"/>
            <w:tcBorders>
              <w:right w:val="single" w:color="auto" w:sz="4" w:space="0"/>
            </w:tcBorders>
            <w:vAlign w:val="center"/>
          </w:tcPr>
          <w:p w14:paraId="3C632F84">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乌里雅斯太镇</w:t>
            </w:r>
          </w:p>
        </w:tc>
        <w:tc>
          <w:tcPr>
            <w:tcW w:w="873" w:type="pct"/>
            <w:tcBorders>
              <w:top w:val="single" w:color="auto" w:sz="4" w:space="0"/>
              <w:left w:val="single" w:color="auto" w:sz="4" w:space="0"/>
              <w:bottom w:val="single" w:color="auto" w:sz="4" w:space="0"/>
            </w:tcBorders>
            <w:vAlign w:val="center"/>
          </w:tcPr>
          <w:p w14:paraId="492AB4F5">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13674894189</w:t>
            </w:r>
          </w:p>
        </w:tc>
      </w:tr>
      <w:tr w14:paraId="674011E4">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392" w:type="pct"/>
            <w:vAlign w:val="center"/>
          </w:tcPr>
          <w:p w14:paraId="3BEFB6FD">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17</w:t>
            </w:r>
          </w:p>
        </w:tc>
        <w:tc>
          <w:tcPr>
            <w:tcW w:w="857" w:type="pct"/>
            <w:vAlign w:val="center"/>
          </w:tcPr>
          <w:p w14:paraId="3A3D9FC4">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门德</w:t>
            </w:r>
          </w:p>
        </w:tc>
        <w:tc>
          <w:tcPr>
            <w:tcW w:w="258" w:type="pct"/>
            <w:vAlign w:val="center"/>
          </w:tcPr>
          <w:p w14:paraId="407B3E8D">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男</w:t>
            </w:r>
          </w:p>
        </w:tc>
        <w:tc>
          <w:tcPr>
            <w:tcW w:w="349" w:type="pct"/>
            <w:vAlign w:val="center"/>
          </w:tcPr>
          <w:p w14:paraId="6C92B463">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40</w:t>
            </w:r>
          </w:p>
        </w:tc>
        <w:tc>
          <w:tcPr>
            <w:tcW w:w="420" w:type="pct"/>
            <w:tcBorders>
              <w:left w:val="single" w:color="auto" w:sz="2" w:space="0"/>
            </w:tcBorders>
            <w:vAlign w:val="center"/>
          </w:tcPr>
          <w:p w14:paraId="31A9CEC0">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小学</w:t>
            </w:r>
          </w:p>
        </w:tc>
        <w:tc>
          <w:tcPr>
            <w:tcW w:w="413" w:type="pct"/>
            <w:vAlign w:val="center"/>
          </w:tcPr>
          <w:p w14:paraId="271210DE">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个体</w:t>
            </w:r>
          </w:p>
        </w:tc>
        <w:tc>
          <w:tcPr>
            <w:tcW w:w="1438" w:type="pct"/>
            <w:tcBorders>
              <w:right w:val="single" w:color="auto" w:sz="4" w:space="0"/>
            </w:tcBorders>
            <w:vAlign w:val="center"/>
          </w:tcPr>
          <w:p w14:paraId="5818BA64">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乌里雅斯太镇</w:t>
            </w:r>
          </w:p>
        </w:tc>
        <w:tc>
          <w:tcPr>
            <w:tcW w:w="873" w:type="pct"/>
            <w:tcBorders>
              <w:top w:val="single" w:color="auto" w:sz="4" w:space="0"/>
              <w:left w:val="single" w:color="auto" w:sz="4" w:space="0"/>
              <w:bottom w:val="single" w:color="auto" w:sz="4" w:space="0"/>
            </w:tcBorders>
            <w:vAlign w:val="center"/>
          </w:tcPr>
          <w:p w14:paraId="06B96D69">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13947964544</w:t>
            </w:r>
          </w:p>
        </w:tc>
      </w:tr>
      <w:tr w14:paraId="7347FA05">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392" w:type="pct"/>
            <w:vAlign w:val="center"/>
          </w:tcPr>
          <w:p w14:paraId="08ED5A4B">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18</w:t>
            </w:r>
          </w:p>
        </w:tc>
        <w:tc>
          <w:tcPr>
            <w:tcW w:w="857" w:type="pct"/>
            <w:vAlign w:val="center"/>
          </w:tcPr>
          <w:p w14:paraId="25BCA42C">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乌云</w:t>
            </w:r>
          </w:p>
        </w:tc>
        <w:tc>
          <w:tcPr>
            <w:tcW w:w="258" w:type="pct"/>
            <w:vAlign w:val="center"/>
          </w:tcPr>
          <w:p w14:paraId="6CEF5777">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女</w:t>
            </w:r>
          </w:p>
        </w:tc>
        <w:tc>
          <w:tcPr>
            <w:tcW w:w="349" w:type="pct"/>
            <w:vAlign w:val="center"/>
          </w:tcPr>
          <w:p w14:paraId="48718C5F">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45</w:t>
            </w:r>
          </w:p>
        </w:tc>
        <w:tc>
          <w:tcPr>
            <w:tcW w:w="420" w:type="pct"/>
            <w:tcBorders>
              <w:left w:val="single" w:color="auto" w:sz="2" w:space="0"/>
            </w:tcBorders>
            <w:vAlign w:val="center"/>
          </w:tcPr>
          <w:p w14:paraId="1A4CD609">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高中</w:t>
            </w:r>
          </w:p>
        </w:tc>
        <w:tc>
          <w:tcPr>
            <w:tcW w:w="413" w:type="pct"/>
            <w:vAlign w:val="center"/>
          </w:tcPr>
          <w:p w14:paraId="4FB01C7B">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个体</w:t>
            </w:r>
          </w:p>
        </w:tc>
        <w:tc>
          <w:tcPr>
            <w:tcW w:w="1438" w:type="pct"/>
            <w:tcBorders>
              <w:right w:val="single" w:color="auto" w:sz="4" w:space="0"/>
            </w:tcBorders>
            <w:vAlign w:val="center"/>
          </w:tcPr>
          <w:p w14:paraId="36EC942C">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乌里雅斯太镇</w:t>
            </w:r>
          </w:p>
        </w:tc>
        <w:tc>
          <w:tcPr>
            <w:tcW w:w="873" w:type="pct"/>
            <w:tcBorders>
              <w:top w:val="single" w:color="auto" w:sz="4" w:space="0"/>
              <w:left w:val="single" w:color="auto" w:sz="4" w:space="0"/>
              <w:bottom w:val="single" w:color="auto" w:sz="4" w:space="0"/>
            </w:tcBorders>
            <w:vAlign w:val="center"/>
          </w:tcPr>
          <w:p w14:paraId="3B18FB4B">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13947930948</w:t>
            </w:r>
          </w:p>
        </w:tc>
      </w:tr>
      <w:tr w14:paraId="4F2744C0">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392" w:type="pct"/>
            <w:vAlign w:val="center"/>
          </w:tcPr>
          <w:p w14:paraId="46796544">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19</w:t>
            </w:r>
          </w:p>
        </w:tc>
        <w:tc>
          <w:tcPr>
            <w:tcW w:w="857" w:type="pct"/>
            <w:vAlign w:val="center"/>
          </w:tcPr>
          <w:p w14:paraId="1779F74A">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乌勒吉</w:t>
            </w:r>
          </w:p>
        </w:tc>
        <w:tc>
          <w:tcPr>
            <w:tcW w:w="258" w:type="pct"/>
            <w:vAlign w:val="center"/>
          </w:tcPr>
          <w:p w14:paraId="7315A090">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男</w:t>
            </w:r>
          </w:p>
        </w:tc>
        <w:tc>
          <w:tcPr>
            <w:tcW w:w="349" w:type="pct"/>
            <w:vAlign w:val="center"/>
          </w:tcPr>
          <w:p w14:paraId="31FEE313">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38</w:t>
            </w:r>
          </w:p>
        </w:tc>
        <w:tc>
          <w:tcPr>
            <w:tcW w:w="420" w:type="pct"/>
            <w:tcBorders>
              <w:left w:val="single" w:color="auto" w:sz="2" w:space="0"/>
            </w:tcBorders>
            <w:vAlign w:val="center"/>
          </w:tcPr>
          <w:p w14:paraId="2DD5A62E">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初中</w:t>
            </w:r>
          </w:p>
        </w:tc>
        <w:tc>
          <w:tcPr>
            <w:tcW w:w="413" w:type="pct"/>
            <w:vAlign w:val="center"/>
          </w:tcPr>
          <w:p w14:paraId="7A9DFD3B">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个体</w:t>
            </w:r>
          </w:p>
        </w:tc>
        <w:tc>
          <w:tcPr>
            <w:tcW w:w="1438" w:type="pct"/>
            <w:tcBorders>
              <w:right w:val="single" w:color="auto" w:sz="4" w:space="0"/>
            </w:tcBorders>
            <w:vAlign w:val="center"/>
          </w:tcPr>
          <w:p w14:paraId="728086B6">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乌里雅斯太镇</w:t>
            </w:r>
          </w:p>
        </w:tc>
        <w:tc>
          <w:tcPr>
            <w:tcW w:w="873" w:type="pct"/>
            <w:tcBorders>
              <w:top w:val="single" w:color="auto" w:sz="4" w:space="0"/>
              <w:left w:val="single" w:color="auto" w:sz="4" w:space="0"/>
              <w:bottom w:val="single" w:color="auto" w:sz="4" w:space="0"/>
            </w:tcBorders>
            <w:vAlign w:val="center"/>
          </w:tcPr>
          <w:p w14:paraId="55A8B577">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13947930925</w:t>
            </w:r>
          </w:p>
        </w:tc>
      </w:tr>
      <w:tr w14:paraId="4F72C4B4">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392" w:type="pct"/>
            <w:vAlign w:val="center"/>
          </w:tcPr>
          <w:p w14:paraId="5E5B1901">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20</w:t>
            </w:r>
          </w:p>
        </w:tc>
        <w:tc>
          <w:tcPr>
            <w:tcW w:w="857" w:type="pct"/>
            <w:vAlign w:val="center"/>
          </w:tcPr>
          <w:p w14:paraId="21279A8F">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德忠</w:t>
            </w:r>
          </w:p>
        </w:tc>
        <w:tc>
          <w:tcPr>
            <w:tcW w:w="258" w:type="pct"/>
            <w:vAlign w:val="center"/>
          </w:tcPr>
          <w:p w14:paraId="6FE2F386">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男</w:t>
            </w:r>
          </w:p>
        </w:tc>
        <w:tc>
          <w:tcPr>
            <w:tcW w:w="349" w:type="pct"/>
            <w:vAlign w:val="center"/>
          </w:tcPr>
          <w:p w14:paraId="67DC052C">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50</w:t>
            </w:r>
          </w:p>
        </w:tc>
        <w:tc>
          <w:tcPr>
            <w:tcW w:w="420" w:type="pct"/>
            <w:tcBorders>
              <w:left w:val="single" w:color="auto" w:sz="2" w:space="0"/>
            </w:tcBorders>
            <w:vAlign w:val="center"/>
          </w:tcPr>
          <w:p w14:paraId="3133B379">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中专</w:t>
            </w:r>
          </w:p>
        </w:tc>
        <w:tc>
          <w:tcPr>
            <w:tcW w:w="413" w:type="pct"/>
            <w:vAlign w:val="center"/>
          </w:tcPr>
          <w:p w14:paraId="01DE328A">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机关</w:t>
            </w:r>
          </w:p>
        </w:tc>
        <w:tc>
          <w:tcPr>
            <w:tcW w:w="1438" w:type="pct"/>
            <w:tcBorders>
              <w:right w:val="single" w:color="auto" w:sz="4" w:space="0"/>
            </w:tcBorders>
            <w:vAlign w:val="center"/>
          </w:tcPr>
          <w:p w14:paraId="4C4663A4">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乌里雅斯太镇</w:t>
            </w:r>
          </w:p>
        </w:tc>
        <w:tc>
          <w:tcPr>
            <w:tcW w:w="873" w:type="pct"/>
            <w:tcBorders>
              <w:top w:val="single" w:color="auto" w:sz="4" w:space="0"/>
              <w:left w:val="single" w:color="auto" w:sz="4" w:space="0"/>
              <w:bottom w:val="single" w:color="auto" w:sz="4" w:space="0"/>
            </w:tcBorders>
            <w:vAlign w:val="center"/>
          </w:tcPr>
          <w:p w14:paraId="38605EF2">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15164961567</w:t>
            </w:r>
          </w:p>
        </w:tc>
      </w:tr>
      <w:tr w14:paraId="7A59AF25">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392" w:type="pct"/>
            <w:vAlign w:val="center"/>
          </w:tcPr>
          <w:p w14:paraId="4CCCE6D2">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21</w:t>
            </w:r>
          </w:p>
        </w:tc>
        <w:tc>
          <w:tcPr>
            <w:tcW w:w="857" w:type="pct"/>
            <w:vAlign w:val="center"/>
          </w:tcPr>
          <w:p w14:paraId="4DA71717">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闫林</w:t>
            </w:r>
          </w:p>
        </w:tc>
        <w:tc>
          <w:tcPr>
            <w:tcW w:w="258" w:type="pct"/>
            <w:vAlign w:val="center"/>
          </w:tcPr>
          <w:p w14:paraId="64D2AA40">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男</w:t>
            </w:r>
          </w:p>
        </w:tc>
        <w:tc>
          <w:tcPr>
            <w:tcW w:w="349" w:type="pct"/>
            <w:vAlign w:val="center"/>
          </w:tcPr>
          <w:p w14:paraId="21C1148A">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35</w:t>
            </w:r>
          </w:p>
        </w:tc>
        <w:tc>
          <w:tcPr>
            <w:tcW w:w="420" w:type="pct"/>
            <w:tcBorders>
              <w:left w:val="single" w:color="auto" w:sz="2" w:space="0"/>
            </w:tcBorders>
            <w:vAlign w:val="center"/>
          </w:tcPr>
          <w:p w14:paraId="20C834BC">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大专</w:t>
            </w:r>
          </w:p>
        </w:tc>
        <w:tc>
          <w:tcPr>
            <w:tcW w:w="413" w:type="pct"/>
            <w:vAlign w:val="center"/>
          </w:tcPr>
          <w:p w14:paraId="7D29FF4A">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机关</w:t>
            </w:r>
          </w:p>
        </w:tc>
        <w:tc>
          <w:tcPr>
            <w:tcW w:w="1438" w:type="pct"/>
            <w:tcBorders>
              <w:right w:val="single" w:color="auto" w:sz="4" w:space="0"/>
            </w:tcBorders>
            <w:vAlign w:val="center"/>
          </w:tcPr>
          <w:p w14:paraId="7B10E9F1">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乌里雅斯太镇</w:t>
            </w:r>
          </w:p>
        </w:tc>
        <w:tc>
          <w:tcPr>
            <w:tcW w:w="873" w:type="pct"/>
            <w:tcBorders>
              <w:top w:val="single" w:color="auto" w:sz="4" w:space="0"/>
              <w:left w:val="single" w:color="auto" w:sz="4" w:space="0"/>
              <w:bottom w:val="single" w:color="auto" w:sz="4" w:space="0"/>
            </w:tcBorders>
            <w:vAlign w:val="center"/>
          </w:tcPr>
          <w:p w14:paraId="030B1379">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15147947951</w:t>
            </w:r>
          </w:p>
        </w:tc>
      </w:tr>
      <w:tr w14:paraId="31AAFFFB">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392" w:type="pct"/>
            <w:vAlign w:val="center"/>
          </w:tcPr>
          <w:p w14:paraId="7FC268D0">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22</w:t>
            </w:r>
          </w:p>
        </w:tc>
        <w:tc>
          <w:tcPr>
            <w:tcW w:w="857" w:type="pct"/>
            <w:vAlign w:val="center"/>
          </w:tcPr>
          <w:p w14:paraId="57B59988">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刘洋</w:t>
            </w:r>
          </w:p>
        </w:tc>
        <w:tc>
          <w:tcPr>
            <w:tcW w:w="258" w:type="pct"/>
            <w:vAlign w:val="center"/>
          </w:tcPr>
          <w:p w14:paraId="1D3C060A">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男</w:t>
            </w:r>
          </w:p>
        </w:tc>
        <w:tc>
          <w:tcPr>
            <w:tcW w:w="349" w:type="pct"/>
            <w:vAlign w:val="center"/>
          </w:tcPr>
          <w:p w14:paraId="6AB199EE">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29</w:t>
            </w:r>
          </w:p>
        </w:tc>
        <w:tc>
          <w:tcPr>
            <w:tcW w:w="420" w:type="pct"/>
            <w:tcBorders>
              <w:left w:val="single" w:color="auto" w:sz="2" w:space="0"/>
            </w:tcBorders>
            <w:vAlign w:val="center"/>
          </w:tcPr>
          <w:p w14:paraId="44903481">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初中</w:t>
            </w:r>
          </w:p>
        </w:tc>
        <w:tc>
          <w:tcPr>
            <w:tcW w:w="413" w:type="pct"/>
            <w:vAlign w:val="center"/>
          </w:tcPr>
          <w:p w14:paraId="32EA49B3">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个体</w:t>
            </w:r>
          </w:p>
        </w:tc>
        <w:tc>
          <w:tcPr>
            <w:tcW w:w="1438" w:type="pct"/>
            <w:tcBorders>
              <w:right w:val="single" w:color="auto" w:sz="4" w:space="0"/>
            </w:tcBorders>
            <w:vAlign w:val="center"/>
          </w:tcPr>
          <w:p w14:paraId="055C6684">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乌里雅斯太镇</w:t>
            </w:r>
          </w:p>
        </w:tc>
        <w:tc>
          <w:tcPr>
            <w:tcW w:w="873" w:type="pct"/>
            <w:tcBorders>
              <w:top w:val="single" w:color="auto" w:sz="4" w:space="0"/>
              <w:left w:val="single" w:color="auto" w:sz="4" w:space="0"/>
              <w:bottom w:val="single" w:color="auto" w:sz="4" w:space="0"/>
            </w:tcBorders>
            <w:vAlign w:val="center"/>
          </w:tcPr>
          <w:p w14:paraId="16AFADA0">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15047182228</w:t>
            </w:r>
          </w:p>
        </w:tc>
      </w:tr>
      <w:tr w14:paraId="68A8CE8E">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392" w:type="pct"/>
            <w:vAlign w:val="center"/>
          </w:tcPr>
          <w:p w14:paraId="2D1E60F9">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23</w:t>
            </w:r>
          </w:p>
        </w:tc>
        <w:tc>
          <w:tcPr>
            <w:tcW w:w="857" w:type="pct"/>
            <w:vAlign w:val="center"/>
          </w:tcPr>
          <w:p w14:paraId="4AFD08ED">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呼日乐</w:t>
            </w:r>
          </w:p>
        </w:tc>
        <w:tc>
          <w:tcPr>
            <w:tcW w:w="258" w:type="pct"/>
            <w:vAlign w:val="center"/>
          </w:tcPr>
          <w:p w14:paraId="7A6C71D2">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男</w:t>
            </w:r>
          </w:p>
        </w:tc>
        <w:tc>
          <w:tcPr>
            <w:tcW w:w="349" w:type="pct"/>
            <w:vAlign w:val="center"/>
          </w:tcPr>
          <w:p w14:paraId="7749272F">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52</w:t>
            </w:r>
          </w:p>
        </w:tc>
        <w:tc>
          <w:tcPr>
            <w:tcW w:w="420" w:type="pct"/>
            <w:tcBorders>
              <w:left w:val="single" w:color="auto" w:sz="2" w:space="0"/>
            </w:tcBorders>
            <w:vAlign w:val="center"/>
          </w:tcPr>
          <w:p w14:paraId="69491D55">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小学</w:t>
            </w:r>
          </w:p>
        </w:tc>
        <w:tc>
          <w:tcPr>
            <w:tcW w:w="413" w:type="pct"/>
            <w:vAlign w:val="center"/>
          </w:tcPr>
          <w:p w14:paraId="6D5E7B32">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个体</w:t>
            </w:r>
          </w:p>
        </w:tc>
        <w:tc>
          <w:tcPr>
            <w:tcW w:w="1438" w:type="pct"/>
            <w:tcBorders>
              <w:right w:val="single" w:color="auto" w:sz="4" w:space="0"/>
            </w:tcBorders>
            <w:vAlign w:val="center"/>
          </w:tcPr>
          <w:p w14:paraId="238DC1D3">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乌里雅斯太镇</w:t>
            </w:r>
          </w:p>
        </w:tc>
        <w:tc>
          <w:tcPr>
            <w:tcW w:w="873" w:type="pct"/>
            <w:tcBorders>
              <w:top w:val="single" w:color="auto" w:sz="4" w:space="0"/>
              <w:left w:val="single" w:color="auto" w:sz="4" w:space="0"/>
              <w:bottom w:val="single" w:color="auto" w:sz="4" w:space="0"/>
            </w:tcBorders>
            <w:vAlign w:val="center"/>
          </w:tcPr>
          <w:p w14:paraId="4EDAD117">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13904792922</w:t>
            </w:r>
          </w:p>
        </w:tc>
      </w:tr>
      <w:tr w14:paraId="2E4AC8FB">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 w:hRule="atLeast"/>
          <w:jc w:val="center"/>
        </w:trPr>
        <w:tc>
          <w:tcPr>
            <w:tcW w:w="392" w:type="pct"/>
            <w:vAlign w:val="center"/>
          </w:tcPr>
          <w:p w14:paraId="2431BA3B">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24</w:t>
            </w:r>
          </w:p>
        </w:tc>
        <w:tc>
          <w:tcPr>
            <w:tcW w:w="857" w:type="pct"/>
            <w:vAlign w:val="center"/>
          </w:tcPr>
          <w:p w14:paraId="15DA0725">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马俊</w:t>
            </w:r>
          </w:p>
        </w:tc>
        <w:tc>
          <w:tcPr>
            <w:tcW w:w="258" w:type="pct"/>
            <w:vAlign w:val="center"/>
          </w:tcPr>
          <w:p w14:paraId="2849AD85">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男</w:t>
            </w:r>
          </w:p>
        </w:tc>
        <w:tc>
          <w:tcPr>
            <w:tcW w:w="349" w:type="pct"/>
            <w:vAlign w:val="center"/>
          </w:tcPr>
          <w:p w14:paraId="5523A33E">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48</w:t>
            </w:r>
          </w:p>
        </w:tc>
        <w:tc>
          <w:tcPr>
            <w:tcW w:w="420" w:type="pct"/>
            <w:tcBorders>
              <w:left w:val="single" w:color="auto" w:sz="2" w:space="0"/>
            </w:tcBorders>
            <w:vAlign w:val="center"/>
          </w:tcPr>
          <w:p w14:paraId="38439705">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高中</w:t>
            </w:r>
          </w:p>
        </w:tc>
        <w:tc>
          <w:tcPr>
            <w:tcW w:w="413" w:type="pct"/>
            <w:vAlign w:val="center"/>
          </w:tcPr>
          <w:p w14:paraId="6893B9AA">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司机</w:t>
            </w:r>
          </w:p>
        </w:tc>
        <w:tc>
          <w:tcPr>
            <w:tcW w:w="1438" w:type="pct"/>
            <w:tcBorders>
              <w:right w:val="single" w:color="auto" w:sz="4" w:space="0"/>
            </w:tcBorders>
            <w:vAlign w:val="center"/>
          </w:tcPr>
          <w:p w14:paraId="3D615BB7">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乌里雅斯太镇</w:t>
            </w:r>
          </w:p>
        </w:tc>
        <w:tc>
          <w:tcPr>
            <w:tcW w:w="873" w:type="pct"/>
            <w:tcBorders>
              <w:top w:val="single" w:color="auto" w:sz="4" w:space="0"/>
              <w:left w:val="single" w:color="auto" w:sz="4" w:space="0"/>
              <w:bottom w:val="single" w:color="auto" w:sz="4" w:space="0"/>
            </w:tcBorders>
            <w:vAlign w:val="center"/>
          </w:tcPr>
          <w:p w14:paraId="61EBD423">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13154297833</w:t>
            </w:r>
          </w:p>
        </w:tc>
      </w:tr>
      <w:tr w14:paraId="2BD02405">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392" w:type="pct"/>
            <w:vAlign w:val="center"/>
          </w:tcPr>
          <w:p w14:paraId="03F4D394">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25</w:t>
            </w:r>
          </w:p>
        </w:tc>
        <w:tc>
          <w:tcPr>
            <w:tcW w:w="857" w:type="pct"/>
            <w:vAlign w:val="center"/>
          </w:tcPr>
          <w:p w14:paraId="6A3D90FC">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肖爱玲</w:t>
            </w:r>
          </w:p>
        </w:tc>
        <w:tc>
          <w:tcPr>
            <w:tcW w:w="258" w:type="pct"/>
            <w:vAlign w:val="center"/>
          </w:tcPr>
          <w:p w14:paraId="70EAB165">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女</w:t>
            </w:r>
          </w:p>
        </w:tc>
        <w:tc>
          <w:tcPr>
            <w:tcW w:w="349" w:type="pct"/>
            <w:vAlign w:val="center"/>
          </w:tcPr>
          <w:p w14:paraId="2ED013E3">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38</w:t>
            </w:r>
          </w:p>
        </w:tc>
        <w:tc>
          <w:tcPr>
            <w:tcW w:w="420" w:type="pct"/>
            <w:tcBorders>
              <w:left w:val="single" w:color="auto" w:sz="2" w:space="0"/>
            </w:tcBorders>
            <w:vAlign w:val="center"/>
          </w:tcPr>
          <w:p w14:paraId="1DB6F4A3">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高中</w:t>
            </w:r>
          </w:p>
        </w:tc>
        <w:tc>
          <w:tcPr>
            <w:tcW w:w="413" w:type="pct"/>
            <w:vAlign w:val="center"/>
          </w:tcPr>
          <w:p w14:paraId="093A7E7F">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个体</w:t>
            </w:r>
          </w:p>
        </w:tc>
        <w:tc>
          <w:tcPr>
            <w:tcW w:w="1438" w:type="pct"/>
            <w:tcBorders>
              <w:right w:val="single" w:color="auto" w:sz="4" w:space="0"/>
            </w:tcBorders>
            <w:vAlign w:val="center"/>
          </w:tcPr>
          <w:p w14:paraId="7396E237">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乌里雅斯太镇</w:t>
            </w:r>
          </w:p>
        </w:tc>
        <w:tc>
          <w:tcPr>
            <w:tcW w:w="873" w:type="pct"/>
            <w:tcBorders>
              <w:top w:val="single" w:color="auto" w:sz="4" w:space="0"/>
              <w:left w:val="single" w:color="auto" w:sz="4" w:space="0"/>
              <w:bottom w:val="single" w:color="auto" w:sz="4" w:space="0"/>
            </w:tcBorders>
            <w:vAlign w:val="center"/>
          </w:tcPr>
          <w:p w14:paraId="7D369A78">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15204792908</w:t>
            </w:r>
          </w:p>
        </w:tc>
      </w:tr>
      <w:tr w14:paraId="5DD5ACA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392" w:type="pct"/>
            <w:vAlign w:val="center"/>
          </w:tcPr>
          <w:p w14:paraId="353F4EB7">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26</w:t>
            </w:r>
          </w:p>
        </w:tc>
        <w:tc>
          <w:tcPr>
            <w:tcW w:w="857" w:type="pct"/>
            <w:vAlign w:val="center"/>
          </w:tcPr>
          <w:p w14:paraId="4331E9CB">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苏建忠</w:t>
            </w:r>
          </w:p>
        </w:tc>
        <w:tc>
          <w:tcPr>
            <w:tcW w:w="258" w:type="pct"/>
            <w:vAlign w:val="center"/>
          </w:tcPr>
          <w:p w14:paraId="06DBABDB">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男</w:t>
            </w:r>
          </w:p>
        </w:tc>
        <w:tc>
          <w:tcPr>
            <w:tcW w:w="349" w:type="pct"/>
            <w:vAlign w:val="center"/>
          </w:tcPr>
          <w:p w14:paraId="726FE466">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42</w:t>
            </w:r>
          </w:p>
        </w:tc>
        <w:tc>
          <w:tcPr>
            <w:tcW w:w="420" w:type="pct"/>
            <w:tcBorders>
              <w:left w:val="single" w:color="auto" w:sz="2" w:space="0"/>
            </w:tcBorders>
            <w:vAlign w:val="center"/>
          </w:tcPr>
          <w:p w14:paraId="5A109FCE">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高中</w:t>
            </w:r>
          </w:p>
        </w:tc>
        <w:tc>
          <w:tcPr>
            <w:tcW w:w="413" w:type="pct"/>
            <w:vAlign w:val="center"/>
          </w:tcPr>
          <w:p w14:paraId="0A2A06CC">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个体</w:t>
            </w:r>
          </w:p>
        </w:tc>
        <w:tc>
          <w:tcPr>
            <w:tcW w:w="1438" w:type="pct"/>
            <w:tcBorders>
              <w:right w:val="single" w:color="auto" w:sz="4" w:space="0"/>
            </w:tcBorders>
            <w:vAlign w:val="center"/>
          </w:tcPr>
          <w:p w14:paraId="46059F4E">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乌里雅斯太镇</w:t>
            </w:r>
          </w:p>
        </w:tc>
        <w:tc>
          <w:tcPr>
            <w:tcW w:w="873" w:type="pct"/>
            <w:tcBorders>
              <w:top w:val="single" w:color="auto" w:sz="4" w:space="0"/>
              <w:left w:val="single" w:color="auto" w:sz="4" w:space="0"/>
              <w:bottom w:val="single" w:color="auto" w:sz="4" w:space="0"/>
            </w:tcBorders>
            <w:vAlign w:val="center"/>
          </w:tcPr>
          <w:p w14:paraId="0AD055BA">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13654892956</w:t>
            </w:r>
          </w:p>
        </w:tc>
      </w:tr>
      <w:tr w14:paraId="640F947D">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392" w:type="pct"/>
            <w:vAlign w:val="center"/>
          </w:tcPr>
          <w:p w14:paraId="69ABC4EB">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27</w:t>
            </w:r>
          </w:p>
        </w:tc>
        <w:tc>
          <w:tcPr>
            <w:tcW w:w="857" w:type="pct"/>
            <w:vAlign w:val="center"/>
          </w:tcPr>
          <w:p w14:paraId="3BAFB106">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钱大门</w:t>
            </w:r>
          </w:p>
        </w:tc>
        <w:tc>
          <w:tcPr>
            <w:tcW w:w="258" w:type="pct"/>
            <w:vAlign w:val="center"/>
          </w:tcPr>
          <w:p w14:paraId="3EC28947">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男</w:t>
            </w:r>
          </w:p>
        </w:tc>
        <w:tc>
          <w:tcPr>
            <w:tcW w:w="349" w:type="pct"/>
            <w:vAlign w:val="center"/>
          </w:tcPr>
          <w:p w14:paraId="53982BDA">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27</w:t>
            </w:r>
          </w:p>
        </w:tc>
        <w:tc>
          <w:tcPr>
            <w:tcW w:w="420" w:type="pct"/>
            <w:tcBorders>
              <w:left w:val="single" w:color="auto" w:sz="2" w:space="0"/>
            </w:tcBorders>
            <w:vAlign w:val="center"/>
          </w:tcPr>
          <w:p w14:paraId="2DAA309F">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初中</w:t>
            </w:r>
          </w:p>
        </w:tc>
        <w:tc>
          <w:tcPr>
            <w:tcW w:w="413" w:type="pct"/>
            <w:vAlign w:val="center"/>
          </w:tcPr>
          <w:p w14:paraId="65CF0031">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个体</w:t>
            </w:r>
          </w:p>
        </w:tc>
        <w:tc>
          <w:tcPr>
            <w:tcW w:w="1438" w:type="pct"/>
            <w:tcBorders>
              <w:right w:val="single" w:color="auto" w:sz="4" w:space="0"/>
            </w:tcBorders>
            <w:vAlign w:val="center"/>
          </w:tcPr>
          <w:p w14:paraId="045253DA">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乌里雅斯太镇</w:t>
            </w:r>
          </w:p>
        </w:tc>
        <w:tc>
          <w:tcPr>
            <w:tcW w:w="873" w:type="pct"/>
            <w:tcBorders>
              <w:top w:val="single" w:color="auto" w:sz="4" w:space="0"/>
              <w:left w:val="single" w:color="auto" w:sz="4" w:space="0"/>
              <w:bottom w:val="single" w:color="auto" w:sz="12" w:space="0"/>
            </w:tcBorders>
            <w:vAlign w:val="center"/>
          </w:tcPr>
          <w:p w14:paraId="3F8B6289">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18747947775</w:t>
            </w:r>
          </w:p>
        </w:tc>
      </w:tr>
      <w:tr w14:paraId="63AF1EFF">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392" w:type="pct"/>
            <w:vAlign w:val="center"/>
          </w:tcPr>
          <w:p w14:paraId="1A95ACFD">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28</w:t>
            </w:r>
          </w:p>
        </w:tc>
        <w:tc>
          <w:tcPr>
            <w:tcW w:w="857" w:type="pct"/>
            <w:vAlign w:val="center"/>
          </w:tcPr>
          <w:p w14:paraId="132C6501">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齐学原</w:t>
            </w:r>
          </w:p>
        </w:tc>
        <w:tc>
          <w:tcPr>
            <w:tcW w:w="258" w:type="pct"/>
            <w:vAlign w:val="center"/>
          </w:tcPr>
          <w:p w14:paraId="7621A2A2">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男</w:t>
            </w:r>
          </w:p>
        </w:tc>
        <w:tc>
          <w:tcPr>
            <w:tcW w:w="349" w:type="pct"/>
            <w:vAlign w:val="center"/>
          </w:tcPr>
          <w:p w14:paraId="0050AAEA">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42</w:t>
            </w:r>
          </w:p>
        </w:tc>
        <w:tc>
          <w:tcPr>
            <w:tcW w:w="420" w:type="pct"/>
            <w:tcBorders>
              <w:left w:val="single" w:color="auto" w:sz="2" w:space="0"/>
            </w:tcBorders>
            <w:vAlign w:val="center"/>
          </w:tcPr>
          <w:p w14:paraId="23BEF63D">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高中</w:t>
            </w:r>
          </w:p>
        </w:tc>
        <w:tc>
          <w:tcPr>
            <w:tcW w:w="413" w:type="pct"/>
            <w:vAlign w:val="center"/>
          </w:tcPr>
          <w:p w14:paraId="317EC17A">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司机</w:t>
            </w:r>
          </w:p>
        </w:tc>
        <w:tc>
          <w:tcPr>
            <w:tcW w:w="1438" w:type="pct"/>
            <w:tcBorders>
              <w:right w:val="single" w:color="auto" w:sz="4" w:space="0"/>
            </w:tcBorders>
            <w:vAlign w:val="center"/>
          </w:tcPr>
          <w:p w14:paraId="571586CC">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乌里雅斯太镇</w:t>
            </w:r>
          </w:p>
        </w:tc>
        <w:tc>
          <w:tcPr>
            <w:tcW w:w="873" w:type="pct"/>
            <w:tcBorders>
              <w:top w:val="single" w:color="auto" w:sz="12" w:space="0"/>
              <w:left w:val="single" w:color="auto" w:sz="4" w:space="0"/>
              <w:bottom w:val="single" w:color="auto" w:sz="4" w:space="0"/>
            </w:tcBorders>
            <w:vAlign w:val="center"/>
          </w:tcPr>
          <w:p w14:paraId="001B21F4">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15247933655</w:t>
            </w:r>
          </w:p>
        </w:tc>
      </w:tr>
      <w:tr w14:paraId="109070C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392" w:type="pct"/>
            <w:vAlign w:val="center"/>
          </w:tcPr>
          <w:p w14:paraId="5F3370C8">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29</w:t>
            </w:r>
          </w:p>
        </w:tc>
        <w:tc>
          <w:tcPr>
            <w:tcW w:w="857" w:type="pct"/>
            <w:vAlign w:val="center"/>
          </w:tcPr>
          <w:p w14:paraId="4802862A">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敖根花</w:t>
            </w:r>
          </w:p>
        </w:tc>
        <w:tc>
          <w:tcPr>
            <w:tcW w:w="258" w:type="pct"/>
            <w:vAlign w:val="center"/>
          </w:tcPr>
          <w:p w14:paraId="66A8F862">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女</w:t>
            </w:r>
          </w:p>
        </w:tc>
        <w:tc>
          <w:tcPr>
            <w:tcW w:w="349" w:type="pct"/>
            <w:vAlign w:val="center"/>
          </w:tcPr>
          <w:p w14:paraId="40C6986E">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41</w:t>
            </w:r>
          </w:p>
        </w:tc>
        <w:tc>
          <w:tcPr>
            <w:tcW w:w="420" w:type="pct"/>
            <w:tcBorders>
              <w:left w:val="single" w:color="auto" w:sz="2" w:space="0"/>
            </w:tcBorders>
            <w:vAlign w:val="center"/>
          </w:tcPr>
          <w:p w14:paraId="7522A0BA">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初中</w:t>
            </w:r>
          </w:p>
        </w:tc>
        <w:tc>
          <w:tcPr>
            <w:tcW w:w="413" w:type="pct"/>
            <w:vAlign w:val="center"/>
          </w:tcPr>
          <w:p w14:paraId="404F0EE8">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牧民</w:t>
            </w:r>
          </w:p>
        </w:tc>
        <w:tc>
          <w:tcPr>
            <w:tcW w:w="1438" w:type="pct"/>
            <w:tcBorders>
              <w:right w:val="single" w:color="auto" w:sz="4" w:space="0"/>
            </w:tcBorders>
            <w:vAlign w:val="center"/>
          </w:tcPr>
          <w:p w14:paraId="0772F0D5">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乌里雅斯太镇阿枯楞大队</w:t>
            </w:r>
          </w:p>
        </w:tc>
        <w:tc>
          <w:tcPr>
            <w:tcW w:w="873" w:type="pct"/>
            <w:tcBorders>
              <w:top w:val="single" w:color="auto" w:sz="4" w:space="0"/>
              <w:left w:val="single" w:color="auto" w:sz="4" w:space="0"/>
              <w:bottom w:val="single" w:color="auto" w:sz="2" w:space="0"/>
            </w:tcBorders>
            <w:vAlign w:val="center"/>
          </w:tcPr>
          <w:p w14:paraId="19E0FCA9">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13847928624</w:t>
            </w:r>
          </w:p>
        </w:tc>
      </w:tr>
      <w:tr w14:paraId="0BA46CFF">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392" w:type="pct"/>
            <w:vAlign w:val="center"/>
          </w:tcPr>
          <w:p w14:paraId="43443539">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30</w:t>
            </w:r>
          </w:p>
        </w:tc>
        <w:tc>
          <w:tcPr>
            <w:tcW w:w="857" w:type="pct"/>
            <w:vAlign w:val="center"/>
          </w:tcPr>
          <w:p w14:paraId="1F9FD1D0">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巴音孟克</w:t>
            </w:r>
          </w:p>
        </w:tc>
        <w:tc>
          <w:tcPr>
            <w:tcW w:w="258" w:type="pct"/>
            <w:vAlign w:val="center"/>
          </w:tcPr>
          <w:p w14:paraId="04A92590">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男</w:t>
            </w:r>
          </w:p>
        </w:tc>
        <w:tc>
          <w:tcPr>
            <w:tcW w:w="349" w:type="pct"/>
            <w:vAlign w:val="center"/>
          </w:tcPr>
          <w:p w14:paraId="54440696">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28</w:t>
            </w:r>
          </w:p>
        </w:tc>
        <w:tc>
          <w:tcPr>
            <w:tcW w:w="420" w:type="pct"/>
            <w:tcBorders>
              <w:left w:val="single" w:color="auto" w:sz="2" w:space="0"/>
            </w:tcBorders>
            <w:vAlign w:val="center"/>
          </w:tcPr>
          <w:p w14:paraId="7660EB08">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小学</w:t>
            </w:r>
          </w:p>
        </w:tc>
        <w:tc>
          <w:tcPr>
            <w:tcW w:w="413" w:type="pct"/>
            <w:vAlign w:val="center"/>
          </w:tcPr>
          <w:p w14:paraId="7D09D346">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牧民</w:t>
            </w:r>
          </w:p>
        </w:tc>
        <w:tc>
          <w:tcPr>
            <w:tcW w:w="1438" w:type="pct"/>
            <w:tcBorders>
              <w:right w:val="single" w:color="auto" w:sz="4" w:space="0"/>
            </w:tcBorders>
            <w:vAlign w:val="center"/>
          </w:tcPr>
          <w:p w14:paraId="6B28E56E">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乌里雅斯太镇阿枯楞大队</w:t>
            </w:r>
          </w:p>
        </w:tc>
        <w:tc>
          <w:tcPr>
            <w:tcW w:w="873" w:type="pct"/>
            <w:tcBorders>
              <w:top w:val="single" w:color="auto" w:sz="2" w:space="0"/>
              <w:left w:val="single" w:color="auto" w:sz="4" w:space="0"/>
              <w:bottom w:val="single" w:color="auto" w:sz="4" w:space="0"/>
            </w:tcBorders>
            <w:vAlign w:val="center"/>
          </w:tcPr>
          <w:p w14:paraId="19686DE6">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18247984081</w:t>
            </w:r>
          </w:p>
        </w:tc>
      </w:tr>
      <w:tr w14:paraId="7427C238">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392" w:type="pct"/>
            <w:vAlign w:val="center"/>
          </w:tcPr>
          <w:p w14:paraId="7FBECE06">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31</w:t>
            </w:r>
          </w:p>
        </w:tc>
        <w:tc>
          <w:tcPr>
            <w:tcW w:w="857" w:type="pct"/>
            <w:vAlign w:val="center"/>
          </w:tcPr>
          <w:p w14:paraId="32D03536">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朝伦巴特尔</w:t>
            </w:r>
          </w:p>
        </w:tc>
        <w:tc>
          <w:tcPr>
            <w:tcW w:w="258" w:type="pct"/>
            <w:vAlign w:val="center"/>
          </w:tcPr>
          <w:p w14:paraId="14547FFD">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男</w:t>
            </w:r>
          </w:p>
        </w:tc>
        <w:tc>
          <w:tcPr>
            <w:tcW w:w="349" w:type="pct"/>
            <w:vAlign w:val="center"/>
          </w:tcPr>
          <w:p w14:paraId="5874821D">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53</w:t>
            </w:r>
          </w:p>
        </w:tc>
        <w:tc>
          <w:tcPr>
            <w:tcW w:w="420" w:type="pct"/>
            <w:tcBorders>
              <w:left w:val="single" w:color="auto" w:sz="2" w:space="0"/>
            </w:tcBorders>
            <w:vAlign w:val="center"/>
          </w:tcPr>
          <w:p w14:paraId="517CA5BD">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小学</w:t>
            </w:r>
          </w:p>
        </w:tc>
        <w:tc>
          <w:tcPr>
            <w:tcW w:w="413" w:type="pct"/>
            <w:vAlign w:val="center"/>
          </w:tcPr>
          <w:p w14:paraId="1D9F204A">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牧民</w:t>
            </w:r>
          </w:p>
        </w:tc>
        <w:tc>
          <w:tcPr>
            <w:tcW w:w="1438" w:type="pct"/>
            <w:tcBorders>
              <w:right w:val="single" w:color="auto" w:sz="4" w:space="0"/>
            </w:tcBorders>
            <w:vAlign w:val="center"/>
          </w:tcPr>
          <w:p w14:paraId="04FBD003">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乌里雅斯太镇阿枯楞大队</w:t>
            </w:r>
          </w:p>
        </w:tc>
        <w:tc>
          <w:tcPr>
            <w:tcW w:w="873" w:type="pct"/>
            <w:tcBorders>
              <w:top w:val="single" w:color="auto" w:sz="4" w:space="0"/>
              <w:left w:val="single" w:color="auto" w:sz="4" w:space="0"/>
              <w:bottom w:val="single" w:color="auto" w:sz="4" w:space="0"/>
            </w:tcBorders>
            <w:vAlign w:val="center"/>
          </w:tcPr>
          <w:p w14:paraId="6F2DAFF8">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15147965022</w:t>
            </w:r>
          </w:p>
        </w:tc>
      </w:tr>
      <w:tr w14:paraId="472CC02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392" w:type="pct"/>
            <w:vAlign w:val="center"/>
          </w:tcPr>
          <w:p w14:paraId="0528522F">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32</w:t>
            </w:r>
          </w:p>
        </w:tc>
        <w:tc>
          <w:tcPr>
            <w:tcW w:w="857" w:type="pct"/>
            <w:vAlign w:val="center"/>
          </w:tcPr>
          <w:p w14:paraId="36345DD8">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高娃</w:t>
            </w:r>
          </w:p>
        </w:tc>
        <w:tc>
          <w:tcPr>
            <w:tcW w:w="258" w:type="pct"/>
            <w:vAlign w:val="center"/>
          </w:tcPr>
          <w:p w14:paraId="70E54DA1">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女</w:t>
            </w:r>
          </w:p>
        </w:tc>
        <w:tc>
          <w:tcPr>
            <w:tcW w:w="349" w:type="pct"/>
            <w:vAlign w:val="center"/>
          </w:tcPr>
          <w:p w14:paraId="37CD658A">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28</w:t>
            </w:r>
          </w:p>
        </w:tc>
        <w:tc>
          <w:tcPr>
            <w:tcW w:w="420" w:type="pct"/>
            <w:tcBorders>
              <w:left w:val="single" w:color="auto" w:sz="2" w:space="0"/>
            </w:tcBorders>
            <w:vAlign w:val="center"/>
          </w:tcPr>
          <w:p w14:paraId="214BF233">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小学</w:t>
            </w:r>
          </w:p>
        </w:tc>
        <w:tc>
          <w:tcPr>
            <w:tcW w:w="413" w:type="pct"/>
            <w:vAlign w:val="center"/>
          </w:tcPr>
          <w:p w14:paraId="1DC4506F">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牧民</w:t>
            </w:r>
          </w:p>
        </w:tc>
        <w:tc>
          <w:tcPr>
            <w:tcW w:w="1438" w:type="pct"/>
            <w:tcBorders>
              <w:right w:val="single" w:color="auto" w:sz="4" w:space="0"/>
            </w:tcBorders>
            <w:vAlign w:val="center"/>
          </w:tcPr>
          <w:p w14:paraId="543B4A03">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乌里雅斯太镇阿枯楞大队</w:t>
            </w:r>
          </w:p>
        </w:tc>
        <w:tc>
          <w:tcPr>
            <w:tcW w:w="873" w:type="pct"/>
            <w:tcBorders>
              <w:top w:val="single" w:color="auto" w:sz="4" w:space="0"/>
              <w:left w:val="single" w:color="auto" w:sz="4" w:space="0"/>
              <w:bottom w:val="single" w:color="auto" w:sz="4" w:space="0"/>
            </w:tcBorders>
            <w:vAlign w:val="center"/>
          </w:tcPr>
          <w:p w14:paraId="709AD32C">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15148660705</w:t>
            </w:r>
          </w:p>
        </w:tc>
      </w:tr>
      <w:tr w14:paraId="3E6DBC1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392" w:type="pct"/>
            <w:vAlign w:val="center"/>
          </w:tcPr>
          <w:p w14:paraId="67C2D536">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33</w:t>
            </w:r>
          </w:p>
        </w:tc>
        <w:tc>
          <w:tcPr>
            <w:tcW w:w="857" w:type="pct"/>
            <w:vAlign w:val="center"/>
          </w:tcPr>
          <w:p w14:paraId="4F79D219">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格日勒</w:t>
            </w:r>
          </w:p>
        </w:tc>
        <w:tc>
          <w:tcPr>
            <w:tcW w:w="258" w:type="pct"/>
            <w:vAlign w:val="center"/>
          </w:tcPr>
          <w:p w14:paraId="52192783">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女</w:t>
            </w:r>
          </w:p>
        </w:tc>
        <w:tc>
          <w:tcPr>
            <w:tcW w:w="349" w:type="pct"/>
            <w:vAlign w:val="center"/>
          </w:tcPr>
          <w:p w14:paraId="30FE0695">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30</w:t>
            </w:r>
          </w:p>
        </w:tc>
        <w:tc>
          <w:tcPr>
            <w:tcW w:w="420" w:type="pct"/>
            <w:tcBorders>
              <w:left w:val="single" w:color="auto" w:sz="2" w:space="0"/>
            </w:tcBorders>
            <w:vAlign w:val="center"/>
          </w:tcPr>
          <w:p w14:paraId="6807B267">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小学</w:t>
            </w:r>
          </w:p>
        </w:tc>
        <w:tc>
          <w:tcPr>
            <w:tcW w:w="413" w:type="pct"/>
            <w:vAlign w:val="center"/>
          </w:tcPr>
          <w:p w14:paraId="77392C6D">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牧民</w:t>
            </w:r>
          </w:p>
        </w:tc>
        <w:tc>
          <w:tcPr>
            <w:tcW w:w="1438" w:type="pct"/>
            <w:tcBorders>
              <w:right w:val="single" w:color="auto" w:sz="4" w:space="0"/>
            </w:tcBorders>
            <w:vAlign w:val="center"/>
          </w:tcPr>
          <w:p w14:paraId="7C03ED45">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乌里雅斯太镇阿枯楞大队</w:t>
            </w:r>
          </w:p>
        </w:tc>
        <w:tc>
          <w:tcPr>
            <w:tcW w:w="873" w:type="pct"/>
            <w:tcBorders>
              <w:top w:val="single" w:color="auto" w:sz="4" w:space="0"/>
              <w:left w:val="single" w:color="auto" w:sz="4" w:space="0"/>
              <w:bottom w:val="single" w:color="auto" w:sz="4" w:space="0"/>
            </w:tcBorders>
            <w:vAlign w:val="center"/>
          </w:tcPr>
          <w:p w14:paraId="3D14FF9C">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15048965575</w:t>
            </w:r>
          </w:p>
        </w:tc>
      </w:tr>
      <w:tr w14:paraId="2A67BEFE">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392" w:type="pct"/>
            <w:vAlign w:val="center"/>
          </w:tcPr>
          <w:p w14:paraId="0B502F36">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34</w:t>
            </w:r>
          </w:p>
        </w:tc>
        <w:tc>
          <w:tcPr>
            <w:tcW w:w="857" w:type="pct"/>
            <w:vAlign w:val="center"/>
          </w:tcPr>
          <w:p w14:paraId="3D336A1A">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山丹琪琪格</w:t>
            </w:r>
          </w:p>
        </w:tc>
        <w:tc>
          <w:tcPr>
            <w:tcW w:w="258" w:type="pct"/>
            <w:vAlign w:val="center"/>
          </w:tcPr>
          <w:p w14:paraId="4EAF6F72">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女</w:t>
            </w:r>
          </w:p>
        </w:tc>
        <w:tc>
          <w:tcPr>
            <w:tcW w:w="349" w:type="pct"/>
            <w:vAlign w:val="center"/>
          </w:tcPr>
          <w:p w14:paraId="4C5E2CBE">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54</w:t>
            </w:r>
          </w:p>
        </w:tc>
        <w:tc>
          <w:tcPr>
            <w:tcW w:w="420" w:type="pct"/>
            <w:tcBorders>
              <w:left w:val="single" w:color="auto" w:sz="2" w:space="0"/>
            </w:tcBorders>
            <w:vAlign w:val="center"/>
          </w:tcPr>
          <w:p w14:paraId="7BEEE666">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小学</w:t>
            </w:r>
          </w:p>
        </w:tc>
        <w:tc>
          <w:tcPr>
            <w:tcW w:w="413" w:type="pct"/>
            <w:vAlign w:val="center"/>
          </w:tcPr>
          <w:p w14:paraId="77EE53CE">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牧民</w:t>
            </w:r>
          </w:p>
        </w:tc>
        <w:tc>
          <w:tcPr>
            <w:tcW w:w="1438" w:type="pct"/>
            <w:tcBorders>
              <w:right w:val="single" w:color="auto" w:sz="4" w:space="0"/>
            </w:tcBorders>
            <w:vAlign w:val="center"/>
          </w:tcPr>
          <w:p w14:paraId="1E7B0D86">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乌里雅斯太镇阿枯楞大队</w:t>
            </w:r>
          </w:p>
        </w:tc>
        <w:tc>
          <w:tcPr>
            <w:tcW w:w="873" w:type="pct"/>
            <w:tcBorders>
              <w:top w:val="single" w:color="auto" w:sz="4" w:space="0"/>
              <w:left w:val="single" w:color="auto" w:sz="4" w:space="0"/>
              <w:bottom w:val="single" w:color="auto" w:sz="4" w:space="0"/>
            </w:tcBorders>
            <w:vAlign w:val="center"/>
          </w:tcPr>
          <w:p w14:paraId="4A5D3FAB">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13948796488</w:t>
            </w:r>
          </w:p>
        </w:tc>
      </w:tr>
      <w:tr w14:paraId="0452B884">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392" w:type="pct"/>
            <w:vAlign w:val="center"/>
          </w:tcPr>
          <w:p w14:paraId="07550687">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35</w:t>
            </w:r>
          </w:p>
        </w:tc>
        <w:tc>
          <w:tcPr>
            <w:tcW w:w="857" w:type="pct"/>
            <w:vAlign w:val="center"/>
          </w:tcPr>
          <w:p w14:paraId="1360B8E8">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吉日嘎拉图</w:t>
            </w:r>
          </w:p>
        </w:tc>
        <w:tc>
          <w:tcPr>
            <w:tcW w:w="258" w:type="pct"/>
            <w:vAlign w:val="center"/>
          </w:tcPr>
          <w:p w14:paraId="72C7CA9B">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男</w:t>
            </w:r>
          </w:p>
        </w:tc>
        <w:tc>
          <w:tcPr>
            <w:tcW w:w="349" w:type="pct"/>
            <w:vAlign w:val="center"/>
          </w:tcPr>
          <w:p w14:paraId="7B66BA7C">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30</w:t>
            </w:r>
          </w:p>
        </w:tc>
        <w:tc>
          <w:tcPr>
            <w:tcW w:w="420" w:type="pct"/>
            <w:tcBorders>
              <w:left w:val="single" w:color="auto" w:sz="2" w:space="0"/>
            </w:tcBorders>
            <w:vAlign w:val="center"/>
          </w:tcPr>
          <w:p w14:paraId="4EC91F40">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小学</w:t>
            </w:r>
          </w:p>
        </w:tc>
        <w:tc>
          <w:tcPr>
            <w:tcW w:w="413" w:type="pct"/>
            <w:vAlign w:val="center"/>
          </w:tcPr>
          <w:p w14:paraId="0EE7EF86">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牧民</w:t>
            </w:r>
          </w:p>
        </w:tc>
        <w:tc>
          <w:tcPr>
            <w:tcW w:w="1438" w:type="pct"/>
            <w:tcBorders>
              <w:right w:val="single" w:color="auto" w:sz="4" w:space="0"/>
            </w:tcBorders>
            <w:vAlign w:val="center"/>
          </w:tcPr>
          <w:p w14:paraId="668C1EB9">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乌里雅斯太镇阿枯楞大队</w:t>
            </w:r>
          </w:p>
        </w:tc>
        <w:tc>
          <w:tcPr>
            <w:tcW w:w="873" w:type="pct"/>
            <w:tcBorders>
              <w:top w:val="single" w:color="auto" w:sz="4" w:space="0"/>
              <w:left w:val="single" w:color="auto" w:sz="4" w:space="0"/>
              <w:bottom w:val="single" w:color="auto" w:sz="4" w:space="0"/>
            </w:tcBorders>
            <w:vAlign w:val="center"/>
          </w:tcPr>
          <w:p w14:paraId="74A8CCCE">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13948796488</w:t>
            </w:r>
          </w:p>
        </w:tc>
      </w:tr>
      <w:tr w14:paraId="2FE6F826">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392" w:type="pct"/>
            <w:vAlign w:val="center"/>
          </w:tcPr>
          <w:p w14:paraId="01D8AD0D">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36</w:t>
            </w:r>
          </w:p>
        </w:tc>
        <w:tc>
          <w:tcPr>
            <w:tcW w:w="857" w:type="pct"/>
            <w:vAlign w:val="center"/>
          </w:tcPr>
          <w:p w14:paraId="7A897A8C">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乌云嘎</w:t>
            </w:r>
          </w:p>
        </w:tc>
        <w:tc>
          <w:tcPr>
            <w:tcW w:w="258" w:type="pct"/>
            <w:vAlign w:val="center"/>
          </w:tcPr>
          <w:p w14:paraId="407809A6">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女</w:t>
            </w:r>
          </w:p>
        </w:tc>
        <w:tc>
          <w:tcPr>
            <w:tcW w:w="349" w:type="pct"/>
            <w:vAlign w:val="center"/>
          </w:tcPr>
          <w:p w14:paraId="68C6C53A">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30</w:t>
            </w:r>
          </w:p>
        </w:tc>
        <w:tc>
          <w:tcPr>
            <w:tcW w:w="420" w:type="pct"/>
            <w:tcBorders>
              <w:left w:val="single" w:color="auto" w:sz="2" w:space="0"/>
            </w:tcBorders>
            <w:vAlign w:val="center"/>
          </w:tcPr>
          <w:p w14:paraId="1A7935F5">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小学</w:t>
            </w:r>
          </w:p>
        </w:tc>
        <w:tc>
          <w:tcPr>
            <w:tcW w:w="413" w:type="pct"/>
            <w:vAlign w:val="center"/>
          </w:tcPr>
          <w:p w14:paraId="06E7D52F">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牧民</w:t>
            </w:r>
          </w:p>
        </w:tc>
        <w:tc>
          <w:tcPr>
            <w:tcW w:w="1438" w:type="pct"/>
            <w:tcBorders>
              <w:right w:val="single" w:color="auto" w:sz="4" w:space="0"/>
            </w:tcBorders>
            <w:vAlign w:val="center"/>
          </w:tcPr>
          <w:p w14:paraId="476DD837">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乌里雅斯太镇阿枯楞大队</w:t>
            </w:r>
          </w:p>
        </w:tc>
        <w:tc>
          <w:tcPr>
            <w:tcW w:w="873" w:type="pct"/>
            <w:tcBorders>
              <w:top w:val="single" w:color="auto" w:sz="4" w:space="0"/>
              <w:left w:val="single" w:color="auto" w:sz="4" w:space="0"/>
              <w:bottom w:val="single" w:color="auto" w:sz="4" w:space="0"/>
            </w:tcBorders>
            <w:vAlign w:val="center"/>
          </w:tcPr>
          <w:p w14:paraId="783F0B0D">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15847923823</w:t>
            </w:r>
          </w:p>
        </w:tc>
      </w:tr>
      <w:tr w14:paraId="6BD84D7E">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392" w:type="pct"/>
            <w:vAlign w:val="center"/>
          </w:tcPr>
          <w:p w14:paraId="290D7791">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37</w:t>
            </w:r>
          </w:p>
        </w:tc>
        <w:tc>
          <w:tcPr>
            <w:tcW w:w="857" w:type="pct"/>
            <w:vAlign w:val="center"/>
          </w:tcPr>
          <w:p w14:paraId="45510F42">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吉日嘎拉玛</w:t>
            </w:r>
          </w:p>
        </w:tc>
        <w:tc>
          <w:tcPr>
            <w:tcW w:w="258" w:type="pct"/>
            <w:vAlign w:val="center"/>
          </w:tcPr>
          <w:p w14:paraId="08E1F73E">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女</w:t>
            </w:r>
          </w:p>
        </w:tc>
        <w:tc>
          <w:tcPr>
            <w:tcW w:w="349" w:type="pct"/>
            <w:vAlign w:val="center"/>
          </w:tcPr>
          <w:p w14:paraId="3AC7B12D">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42</w:t>
            </w:r>
          </w:p>
        </w:tc>
        <w:tc>
          <w:tcPr>
            <w:tcW w:w="420" w:type="pct"/>
            <w:tcBorders>
              <w:left w:val="single" w:color="auto" w:sz="2" w:space="0"/>
            </w:tcBorders>
            <w:vAlign w:val="center"/>
          </w:tcPr>
          <w:p w14:paraId="6D22F1C2">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高中</w:t>
            </w:r>
          </w:p>
        </w:tc>
        <w:tc>
          <w:tcPr>
            <w:tcW w:w="413" w:type="pct"/>
            <w:vAlign w:val="center"/>
          </w:tcPr>
          <w:p w14:paraId="71206934">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牧民</w:t>
            </w:r>
          </w:p>
        </w:tc>
        <w:tc>
          <w:tcPr>
            <w:tcW w:w="1438" w:type="pct"/>
            <w:tcBorders>
              <w:right w:val="single" w:color="auto" w:sz="4" w:space="0"/>
            </w:tcBorders>
            <w:vAlign w:val="center"/>
          </w:tcPr>
          <w:p w14:paraId="3D7C33F1">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乌里雅斯太镇阿枯楞大队</w:t>
            </w:r>
          </w:p>
        </w:tc>
        <w:tc>
          <w:tcPr>
            <w:tcW w:w="873" w:type="pct"/>
            <w:tcBorders>
              <w:top w:val="single" w:color="auto" w:sz="4" w:space="0"/>
              <w:left w:val="single" w:color="auto" w:sz="4" w:space="0"/>
              <w:bottom w:val="single" w:color="auto" w:sz="4" w:space="0"/>
            </w:tcBorders>
            <w:vAlign w:val="center"/>
          </w:tcPr>
          <w:p w14:paraId="7B12A1DE">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13674792837</w:t>
            </w:r>
          </w:p>
        </w:tc>
      </w:tr>
      <w:tr w14:paraId="4EE9787A">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392" w:type="pct"/>
            <w:vAlign w:val="center"/>
          </w:tcPr>
          <w:p w14:paraId="1D7784AA">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38</w:t>
            </w:r>
          </w:p>
        </w:tc>
        <w:tc>
          <w:tcPr>
            <w:tcW w:w="857" w:type="pct"/>
            <w:vAlign w:val="center"/>
          </w:tcPr>
          <w:p w14:paraId="7BBEF0EF">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特木尔布和</w:t>
            </w:r>
          </w:p>
        </w:tc>
        <w:tc>
          <w:tcPr>
            <w:tcW w:w="258" w:type="pct"/>
            <w:vAlign w:val="center"/>
          </w:tcPr>
          <w:p w14:paraId="66794071">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男</w:t>
            </w:r>
          </w:p>
        </w:tc>
        <w:tc>
          <w:tcPr>
            <w:tcW w:w="349" w:type="pct"/>
            <w:vAlign w:val="center"/>
          </w:tcPr>
          <w:p w14:paraId="52848CB4">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55</w:t>
            </w:r>
          </w:p>
        </w:tc>
        <w:tc>
          <w:tcPr>
            <w:tcW w:w="420" w:type="pct"/>
            <w:tcBorders>
              <w:left w:val="single" w:color="auto" w:sz="2" w:space="0"/>
            </w:tcBorders>
            <w:vAlign w:val="center"/>
          </w:tcPr>
          <w:p w14:paraId="30109EF5">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小学</w:t>
            </w:r>
          </w:p>
        </w:tc>
        <w:tc>
          <w:tcPr>
            <w:tcW w:w="413" w:type="pct"/>
            <w:vAlign w:val="center"/>
          </w:tcPr>
          <w:p w14:paraId="1B21E5F5">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牧民</w:t>
            </w:r>
          </w:p>
        </w:tc>
        <w:tc>
          <w:tcPr>
            <w:tcW w:w="1438" w:type="pct"/>
            <w:tcBorders>
              <w:right w:val="single" w:color="auto" w:sz="4" w:space="0"/>
            </w:tcBorders>
            <w:vAlign w:val="center"/>
          </w:tcPr>
          <w:p w14:paraId="3F3078AE">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乌里雅斯太镇阿枯楞大队</w:t>
            </w:r>
          </w:p>
        </w:tc>
        <w:tc>
          <w:tcPr>
            <w:tcW w:w="873" w:type="pct"/>
            <w:tcBorders>
              <w:top w:val="single" w:color="auto" w:sz="4" w:space="0"/>
              <w:left w:val="single" w:color="auto" w:sz="4" w:space="0"/>
              <w:bottom w:val="single" w:color="auto" w:sz="4" w:space="0"/>
            </w:tcBorders>
            <w:vAlign w:val="center"/>
          </w:tcPr>
          <w:p w14:paraId="51B05E9D">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15047172979</w:t>
            </w:r>
          </w:p>
        </w:tc>
      </w:tr>
      <w:tr w14:paraId="1AE79A96">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392" w:type="pct"/>
            <w:vAlign w:val="center"/>
          </w:tcPr>
          <w:p w14:paraId="1F499EC7">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39</w:t>
            </w:r>
          </w:p>
        </w:tc>
        <w:tc>
          <w:tcPr>
            <w:tcW w:w="857" w:type="pct"/>
            <w:vAlign w:val="center"/>
          </w:tcPr>
          <w:p w14:paraId="64F4F5E8">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图雅</w:t>
            </w:r>
          </w:p>
        </w:tc>
        <w:tc>
          <w:tcPr>
            <w:tcW w:w="258" w:type="pct"/>
            <w:vAlign w:val="center"/>
          </w:tcPr>
          <w:p w14:paraId="1CF46B55">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女</w:t>
            </w:r>
          </w:p>
        </w:tc>
        <w:tc>
          <w:tcPr>
            <w:tcW w:w="349" w:type="pct"/>
            <w:vAlign w:val="center"/>
          </w:tcPr>
          <w:p w14:paraId="3D02350F">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50</w:t>
            </w:r>
          </w:p>
        </w:tc>
        <w:tc>
          <w:tcPr>
            <w:tcW w:w="420" w:type="pct"/>
            <w:tcBorders>
              <w:left w:val="single" w:color="auto" w:sz="2" w:space="0"/>
              <w:bottom w:val="single" w:color="auto" w:sz="4" w:space="0"/>
            </w:tcBorders>
            <w:vAlign w:val="center"/>
          </w:tcPr>
          <w:p w14:paraId="13C16C25">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小学</w:t>
            </w:r>
          </w:p>
        </w:tc>
        <w:tc>
          <w:tcPr>
            <w:tcW w:w="413" w:type="pct"/>
            <w:vAlign w:val="center"/>
          </w:tcPr>
          <w:p w14:paraId="152D0A46">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牧民</w:t>
            </w:r>
          </w:p>
        </w:tc>
        <w:tc>
          <w:tcPr>
            <w:tcW w:w="1438" w:type="pct"/>
            <w:tcBorders>
              <w:right w:val="single" w:color="auto" w:sz="4" w:space="0"/>
            </w:tcBorders>
            <w:vAlign w:val="center"/>
          </w:tcPr>
          <w:p w14:paraId="27937CE4">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乌里雅斯太镇阿枯楞大队</w:t>
            </w:r>
          </w:p>
        </w:tc>
        <w:tc>
          <w:tcPr>
            <w:tcW w:w="873" w:type="pct"/>
            <w:tcBorders>
              <w:top w:val="single" w:color="auto" w:sz="4" w:space="0"/>
              <w:left w:val="single" w:color="auto" w:sz="4" w:space="0"/>
              <w:bottom w:val="single" w:color="auto" w:sz="4" w:space="0"/>
            </w:tcBorders>
            <w:vAlign w:val="center"/>
          </w:tcPr>
          <w:p w14:paraId="0CC80CFB">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15147965390</w:t>
            </w:r>
          </w:p>
        </w:tc>
      </w:tr>
      <w:tr w14:paraId="5D813FC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92" w:type="pct"/>
            <w:vAlign w:val="center"/>
          </w:tcPr>
          <w:p w14:paraId="2A1CC37E">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40</w:t>
            </w:r>
          </w:p>
        </w:tc>
        <w:tc>
          <w:tcPr>
            <w:tcW w:w="857" w:type="pct"/>
            <w:vAlign w:val="center"/>
          </w:tcPr>
          <w:p w14:paraId="413FB861">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特木尔扎那</w:t>
            </w:r>
          </w:p>
        </w:tc>
        <w:tc>
          <w:tcPr>
            <w:tcW w:w="258" w:type="pct"/>
            <w:vAlign w:val="center"/>
          </w:tcPr>
          <w:p w14:paraId="7F40CF5A">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男</w:t>
            </w:r>
          </w:p>
        </w:tc>
        <w:tc>
          <w:tcPr>
            <w:tcW w:w="349" w:type="pct"/>
            <w:vAlign w:val="center"/>
          </w:tcPr>
          <w:p w14:paraId="38BF03D3">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29</w:t>
            </w:r>
          </w:p>
        </w:tc>
        <w:tc>
          <w:tcPr>
            <w:tcW w:w="420" w:type="pct"/>
            <w:tcBorders>
              <w:top w:val="single" w:color="auto" w:sz="4" w:space="0"/>
              <w:left w:val="single" w:color="auto" w:sz="4" w:space="0"/>
              <w:bottom w:val="single" w:color="auto" w:sz="4" w:space="0"/>
            </w:tcBorders>
            <w:vAlign w:val="center"/>
          </w:tcPr>
          <w:p w14:paraId="7437040D">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初中</w:t>
            </w:r>
          </w:p>
        </w:tc>
        <w:tc>
          <w:tcPr>
            <w:tcW w:w="413" w:type="pct"/>
            <w:vAlign w:val="center"/>
          </w:tcPr>
          <w:p w14:paraId="55F2262C">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牧民</w:t>
            </w:r>
          </w:p>
        </w:tc>
        <w:tc>
          <w:tcPr>
            <w:tcW w:w="1438" w:type="pct"/>
            <w:tcBorders>
              <w:right w:val="single" w:color="auto" w:sz="4" w:space="0"/>
            </w:tcBorders>
            <w:vAlign w:val="center"/>
          </w:tcPr>
          <w:p w14:paraId="1C8AAE01">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乌里雅斯太镇阿枯楞大队</w:t>
            </w:r>
          </w:p>
        </w:tc>
        <w:tc>
          <w:tcPr>
            <w:tcW w:w="873" w:type="pct"/>
            <w:tcBorders>
              <w:top w:val="single" w:color="auto" w:sz="4" w:space="0"/>
              <w:left w:val="single" w:color="auto" w:sz="4" w:space="0"/>
              <w:bottom w:val="single" w:color="auto" w:sz="4" w:space="0"/>
            </w:tcBorders>
            <w:vAlign w:val="center"/>
          </w:tcPr>
          <w:p w14:paraId="095F75D4">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15147955673</w:t>
            </w:r>
          </w:p>
        </w:tc>
      </w:tr>
      <w:tr w14:paraId="4FA3B034">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392" w:type="pct"/>
            <w:vAlign w:val="center"/>
          </w:tcPr>
          <w:p w14:paraId="4DFCD7AA">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41</w:t>
            </w:r>
          </w:p>
        </w:tc>
        <w:tc>
          <w:tcPr>
            <w:tcW w:w="857" w:type="pct"/>
            <w:vAlign w:val="center"/>
          </w:tcPr>
          <w:p w14:paraId="1C845D7B">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乌云花</w:t>
            </w:r>
          </w:p>
        </w:tc>
        <w:tc>
          <w:tcPr>
            <w:tcW w:w="258" w:type="pct"/>
            <w:vAlign w:val="center"/>
          </w:tcPr>
          <w:p w14:paraId="6BFFBA90">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女</w:t>
            </w:r>
          </w:p>
        </w:tc>
        <w:tc>
          <w:tcPr>
            <w:tcW w:w="349" w:type="pct"/>
            <w:vAlign w:val="center"/>
          </w:tcPr>
          <w:p w14:paraId="65D47989">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52</w:t>
            </w:r>
          </w:p>
        </w:tc>
        <w:tc>
          <w:tcPr>
            <w:tcW w:w="420" w:type="pct"/>
            <w:tcBorders>
              <w:top w:val="single" w:color="auto" w:sz="4" w:space="0"/>
              <w:left w:val="single" w:color="auto" w:sz="4" w:space="0"/>
              <w:bottom w:val="single" w:color="auto" w:sz="4" w:space="0"/>
            </w:tcBorders>
            <w:vAlign w:val="center"/>
          </w:tcPr>
          <w:p w14:paraId="15EE28DA">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小学</w:t>
            </w:r>
          </w:p>
        </w:tc>
        <w:tc>
          <w:tcPr>
            <w:tcW w:w="413" w:type="pct"/>
            <w:vAlign w:val="center"/>
          </w:tcPr>
          <w:p w14:paraId="3CB32185">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牧民</w:t>
            </w:r>
          </w:p>
        </w:tc>
        <w:tc>
          <w:tcPr>
            <w:tcW w:w="1438" w:type="pct"/>
            <w:tcBorders>
              <w:right w:val="single" w:color="auto" w:sz="4" w:space="0"/>
            </w:tcBorders>
            <w:vAlign w:val="center"/>
          </w:tcPr>
          <w:p w14:paraId="440665A5">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乌里雅斯太镇阿枯楞大队</w:t>
            </w:r>
          </w:p>
        </w:tc>
        <w:tc>
          <w:tcPr>
            <w:tcW w:w="873" w:type="pct"/>
            <w:tcBorders>
              <w:top w:val="single" w:color="auto" w:sz="4" w:space="0"/>
              <w:left w:val="single" w:color="auto" w:sz="4" w:space="0"/>
              <w:bottom w:val="single" w:color="auto" w:sz="4" w:space="0"/>
            </w:tcBorders>
            <w:vAlign w:val="center"/>
          </w:tcPr>
          <w:p w14:paraId="56CC714B">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15147965023</w:t>
            </w:r>
          </w:p>
        </w:tc>
      </w:tr>
      <w:tr w14:paraId="6EEEDDB8">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392" w:type="pct"/>
            <w:vAlign w:val="center"/>
          </w:tcPr>
          <w:p w14:paraId="198C0700">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42</w:t>
            </w:r>
          </w:p>
        </w:tc>
        <w:tc>
          <w:tcPr>
            <w:tcW w:w="857" w:type="pct"/>
            <w:vAlign w:val="center"/>
          </w:tcPr>
          <w:p w14:paraId="43A1716A">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阿拉坦其木格</w:t>
            </w:r>
          </w:p>
        </w:tc>
        <w:tc>
          <w:tcPr>
            <w:tcW w:w="258" w:type="pct"/>
            <w:vAlign w:val="center"/>
          </w:tcPr>
          <w:p w14:paraId="4261F8A7">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女</w:t>
            </w:r>
          </w:p>
        </w:tc>
        <w:tc>
          <w:tcPr>
            <w:tcW w:w="349" w:type="pct"/>
            <w:vAlign w:val="center"/>
          </w:tcPr>
          <w:p w14:paraId="2E63D7C6">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42</w:t>
            </w:r>
          </w:p>
        </w:tc>
        <w:tc>
          <w:tcPr>
            <w:tcW w:w="420" w:type="pct"/>
            <w:tcBorders>
              <w:top w:val="single" w:color="auto" w:sz="4" w:space="0"/>
              <w:left w:val="single" w:color="auto" w:sz="4" w:space="0"/>
              <w:bottom w:val="single" w:color="auto" w:sz="4" w:space="0"/>
            </w:tcBorders>
            <w:vAlign w:val="center"/>
          </w:tcPr>
          <w:p w14:paraId="0C22A459">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小学</w:t>
            </w:r>
          </w:p>
        </w:tc>
        <w:tc>
          <w:tcPr>
            <w:tcW w:w="413" w:type="pct"/>
            <w:vAlign w:val="center"/>
          </w:tcPr>
          <w:p w14:paraId="359FDD83">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牧民</w:t>
            </w:r>
          </w:p>
        </w:tc>
        <w:tc>
          <w:tcPr>
            <w:tcW w:w="1438" w:type="pct"/>
            <w:tcBorders>
              <w:right w:val="single" w:color="auto" w:sz="4" w:space="0"/>
            </w:tcBorders>
            <w:vAlign w:val="center"/>
          </w:tcPr>
          <w:p w14:paraId="441453E5">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乌里雅斯太镇阿枯楞大队</w:t>
            </w:r>
          </w:p>
        </w:tc>
        <w:tc>
          <w:tcPr>
            <w:tcW w:w="873" w:type="pct"/>
            <w:tcBorders>
              <w:top w:val="single" w:color="auto" w:sz="4" w:space="0"/>
              <w:left w:val="single" w:color="auto" w:sz="4" w:space="0"/>
              <w:bottom w:val="single" w:color="auto" w:sz="4" w:space="0"/>
            </w:tcBorders>
            <w:vAlign w:val="center"/>
          </w:tcPr>
          <w:p w14:paraId="5F34AF81">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18947996683</w:t>
            </w:r>
          </w:p>
        </w:tc>
      </w:tr>
      <w:tr w14:paraId="44B3B260">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392" w:type="pct"/>
            <w:vAlign w:val="center"/>
          </w:tcPr>
          <w:p w14:paraId="2E775FE7">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43</w:t>
            </w:r>
          </w:p>
        </w:tc>
        <w:tc>
          <w:tcPr>
            <w:tcW w:w="857" w:type="pct"/>
            <w:vAlign w:val="center"/>
          </w:tcPr>
          <w:p w14:paraId="4A5E5CC9">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娜仁图雅</w:t>
            </w:r>
          </w:p>
        </w:tc>
        <w:tc>
          <w:tcPr>
            <w:tcW w:w="258" w:type="pct"/>
            <w:vAlign w:val="center"/>
          </w:tcPr>
          <w:p w14:paraId="4C886468">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女</w:t>
            </w:r>
          </w:p>
        </w:tc>
        <w:tc>
          <w:tcPr>
            <w:tcW w:w="349" w:type="pct"/>
            <w:vAlign w:val="center"/>
          </w:tcPr>
          <w:p w14:paraId="2E8A9248">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65</w:t>
            </w:r>
          </w:p>
        </w:tc>
        <w:tc>
          <w:tcPr>
            <w:tcW w:w="420" w:type="pct"/>
            <w:tcBorders>
              <w:top w:val="single" w:color="auto" w:sz="4" w:space="0"/>
              <w:left w:val="single" w:color="auto" w:sz="4" w:space="0"/>
              <w:bottom w:val="single" w:color="auto" w:sz="4" w:space="0"/>
            </w:tcBorders>
            <w:vAlign w:val="center"/>
          </w:tcPr>
          <w:p w14:paraId="30065A5D">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小学</w:t>
            </w:r>
          </w:p>
        </w:tc>
        <w:tc>
          <w:tcPr>
            <w:tcW w:w="413" w:type="pct"/>
            <w:vAlign w:val="center"/>
          </w:tcPr>
          <w:p w14:paraId="58C0F524">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牧民</w:t>
            </w:r>
          </w:p>
        </w:tc>
        <w:tc>
          <w:tcPr>
            <w:tcW w:w="1438" w:type="pct"/>
            <w:tcBorders>
              <w:right w:val="single" w:color="auto" w:sz="4" w:space="0"/>
            </w:tcBorders>
            <w:vAlign w:val="center"/>
          </w:tcPr>
          <w:p w14:paraId="5133DBE2">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乌里雅斯太镇阿枯楞大队</w:t>
            </w:r>
          </w:p>
        </w:tc>
        <w:tc>
          <w:tcPr>
            <w:tcW w:w="873" w:type="pct"/>
            <w:tcBorders>
              <w:top w:val="single" w:color="auto" w:sz="4" w:space="0"/>
              <w:left w:val="single" w:color="auto" w:sz="4" w:space="0"/>
              <w:bottom w:val="single" w:color="auto" w:sz="4" w:space="0"/>
            </w:tcBorders>
            <w:vAlign w:val="center"/>
          </w:tcPr>
          <w:p w14:paraId="0C5B159C">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13674792270</w:t>
            </w:r>
          </w:p>
        </w:tc>
      </w:tr>
      <w:tr w14:paraId="2CF5AE47">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392" w:type="pct"/>
            <w:vAlign w:val="center"/>
          </w:tcPr>
          <w:p w14:paraId="150027DE">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44</w:t>
            </w:r>
          </w:p>
        </w:tc>
        <w:tc>
          <w:tcPr>
            <w:tcW w:w="857" w:type="pct"/>
            <w:vAlign w:val="center"/>
          </w:tcPr>
          <w:p w14:paraId="1F7CF03F">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娜仁高娃</w:t>
            </w:r>
          </w:p>
        </w:tc>
        <w:tc>
          <w:tcPr>
            <w:tcW w:w="258" w:type="pct"/>
            <w:vAlign w:val="center"/>
          </w:tcPr>
          <w:p w14:paraId="1981E81C">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女</w:t>
            </w:r>
          </w:p>
        </w:tc>
        <w:tc>
          <w:tcPr>
            <w:tcW w:w="349" w:type="pct"/>
            <w:vAlign w:val="center"/>
          </w:tcPr>
          <w:p w14:paraId="49E34B6D">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35</w:t>
            </w:r>
          </w:p>
        </w:tc>
        <w:tc>
          <w:tcPr>
            <w:tcW w:w="420" w:type="pct"/>
            <w:tcBorders>
              <w:top w:val="single" w:color="auto" w:sz="4" w:space="0"/>
              <w:left w:val="single" w:color="auto" w:sz="4" w:space="0"/>
              <w:bottom w:val="single" w:color="auto" w:sz="4" w:space="0"/>
            </w:tcBorders>
            <w:vAlign w:val="center"/>
          </w:tcPr>
          <w:p w14:paraId="206D77BF">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初中</w:t>
            </w:r>
          </w:p>
        </w:tc>
        <w:tc>
          <w:tcPr>
            <w:tcW w:w="413" w:type="pct"/>
            <w:vAlign w:val="center"/>
          </w:tcPr>
          <w:p w14:paraId="59673DD8">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牧民</w:t>
            </w:r>
          </w:p>
        </w:tc>
        <w:tc>
          <w:tcPr>
            <w:tcW w:w="1438" w:type="pct"/>
            <w:tcBorders>
              <w:right w:val="single" w:color="auto" w:sz="4" w:space="0"/>
            </w:tcBorders>
            <w:vAlign w:val="center"/>
          </w:tcPr>
          <w:p w14:paraId="60E951E3">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乌里雅斯太镇阿枯楞大队</w:t>
            </w:r>
          </w:p>
        </w:tc>
        <w:tc>
          <w:tcPr>
            <w:tcW w:w="873" w:type="pct"/>
            <w:tcBorders>
              <w:top w:val="single" w:color="auto" w:sz="4" w:space="0"/>
              <w:left w:val="single" w:color="auto" w:sz="4" w:space="0"/>
              <w:bottom w:val="single" w:color="auto" w:sz="4" w:space="0"/>
            </w:tcBorders>
            <w:vAlign w:val="center"/>
          </w:tcPr>
          <w:p w14:paraId="671587A8">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15047194442</w:t>
            </w:r>
          </w:p>
        </w:tc>
      </w:tr>
      <w:tr w14:paraId="1445363B">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392" w:type="pct"/>
            <w:vAlign w:val="center"/>
          </w:tcPr>
          <w:p w14:paraId="0225B54A">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45</w:t>
            </w:r>
          </w:p>
        </w:tc>
        <w:tc>
          <w:tcPr>
            <w:tcW w:w="857" w:type="pct"/>
            <w:vAlign w:val="center"/>
          </w:tcPr>
          <w:p w14:paraId="38963092">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额尔德尼巴图</w:t>
            </w:r>
          </w:p>
        </w:tc>
        <w:tc>
          <w:tcPr>
            <w:tcW w:w="258" w:type="pct"/>
            <w:vAlign w:val="center"/>
          </w:tcPr>
          <w:p w14:paraId="5B677BCB">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男</w:t>
            </w:r>
          </w:p>
        </w:tc>
        <w:tc>
          <w:tcPr>
            <w:tcW w:w="349" w:type="pct"/>
            <w:vAlign w:val="center"/>
          </w:tcPr>
          <w:p w14:paraId="1C5A772B">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42</w:t>
            </w:r>
          </w:p>
        </w:tc>
        <w:tc>
          <w:tcPr>
            <w:tcW w:w="420" w:type="pct"/>
            <w:tcBorders>
              <w:top w:val="single" w:color="auto" w:sz="4" w:space="0"/>
              <w:left w:val="single" w:color="auto" w:sz="4" w:space="0"/>
              <w:bottom w:val="single" w:color="auto" w:sz="4" w:space="0"/>
            </w:tcBorders>
            <w:vAlign w:val="center"/>
          </w:tcPr>
          <w:p w14:paraId="769EBE0A">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初中</w:t>
            </w:r>
          </w:p>
        </w:tc>
        <w:tc>
          <w:tcPr>
            <w:tcW w:w="413" w:type="pct"/>
            <w:vAlign w:val="center"/>
          </w:tcPr>
          <w:p w14:paraId="49FBF7CE">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牧民</w:t>
            </w:r>
          </w:p>
        </w:tc>
        <w:tc>
          <w:tcPr>
            <w:tcW w:w="1438" w:type="pct"/>
            <w:tcBorders>
              <w:right w:val="single" w:color="auto" w:sz="4" w:space="0"/>
            </w:tcBorders>
            <w:vAlign w:val="center"/>
          </w:tcPr>
          <w:p w14:paraId="79D19292">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乌里雅斯太镇阿枯楞大队</w:t>
            </w:r>
          </w:p>
        </w:tc>
        <w:tc>
          <w:tcPr>
            <w:tcW w:w="873" w:type="pct"/>
            <w:tcBorders>
              <w:top w:val="single" w:color="auto" w:sz="4" w:space="0"/>
              <w:left w:val="single" w:color="auto" w:sz="4" w:space="0"/>
              <w:bottom w:val="single" w:color="auto" w:sz="4" w:space="0"/>
            </w:tcBorders>
            <w:vAlign w:val="center"/>
          </w:tcPr>
          <w:p w14:paraId="7907E7EA">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13848498813</w:t>
            </w:r>
          </w:p>
        </w:tc>
      </w:tr>
      <w:tr w14:paraId="0F903729">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392" w:type="pct"/>
            <w:vAlign w:val="center"/>
          </w:tcPr>
          <w:p w14:paraId="511722E8">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46</w:t>
            </w:r>
          </w:p>
        </w:tc>
        <w:tc>
          <w:tcPr>
            <w:tcW w:w="857" w:type="pct"/>
            <w:vAlign w:val="center"/>
          </w:tcPr>
          <w:p w14:paraId="22080999">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吉日木图</w:t>
            </w:r>
          </w:p>
        </w:tc>
        <w:tc>
          <w:tcPr>
            <w:tcW w:w="258" w:type="pct"/>
            <w:vAlign w:val="center"/>
          </w:tcPr>
          <w:p w14:paraId="25F17D63">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男</w:t>
            </w:r>
          </w:p>
        </w:tc>
        <w:tc>
          <w:tcPr>
            <w:tcW w:w="349" w:type="pct"/>
            <w:vAlign w:val="center"/>
          </w:tcPr>
          <w:p w14:paraId="49182C87">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43</w:t>
            </w:r>
          </w:p>
        </w:tc>
        <w:tc>
          <w:tcPr>
            <w:tcW w:w="420" w:type="pct"/>
            <w:tcBorders>
              <w:top w:val="single" w:color="auto" w:sz="4" w:space="0"/>
              <w:left w:val="single" w:color="auto" w:sz="4" w:space="0"/>
              <w:bottom w:val="single" w:color="auto" w:sz="4" w:space="0"/>
            </w:tcBorders>
            <w:vAlign w:val="center"/>
          </w:tcPr>
          <w:p w14:paraId="68069F85">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初中</w:t>
            </w:r>
          </w:p>
        </w:tc>
        <w:tc>
          <w:tcPr>
            <w:tcW w:w="413" w:type="pct"/>
            <w:vAlign w:val="center"/>
          </w:tcPr>
          <w:p w14:paraId="5C5E0107">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牧民</w:t>
            </w:r>
          </w:p>
        </w:tc>
        <w:tc>
          <w:tcPr>
            <w:tcW w:w="1438" w:type="pct"/>
            <w:tcBorders>
              <w:right w:val="single" w:color="auto" w:sz="4" w:space="0"/>
            </w:tcBorders>
            <w:vAlign w:val="center"/>
          </w:tcPr>
          <w:p w14:paraId="2B9451BE">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乌里雅斯太镇阿枯楞大队</w:t>
            </w:r>
          </w:p>
        </w:tc>
        <w:tc>
          <w:tcPr>
            <w:tcW w:w="873" w:type="pct"/>
            <w:tcBorders>
              <w:top w:val="single" w:color="auto" w:sz="4" w:space="0"/>
              <w:left w:val="single" w:color="auto" w:sz="4" w:space="0"/>
              <w:bottom w:val="single" w:color="auto" w:sz="4" w:space="0"/>
            </w:tcBorders>
            <w:vAlign w:val="center"/>
          </w:tcPr>
          <w:p w14:paraId="53C52440">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15047178882</w:t>
            </w:r>
          </w:p>
        </w:tc>
      </w:tr>
      <w:tr w14:paraId="6AB26158">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392" w:type="pct"/>
            <w:vAlign w:val="center"/>
          </w:tcPr>
          <w:p w14:paraId="27235989">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47</w:t>
            </w:r>
          </w:p>
        </w:tc>
        <w:tc>
          <w:tcPr>
            <w:tcW w:w="857" w:type="pct"/>
            <w:vAlign w:val="center"/>
          </w:tcPr>
          <w:p w14:paraId="5B318174">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敖根巴雅尔</w:t>
            </w:r>
          </w:p>
        </w:tc>
        <w:tc>
          <w:tcPr>
            <w:tcW w:w="258" w:type="pct"/>
            <w:vAlign w:val="center"/>
          </w:tcPr>
          <w:p w14:paraId="4064F463">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男</w:t>
            </w:r>
          </w:p>
        </w:tc>
        <w:tc>
          <w:tcPr>
            <w:tcW w:w="349" w:type="pct"/>
            <w:vAlign w:val="center"/>
          </w:tcPr>
          <w:p w14:paraId="0DFD3ADD">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46</w:t>
            </w:r>
          </w:p>
        </w:tc>
        <w:tc>
          <w:tcPr>
            <w:tcW w:w="420" w:type="pct"/>
            <w:tcBorders>
              <w:top w:val="single" w:color="auto" w:sz="4" w:space="0"/>
              <w:left w:val="single" w:color="auto" w:sz="4" w:space="0"/>
              <w:bottom w:val="single" w:color="auto" w:sz="4" w:space="0"/>
            </w:tcBorders>
            <w:vAlign w:val="center"/>
          </w:tcPr>
          <w:p w14:paraId="2F90BC9A">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小学</w:t>
            </w:r>
          </w:p>
        </w:tc>
        <w:tc>
          <w:tcPr>
            <w:tcW w:w="413" w:type="pct"/>
            <w:vAlign w:val="center"/>
          </w:tcPr>
          <w:p w14:paraId="7B1872B1">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牧民</w:t>
            </w:r>
          </w:p>
        </w:tc>
        <w:tc>
          <w:tcPr>
            <w:tcW w:w="1438" w:type="pct"/>
            <w:tcBorders>
              <w:right w:val="single" w:color="auto" w:sz="4" w:space="0"/>
            </w:tcBorders>
            <w:vAlign w:val="center"/>
          </w:tcPr>
          <w:p w14:paraId="31C22291">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乌里雅斯太镇阿枯楞大队</w:t>
            </w:r>
          </w:p>
        </w:tc>
        <w:tc>
          <w:tcPr>
            <w:tcW w:w="873" w:type="pct"/>
            <w:tcBorders>
              <w:top w:val="single" w:color="auto" w:sz="4" w:space="0"/>
              <w:left w:val="single" w:color="auto" w:sz="4" w:space="0"/>
              <w:bottom w:val="single" w:color="auto" w:sz="4" w:space="0"/>
            </w:tcBorders>
            <w:vAlign w:val="center"/>
          </w:tcPr>
          <w:p w14:paraId="16FB5A73">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13674792837</w:t>
            </w:r>
          </w:p>
        </w:tc>
      </w:tr>
      <w:tr w14:paraId="37190717">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392" w:type="pct"/>
            <w:vAlign w:val="center"/>
          </w:tcPr>
          <w:p w14:paraId="194808A8">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48</w:t>
            </w:r>
          </w:p>
        </w:tc>
        <w:tc>
          <w:tcPr>
            <w:tcW w:w="857" w:type="pct"/>
            <w:vAlign w:val="center"/>
          </w:tcPr>
          <w:p w14:paraId="680D9192">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其孟克</w:t>
            </w:r>
          </w:p>
        </w:tc>
        <w:tc>
          <w:tcPr>
            <w:tcW w:w="258" w:type="pct"/>
            <w:vAlign w:val="center"/>
          </w:tcPr>
          <w:p w14:paraId="7E237A3A">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男</w:t>
            </w:r>
          </w:p>
        </w:tc>
        <w:tc>
          <w:tcPr>
            <w:tcW w:w="349" w:type="pct"/>
            <w:vAlign w:val="center"/>
          </w:tcPr>
          <w:p w14:paraId="674F3D09">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45</w:t>
            </w:r>
          </w:p>
        </w:tc>
        <w:tc>
          <w:tcPr>
            <w:tcW w:w="420" w:type="pct"/>
            <w:tcBorders>
              <w:top w:val="single" w:color="auto" w:sz="4" w:space="0"/>
              <w:left w:val="single" w:color="auto" w:sz="4" w:space="0"/>
              <w:bottom w:val="single" w:color="auto" w:sz="4" w:space="0"/>
            </w:tcBorders>
            <w:vAlign w:val="center"/>
          </w:tcPr>
          <w:p w14:paraId="3AE2E8FA">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小学</w:t>
            </w:r>
          </w:p>
        </w:tc>
        <w:tc>
          <w:tcPr>
            <w:tcW w:w="413" w:type="pct"/>
            <w:vAlign w:val="center"/>
          </w:tcPr>
          <w:p w14:paraId="440B62C4">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牧民</w:t>
            </w:r>
          </w:p>
        </w:tc>
        <w:tc>
          <w:tcPr>
            <w:tcW w:w="1438" w:type="pct"/>
            <w:tcBorders>
              <w:right w:val="single" w:color="auto" w:sz="4" w:space="0"/>
            </w:tcBorders>
            <w:vAlign w:val="center"/>
          </w:tcPr>
          <w:p w14:paraId="5A99DADF">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乌里雅斯太镇阿枯楞大队</w:t>
            </w:r>
          </w:p>
        </w:tc>
        <w:tc>
          <w:tcPr>
            <w:tcW w:w="873" w:type="pct"/>
            <w:tcBorders>
              <w:top w:val="single" w:color="auto" w:sz="4" w:space="0"/>
              <w:left w:val="single" w:color="auto" w:sz="4" w:space="0"/>
              <w:bottom w:val="single" w:color="auto" w:sz="4" w:space="0"/>
            </w:tcBorders>
            <w:vAlign w:val="center"/>
          </w:tcPr>
          <w:p w14:paraId="213388A8">
            <w:pPr>
              <w:widowControl/>
              <w:snapToGrid w:val="0"/>
              <w:spacing w:line="320" w:lineRule="exact"/>
              <w:ind w:firstLine="0" w:firstLineChars="0"/>
              <w:jc w:val="center"/>
              <w:rPr>
                <w:kern w:val="2"/>
                <w:sz w:val="21"/>
                <w:szCs w:val="21"/>
                <w:lang w:eastAsia="zh-CN" w:bidi="ar-SA"/>
              </w:rPr>
            </w:pPr>
            <w:r>
              <w:rPr>
                <w:rFonts w:hint="eastAsia"/>
                <w:kern w:val="2"/>
                <w:sz w:val="21"/>
                <w:szCs w:val="21"/>
                <w:lang w:eastAsia="zh-CN" w:bidi="ar-SA"/>
              </w:rPr>
              <w:t>13654894283</w:t>
            </w:r>
          </w:p>
        </w:tc>
      </w:tr>
    </w:tbl>
    <w:p w14:paraId="5098E37E">
      <w:pPr>
        <w:pStyle w:val="4"/>
        <w:rPr>
          <w:lang w:eastAsia="zh-CN"/>
        </w:rPr>
      </w:pPr>
      <w:bookmarkStart w:id="1087" w:name="_Toc408414127"/>
      <w:r>
        <w:rPr>
          <w:lang w:eastAsia="zh-CN"/>
        </w:rPr>
        <w:t>16.</w:t>
      </w:r>
      <w:r>
        <w:rPr>
          <w:rFonts w:hint="eastAsia"/>
          <w:lang w:eastAsia="zh-CN"/>
        </w:rPr>
        <w:t>5</w:t>
      </w:r>
      <w:r>
        <w:rPr>
          <w:lang w:eastAsia="zh-CN"/>
        </w:rPr>
        <w:t>.</w:t>
      </w:r>
      <w:r>
        <w:rPr>
          <w:rFonts w:hint="eastAsia"/>
          <w:lang w:eastAsia="zh-CN"/>
        </w:rPr>
        <w:t>3调查结果汇总分析</w:t>
      </w:r>
      <w:bookmarkEnd w:id="1087"/>
    </w:p>
    <w:p w14:paraId="08E47AB9">
      <w:pPr>
        <w:pStyle w:val="578"/>
        <w:spacing w:before="0" w:after="0" w:line="360" w:lineRule="auto"/>
        <w:ind w:firstLine="480" w:firstLineChars="0"/>
        <w:rPr>
          <w:rFonts w:asciiTheme="minorEastAsia" w:hAnsiTheme="minorEastAsia" w:eastAsiaTheme="minorEastAsia"/>
        </w:rPr>
      </w:pPr>
      <w:r>
        <w:rPr>
          <w:rFonts w:asciiTheme="minorEastAsia" w:hAnsiTheme="minorEastAsia" w:eastAsiaTheme="minorEastAsia"/>
        </w:rPr>
        <w:t>根据对调查结果的统计和归纳，公众意见调查统计结果见表1</w:t>
      </w:r>
      <w:r>
        <w:rPr>
          <w:rFonts w:hint="eastAsia" w:asciiTheme="minorEastAsia" w:hAnsiTheme="minorEastAsia" w:eastAsiaTheme="minorEastAsia"/>
        </w:rPr>
        <w:t>6</w:t>
      </w:r>
      <w:r>
        <w:rPr>
          <w:rFonts w:asciiTheme="minorEastAsia" w:hAnsiTheme="minorEastAsia" w:eastAsiaTheme="minorEastAsia"/>
        </w:rPr>
        <w:t>.3</w:t>
      </w:r>
      <w:r>
        <w:rPr>
          <w:rFonts w:hint="eastAsia" w:asciiTheme="minorEastAsia" w:hAnsiTheme="minorEastAsia" w:eastAsiaTheme="minorEastAsia"/>
        </w:rPr>
        <w:t>-3。</w:t>
      </w:r>
    </w:p>
    <w:p w14:paraId="067F403D">
      <w:pPr>
        <w:pStyle w:val="203"/>
        <w:spacing w:line="240" w:lineRule="auto"/>
        <w:ind w:firstLine="318" w:firstLineChars="132"/>
        <w:rPr>
          <w:rFonts w:ascii="Times New Roman" w:hAnsi="Times New Roman"/>
          <w:b/>
        </w:rPr>
      </w:pPr>
      <w:r>
        <w:rPr>
          <w:rFonts w:ascii="Times New Roman" w:hAnsi="Times New Roman"/>
          <w:b/>
        </w:rPr>
        <w:t>表1</w:t>
      </w:r>
      <w:r>
        <w:rPr>
          <w:rFonts w:hint="eastAsia" w:ascii="Times New Roman" w:hAnsi="Times New Roman"/>
          <w:b/>
        </w:rPr>
        <w:t>6</w:t>
      </w:r>
      <w:r>
        <w:rPr>
          <w:rFonts w:ascii="Times New Roman" w:hAnsi="Times New Roman"/>
          <w:b/>
        </w:rPr>
        <w:t>.3-</w:t>
      </w:r>
      <w:r>
        <w:rPr>
          <w:rFonts w:hint="eastAsia" w:ascii="Times New Roman" w:hAnsi="Times New Roman"/>
          <w:b/>
        </w:rPr>
        <w:t xml:space="preserve">3     </w:t>
      </w:r>
      <w:r>
        <w:rPr>
          <w:rFonts w:ascii="Times New Roman" w:hAnsi="Times New Roman"/>
          <w:b/>
        </w:rPr>
        <w:t>公众意见调查统计结果</w:t>
      </w:r>
    </w:p>
    <w:tbl>
      <w:tblPr>
        <w:tblStyle w:val="76"/>
        <w:tblW w:w="9100" w:type="dxa"/>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5"/>
        <w:gridCol w:w="3522"/>
        <w:gridCol w:w="693"/>
        <w:gridCol w:w="1701"/>
        <w:gridCol w:w="1134"/>
        <w:gridCol w:w="1335"/>
      </w:tblGrid>
      <w:tr w14:paraId="6BE075DF">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3" w:hRule="atLeast"/>
          <w:jc w:val="center"/>
        </w:trPr>
        <w:tc>
          <w:tcPr>
            <w:tcW w:w="715" w:type="dxa"/>
            <w:vMerge w:val="restart"/>
            <w:tcMar>
              <w:top w:w="15" w:type="dxa"/>
              <w:left w:w="15" w:type="dxa"/>
              <w:bottom w:w="0" w:type="dxa"/>
              <w:right w:w="15" w:type="dxa"/>
            </w:tcMar>
            <w:vAlign w:val="center"/>
          </w:tcPr>
          <w:p w14:paraId="73FB8C82">
            <w:pPr>
              <w:adjustRightInd w:val="0"/>
              <w:snapToGrid w:val="0"/>
              <w:spacing w:line="340" w:lineRule="exact"/>
              <w:ind w:firstLine="0" w:firstLineChars="0"/>
              <w:jc w:val="center"/>
              <w:textAlignment w:val="baseline"/>
              <w:rPr>
                <w:kern w:val="2"/>
                <w:sz w:val="21"/>
                <w:szCs w:val="24"/>
                <w:lang w:eastAsia="zh-CN" w:bidi="ar-SA"/>
              </w:rPr>
            </w:pPr>
            <w:r>
              <w:rPr>
                <w:kern w:val="2"/>
                <w:sz w:val="21"/>
                <w:szCs w:val="24"/>
                <w:lang w:eastAsia="zh-CN" w:bidi="ar-SA"/>
              </w:rPr>
              <w:t>序</w:t>
            </w:r>
          </w:p>
          <w:p w14:paraId="57C4ABF0">
            <w:pPr>
              <w:adjustRightInd w:val="0"/>
              <w:snapToGrid w:val="0"/>
              <w:spacing w:line="340" w:lineRule="exact"/>
              <w:ind w:firstLine="0" w:firstLineChars="0"/>
              <w:jc w:val="center"/>
              <w:textAlignment w:val="baseline"/>
              <w:rPr>
                <w:kern w:val="2"/>
                <w:sz w:val="21"/>
                <w:szCs w:val="24"/>
                <w:lang w:eastAsia="zh-CN" w:bidi="ar-SA"/>
              </w:rPr>
            </w:pPr>
            <w:r>
              <w:rPr>
                <w:kern w:val="2"/>
                <w:sz w:val="21"/>
                <w:szCs w:val="24"/>
                <w:lang w:eastAsia="zh-CN" w:bidi="ar-SA"/>
              </w:rPr>
              <w:t>号</w:t>
            </w:r>
          </w:p>
        </w:tc>
        <w:tc>
          <w:tcPr>
            <w:tcW w:w="5916" w:type="dxa"/>
            <w:gridSpan w:val="3"/>
            <w:tcMar>
              <w:top w:w="15" w:type="dxa"/>
              <w:left w:w="15" w:type="dxa"/>
              <w:bottom w:w="0" w:type="dxa"/>
              <w:right w:w="15" w:type="dxa"/>
            </w:tcMar>
            <w:vAlign w:val="center"/>
          </w:tcPr>
          <w:p w14:paraId="614DE3DF">
            <w:pPr>
              <w:adjustRightInd w:val="0"/>
              <w:snapToGrid w:val="0"/>
              <w:spacing w:line="340" w:lineRule="exact"/>
              <w:ind w:firstLine="1108" w:firstLineChars="528"/>
              <w:textAlignment w:val="baseline"/>
              <w:rPr>
                <w:kern w:val="2"/>
                <w:sz w:val="21"/>
                <w:szCs w:val="24"/>
                <w:lang w:eastAsia="zh-CN" w:bidi="ar-SA"/>
              </w:rPr>
            </w:pPr>
            <w:r>
              <w:rPr>
                <w:kern w:val="2"/>
                <w:sz w:val="21"/>
                <w:szCs w:val="24"/>
                <w:lang w:eastAsia="zh-CN" w:bidi="ar-SA"/>
              </w:rPr>
              <w:t>调查项目</w:t>
            </w:r>
          </w:p>
        </w:tc>
        <w:tc>
          <w:tcPr>
            <w:tcW w:w="1134" w:type="dxa"/>
            <w:tcMar>
              <w:top w:w="15" w:type="dxa"/>
              <w:left w:w="15" w:type="dxa"/>
              <w:bottom w:w="0" w:type="dxa"/>
              <w:right w:w="15" w:type="dxa"/>
            </w:tcMar>
            <w:vAlign w:val="center"/>
          </w:tcPr>
          <w:p w14:paraId="070B1221">
            <w:pPr>
              <w:adjustRightInd w:val="0"/>
              <w:snapToGrid w:val="0"/>
              <w:spacing w:line="340" w:lineRule="exact"/>
              <w:ind w:firstLine="0" w:firstLineChars="0"/>
              <w:jc w:val="center"/>
              <w:textAlignment w:val="baseline"/>
              <w:rPr>
                <w:kern w:val="2"/>
                <w:sz w:val="21"/>
                <w:szCs w:val="24"/>
                <w:lang w:eastAsia="zh-CN" w:bidi="ar-SA"/>
              </w:rPr>
            </w:pPr>
            <w:r>
              <w:rPr>
                <w:kern w:val="2"/>
                <w:sz w:val="21"/>
                <w:szCs w:val="24"/>
                <w:lang w:eastAsia="zh-CN" w:bidi="ar-SA"/>
              </w:rPr>
              <w:t>调查结果</w:t>
            </w:r>
          </w:p>
        </w:tc>
        <w:tc>
          <w:tcPr>
            <w:tcW w:w="1335" w:type="dxa"/>
            <w:tcMar>
              <w:top w:w="15" w:type="dxa"/>
              <w:left w:w="15" w:type="dxa"/>
              <w:bottom w:w="0" w:type="dxa"/>
              <w:right w:w="15" w:type="dxa"/>
            </w:tcMar>
            <w:vAlign w:val="center"/>
          </w:tcPr>
          <w:p w14:paraId="11CEDD86">
            <w:pPr>
              <w:adjustRightInd w:val="0"/>
              <w:snapToGrid w:val="0"/>
              <w:spacing w:line="340" w:lineRule="exact"/>
              <w:ind w:firstLineChars="0"/>
              <w:textAlignment w:val="baseline"/>
              <w:rPr>
                <w:kern w:val="2"/>
                <w:sz w:val="21"/>
                <w:szCs w:val="24"/>
                <w:lang w:eastAsia="zh-CN" w:bidi="ar-SA"/>
              </w:rPr>
            </w:pPr>
            <w:r>
              <w:rPr>
                <w:kern w:val="2"/>
                <w:sz w:val="21"/>
                <w:szCs w:val="24"/>
                <w:lang w:eastAsia="zh-CN" w:bidi="ar-SA"/>
              </w:rPr>
              <w:t>统计</w:t>
            </w:r>
          </w:p>
          <w:p w14:paraId="5AED89B3">
            <w:pPr>
              <w:adjustRightInd w:val="0"/>
              <w:snapToGrid w:val="0"/>
              <w:spacing w:line="340" w:lineRule="exact"/>
              <w:ind w:firstLine="0" w:firstLineChars="0"/>
              <w:jc w:val="center"/>
              <w:textAlignment w:val="baseline"/>
              <w:rPr>
                <w:kern w:val="2"/>
                <w:sz w:val="21"/>
                <w:szCs w:val="24"/>
                <w:lang w:eastAsia="zh-CN" w:bidi="ar-SA"/>
              </w:rPr>
            </w:pPr>
            <w:r>
              <w:rPr>
                <w:kern w:val="2"/>
                <w:sz w:val="21"/>
                <w:szCs w:val="24"/>
                <w:lang w:eastAsia="zh-CN" w:bidi="ar-SA"/>
              </w:rPr>
              <w:t>百分比（%）</w:t>
            </w:r>
          </w:p>
        </w:tc>
      </w:tr>
      <w:tr w14:paraId="41DF4A29">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9" w:hRule="atLeast"/>
          <w:jc w:val="center"/>
        </w:trPr>
        <w:tc>
          <w:tcPr>
            <w:tcW w:w="715" w:type="dxa"/>
            <w:vMerge w:val="continue"/>
            <w:vAlign w:val="center"/>
          </w:tcPr>
          <w:p w14:paraId="4FEEF624">
            <w:pPr>
              <w:adjustRightInd w:val="0"/>
              <w:snapToGrid w:val="0"/>
              <w:spacing w:line="340" w:lineRule="exact"/>
              <w:ind w:firstLine="480" w:firstLineChars="0"/>
              <w:jc w:val="center"/>
              <w:textAlignment w:val="baseline"/>
              <w:rPr>
                <w:kern w:val="2"/>
                <w:sz w:val="21"/>
                <w:szCs w:val="24"/>
                <w:lang w:eastAsia="zh-CN" w:bidi="ar-SA"/>
              </w:rPr>
            </w:pPr>
          </w:p>
        </w:tc>
        <w:tc>
          <w:tcPr>
            <w:tcW w:w="3522" w:type="dxa"/>
            <w:tcMar>
              <w:top w:w="15" w:type="dxa"/>
              <w:left w:w="15" w:type="dxa"/>
              <w:bottom w:w="0" w:type="dxa"/>
              <w:right w:w="15" w:type="dxa"/>
            </w:tcMar>
            <w:vAlign w:val="center"/>
          </w:tcPr>
          <w:p w14:paraId="641ED828">
            <w:pPr>
              <w:adjustRightInd w:val="0"/>
              <w:snapToGrid w:val="0"/>
              <w:spacing w:line="340" w:lineRule="exact"/>
              <w:ind w:firstLine="480" w:firstLineChars="0"/>
              <w:jc w:val="center"/>
              <w:textAlignment w:val="baseline"/>
              <w:rPr>
                <w:kern w:val="2"/>
                <w:sz w:val="21"/>
                <w:szCs w:val="24"/>
                <w:lang w:eastAsia="zh-CN" w:bidi="ar-SA"/>
              </w:rPr>
            </w:pPr>
            <w:r>
              <w:rPr>
                <w:kern w:val="2"/>
                <w:sz w:val="21"/>
                <w:szCs w:val="24"/>
                <w:lang w:eastAsia="zh-CN" w:bidi="ar-SA"/>
              </w:rPr>
              <w:t>发放调查表份数</w:t>
            </w:r>
          </w:p>
        </w:tc>
        <w:tc>
          <w:tcPr>
            <w:tcW w:w="693" w:type="dxa"/>
            <w:tcMar>
              <w:top w:w="15" w:type="dxa"/>
              <w:left w:w="15" w:type="dxa"/>
              <w:bottom w:w="0" w:type="dxa"/>
              <w:right w:w="15" w:type="dxa"/>
            </w:tcMar>
            <w:vAlign w:val="center"/>
          </w:tcPr>
          <w:p w14:paraId="227507E5">
            <w:pPr>
              <w:adjustRightInd w:val="0"/>
              <w:snapToGrid w:val="0"/>
              <w:spacing w:line="340" w:lineRule="exact"/>
              <w:ind w:firstLineChars="0"/>
              <w:textAlignment w:val="baseline"/>
              <w:rPr>
                <w:kern w:val="2"/>
                <w:sz w:val="21"/>
                <w:szCs w:val="24"/>
                <w:lang w:eastAsia="zh-CN" w:bidi="ar-SA"/>
              </w:rPr>
            </w:pPr>
            <w:r>
              <w:rPr>
                <w:kern w:val="2"/>
                <w:sz w:val="21"/>
                <w:szCs w:val="24"/>
                <w:lang w:eastAsia="zh-CN" w:bidi="ar-SA"/>
              </w:rPr>
              <w:t>50</w:t>
            </w:r>
          </w:p>
        </w:tc>
        <w:tc>
          <w:tcPr>
            <w:tcW w:w="1701" w:type="dxa"/>
            <w:tcMar>
              <w:top w:w="15" w:type="dxa"/>
              <w:left w:w="15" w:type="dxa"/>
              <w:bottom w:w="0" w:type="dxa"/>
              <w:right w:w="15" w:type="dxa"/>
            </w:tcMar>
            <w:vAlign w:val="center"/>
          </w:tcPr>
          <w:p w14:paraId="4C1FAB9E">
            <w:pPr>
              <w:adjustRightInd w:val="0"/>
              <w:snapToGrid w:val="0"/>
              <w:spacing w:line="340" w:lineRule="exact"/>
              <w:ind w:firstLine="0" w:firstLineChars="0"/>
              <w:jc w:val="center"/>
              <w:textAlignment w:val="baseline"/>
              <w:rPr>
                <w:kern w:val="2"/>
                <w:sz w:val="21"/>
                <w:szCs w:val="24"/>
                <w:lang w:eastAsia="zh-CN" w:bidi="ar-SA"/>
              </w:rPr>
            </w:pPr>
            <w:r>
              <w:rPr>
                <w:kern w:val="2"/>
                <w:sz w:val="21"/>
                <w:szCs w:val="24"/>
                <w:lang w:eastAsia="zh-CN" w:bidi="ar-SA"/>
              </w:rPr>
              <w:t>收回调查表份数</w:t>
            </w:r>
          </w:p>
        </w:tc>
        <w:tc>
          <w:tcPr>
            <w:tcW w:w="1134" w:type="dxa"/>
            <w:tcMar>
              <w:top w:w="15" w:type="dxa"/>
              <w:left w:w="15" w:type="dxa"/>
              <w:bottom w:w="0" w:type="dxa"/>
              <w:right w:w="15" w:type="dxa"/>
            </w:tcMar>
            <w:vAlign w:val="center"/>
          </w:tcPr>
          <w:p w14:paraId="163DDDF3">
            <w:pPr>
              <w:adjustRightInd w:val="0"/>
              <w:snapToGrid w:val="0"/>
              <w:spacing w:line="340" w:lineRule="exact"/>
              <w:ind w:firstLine="480" w:firstLineChars="0"/>
              <w:jc w:val="center"/>
              <w:textAlignment w:val="baseline"/>
              <w:rPr>
                <w:kern w:val="2"/>
                <w:sz w:val="21"/>
                <w:szCs w:val="24"/>
                <w:lang w:eastAsia="zh-CN" w:bidi="ar-SA"/>
              </w:rPr>
            </w:pPr>
            <w:r>
              <w:rPr>
                <w:rFonts w:hint="eastAsia"/>
                <w:kern w:val="2"/>
                <w:sz w:val="21"/>
                <w:szCs w:val="24"/>
                <w:lang w:eastAsia="zh-CN" w:bidi="ar-SA"/>
              </w:rPr>
              <w:t>48</w:t>
            </w:r>
          </w:p>
        </w:tc>
        <w:tc>
          <w:tcPr>
            <w:tcW w:w="1335" w:type="dxa"/>
            <w:tcMar>
              <w:top w:w="15" w:type="dxa"/>
              <w:left w:w="15" w:type="dxa"/>
              <w:bottom w:w="0" w:type="dxa"/>
              <w:right w:w="15" w:type="dxa"/>
            </w:tcMar>
            <w:vAlign w:val="center"/>
          </w:tcPr>
          <w:p w14:paraId="1B67FC13">
            <w:pPr>
              <w:adjustRightInd w:val="0"/>
              <w:snapToGrid w:val="0"/>
              <w:spacing w:line="340" w:lineRule="exact"/>
              <w:ind w:firstLine="480" w:firstLineChars="0"/>
              <w:jc w:val="center"/>
              <w:textAlignment w:val="baseline"/>
              <w:rPr>
                <w:kern w:val="2"/>
                <w:sz w:val="21"/>
                <w:szCs w:val="24"/>
                <w:lang w:eastAsia="zh-CN" w:bidi="ar-SA"/>
              </w:rPr>
            </w:pPr>
            <w:r>
              <w:rPr>
                <w:rFonts w:hint="eastAsia"/>
                <w:kern w:val="2"/>
                <w:sz w:val="21"/>
                <w:szCs w:val="24"/>
                <w:lang w:eastAsia="zh-CN" w:bidi="ar-SA"/>
              </w:rPr>
              <w:t>96</w:t>
            </w:r>
          </w:p>
        </w:tc>
      </w:tr>
      <w:tr w14:paraId="452713AD">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 w:hRule="atLeast"/>
          <w:jc w:val="center"/>
        </w:trPr>
        <w:tc>
          <w:tcPr>
            <w:tcW w:w="715" w:type="dxa"/>
            <w:vMerge w:val="continue"/>
            <w:vAlign w:val="center"/>
          </w:tcPr>
          <w:p w14:paraId="1E8976FB">
            <w:pPr>
              <w:adjustRightInd w:val="0"/>
              <w:snapToGrid w:val="0"/>
              <w:spacing w:line="340" w:lineRule="exact"/>
              <w:ind w:firstLine="480" w:firstLineChars="0"/>
              <w:jc w:val="center"/>
              <w:textAlignment w:val="baseline"/>
              <w:rPr>
                <w:kern w:val="2"/>
                <w:sz w:val="21"/>
                <w:szCs w:val="24"/>
                <w:lang w:eastAsia="zh-CN" w:bidi="ar-SA"/>
              </w:rPr>
            </w:pPr>
          </w:p>
        </w:tc>
        <w:tc>
          <w:tcPr>
            <w:tcW w:w="3522" w:type="dxa"/>
            <w:tcMar>
              <w:top w:w="15" w:type="dxa"/>
              <w:left w:w="15" w:type="dxa"/>
              <w:bottom w:w="0" w:type="dxa"/>
              <w:right w:w="15" w:type="dxa"/>
            </w:tcMar>
            <w:vAlign w:val="center"/>
          </w:tcPr>
          <w:p w14:paraId="0FC21FF3">
            <w:pPr>
              <w:adjustRightInd w:val="0"/>
              <w:snapToGrid w:val="0"/>
              <w:spacing w:line="340" w:lineRule="exact"/>
              <w:ind w:firstLine="480" w:firstLineChars="0"/>
              <w:jc w:val="center"/>
              <w:textAlignment w:val="baseline"/>
              <w:rPr>
                <w:kern w:val="2"/>
                <w:sz w:val="21"/>
                <w:szCs w:val="24"/>
                <w:lang w:eastAsia="zh-CN" w:bidi="ar-SA"/>
              </w:rPr>
            </w:pPr>
            <w:r>
              <w:rPr>
                <w:kern w:val="2"/>
                <w:sz w:val="21"/>
                <w:szCs w:val="24"/>
                <w:lang w:eastAsia="zh-CN" w:bidi="ar-SA"/>
              </w:rPr>
              <w:t>问题</w:t>
            </w:r>
          </w:p>
        </w:tc>
        <w:tc>
          <w:tcPr>
            <w:tcW w:w="4863" w:type="dxa"/>
            <w:gridSpan w:val="4"/>
            <w:tcMar>
              <w:top w:w="15" w:type="dxa"/>
              <w:left w:w="15" w:type="dxa"/>
              <w:bottom w:w="0" w:type="dxa"/>
              <w:right w:w="15" w:type="dxa"/>
            </w:tcMar>
            <w:vAlign w:val="center"/>
          </w:tcPr>
          <w:p w14:paraId="0879890E">
            <w:pPr>
              <w:adjustRightInd w:val="0"/>
              <w:snapToGrid w:val="0"/>
              <w:spacing w:line="340" w:lineRule="exact"/>
              <w:ind w:firstLine="480" w:firstLineChars="0"/>
              <w:jc w:val="center"/>
              <w:textAlignment w:val="baseline"/>
              <w:rPr>
                <w:kern w:val="2"/>
                <w:sz w:val="21"/>
                <w:szCs w:val="24"/>
                <w:lang w:eastAsia="zh-CN" w:bidi="ar-SA"/>
              </w:rPr>
            </w:pPr>
            <w:r>
              <w:rPr>
                <w:kern w:val="2"/>
                <w:sz w:val="21"/>
                <w:szCs w:val="24"/>
                <w:lang w:eastAsia="zh-CN" w:bidi="ar-SA"/>
              </w:rPr>
              <w:t>答案</w:t>
            </w:r>
          </w:p>
        </w:tc>
      </w:tr>
      <w:tr w14:paraId="6CD08CA9">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 w:hRule="atLeast"/>
          <w:jc w:val="center"/>
        </w:trPr>
        <w:tc>
          <w:tcPr>
            <w:tcW w:w="715" w:type="dxa"/>
            <w:vMerge w:val="restart"/>
            <w:vAlign w:val="center"/>
          </w:tcPr>
          <w:p w14:paraId="7CAAD97B">
            <w:pPr>
              <w:adjustRightInd w:val="0"/>
              <w:snapToGrid w:val="0"/>
              <w:spacing w:line="340" w:lineRule="exact"/>
              <w:ind w:firstLineChars="0"/>
              <w:jc w:val="center"/>
              <w:textAlignment w:val="baseline"/>
              <w:rPr>
                <w:kern w:val="2"/>
                <w:sz w:val="21"/>
                <w:szCs w:val="24"/>
                <w:lang w:eastAsia="zh-CN" w:bidi="ar-SA"/>
              </w:rPr>
            </w:pPr>
            <w:r>
              <w:rPr>
                <w:kern w:val="2"/>
                <w:sz w:val="21"/>
                <w:szCs w:val="24"/>
                <w:lang w:eastAsia="zh-CN" w:bidi="ar-SA"/>
              </w:rPr>
              <w:t>1</w:t>
            </w:r>
          </w:p>
        </w:tc>
        <w:tc>
          <w:tcPr>
            <w:tcW w:w="3522" w:type="dxa"/>
            <w:vMerge w:val="restart"/>
            <w:vAlign w:val="center"/>
          </w:tcPr>
          <w:p w14:paraId="70702E6E">
            <w:pPr>
              <w:widowControl/>
              <w:spacing w:beforeLines="25" w:line="360" w:lineRule="exact"/>
              <w:ind w:firstLine="0" w:firstLineChars="0"/>
              <w:rPr>
                <w:sz w:val="21"/>
                <w:szCs w:val="21"/>
                <w:lang w:val="en-GB" w:eastAsia="zh-CN" w:bidi="ar-SA"/>
              </w:rPr>
            </w:pPr>
            <w:r>
              <w:rPr>
                <w:sz w:val="21"/>
                <w:szCs w:val="21"/>
                <w:lang w:val="en-GB" w:eastAsia="zh-CN" w:bidi="ar-SA"/>
              </w:rPr>
              <w:t>您对建设项目的了解程度</w:t>
            </w:r>
            <w:r>
              <w:rPr>
                <w:rFonts w:hint="eastAsia"/>
                <w:sz w:val="21"/>
                <w:szCs w:val="21"/>
                <w:lang w:val="en-GB" w:eastAsia="zh-CN" w:bidi="ar-SA"/>
              </w:rPr>
              <w:t>？</w:t>
            </w:r>
          </w:p>
        </w:tc>
        <w:tc>
          <w:tcPr>
            <w:tcW w:w="2394" w:type="dxa"/>
            <w:gridSpan w:val="2"/>
            <w:tcMar>
              <w:top w:w="15" w:type="dxa"/>
              <w:left w:w="15" w:type="dxa"/>
              <w:bottom w:w="0" w:type="dxa"/>
              <w:right w:w="15" w:type="dxa"/>
            </w:tcMar>
            <w:vAlign w:val="center"/>
          </w:tcPr>
          <w:p w14:paraId="4257D7A4">
            <w:pPr>
              <w:adjustRightInd w:val="0"/>
              <w:snapToGrid w:val="0"/>
              <w:spacing w:line="340" w:lineRule="exact"/>
              <w:ind w:firstLine="480" w:firstLineChars="0"/>
              <w:jc w:val="center"/>
              <w:textAlignment w:val="baseline"/>
              <w:rPr>
                <w:kern w:val="2"/>
                <w:sz w:val="21"/>
                <w:szCs w:val="24"/>
                <w:lang w:eastAsia="zh-CN" w:bidi="ar-SA"/>
              </w:rPr>
            </w:pPr>
            <w:r>
              <w:rPr>
                <w:rFonts w:hint="eastAsia"/>
                <w:kern w:val="2"/>
                <w:sz w:val="21"/>
                <w:szCs w:val="24"/>
                <w:lang w:eastAsia="zh-CN" w:bidi="ar-SA"/>
              </w:rPr>
              <w:t>了解</w:t>
            </w:r>
          </w:p>
        </w:tc>
        <w:tc>
          <w:tcPr>
            <w:tcW w:w="1134" w:type="dxa"/>
            <w:tcMar>
              <w:top w:w="15" w:type="dxa"/>
              <w:left w:w="15" w:type="dxa"/>
              <w:bottom w:w="0" w:type="dxa"/>
              <w:right w:w="15" w:type="dxa"/>
            </w:tcMar>
            <w:vAlign w:val="center"/>
          </w:tcPr>
          <w:p w14:paraId="4FAA9013">
            <w:pPr>
              <w:adjustRightInd w:val="0"/>
              <w:snapToGrid w:val="0"/>
              <w:spacing w:line="340" w:lineRule="exact"/>
              <w:ind w:firstLine="480" w:firstLineChars="0"/>
              <w:jc w:val="center"/>
              <w:textAlignment w:val="baseline"/>
              <w:rPr>
                <w:kern w:val="2"/>
                <w:sz w:val="21"/>
                <w:szCs w:val="24"/>
                <w:lang w:eastAsia="zh-CN" w:bidi="ar-SA"/>
              </w:rPr>
            </w:pPr>
            <w:r>
              <w:rPr>
                <w:rFonts w:hint="eastAsia"/>
                <w:kern w:val="2"/>
                <w:sz w:val="21"/>
                <w:szCs w:val="24"/>
                <w:lang w:eastAsia="zh-CN" w:bidi="ar-SA"/>
              </w:rPr>
              <w:t>36</w:t>
            </w:r>
          </w:p>
        </w:tc>
        <w:tc>
          <w:tcPr>
            <w:tcW w:w="1335" w:type="dxa"/>
            <w:tcMar>
              <w:top w:w="15" w:type="dxa"/>
              <w:left w:w="15" w:type="dxa"/>
              <w:bottom w:w="0" w:type="dxa"/>
              <w:right w:w="15" w:type="dxa"/>
            </w:tcMar>
            <w:vAlign w:val="center"/>
          </w:tcPr>
          <w:p w14:paraId="24363935">
            <w:pPr>
              <w:adjustRightInd w:val="0"/>
              <w:snapToGrid w:val="0"/>
              <w:spacing w:line="340" w:lineRule="exact"/>
              <w:ind w:firstLine="480" w:firstLineChars="0"/>
              <w:jc w:val="center"/>
              <w:textAlignment w:val="baseline"/>
              <w:rPr>
                <w:kern w:val="2"/>
                <w:sz w:val="21"/>
                <w:szCs w:val="24"/>
                <w:lang w:eastAsia="zh-CN" w:bidi="ar-SA"/>
              </w:rPr>
            </w:pPr>
            <w:r>
              <w:rPr>
                <w:rFonts w:hint="eastAsia"/>
                <w:kern w:val="2"/>
                <w:sz w:val="21"/>
                <w:szCs w:val="24"/>
                <w:lang w:eastAsia="zh-CN" w:bidi="ar-SA"/>
              </w:rPr>
              <w:t>75</w:t>
            </w:r>
          </w:p>
        </w:tc>
      </w:tr>
      <w:tr w14:paraId="0820030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7" w:hRule="atLeast"/>
          <w:jc w:val="center"/>
        </w:trPr>
        <w:tc>
          <w:tcPr>
            <w:tcW w:w="715" w:type="dxa"/>
            <w:vMerge w:val="continue"/>
            <w:vAlign w:val="center"/>
          </w:tcPr>
          <w:p w14:paraId="44D2A713">
            <w:pPr>
              <w:adjustRightInd w:val="0"/>
              <w:snapToGrid w:val="0"/>
              <w:spacing w:line="340" w:lineRule="exact"/>
              <w:ind w:firstLine="480" w:firstLineChars="0"/>
              <w:jc w:val="center"/>
              <w:textAlignment w:val="baseline"/>
              <w:rPr>
                <w:kern w:val="2"/>
                <w:sz w:val="21"/>
                <w:szCs w:val="24"/>
                <w:lang w:eastAsia="zh-CN" w:bidi="ar-SA"/>
              </w:rPr>
            </w:pPr>
          </w:p>
        </w:tc>
        <w:tc>
          <w:tcPr>
            <w:tcW w:w="3522" w:type="dxa"/>
            <w:vMerge w:val="continue"/>
            <w:vAlign w:val="center"/>
          </w:tcPr>
          <w:p w14:paraId="3CCE2BBE">
            <w:pPr>
              <w:adjustRightInd w:val="0"/>
              <w:snapToGrid w:val="0"/>
              <w:spacing w:line="340" w:lineRule="exact"/>
              <w:ind w:firstLine="480" w:firstLineChars="0"/>
              <w:jc w:val="center"/>
              <w:textAlignment w:val="baseline"/>
              <w:rPr>
                <w:kern w:val="2"/>
                <w:sz w:val="21"/>
                <w:szCs w:val="24"/>
                <w:lang w:eastAsia="zh-CN" w:bidi="ar-SA"/>
              </w:rPr>
            </w:pPr>
          </w:p>
        </w:tc>
        <w:tc>
          <w:tcPr>
            <w:tcW w:w="2394" w:type="dxa"/>
            <w:gridSpan w:val="2"/>
            <w:tcMar>
              <w:top w:w="15" w:type="dxa"/>
              <w:left w:w="15" w:type="dxa"/>
              <w:bottom w:w="0" w:type="dxa"/>
              <w:right w:w="15" w:type="dxa"/>
            </w:tcMar>
            <w:vAlign w:val="center"/>
          </w:tcPr>
          <w:p w14:paraId="3C64F74A">
            <w:pPr>
              <w:adjustRightInd w:val="0"/>
              <w:snapToGrid w:val="0"/>
              <w:spacing w:line="340" w:lineRule="exact"/>
              <w:ind w:firstLine="480" w:firstLineChars="0"/>
              <w:jc w:val="center"/>
              <w:textAlignment w:val="baseline"/>
              <w:rPr>
                <w:kern w:val="2"/>
                <w:sz w:val="21"/>
                <w:szCs w:val="24"/>
                <w:lang w:eastAsia="zh-CN" w:bidi="ar-SA"/>
              </w:rPr>
            </w:pPr>
            <w:r>
              <w:rPr>
                <w:rFonts w:hint="eastAsia"/>
                <w:kern w:val="2"/>
                <w:sz w:val="21"/>
                <w:szCs w:val="24"/>
                <w:lang w:eastAsia="zh-CN" w:bidi="ar-SA"/>
              </w:rPr>
              <w:t>较了解</w:t>
            </w:r>
          </w:p>
        </w:tc>
        <w:tc>
          <w:tcPr>
            <w:tcW w:w="1134" w:type="dxa"/>
            <w:tcMar>
              <w:top w:w="15" w:type="dxa"/>
              <w:left w:w="15" w:type="dxa"/>
              <w:bottom w:w="0" w:type="dxa"/>
              <w:right w:w="15" w:type="dxa"/>
            </w:tcMar>
            <w:vAlign w:val="center"/>
          </w:tcPr>
          <w:p w14:paraId="28714E29">
            <w:pPr>
              <w:adjustRightInd w:val="0"/>
              <w:snapToGrid w:val="0"/>
              <w:spacing w:line="340" w:lineRule="exact"/>
              <w:ind w:firstLine="480" w:firstLineChars="0"/>
              <w:jc w:val="center"/>
              <w:textAlignment w:val="baseline"/>
              <w:rPr>
                <w:kern w:val="2"/>
                <w:sz w:val="21"/>
                <w:szCs w:val="24"/>
                <w:lang w:eastAsia="zh-CN" w:bidi="ar-SA"/>
              </w:rPr>
            </w:pPr>
            <w:r>
              <w:rPr>
                <w:rFonts w:hint="eastAsia"/>
                <w:kern w:val="2"/>
                <w:sz w:val="21"/>
                <w:szCs w:val="24"/>
                <w:lang w:eastAsia="zh-CN" w:bidi="ar-SA"/>
              </w:rPr>
              <w:t>11</w:t>
            </w:r>
          </w:p>
        </w:tc>
        <w:tc>
          <w:tcPr>
            <w:tcW w:w="1335" w:type="dxa"/>
            <w:tcMar>
              <w:top w:w="15" w:type="dxa"/>
              <w:left w:w="15" w:type="dxa"/>
              <w:bottom w:w="0" w:type="dxa"/>
              <w:right w:w="15" w:type="dxa"/>
            </w:tcMar>
            <w:vAlign w:val="center"/>
          </w:tcPr>
          <w:p w14:paraId="4DF138AB">
            <w:pPr>
              <w:adjustRightInd w:val="0"/>
              <w:snapToGrid w:val="0"/>
              <w:spacing w:line="340" w:lineRule="exact"/>
              <w:ind w:firstLine="480" w:firstLineChars="0"/>
              <w:jc w:val="center"/>
              <w:textAlignment w:val="baseline"/>
              <w:rPr>
                <w:kern w:val="2"/>
                <w:sz w:val="21"/>
                <w:szCs w:val="24"/>
                <w:lang w:eastAsia="zh-CN" w:bidi="ar-SA"/>
              </w:rPr>
            </w:pPr>
            <w:r>
              <w:rPr>
                <w:rFonts w:hint="eastAsia"/>
                <w:kern w:val="2"/>
                <w:sz w:val="21"/>
                <w:szCs w:val="24"/>
                <w:lang w:eastAsia="zh-CN" w:bidi="ar-SA"/>
              </w:rPr>
              <w:t>23</w:t>
            </w:r>
          </w:p>
        </w:tc>
      </w:tr>
      <w:tr w14:paraId="5AC82F62">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2" w:hRule="atLeast"/>
          <w:jc w:val="center"/>
        </w:trPr>
        <w:tc>
          <w:tcPr>
            <w:tcW w:w="715" w:type="dxa"/>
            <w:vMerge w:val="continue"/>
            <w:vAlign w:val="center"/>
          </w:tcPr>
          <w:p w14:paraId="2F556B3E">
            <w:pPr>
              <w:adjustRightInd w:val="0"/>
              <w:snapToGrid w:val="0"/>
              <w:spacing w:line="340" w:lineRule="exact"/>
              <w:ind w:firstLine="480" w:firstLineChars="0"/>
              <w:jc w:val="center"/>
              <w:textAlignment w:val="baseline"/>
              <w:rPr>
                <w:kern w:val="2"/>
                <w:sz w:val="21"/>
                <w:szCs w:val="24"/>
                <w:lang w:eastAsia="zh-CN" w:bidi="ar-SA"/>
              </w:rPr>
            </w:pPr>
          </w:p>
        </w:tc>
        <w:tc>
          <w:tcPr>
            <w:tcW w:w="3522" w:type="dxa"/>
            <w:vMerge w:val="continue"/>
            <w:vAlign w:val="center"/>
          </w:tcPr>
          <w:p w14:paraId="6337E8EF">
            <w:pPr>
              <w:adjustRightInd w:val="0"/>
              <w:snapToGrid w:val="0"/>
              <w:spacing w:line="340" w:lineRule="exact"/>
              <w:ind w:firstLine="480" w:firstLineChars="0"/>
              <w:jc w:val="center"/>
              <w:textAlignment w:val="baseline"/>
              <w:rPr>
                <w:kern w:val="2"/>
                <w:sz w:val="21"/>
                <w:szCs w:val="24"/>
                <w:lang w:eastAsia="zh-CN" w:bidi="ar-SA"/>
              </w:rPr>
            </w:pPr>
          </w:p>
        </w:tc>
        <w:tc>
          <w:tcPr>
            <w:tcW w:w="2394" w:type="dxa"/>
            <w:gridSpan w:val="2"/>
            <w:tcMar>
              <w:top w:w="15" w:type="dxa"/>
              <w:left w:w="15" w:type="dxa"/>
              <w:bottom w:w="0" w:type="dxa"/>
              <w:right w:w="15" w:type="dxa"/>
            </w:tcMar>
            <w:vAlign w:val="center"/>
          </w:tcPr>
          <w:p w14:paraId="1C26BA11">
            <w:pPr>
              <w:adjustRightInd w:val="0"/>
              <w:snapToGrid w:val="0"/>
              <w:spacing w:line="340" w:lineRule="exact"/>
              <w:ind w:firstLine="480" w:firstLineChars="0"/>
              <w:jc w:val="center"/>
              <w:textAlignment w:val="baseline"/>
              <w:rPr>
                <w:kern w:val="2"/>
                <w:sz w:val="21"/>
                <w:szCs w:val="24"/>
                <w:lang w:eastAsia="zh-CN" w:bidi="ar-SA"/>
              </w:rPr>
            </w:pPr>
            <w:r>
              <w:rPr>
                <w:rFonts w:hint="eastAsia"/>
                <w:kern w:val="2"/>
                <w:sz w:val="21"/>
                <w:szCs w:val="24"/>
                <w:lang w:eastAsia="zh-CN" w:bidi="ar-SA"/>
              </w:rPr>
              <w:t>不了解</w:t>
            </w:r>
          </w:p>
        </w:tc>
        <w:tc>
          <w:tcPr>
            <w:tcW w:w="1134" w:type="dxa"/>
            <w:tcMar>
              <w:top w:w="15" w:type="dxa"/>
              <w:left w:w="15" w:type="dxa"/>
              <w:bottom w:w="0" w:type="dxa"/>
              <w:right w:w="15" w:type="dxa"/>
            </w:tcMar>
            <w:vAlign w:val="center"/>
          </w:tcPr>
          <w:p w14:paraId="7C8FC953">
            <w:pPr>
              <w:adjustRightInd w:val="0"/>
              <w:snapToGrid w:val="0"/>
              <w:spacing w:line="340" w:lineRule="exact"/>
              <w:ind w:firstLine="480" w:firstLineChars="0"/>
              <w:jc w:val="center"/>
              <w:textAlignment w:val="baseline"/>
              <w:rPr>
                <w:kern w:val="2"/>
                <w:sz w:val="21"/>
                <w:szCs w:val="24"/>
                <w:lang w:eastAsia="zh-CN" w:bidi="ar-SA"/>
              </w:rPr>
            </w:pPr>
            <w:r>
              <w:rPr>
                <w:rFonts w:hint="eastAsia"/>
                <w:kern w:val="2"/>
                <w:sz w:val="21"/>
                <w:szCs w:val="24"/>
                <w:lang w:eastAsia="zh-CN" w:bidi="ar-SA"/>
              </w:rPr>
              <w:t>2</w:t>
            </w:r>
          </w:p>
        </w:tc>
        <w:tc>
          <w:tcPr>
            <w:tcW w:w="1335" w:type="dxa"/>
            <w:tcMar>
              <w:top w:w="15" w:type="dxa"/>
              <w:left w:w="15" w:type="dxa"/>
              <w:bottom w:w="0" w:type="dxa"/>
              <w:right w:w="15" w:type="dxa"/>
            </w:tcMar>
            <w:vAlign w:val="center"/>
          </w:tcPr>
          <w:p w14:paraId="1D10B3F7">
            <w:pPr>
              <w:adjustRightInd w:val="0"/>
              <w:snapToGrid w:val="0"/>
              <w:spacing w:line="340" w:lineRule="exact"/>
              <w:ind w:firstLine="480" w:firstLineChars="0"/>
              <w:jc w:val="center"/>
              <w:textAlignment w:val="baseline"/>
              <w:rPr>
                <w:kern w:val="2"/>
                <w:sz w:val="21"/>
                <w:szCs w:val="24"/>
                <w:lang w:eastAsia="zh-CN" w:bidi="ar-SA"/>
              </w:rPr>
            </w:pPr>
            <w:r>
              <w:rPr>
                <w:rFonts w:hint="eastAsia"/>
                <w:kern w:val="2"/>
                <w:sz w:val="21"/>
                <w:szCs w:val="24"/>
                <w:lang w:eastAsia="zh-CN" w:bidi="ar-SA"/>
              </w:rPr>
              <w:t>4</w:t>
            </w:r>
          </w:p>
        </w:tc>
      </w:tr>
      <w:tr w14:paraId="76223C4D">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 w:hRule="atLeast"/>
          <w:jc w:val="center"/>
        </w:trPr>
        <w:tc>
          <w:tcPr>
            <w:tcW w:w="715" w:type="dxa"/>
            <w:vMerge w:val="restart"/>
            <w:vAlign w:val="center"/>
          </w:tcPr>
          <w:p w14:paraId="7403702F">
            <w:pPr>
              <w:adjustRightInd w:val="0"/>
              <w:snapToGrid w:val="0"/>
              <w:spacing w:line="340" w:lineRule="exact"/>
              <w:ind w:firstLineChars="0"/>
              <w:jc w:val="center"/>
              <w:textAlignment w:val="baseline"/>
              <w:rPr>
                <w:kern w:val="2"/>
                <w:sz w:val="21"/>
                <w:szCs w:val="24"/>
                <w:lang w:eastAsia="zh-CN" w:bidi="ar-SA"/>
              </w:rPr>
            </w:pPr>
            <w:r>
              <w:rPr>
                <w:kern w:val="2"/>
                <w:sz w:val="21"/>
                <w:szCs w:val="24"/>
                <w:lang w:eastAsia="zh-CN" w:bidi="ar-SA"/>
              </w:rPr>
              <w:t>2</w:t>
            </w:r>
          </w:p>
        </w:tc>
        <w:tc>
          <w:tcPr>
            <w:tcW w:w="3522" w:type="dxa"/>
            <w:vMerge w:val="restart"/>
            <w:vAlign w:val="center"/>
          </w:tcPr>
          <w:p w14:paraId="6AAAD1B7">
            <w:pPr>
              <w:adjustRightInd w:val="0"/>
              <w:snapToGrid w:val="0"/>
              <w:spacing w:line="340" w:lineRule="exact"/>
              <w:ind w:firstLine="0" w:firstLineChars="0"/>
              <w:textAlignment w:val="baseline"/>
              <w:rPr>
                <w:kern w:val="2"/>
                <w:sz w:val="21"/>
                <w:szCs w:val="24"/>
                <w:lang w:eastAsia="zh-CN" w:bidi="ar-SA"/>
              </w:rPr>
            </w:pPr>
            <w:r>
              <w:rPr>
                <w:sz w:val="21"/>
                <w:szCs w:val="21"/>
                <w:lang w:val="en-GB" w:eastAsia="zh-CN" w:bidi="ar-SA"/>
              </w:rPr>
              <w:t>您认为</w:t>
            </w:r>
            <w:r>
              <w:rPr>
                <w:rFonts w:hint="eastAsia"/>
                <w:sz w:val="21"/>
                <w:szCs w:val="21"/>
                <w:lang w:val="en-GB" w:eastAsia="zh-CN" w:bidi="ar-SA"/>
              </w:rPr>
              <w:t>目前当地的环境状况如何？</w:t>
            </w:r>
          </w:p>
        </w:tc>
        <w:tc>
          <w:tcPr>
            <w:tcW w:w="2394" w:type="dxa"/>
            <w:gridSpan w:val="2"/>
            <w:tcMar>
              <w:top w:w="15" w:type="dxa"/>
              <w:left w:w="15" w:type="dxa"/>
              <w:bottom w:w="0" w:type="dxa"/>
              <w:right w:w="15" w:type="dxa"/>
            </w:tcMar>
            <w:vAlign w:val="center"/>
          </w:tcPr>
          <w:p w14:paraId="119CA99C">
            <w:pPr>
              <w:adjustRightInd w:val="0"/>
              <w:snapToGrid w:val="0"/>
              <w:spacing w:line="340" w:lineRule="exact"/>
              <w:ind w:firstLine="480" w:firstLineChars="0"/>
              <w:jc w:val="center"/>
              <w:textAlignment w:val="baseline"/>
              <w:rPr>
                <w:kern w:val="2"/>
                <w:sz w:val="21"/>
                <w:szCs w:val="24"/>
                <w:lang w:eastAsia="zh-CN" w:bidi="ar-SA"/>
              </w:rPr>
            </w:pPr>
            <w:r>
              <w:rPr>
                <w:rFonts w:hint="eastAsia"/>
                <w:kern w:val="2"/>
                <w:sz w:val="21"/>
                <w:szCs w:val="24"/>
                <w:lang w:eastAsia="zh-CN" w:bidi="ar-SA"/>
              </w:rPr>
              <w:t>好</w:t>
            </w:r>
          </w:p>
        </w:tc>
        <w:tc>
          <w:tcPr>
            <w:tcW w:w="1134" w:type="dxa"/>
            <w:tcMar>
              <w:top w:w="15" w:type="dxa"/>
              <w:left w:w="15" w:type="dxa"/>
              <w:bottom w:w="0" w:type="dxa"/>
              <w:right w:w="15" w:type="dxa"/>
            </w:tcMar>
            <w:vAlign w:val="center"/>
          </w:tcPr>
          <w:p w14:paraId="2A13910F">
            <w:pPr>
              <w:adjustRightInd w:val="0"/>
              <w:snapToGrid w:val="0"/>
              <w:spacing w:line="340" w:lineRule="exact"/>
              <w:ind w:firstLine="480" w:firstLineChars="0"/>
              <w:jc w:val="center"/>
              <w:textAlignment w:val="baseline"/>
              <w:rPr>
                <w:kern w:val="2"/>
                <w:sz w:val="21"/>
                <w:szCs w:val="24"/>
                <w:lang w:eastAsia="zh-CN" w:bidi="ar-SA"/>
              </w:rPr>
            </w:pPr>
            <w:r>
              <w:rPr>
                <w:rFonts w:hint="eastAsia"/>
                <w:kern w:val="2"/>
                <w:sz w:val="21"/>
                <w:szCs w:val="24"/>
                <w:lang w:eastAsia="zh-CN" w:bidi="ar-SA"/>
              </w:rPr>
              <w:t>24</w:t>
            </w:r>
          </w:p>
        </w:tc>
        <w:tc>
          <w:tcPr>
            <w:tcW w:w="1335" w:type="dxa"/>
            <w:tcMar>
              <w:top w:w="15" w:type="dxa"/>
              <w:left w:w="15" w:type="dxa"/>
              <w:bottom w:w="0" w:type="dxa"/>
              <w:right w:w="15" w:type="dxa"/>
            </w:tcMar>
            <w:vAlign w:val="center"/>
          </w:tcPr>
          <w:p w14:paraId="53E5A475">
            <w:pPr>
              <w:adjustRightInd w:val="0"/>
              <w:snapToGrid w:val="0"/>
              <w:spacing w:line="340" w:lineRule="exact"/>
              <w:ind w:firstLine="480" w:firstLineChars="0"/>
              <w:jc w:val="center"/>
              <w:textAlignment w:val="baseline"/>
              <w:rPr>
                <w:kern w:val="2"/>
                <w:sz w:val="21"/>
                <w:szCs w:val="24"/>
                <w:lang w:eastAsia="zh-CN" w:bidi="ar-SA"/>
              </w:rPr>
            </w:pPr>
            <w:r>
              <w:rPr>
                <w:rFonts w:hint="eastAsia"/>
                <w:kern w:val="2"/>
                <w:sz w:val="21"/>
                <w:szCs w:val="24"/>
                <w:lang w:eastAsia="zh-CN" w:bidi="ar-SA"/>
              </w:rPr>
              <w:t>50</w:t>
            </w:r>
          </w:p>
        </w:tc>
      </w:tr>
      <w:tr w14:paraId="10963AAC">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 w:hRule="atLeast"/>
          <w:jc w:val="center"/>
        </w:trPr>
        <w:tc>
          <w:tcPr>
            <w:tcW w:w="715" w:type="dxa"/>
            <w:vMerge w:val="continue"/>
            <w:vAlign w:val="center"/>
          </w:tcPr>
          <w:p w14:paraId="0BB60863">
            <w:pPr>
              <w:adjustRightInd w:val="0"/>
              <w:snapToGrid w:val="0"/>
              <w:spacing w:line="340" w:lineRule="exact"/>
              <w:ind w:firstLine="480" w:firstLineChars="0"/>
              <w:jc w:val="center"/>
              <w:textAlignment w:val="baseline"/>
              <w:rPr>
                <w:kern w:val="2"/>
                <w:sz w:val="21"/>
                <w:szCs w:val="24"/>
                <w:lang w:eastAsia="zh-CN" w:bidi="ar-SA"/>
              </w:rPr>
            </w:pPr>
          </w:p>
        </w:tc>
        <w:tc>
          <w:tcPr>
            <w:tcW w:w="3522" w:type="dxa"/>
            <w:vMerge w:val="continue"/>
            <w:vAlign w:val="center"/>
          </w:tcPr>
          <w:p w14:paraId="43EC1EB2">
            <w:pPr>
              <w:adjustRightInd w:val="0"/>
              <w:snapToGrid w:val="0"/>
              <w:spacing w:line="340" w:lineRule="exact"/>
              <w:ind w:firstLine="480" w:firstLineChars="0"/>
              <w:jc w:val="center"/>
              <w:textAlignment w:val="baseline"/>
              <w:rPr>
                <w:kern w:val="2"/>
                <w:sz w:val="21"/>
                <w:szCs w:val="24"/>
                <w:lang w:eastAsia="zh-CN" w:bidi="ar-SA"/>
              </w:rPr>
            </w:pPr>
          </w:p>
        </w:tc>
        <w:tc>
          <w:tcPr>
            <w:tcW w:w="2394" w:type="dxa"/>
            <w:gridSpan w:val="2"/>
            <w:tcMar>
              <w:top w:w="15" w:type="dxa"/>
              <w:left w:w="15" w:type="dxa"/>
              <w:bottom w:w="0" w:type="dxa"/>
              <w:right w:w="15" w:type="dxa"/>
            </w:tcMar>
            <w:vAlign w:val="center"/>
          </w:tcPr>
          <w:p w14:paraId="758621C6">
            <w:pPr>
              <w:adjustRightInd w:val="0"/>
              <w:snapToGrid w:val="0"/>
              <w:spacing w:line="340" w:lineRule="exact"/>
              <w:ind w:firstLine="480" w:firstLineChars="0"/>
              <w:jc w:val="center"/>
              <w:textAlignment w:val="baseline"/>
              <w:rPr>
                <w:kern w:val="2"/>
                <w:sz w:val="21"/>
                <w:szCs w:val="24"/>
                <w:lang w:eastAsia="zh-CN" w:bidi="ar-SA"/>
              </w:rPr>
            </w:pPr>
            <w:r>
              <w:rPr>
                <w:rFonts w:hint="eastAsia"/>
                <w:kern w:val="2"/>
                <w:sz w:val="21"/>
                <w:szCs w:val="24"/>
                <w:lang w:eastAsia="zh-CN" w:bidi="ar-SA"/>
              </w:rPr>
              <w:t>较好</w:t>
            </w:r>
          </w:p>
        </w:tc>
        <w:tc>
          <w:tcPr>
            <w:tcW w:w="1134" w:type="dxa"/>
            <w:tcMar>
              <w:top w:w="15" w:type="dxa"/>
              <w:left w:w="15" w:type="dxa"/>
              <w:bottom w:w="0" w:type="dxa"/>
              <w:right w:w="15" w:type="dxa"/>
            </w:tcMar>
            <w:vAlign w:val="center"/>
          </w:tcPr>
          <w:p w14:paraId="05E79042">
            <w:pPr>
              <w:adjustRightInd w:val="0"/>
              <w:snapToGrid w:val="0"/>
              <w:spacing w:line="340" w:lineRule="exact"/>
              <w:ind w:firstLine="480" w:firstLineChars="0"/>
              <w:jc w:val="center"/>
              <w:textAlignment w:val="baseline"/>
              <w:rPr>
                <w:kern w:val="2"/>
                <w:sz w:val="21"/>
                <w:szCs w:val="24"/>
                <w:lang w:eastAsia="zh-CN" w:bidi="ar-SA"/>
              </w:rPr>
            </w:pPr>
            <w:r>
              <w:rPr>
                <w:rFonts w:hint="eastAsia"/>
                <w:kern w:val="2"/>
                <w:sz w:val="21"/>
                <w:szCs w:val="24"/>
                <w:lang w:eastAsia="zh-CN" w:bidi="ar-SA"/>
              </w:rPr>
              <w:t>8</w:t>
            </w:r>
          </w:p>
        </w:tc>
        <w:tc>
          <w:tcPr>
            <w:tcW w:w="1335" w:type="dxa"/>
            <w:tcMar>
              <w:top w:w="15" w:type="dxa"/>
              <w:left w:w="15" w:type="dxa"/>
              <w:bottom w:w="0" w:type="dxa"/>
              <w:right w:w="15" w:type="dxa"/>
            </w:tcMar>
            <w:vAlign w:val="center"/>
          </w:tcPr>
          <w:p w14:paraId="6DEA5803">
            <w:pPr>
              <w:adjustRightInd w:val="0"/>
              <w:snapToGrid w:val="0"/>
              <w:spacing w:line="340" w:lineRule="exact"/>
              <w:ind w:firstLine="480" w:firstLineChars="0"/>
              <w:jc w:val="center"/>
              <w:textAlignment w:val="baseline"/>
              <w:rPr>
                <w:kern w:val="2"/>
                <w:sz w:val="21"/>
                <w:szCs w:val="24"/>
                <w:lang w:eastAsia="zh-CN" w:bidi="ar-SA"/>
              </w:rPr>
            </w:pPr>
            <w:r>
              <w:rPr>
                <w:rFonts w:hint="eastAsia"/>
                <w:kern w:val="2"/>
                <w:sz w:val="21"/>
                <w:szCs w:val="24"/>
                <w:lang w:eastAsia="zh-CN" w:bidi="ar-SA"/>
              </w:rPr>
              <w:t>17</w:t>
            </w:r>
          </w:p>
        </w:tc>
      </w:tr>
      <w:tr w14:paraId="2BE262AE">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 w:hRule="atLeast"/>
          <w:jc w:val="center"/>
        </w:trPr>
        <w:tc>
          <w:tcPr>
            <w:tcW w:w="715" w:type="dxa"/>
            <w:vMerge w:val="continue"/>
            <w:vAlign w:val="center"/>
          </w:tcPr>
          <w:p w14:paraId="2C14BCDE">
            <w:pPr>
              <w:adjustRightInd w:val="0"/>
              <w:snapToGrid w:val="0"/>
              <w:spacing w:line="340" w:lineRule="exact"/>
              <w:ind w:firstLine="480" w:firstLineChars="0"/>
              <w:jc w:val="center"/>
              <w:textAlignment w:val="baseline"/>
              <w:rPr>
                <w:kern w:val="2"/>
                <w:sz w:val="21"/>
                <w:szCs w:val="24"/>
                <w:lang w:eastAsia="zh-CN" w:bidi="ar-SA"/>
              </w:rPr>
            </w:pPr>
          </w:p>
        </w:tc>
        <w:tc>
          <w:tcPr>
            <w:tcW w:w="3522" w:type="dxa"/>
            <w:vMerge w:val="continue"/>
            <w:vAlign w:val="center"/>
          </w:tcPr>
          <w:p w14:paraId="6167F859">
            <w:pPr>
              <w:adjustRightInd w:val="0"/>
              <w:snapToGrid w:val="0"/>
              <w:spacing w:line="340" w:lineRule="exact"/>
              <w:ind w:firstLine="480" w:firstLineChars="0"/>
              <w:jc w:val="center"/>
              <w:textAlignment w:val="baseline"/>
              <w:rPr>
                <w:kern w:val="2"/>
                <w:sz w:val="21"/>
                <w:szCs w:val="24"/>
                <w:lang w:eastAsia="zh-CN" w:bidi="ar-SA"/>
              </w:rPr>
            </w:pPr>
          </w:p>
        </w:tc>
        <w:tc>
          <w:tcPr>
            <w:tcW w:w="2394" w:type="dxa"/>
            <w:gridSpan w:val="2"/>
            <w:tcMar>
              <w:top w:w="15" w:type="dxa"/>
              <w:left w:w="15" w:type="dxa"/>
              <w:bottom w:w="0" w:type="dxa"/>
              <w:right w:w="15" w:type="dxa"/>
            </w:tcMar>
            <w:vAlign w:val="center"/>
          </w:tcPr>
          <w:p w14:paraId="3A83F877">
            <w:pPr>
              <w:adjustRightInd w:val="0"/>
              <w:snapToGrid w:val="0"/>
              <w:spacing w:line="340" w:lineRule="exact"/>
              <w:ind w:firstLine="480" w:firstLineChars="0"/>
              <w:jc w:val="center"/>
              <w:textAlignment w:val="baseline"/>
              <w:rPr>
                <w:kern w:val="2"/>
                <w:sz w:val="21"/>
                <w:szCs w:val="24"/>
                <w:lang w:eastAsia="zh-CN" w:bidi="ar-SA"/>
              </w:rPr>
            </w:pPr>
            <w:r>
              <w:rPr>
                <w:rFonts w:hint="eastAsia"/>
                <w:kern w:val="2"/>
                <w:sz w:val="21"/>
                <w:szCs w:val="24"/>
                <w:lang w:eastAsia="zh-CN" w:bidi="ar-SA"/>
              </w:rPr>
              <w:t>一般</w:t>
            </w:r>
          </w:p>
        </w:tc>
        <w:tc>
          <w:tcPr>
            <w:tcW w:w="1134" w:type="dxa"/>
            <w:tcMar>
              <w:top w:w="15" w:type="dxa"/>
              <w:left w:w="15" w:type="dxa"/>
              <w:bottom w:w="0" w:type="dxa"/>
              <w:right w:w="15" w:type="dxa"/>
            </w:tcMar>
            <w:vAlign w:val="center"/>
          </w:tcPr>
          <w:p w14:paraId="551A48A4">
            <w:pPr>
              <w:adjustRightInd w:val="0"/>
              <w:snapToGrid w:val="0"/>
              <w:spacing w:line="340" w:lineRule="exact"/>
              <w:ind w:firstLine="480" w:firstLineChars="0"/>
              <w:jc w:val="center"/>
              <w:textAlignment w:val="baseline"/>
              <w:rPr>
                <w:kern w:val="2"/>
                <w:sz w:val="21"/>
                <w:szCs w:val="24"/>
                <w:lang w:eastAsia="zh-CN" w:bidi="ar-SA"/>
              </w:rPr>
            </w:pPr>
            <w:r>
              <w:rPr>
                <w:rFonts w:hint="eastAsia"/>
                <w:kern w:val="2"/>
                <w:sz w:val="21"/>
                <w:szCs w:val="24"/>
                <w:lang w:eastAsia="zh-CN" w:bidi="ar-SA"/>
              </w:rPr>
              <w:t>17</w:t>
            </w:r>
          </w:p>
        </w:tc>
        <w:tc>
          <w:tcPr>
            <w:tcW w:w="1335" w:type="dxa"/>
            <w:tcMar>
              <w:top w:w="15" w:type="dxa"/>
              <w:left w:w="15" w:type="dxa"/>
              <w:bottom w:w="0" w:type="dxa"/>
              <w:right w:w="15" w:type="dxa"/>
            </w:tcMar>
            <w:vAlign w:val="center"/>
          </w:tcPr>
          <w:p w14:paraId="7CD85476">
            <w:pPr>
              <w:adjustRightInd w:val="0"/>
              <w:snapToGrid w:val="0"/>
              <w:spacing w:line="340" w:lineRule="exact"/>
              <w:ind w:firstLine="480" w:firstLineChars="0"/>
              <w:jc w:val="center"/>
              <w:textAlignment w:val="baseline"/>
              <w:rPr>
                <w:kern w:val="2"/>
                <w:sz w:val="21"/>
                <w:szCs w:val="24"/>
                <w:lang w:eastAsia="zh-CN" w:bidi="ar-SA"/>
              </w:rPr>
            </w:pPr>
            <w:r>
              <w:rPr>
                <w:rFonts w:hint="eastAsia"/>
                <w:kern w:val="2"/>
                <w:sz w:val="21"/>
                <w:szCs w:val="24"/>
                <w:lang w:eastAsia="zh-CN" w:bidi="ar-SA"/>
              </w:rPr>
              <w:t>35</w:t>
            </w:r>
          </w:p>
        </w:tc>
      </w:tr>
      <w:tr w14:paraId="1F7F774F">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 w:hRule="atLeast"/>
          <w:jc w:val="center"/>
        </w:trPr>
        <w:tc>
          <w:tcPr>
            <w:tcW w:w="715" w:type="dxa"/>
            <w:vMerge w:val="continue"/>
            <w:vAlign w:val="center"/>
          </w:tcPr>
          <w:p w14:paraId="140E5A96">
            <w:pPr>
              <w:adjustRightInd w:val="0"/>
              <w:snapToGrid w:val="0"/>
              <w:spacing w:line="340" w:lineRule="exact"/>
              <w:ind w:firstLine="480" w:firstLineChars="0"/>
              <w:jc w:val="center"/>
              <w:textAlignment w:val="baseline"/>
              <w:rPr>
                <w:kern w:val="2"/>
                <w:sz w:val="21"/>
                <w:szCs w:val="24"/>
                <w:lang w:eastAsia="zh-CN" w:bidi="ar-SA"/>
              </w:rPr>
            </w:pPr>
          </w:p>
        </w:tc>
        <w:tc>
          <w:tcPr>
            <w:tcW w:w="3522" w:type="dxa"/>
            <w:vMerge w:val="continue"/>
            <w:vAlign w:val="center"/>
          </w:tcPr>
          <w:p w14:paraId="091BA238">
            <w:pPr>
              <w:adjustRightInd w:val="0"/>
              <w:snapToGrid w:val="0"/>
              <w:spacing w:line="340" w:lineRule="exact"/>
              <w:ind w:firstLine="480" w:firstLineChars="0"/>
              <w:jc w:val="center"/>
              <w:textAlignment w:val="baseline"/>
              <w:rPr>
                <w:kern w:val="2"/>
                <w:sz w:val="21"/>
                <w:szCs w:val="24"/>
                <w:lang w:eastAsia="zh-CN" w:bidi="ar-SA"/>
              </w:rPr>
            </w:pPr>
          </w:p>
        </w:tc>
        <w:tc>
          <w:tcPr>
            <w:tcW w:w="2394" w:type="dxa"/>
            <w:gridSpan w:val="2"/>
            <w:tcMar>
              <w:top w:w="15" w:type="dxa"/>
              <w:left w:w="15" w:type="dxa"/>
              <w:bottom w:w="0" w:type="dxa"/>
              <w:right w:w="15" w:type="dxa"/>
            </w:tcMar>
            <w:vAlign w:val="center"/>
          </w:tcPr>
          <w:p w14:paraId="008BDE09">
            <w:pPr>
              <w:adjustRightInd w:val="0"/>
              <w:snapToGrid w:val="0"/>
              <w:spacing w:line="340" w:lineRule="exact"/>
              <w:ind w:firstLine="480" w:firstLineChars="0"/>
              <w:jc w:val="center"/>
              <w:textAlignment w:val="baseline"/>
              <w:rPr>
                <w:kern w:val="2"/>
                <w:sz w:val="21"/>
                <w:szCs w:val="24"/>
                <w:lang w:eastAsia="zh-CN" w:bidi="ar-SA"/>
              </w:rPr>
            </w:pPr>
            <w:r>
              <w:rPr>
                <w:rFonts w:hint="eastAsia"/>
                <w:kern w:val="2"/>
                <w:sz w:val="21"/>
                <w:szCs w:val="24"/>
                <w:lang w:eastAsia="zh-CN" w:bidi="ar-SA"/>
              </w:rPr>
              <w:t>较差</w:t>
            </w:r>
          </w:p>
        </w:tc>
        <w:tc>
          <w:tcPr>
            <w:tcW w:w="1134" w:type="dxa"/>
            <w:tcMar>
              <w:top w:w="15" w:type="dxa"/>
              <w:left w:w="15" w:type="dxa"/>
              <w:bottom w:w="0" w:type="dxa"/>
              <w:right w:w="15" w:type="dxa"/>
            </w:tcMar>
            <w:vAlign w:val="center"/>
          </w:tcPr>
          <w:p w14:paraId="5B0C4D8B">
            <w:pPr>
              <w:adjustRightInd w:val="0"/>
              <w:snapToGrid w:val="0"/>
              <w:spacing w:line="340" w:lineRule="exact"/>
              <w:ind w:firstLine="480" w:firstLineChars="0"/>
              <w:jc w:val="center"/>
              <w:textAlignment w:val="baseline"/>
              <w:rPr>
                <w:kern w:val="2"/>
                <w:sz w:val="21"/>
                <w:szCs w:val="24"/>
                <w:lang w:eastAsia="zh-CN" w:bidi="ar-SA"/>
              </w:rPr>
            </w:pPr>
            <w:r>
              <w:rPr>
                <w:rFonts w:hint="eastAsia"/>
                <w:kern w:val="2"/>
                <w:sz w:val="21"/>
                <w:szCs w:val="24"/>
                <w:lang w:eastAsia="zh-CN" w:bidi="ar-SA"/>
              </w:rPr>
              <w:t>0</w:t>
            </w:r>
          </w:p>
        </w:tc>
        <w:tc>
          <w:tcPr>
            <w:tcW w:w="1335" w:type="dxa"/>
            <w:tcMar>
              <w:top w:w="15" w:type="dxa"/>
              <w:left w:w="15" w:type="dxa"/>
              <w:bottom w:w="0" w:type="dxa"/>
              <w:right w:w="15" w:type="dxa"/>
            </w:tcMar>
            <w:vAlign w:val="center"/>
          </w:tcPr>
          <w:p w14:paraId="47D2DD2F">
            <w:pPr>
              <w:adjustRightInd w:val="0"/>
              <w:snapToGrid w:val="0"/>
              <w:spacing w:line="340" w:lineRule="exact"/>
              <w:ind w:firstLine="480" w:firstLineChars="0"/>
              <w:jc w:val="center"/>
              <w:textAlignment w:val="baseline"/>
              <w:rPr>
                <w:kern w:val="2"/>
                <w:sz w:val="21"/>
                <w:szCs w:val="24"/>
                <w:lang w:eastAsia="zh-CN" w:bidi="ar-SA"/>
              </w:rPr>
            </w:pPr>
            <w:r>
              <w:rPr>
                <w:rFonts w:hint="eastAsia"/>
                <w:kern w:val="2"/>
                <w:sz w:val="21"/>
                <w:szCs w:val="24"/>
                <w:lang w:eastAsia="zh-CN" w:bidi="ar-SA"/>
              </w:rPr>
              <w:t>0</w:t>
            </w:r>
          </w:p>
        </w:tc>
      </w:tr>
      <w:tr w14:paraId="7BA0C832">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 w:hRule="atLeast"/>
          <w:jc w:val="center"/>
        </w:trPr>
        <w:tc>
          <w:tcPr>
            <w:tcW w:w="715" w:type="dxa"/>
            <w:vMerge w:val="restart"/>
            <w:vAlign w:val="center"/>
          </w:tcPr>
          <w:p w14:paraId="3F12DE35">
            <w:pPr>
              <w:adjustRightInd w:val="0"/>
              <w:snapToGrid w:val="0"/>
              <w:spacing w:line="340" w:lineRule="exact"/>
              <w:ind w:firstLineChars="0"/>
              <w:jc w:val="center"/>
              <w:textAlignment w:val="baseline"/>
              <w:rPr>
                <w:kern w:val="2"/>
                <w:sz w:val="21"/>
                <w:szCs w:val="24"/>
                <w:lang w:eastAsia="zh-CN" w:bidi="ar-SA"/>
              </w:rPr>
            </w:pPr>
            <w:r>
              <w:rPr>
                <w:kern w:val="2"/>
                <w:sz w:val="21"/>
                <w:szCs w:val="24"/>
                <w:lang w:eastAsia="zh-CN" w:bidi="ar-SA"/>
              </w:rPr>
              <w:t>3</w:t>
            </w:r>
          </w:p>
        </w:tc>
        <w:tc>
          <w:tcPr>
            <w:tcW w:w="3522" w:type="dxa"/>
            <w:vMerge w:val="restart"/>
            <w:vAlign w:val="center"/>
          </w:tcPr>
          <w:p w14:paraId="20B266D3">
            <w:pPr>
              <w:adjustRightInd w:val="0"/>
              <w:snapToGrid w:val="0"/>
              <w:spacing w:line="340" w:lineRule="exact"/>
              <w:ind w:firstLine="0" w:firstLineChars="0"/>
              <w:textAlignment w:val="baseline"/>
              <w:rPr>
                <w:kern w:val="2"/>
                <w:sz w:val="21"/>
                <w:szCs w:val="24"/>
                <w:lang w:eastAsia="zh-CN" w:bidi="ar-SA"/>
              </w:rPr>
            </w:pPr>
            <w:r>
              <w:rPr>
                <w:sz w:val="21"/>
                <w:szCs w:val="21"/>
                <w:lang w:val="en-GB" w:eastAsia="zh-CN" w:bidi="ar-SA"/>
              </w:rPr>
              <w:t>您认为</w:t>
            </w:r>
            <w:r>
              <w:rPr>
                <w:rFonts w:hint="eastAsia"/>
                <w:sz w:val="21"/>
                <w:szCs w:val="21"/>
                <w:lang w:val="en-GB" w:eastAsia="zh-CN" w:bidi="ar-SA"/>
              </w:rPr>
              <w:t>目前当地的环境问题？</w:t>
            </w:r>
          </w:p>
        </w:tc>
        <w:tc>
          <w:tcPr>
            <w:tcW w:w="2394" w:type="dxa"/>
            <w:gridSpan w:val="2"/>
            <w:tcMar>
              <w:top w:w="15" w:type="dxa"/>
              <w:left w:w="15" w:type="dxa"/>
              <w:bottom w:w="0" w:type="dxa"/>
              <w:right w:w="15" w:type="dxa"/>
            </w:tcMar>
            <w:vAlign w:val="center"/>
          </w:tcPr>
          <w:p w14:paraId="6E120CD0">
            <w:pPr>
              <w:adjustRightInd w:val="0"/>
              <w:snapToGrid w:val="0"/>
              <w:spacing w:line="340" w:lineRule="exact"/>
              <w:ind w:firstLine="480" w:firstLineChars="0"/>
              <w:jc w:val="center"/>
              <w:textAlignment w:val="baseline"/>
              <w:rPr>
                <w:kern w:val="2"/>
                <w:sz w:val="21"/>
                <w:szCs w:val="24"/>
                <w:lang w:eastAsia="zh-CN" w:bidi="ar-SA"/>
              </w:rPr>
            </w:pPr>
            <w:r>
              <w:rPr>
                <w:rFonts w:hint="eastAsia"/>
                <w:kern w:val="2"/>
                <w:sz w:val="21"/>
                <w:szCs w:val="24"/>
                <w:lang w:eastAsia="zh-CN" w:bidi="ar-SA"/>
              </w:rPr>
              <w:t>空气污染</w:t>
            </w:r>
          </w:p>
        </w:tc>
        <w:tc>
          <w:tcPr>
            <w:tcW w:w="1134" w:type="dxa"/>
            <w:tcMar>
              <w:top w:w="15" w:type="dxa"/>
              <w:left w:w="15" w:type="dxa"/>
              <w:bottom w:w="0" w:type="dxa"/>
              <w:right w:w="15" w:type="dxa"/>
            </w:tcMar>
            <w:vAlign w:val="center"/>
          </w:tcPr>
          <w:p w14:paraId="1E58FCEE">
            <w:pPr>
              <w:adjustRightInd w:val="0"/>
              <w:snapToGrid w:val="0"/>
              <w:spacing w:line="340" w:lineRule="exact"/>
              <w:ind w:firstLine="480" w:firstLineChars="0"/>
              <w:jc w:val="center"/>
              <w:textAlignment w:val="baseline"/>
              <w:rPr>
                <w:kern w:val="2"/>
                <w:sz w:val="21"/>
                <w:szCs w:val="24"/>
                <w:lang w:eastAsia="zh-CN" w:bidi="ar-SA"/>
              </w:rPr>
            </w:pPr>
            <w:r>
              <w:rPr>
                <w:rFonts w:hint="eastAsia"/>
                <w:kern w:val="2"/>
                <w:sz w:val="21"/>
                <w:szCs w:val="24"/>
                <w:lang w:eastAsia="zh-CN" w:bidi="ar-SA"/>
              </w:rPr>
              <w:t>39</w:t>
            </w:r>
          </w:p>
        </w:tc>
        <w:tc>
          <w:tcPr>
            <w:tcW w:w="1335" w:type="dxa"/>
            <w:tcMar>
              <w:top w:w="15" w:type="dxa"/>
              <w:left w:w="15" w:type="dxa"/>
              <w:bottom w:w="0" w:type="dxa"/>
              <w:right w:w="15" w:type="dxa"/>
            </w:tcMar>
            <w:vAlign w:val="center"/>
          </w:tcPr>
          <w:p w14:paraId="032CBC63">
            <w:pPr>
              <w:adjustRightInd w:val="0"/>
              <w:snapToGrid w:val="0"/>
              <w:spacing w:line="340" w:lineRule="exact"/>
              <w:ind w:firstLine="480" w:firstLineChars="0"/>
              <w:jc w:val="center"/>
              <w:textAlignment w:val="baseline"/>
              <w:rPr>
                <w:kern w:val="2"/>
                <w:sz w:val="21"/>
                <w:szCs w:val="24"/>
                <w:lang w:eastAsia="zh-CN" w:bidi="ar-SA"/>
              </w:rPr>
            </w:pPr>
            <w:r>
              <w:rPr>
                <w:rFonts w:hint="eastAsia"/>
                <w:kern w:val="2"/>
                <w:sz w:val="21"/>
                <w:szCs w:val="24"/>
                <w:lang w:eastAsia="zh-CN" w:bidi="ar-SA"/>
              </w:rPr>
              <w:t>81</w:t>
            </w:r>
          </w:p>
        </w:tc>
      </w:tr>
      <w:tr w14:paraId="51FCE7DF">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 w:hRule="atLeast"/>
          <w:jc w:val="center"/>
        </w:trPr>
        <w:tc>
          <w:tcPr>
            <w:tcW w:w="715" w:type="dxa"/>
            <w:vMerge w:val="continue"/>
            <w:vAlign w:val="center"/>
          </w:tcPr>
          <w:p w14:paraId="19625566">
            <w:pPr>
              <w:adjustRightInd w:val="0"/>
              <w:snapToGrid w:val="0"/>
              <w:spacing w:line="340" w:lineRule="exact"/>
              <w:ind w:firstLine="480" w:firstLineChars="0"/>
              <w:jc w:val="center"/>
              <w:textAlignment w:val="baseline"/>
              <w:rPr>
                <w:kern w:val="2"/>
                <w:sz w:val="21"/>
                <w:szCs w:val="24"/>
                <w:lang w:eastAsia="zh-CN" w:bidi="ar-SA"/>
              </w:rPr>
            </w:pPr>
          </w:p>
        </w:tc>
        <w:tc>
          <w:tcPr>
            <w:tcW w:w="3522" w:type="dxa"/>
            <w:vMerge w:val="continue"/>
            <w:vAlign w:val="center"/>
          </w:tcPr>
          <w:p w14:paraId="3A8CE30A">
            <w:pPr>
              <w:adjustRightInd w:val="0"/>
              <w:snapToGrid w:val="0"/>
              <w:spacing w:line="340" w:lineRule="exact"/>
              <w:ind w:firstLine="480" w:firstLineChars="0"/>
              <w:jc w:val="center"/>
              <w:textAlignment w:val="baseline"/>
              <w:rPr>
                <w:sz w:val="21"/>
                <w:szCs w:val="21"/>
                <w:lang w:val="en-GB" w:eastAsia="zh-CN" w:bidi="ar-SA"/>
              </w:rPr>
            </w:pPr>
          </w:p>
        </w:tc>
        <w:tc>
          <w:tcPr>
            <w:tcW w:w="2394" w:type="dxa"/>
            <w:gridSpan w:val="2"/>
            <w:tcMar>
              <w:top w:w="15" w:type="dxa"/>
              <w:left w:w="15" w:type="dxa"/>
              <w:bottom w:w="0" w:type="dxa"/>
              <w:right w:w="15" w:type="dxa"/>
            </w:tcMar>
            <w:vAlign w:val="center"/>
          </w:tcPr>
          <w:p w14:paraId="1307104B">
            <w:pPr>
              <w:adjustRightInd w:val="0"/>
              <w:snapToGrid w:val="0"/>
              <w:spacing w:line="340" w:lineRule="exact"/>
              <w:ind w:firstLine="480" w:firstLineChars="0"/>
              <w:jc w:val="center"/>
              <w:textAlignment w:val="baseline"/>
              <w:rPr>
                <w:kern w:val="2"/>
                <w:sz w:val="21"/>
                <w:szCs w:val="24"/>
                <w:lang w:eastAsia="zh-CN" w:bidi="ar-SA"/>
              </w:rPr>
            </w:pPr>
            <w:r>
              <w:rPr>
                <w:rFonts w:hint="eastAsia"/>
                <w:kern w:val="2"/>
                <w:sz w:val="21"/>
                <w:szCs w:val="24"/>
                <w:lang w:eastAsia="zh-CN" w:bidi="ar-SA"/>
              </w:rPr>
              <w:t>水污染</w:t>
            </w:r>
          </w:p>
        </w:tc>
        <w:tc>
          <w:tcPr>
            <w:tcW w:w="1134" w:type="dxa"/>
            <w:tcMar>
              <w:top w:w="15" w:type="dxa"/>
              <w:left w:w="15" w:type="dxa"/>
              <w:bottom w:w="0" w:type="dxa"/>
              <w:right w:w="15" w:type="dxa"/>
            </w:tcMar>
            <w:vAlign w:val="center"/>
          </w:tcPr>
          <w:p w14:paraId="206D209E">
            <w:pPr>
              <w:adjustRightInd w:val="0"/>
              <w:snapToGrid w:val="0"/>
              <w:spacing w:line="340" w:lineRule="exact"/>
              <w:ind w:firstLine="480" w:firstLineChars="0"/>
              <w:jc w:val="center"/>
              <w:textAlignment w:val="baseline"/>
              <w:rPr>
                <w:kern w:val="2"/>
                <w:sz w:val="21"/>
                <w:szCs w:val="24"/>
                <w:lang w:eastAsia="zh-CN" w:bidi="ar-SA"/>
              </w:rPr>
            </w:pPr>
            <w:r>
              <w:rPr>
                <w:rFonts w:hint="eastAsia"/>
                <w:kern w:val="2"/>
                <w:sz w:val="21"/>
                <w:szCs w:val="24"/>
                <w:lang w:eastAsia="zh-CN" w:bidi="ar-SA"/>
              </w:rPr>
              <w:t>0</w:t>
            </w:r>
          </w:p>
        </w:tc>
        <w:tc>
          <w:tcPr>
            <w:tcW w:w="1335" w:type="dxa"/>
            <w:tcMar>
              <w:top w:w="15" w:type="dxa"/>
              <w:left w:w="15" w:type="dxa"/>
              <w:bottom w:w="0" w:type="dxa"/>
              <w:right w:w="15" w:type="dxa"/>
            </w:tcMar>
            <w:vAlign w:val="center"/>
          </w:tcPr>
          <w:p w14:paraId="0C00076A">
            <w:pPr>
              <w:adjustRightInd w:val="0"/>
              <w:snapToGrid w:val="0"/>
              <w:spacing w:line="340" w:lineRule="exact"/>
              <w:ind w:firstLine="480" w:firstLineChars="0"/>
              <w:jc w:val="center"/>
              <w:textAlignment w:val="baseline"/>
              <w:rPr>
                <w:kern w:val="2"/>
                <w:sz w:val="21"/>
                <w:szCs w:val="24"/>
                <w:lang w:eastAsia="zh-CN" w:bidi="ar-SA"/>
              </w:rPr>
            </w:pPr>
            <w:r>
              <w:rPr>
                <w:rFonts w:hint="eastAsia"/>
                <w:kern w:val="2"/>
                <w:sz w:val="21"/>
                <w:szCs w:val="24"/>
                <w:lang w:eastAsia="zh-CN" w:bidi="ar-SA"/>
              </w:rPr>
              <w:t>0</w:t>
            </w:r>
          </w:p>
        </w:tc>
      </w:tr>
      <w:tr w14:paraId="119725D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jc w:val="center"/>
        </w:trPr>
        <w:tc>
          <w:tcPr>
            <w:tcW w:w="715" w:type="dxa"/>
            <w:vMerge w:val="continue"/>
            <w:vAlign w:val="center"/>
          </w:tcPr>
          <w:p w14:paraId="14B4B040">
            <w:pPr>
              <w:adjustRightInd w:val="0"/>
              <w:snapToGrid w:val="0"/>
              <w:spacing w:line="340" w:lineRule="exact"/>
              <w:ind w:firstLine="480" w:firstLineChars="0"/>
              <w:jc w:val="center"/>
              <w:textAlignment w:val="baseline"/>
              <w:rPr>
                <w:kern w:val="2"/>
                <w:sz w:val="21"/>
                <w:szCs w:val="24"/>
                <w:lang w:eastAsia="zh-CN" w:bidi="ar-SA"/>
              </w:rPr>
            </w:pPr>
          </w:p>
        </w:tc>
        <w:tc>
          <w:tcPr>
            <w:tcW w:w="3522" w:type="dxa"/>
            <w:vMerge w:val="continue"/>
            <w:vAlign w:val="center"/>
          </w:tcPr>
          <w:p w14:paraId="4C8AFE2E">
            <w:pPr>
              <w:adjustRightInd w:val="0"/>
              <w:snapToGrid w:val="0"/>
              <w:spacing w:line="340" w:lineRule="exact"/>
              <w:ind w:firstLine="480" w:firstLineChars="0"/>
              <w:jc w:val="center"/>
              <w:textAlignment w:val="baseline"/>
              <w:rPr>
                <w:kern w:val="2"/>
                <w:sz w:val="21"/>
                <w:szCs w:val="24"/>
                <w:lang w:eastAsia="zh-CN" w:bidi="ar-SA"/>
              </w:rPr>
            </w:pPr>
          </w:p>
        </w:tc>
        <w:tc>
          <w:tcPr>
            <w:tcW w:w="2394" w:type="dxa"/>
            <w:gridSpan w:val="2"/>
            <w:tcMar>
              <w:top w:w="15" w:type="dxa"/>
              <w:left w:w="15" w:type="dxa"/>
              <w:bottom w:w="0" w:type="dxa"/>
              <w:right w:w="15" w:type="dxa"/>
            </w:tcMar>
            <w:vAlign w:val="center"/>
          </w:tcPr>
          <w:p w14:paraId="53408E99">
            <w:pPr>
              <w:adjustRightInd w:val="0"/>
              <w:snapToGrid w:val="0"/>
              <w:spacing w:line="340" w:lineRule="exact"/>
              <w:ind w:firstLine="480" w:firstLineChars="0"/>
              <w:jc w:val="center"/>
              <w:textAlignment w:val="baseline"/>
              <w:rPr>
                <w:kern w:val="2"/>
                <w:sz w:val="21"/>
                <w:szCs w:val="24"/>
                <w:lang w:eastAsia="zh-CN" w:bidi="ar-SA"/>
              </w:rPr>
            </w:pPr>
            <w:r>
              <w:rPr>
                <w:rFonts w:hint="eastAsia"/>
                <w:kern w:val="2"/>
                <w:sz w:val="21"/>
                <w:szCs w:val="24"/>
                <w:lang w:eastAsia="zh-CN" w:bidi="ar-SA"/>
              </w:rPr>
              <w:t>垃圾污染</w:t>
            </w:r>
          </w:p>
        </w:tc>
        <w:tc>
          <w:tcPr>
            <w:tcW w:w="1134" w:type="dxa"/>
            <w:tcMar>
              <w:top w:w="15" w:type="dxa"/>
              <w:left w:w="15" w:type="dxa"/>
              <w:bottom w:w="0" w:type="dxa"/>
              <w:right w:w="15" w:type="dxa"/>
            </w:tcMar>
            <w:vAlign w:val="center"/>
          </w:tcPr>
          <w:p w14:paraId="39CC5EDE">
            <w:pPr>
              <w:adjustRightInd w:val="0"/>
              <w:snapToGrid w:val="0"/>
              <w:spacing w:line="340" w:lineRule="exact"/>
              <w:ind w:firstLine="480" w:firstLineChars="0"/>
              <w:jc w:val="center"/>
              <w:textAlignment w:val="baseline"/>
              <w:rPr>
                <w:kern w:val="2"/>
                <w:sz w:val="21"/>
                <w:szCs w:val="24"/>
                <w:lang w:eastAsia="zh-CN" w:bidi="ar-SA"/>
              </w:rPr>
            </w:pPr>
            <w:r>
              <w:rPr>
                <w:rFonts w:hint="eastAsia"/>
                <w:kern w:val="2"/>
                <w:sz w:val="21"/>
                <w:szCs w:val="24"/>
                <w:lang w:eastAsia="zh-CN" w:bidi="ar-SA"/>
              </w:rPr>
              <w:t>7</w:t>
            </w:r>
          </w:p>
        </w:tc>
        <w:tc>
          <w:tcPr>
            <w:tcW w:w="1335" w:type="dxa"/>
            <w:tcMar>
              <w:top w:w="15" w:type="dxa"/>
              <w:left w:w="15" w:type="dxa"/>
              <w:bottom w:w="0" w:type="dxa"/>
              <w:right w:w="15" w:type="dxa"/>
            </w:tcMar>
            <w:vAlign w:val="center"/>
          </w:tcPr>
          <w:p w14:paraId="375C5BD9">
            <w:pPr>
              <w:adjustRightInd w:val="0"/>
              <w:snapToGrid w:val="0"/>
              <w:spacing w:line="340" w:lineRule="exact"/>
              <w:ind w:firstLine="480" w:firstLineChars="0"/>
              <w:jc w:val="center"/>
              <w:textAlignment w:val="baseline"/>
              <w:rPr>
                <w:kern w:val="2"/>
                <w:sz w:val="21"/>
                <w:szCs w:val="24"/>
                <w:lang w:eastAsia="zh-CN" w:bidi="ar-SA"/>
              </w:rPr>
            </w:pPr>
            <w:r>
              <w:rPr>
                <w:rFonts w:hint="eastAsia"/>
                <w:kern w:val="2"/>
                <w:sz w:val="21"/>
                <w:szCs w:val="24"/>
                <w:lang w:eastAsia="zh-CN" w:bidi="ar-SA"/>
              </w:rPr>
              <w:t>15</w:t>
            </w:r>
          </w:p>
        </w:tc>
      </w:tr>
      <w:tr w14:paraId="6144E23D">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 w:hRule="atLeast"/>
          <w:jc w:val="center"/>
        </w:trPr>
        <w:tc>
          <w:tcPr>
            <w:tcW w:w="715" w:type="dxa"/>
            <w:vMerge w:val="continue"/>
            <w:vAlign w:val="center"/>
          </w:tcPr>
          <w:p w14:paraId="43974EA9">
            <w:pPr>
              <w:adjustRightInd w:val="0"/>
              <w:snapToGrid w:val="0"/>
              <w:spacing w:line="340" w:lineRule="exact"/>
              <w:ind w:firstLine="480" w:firstLineChars="0"/>
              <w:jc w:val="center"/>
              <w:textAlignment w:val="baseline"/>
              <w:rPr>
                <w:kern w:val="2"/>
                <w:sz w:val="21"/>
                <w:szCs w:val="24"/>
                <w:lang w:eastAsia="zh-CN" w:bidi="ar-SA"/>
              </w:rPr>
            </w:pPr>
          </w:p>
        </w:tc>
        <w:tc>
          <w:tcPr>
            <w:tcW w:w="3522" w:type="dxa"/>
            <w:vMerge w:val="continue"/>
            <w:vAlign w:val="center"/>
          </w:tcPr>
          <w:p w14:paraId="0D65A56D">
            <w:pPr>
              <w:adjustRightInd w:val="0"/>
              <w:snapToGrid w:val="0"/>
              <w:spacing w:line="340" w:lineRule="exact"/>
              <w:ind w:firstLine="480" w:firstLineChars="0"/>
              <w:jc w:val="center"/>
              <w:textAlignment w:val="baseline"/>
              <w:rPr>
                <w:kern w:val="2"/>
                <w:sz w:val="21"/>
                <w:szCs w:val="24"/>
                <w:lang w:eastAsia="zh-CN" w:bidi="ar-SA"/>
              </w:rPr>
            </w:pPr>
          </w:p>
        </w:tc>
        <w:tc>
          <w:tcPr>
            <w:tcW w:w="2394" w:type="dxa"/>
            <w:gridSpan w:val="2"/>
            <w:tcMar>
              <w:top w:w="15" w:type="dxa"/>
              <w:left w:w="15" w:type="dxa"/>
              <w:bottom w:w="0" w:type="dxa"/>
              <w:right w:w="15" w:type="dxa"/>
            </w:tcMar>
            <w:vAlign w:val="center"/>
          </w:tcPr>
          <w:p w14:paraId="3EF7FE7F">
            <w:pPr>
              <w:adjustRightInd w:val="0"/>
              <w:snapToGrid w:val="0"/>
              <w:spacing w:line="340" w:lineRule="exact"/>
              <w:ind w:firstLine="480" w:firstLineChars="0"/>
              <w:jc w:val="center"/>
              <w:textAlignment w:val="baseline"/>
              <w:rPr>
                <w:kern w:val="2"/>
                <w:sz w:val="21"/>
                <w:szCs w:val="24"/>
                <w:lang w:eastAsia="zh-CN" w:bidi="ar-SA"/>
              </w:rPr>
            </w:pPr>
            <w:r>
              <w:rPr>
                <w:rFonts w:hint="eastAsia"/>
                <w:kern w:val="2"/>
                <w:sz w:val="21"/>
                <w:szCs w:val="24"/>
                <w:lang w:eastAsia="zh-CN" w:bidi="ar-SA"/>
              </w:rPr>
              <w:t>噪声污染</w:t>
            </w:r>
          </w:p>
        </w:tc>
        <w:tc>
          <w:tcPr>
            <w:tcW w:w="1134" w:type="dxa"/>
            <w:tcMar>
              <w:top w:w="15" w:type="dxa"/>
              <w:left w:w="15" w:type="dxa"/>
              <w:bottom w:w="0" w:type="dxa"/>
              <w:right w:w="15" w:type="dxa"/>
            </w:tcMar>
            <w:vAlign w:val="center"/>
          </w:tcPr>
          <w:p w14:paraId="1AE33472">
            <w:pPr>
              <w:adjustRightInd w:val="0"/>
              <w:snapToGrid w:val="0"/>
              <w:spacing w:line="340" w:lineRule="exact"/>
              <w:ind w:firstLine="480" w:firstLineChars="0"/>
              <w:jc w:val="center"/>
              <w:textAlignment w:val="baseline"/>
              <w:rPr>
                <w:kern w:val="2"/>
                <w:sz w:val="21"/>
                <w:szCs w:val="24"/>
                <w:lang w:eastAsia="zh-CN" w:bidi="ar-SA"/>
              </w:rPr>
            </w:pPr>
            <w:r>
              <w:rPr>
                <w:rFonts w:hint="eastAsia"/>
                <w:kern w:val="2"/>
                <w:sz w:val="21"/>
                <w:szCs w:val="24"/>
                <w:lang w:eastAsia="zh-CN" w:bidi="ar-SA"/>
              </w:rPr>
              <w:t>0</w:t>
            </w:r>
          </w:p>
        </w:tc>
        <w:tc>
          <w:tcPr>
            <w:tcW w:w="1335" w:type="dxa"/>
            <w:tcMar>
              <w:top w:w="15" w:type="dxa"/>
              <w:left w:w="15" w:type="dxa"/>
              <w:bottom w:w="0" w:type="dxa"/>
              <w:right w:w="15" w:type="dxa"/>
            </w:tcMar>
            <w:vAlign w:val="center"/>
          </w:tcPr>
          <w:p w14:paraId="3C668DAD">
            <w:pPr>
              <w:adjustRightInd w:val="0"/>
              <w:snapToGrid w:val="0"/>
              <w:spacing w:line="340" w:lineRule="exact"/>
              <w:ind w:firstLine="480" w:firstLineChars="0"/>
              <w:jc w:val="center"/>
              <w:textAlignment w:val="baseline"/>
              <w:rPr>
                <w:kern w:val="2"/>
                <w:sz w:val="21"/>
                <w:szCs w:val="24"/>
                <w:lang w:eastAsia="zh-CN" w:bidi="ar-SA"/>
              </w:rPr>
            </w:pPr>
            <w:r>
              <w:rPr>
                <w:rFonts w:hint="eastAsia"/>
                <w:kern w:val="2"/>
                <w:sz w:val="21"/>
                <w:szCs w:val="24"/>
                <w:lang w:eastAsia="zh-CN" w:bidi="ar-SA"/>
              </w:rPr>
              <w:t>0</w:t>
            </w:r>
          </w:p>
        </w:tc>
      </w:tr>
      <w:tr w14:paraId="4043C443">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2" w:hRule="atLeast"/>
          <w:jc w:val="center"/>
        </w:trPr>
        <w:tc>
          <w:tcPr>
            <w:tcW w:w="715" w:type="dxa"/>
            <w:vMerge w:val="restart"/>
            <w:vAlign w:val="center"/>
          </w:tcPr>
          <w:p w14:paraId="57B6A1BF">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r>
              <w:rPr>
                <w:kern w:val="2"/>
                <w:sz w:val="21"/>
                <w:szCs w:val="24"/>
                <w:lang w:eastAsia="zh-CN" w:bidi="ar-SA"/>
              </w:rPr>
              <w:t>4</w:t>
            </w:r>
          </w:p>
        </w:tc>
        <w:tc>
          <w:tcPr>
            <w:tcW w:w="3522" w:type="dxa"/>
            <w:vMerge w:val="restart"/>
            <w:vAlign w:val="center"/>
          </w:tcPr>
          <w:p w14:paraId="561A2DF6">
            <w:pPr>
              <w:adjustRightInd w:val="0"/>
              <w:snapToGrid w:val="0"/>
              <w:spacing w:line="340" w:lineRule="exact"/>
              <w:ind w:firstLine="0" w:firstLineChars="0"/>
              <w:jc w:val="center"/>
              <w:textAlignment w:val="baseline"/>
              <w:rPr>
                <w:kern w:val="2"/>
                <w:sz w:val="21"/>
                <w:szCs w:val="24"/>
                <w:lang w:eastAsia="zh-CN" w:bidi="ar-SA"/>
              </w:rPr>
            </w:pPr>
            <w:r>
              <w:rPr>
                <w:sz w:val="21"/>
                <w:szCs w:val="21"/>
                <w:lang w:val="en-GB" w:eastAsia="zh-CN" w:bidi="ar-SA"/>
              </w:rPr>
              <w:t>您认为</w:t>
            </w:r>
            <w:r>
              <w:rPr>
                <w:rFonts w:hint="eastAsia"/>
                <w:sz w:val="21"/>
                <w:szCs w:val="21"/>
                <w:lang w:val="en-GB" w:eastAsia="zh-CN" w:bidi="ar-SA"/>
              </w:rPr>
              <w:t>建设本项目会造成哪些环境污染？</w:t>
            </w:r>
          </w:p>
        </w:tc>
        <w:tc>
          <w:tcPr>
            <w:tcW w:w="2394" w:type="dxa"/>
            <w:gridSpan w:val="2"/>
            <w:tcMar>
              <w:top w:w="15" w:type="dxa"/>
              <w:left w:w="15" w:type="dxa"/>
              <w:bottom w:w="0" w:type="dxa"/>
              <w:right w:w="15" w:type="dxa"/>
            </w:tcMar>
            <w:vAlign w:val="center"/>
          </w:tcPr>
          <w:p w14:paraId="4F9E7293">
            <w:pPr>
              <w:adjustRightInd w:val="0"/>
              <w:snapToGrid w:val="0"/>
              <w:spacing w:line="340" w:lineRule="exact"/>
              <w:ind w:firstLine="480" w:firstLineChars="0"/>
              <w:jc w:val="center"/>
              <w:textAlignment w:val="baseline"/>
              <w:rPr>
                <w:kern w:val="2"/>
                <w:sz w:val="21"/>
                <w:szCs w:val="24"/>
                <w:lang w:eastAsia="zh-CN" w:bidi="ar-SA"/>
              </w:rPr>
            </w:pPr>
            <w:r>
              <w:rPr>
                <w:rFonts w:hint="eastAsia"/>
                <w:kern w:val="2"/>
                <w:sz w:val="21"/>
                <w:szCs w:val="24"/>
                <w:lang w:eastAsia="zh-CN" w:bidi="ar-SA"/>
              </w:rPr>
              <w:t>废气</w:t>
            </w:r>
          </w:p>
        </w:tc>
        <w:tc>
          <w:tcPr>
            <w:tcW w:w="1134" w:type="dxa"/>
            <w:tcMar>
              <w:top w:w="15" w:type="dxa"/>
              <w:left w:w="15" w:type="dxa"/>
              <w:bottom w:w="0" w:type="dxa"/>
              <w:right w:w="15" w:type="dxa"/>
            </w:tcMar>
            <w:vAlign w:val="center"/>
          </w:tcPr>
          <w:p w14:paraId="18EB8460">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r>
              <w:rPr>
                <w:rFonts w:hint="eastAsia"/>
                <w:kern w:val="2"/>
                <w:sz w:val="21"/>
                <w:szCs w:val="24"/>
                <w:lang w:eastAsia="zh-CN" w:bidi="ar-SA"/>
              </w:rPr>
              <w:t xml:space="preserve">    46</w:t>
            </w:r>
          </w:p>
        </w:tc>
        <w:tc>
          <w:tcPr>
            <w:tcW w:w="1335" w:type="dxa"/>
            <w:tcMar>
              <w:top w:w="15" w:type="dxa"/>
              <w:left w:w="15" w:type="dxa"/>
              <w:bottom w:w="0" w:type="dxa"/>
              <w:right w:w="15" w:type="dxa"/>
            </w:tcMar>
            <w:vAlign w:val="center"/>
          </w:tcPr>
          <w:p w14:paraId="7FF3B567">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r>
              <w:rPr>
                <w:rFonts w:hint="eastAsia"/>
                <w:kern w:val="2"/>
                <w:sz w:val="21"/>
                <w:szCs w:val="24"/>
                <w:lang w:eastAsia="zh-CN" w:bidi="ar-SA"/>
              </w:rPr>
              <w:t xml:space="preserve">     96</w:t>
            </w:r>
          </w:p>
        </w:tc>
      </w:tr>
      <w:tr w14:paraId="3DE2537F">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2" w:hRule="atLeast"/>
          <w:jc w:val="center"/>
        </w:trPr>
        <w:tc>
          <w:tcPr>
            <w:tcW w:w="715" w:type="dxa"/>
            <w:vMerge w:val="continue"/>
            <w:vAlign w:val="center"/>
          </w:tcPr>
          <w:p w14:paraId="7A6AAD23">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p>
        </w:tc>
        <w:tc>
          <w:tcPr>
            <w:tcW w:w="3522" w:type="dxa"/>
            <w:vMerge w:val="continue"/>
            <w:vAlign w:val="center"/>
          </w:tcPr>
          <w:p w14:paraId="09A826FE">
            <w:pPr>
              <w:adjustRightInd w:val="0"/>
              <w:snapToGrid w:val="0"/>
              <w:spacing w:line="340" w:lineRule="exact"/>
              <w:ind w:firstLine="480" w:firstLineChars="0"/>
              <w:jc w:val="center"/>
              <w:textAlignment w:val="baseline"/>
              <w:rPr>
                <w:sz w:val="21"/>
                <w:szCs w:val="21"/>
                <w:lang w:val="en-GB" w:eastAsia="zh-CN" w:bidi="ar-SA"/>
              </w:rPr>
            </w:pPr>
          </w:p>
        </w:tc>
        <w:tc>
          <w:tcPr>
            <w:tcW w:w="2394" w:type="dxa"/>
            <w:gridSpan w:val="2"/>
            <w:tcMar>
              <w:top w:w="15" w:type="dxa"/>
              <w:left w:w="15" w:type="dxa"/>
              <w:bottom w:w="0" w:type="dxa"/>
              <w:right w:w="15" w:type="dxa"/>
            </w:tcMar>
            <w:vAlign w:val="center"/>
          </w:tcPr>
          <w:p w14:paraId="53F7C1C1">
            <w:pPr>
              <w:adjustRightInd w:val="0"/>
              <w:snapToGrid w:val="0"/>
              <w:spacing w:line="340" w:lineRule="exact"/>
              <w:ind w:firstLine="480" w:firstLineChars="0"/>
              <w:jc w:val="center"/>
              <w:textAlignment w:val="baseline"/>
              <w:rPr>
                <w:kern w:val="2"/>
                <w:sz w:val="21"/>
                <w:szCs w:val="24"/>
                <w:lang w:eastAsia="zh-CN" w:bidi="ar-SA"/>
              </w:rPr>
            </w:pPr>
            <w:r>
              <w:rPr>
                <w:rFonts w:hint="eastAsia"/>
                <w:kern w:val="2"/>
                <w:sz w:val="21"/>
                <w:szCs w:val="24"/>
                <w:lang w:eastAsia="zh-CN" w:bidi="ar-SA"/>
              </w:rPr>
              <w:t>废水</w:t>
            </w:r>
          </w:p>
        </w:tc>
        <w:tc>
          <w:tcPr>
            <w:tcW w:w="1134" w:type="dxa"/>
            <w:tcMar>
              <w:top w:w="15" w:type="dxa"/>
              <w:left w:w="15" w:type="dxa"/>
              <w:bottom w:w="0" w:type="dxa"/>
              <w:right w:w="15" w:type="dxa"/>
            </w:tcMar>
            <w:vAlign w:val="center"/>
          </w:tcPr>
          <w:p w14:paraId="3441E70B">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r>
              <w:rPr>
                <w:rFonts w:hint="eastAsia"/>
                <w:kern w:val="2"/>
                <w:sz w:val="21"/>
                <w:szCs w:val="24"/>
                <w:lang w:eastAsia="zh-CN" w:bidi="ar-SA"/>
              </w:rPr>
              <w:t>0</w:t>
            </w:r>
          </w:p>
        </w:tc>
        <w:tc>
          <w:tcPr>
            <w:tcW w:w="1335" w:type="dxa"/>
            <w:tcMar>
              <w:top w:w="15" w:type="dxa"/>
              <w:left w:w="15" w:type="dxa"/>
              <w:bottom w:w="0" w:type="dxa"/>
              <w:right w:w="15" w:type="dxa"/>
            </w:tcMar>
            <w:vAlign w:val="center"/>
          </w:tcPr>
          <w:p w14:paraId="3EC4AA09">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r>
              <w:rPr>
                <w:rFonts w:hint="eastAsia"/>
                <w:kern w:val="2"/>
                <w:sz w:val="21"/>
                <w:szCs w:val="24"/>
                <w:lang w:eastAsia="zh-CN" w:bidi="ar-SA"/>
              </w:rPr>
              <w:t>0</w:t>
            </w:r>
          </w:p>
        </w:tc>
      </w:tr>
      <w:tr w14:paraId="0D7B945E">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2" w:hRule="atLeast"/>
          <w:jc w:val="center"/>
        </w:trPr>
        <w:tc>
          <w:tcPr>
            <w:tcW w:w="715" w:type="dxa"/>
            <w:vMerge w:val="continue"/>
            <w:vAlign w:val="center"/>
          </w:tcPr>
          <w:p w14:paraId="363B1B6B">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p>
        </w:tc>
        <w:tc>
          <w:tcPr>
            <w:tcW w:w="3522" w:type="dxa"/>
            <w:vMerge w:val="continue"/>
            <w:vAlign w:val="center"/>
          </w:tcPr>
          <w:p w14:paraId="4E6F253F">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p>
        </w:tc>
        <w:tc>
          <w:tcPr>
            <w:tcW w:w="2394" w:type="dxa"/>
            <w:gridSpan w:val="2"/>
            <w:tcMar>
              <w:top w:w="15" w:type="dxa"/>
              <w:left w:w="15" w:type="dxa"/>
              <w:bottom w:w="0" w:type="dxa"/>
              <w:right w:w="15" w:type="dxa"/>
            </w:tcMar>
            <w:vAlign w:val="center"/>
          </w:tcPr>
          <w:p w14:paraId="420FF0FB">
            <w:pPr>
              <w:adjustRightInd w:val="0"/>
              <w:snapToGrid w:val="0"/>
              <w:spacing w:line="340" w:lineRule="exact"/>
              <w:ind w:firstLine="480" w:firstLineChars="0"/>
              <w:jc w:val="center"/>
              <w:textAlignment w:val="baseline"/>
              <w:rPr>
                <w:kern w:val="2"/>
                <w:sz w:val="21"/>
                <w:szCs w:val="24"/>
                <w:lang w:eastAsia="zh-CN" w:bidi="ar-SA"/>
              </w:rPr>
            </w:pPr>
            <w:r>
              <w:rPr>
                <w:rFonts w:hint="eastAsia"/>
                <w:kern w:val="2"/>
                <w:sz w:val="21"/>
                <w:szCs w:val="24"/>
                <w:lang w:eastAsia="zh-CN" w:bidi="ar-SA"/>
              </w:rPr>
              <w:t>废渣</w:t>
            </w:r>
          </w:p>
        </w:tc>
        <w:tc>
          <w:tcPr>
            <w:tcW w:w="1134" w:type="dxa"/>
            <w:tcMar>
              <w:top w:w="15" w:type="dxa"/>
              <w:left w:w="15" w:type="dxa"/>
              <w:bottom w:w="0" w:type="dxa"/>
              <w:right w:w="15" w:type="dxa"/>
            </w:tcMar>
            <w:vAlign w:val="center"/>
          </w:tcPr>
          <w:p w14:paraId="0C933749">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r>
              <w:rPr>
                <w:rFonts w:hint="eastAsia"/>
                <w:kern w:val="2"/>
                <w:sz w:val="21"/>
                <w:szCs w:val="24"/>
                <w:lang w:eastAsia="zh-CN" w:bidi="ar-SA"/>
              </w:rPr>
              <w:t>0</w:t>
            </w:r>
          </w:p>
        </w:tc>
        <w:tc>
          <w:tcPr>
            <w:tcW w:w="1335" w:type="dxa"/>
            <w:tcMar>
              <w:top w:w="15" w:type="dxa"/>
              <w:left w:w="15" w:type="dxa"/>
              <w:bottom w:w="0" w:type="dxa"/>
              <w:right w:w="15" w:type="dxa"/>
            </w:tcMar>
            <w:vAlign w:val="center"/>
          </w:tcPr>
          <w:p w14:paraId="02CAFE6B">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r>
              <w:rPr>
                <w:rFonts w:hint="eastAsia"/>
                <w:kern w:val="2"/>
                <w:sz w:val="21"/>
                <w:szCs w:val="24"/>
                <w:lang w:eastAsia="zh-CN" w:bidi="ar-SA"/>
              </w:rPr>
              <w:t>0</w:t>
            </w:r>
          </w:p>
        </w:tc>
      </w:tr>
      <w:tr w14:paraId="5D6E03C6">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 w:hRule="atLeast"/>
          <w:jc w:val="center"/>
        </w:trPr>
        <w:tc>
          <w:tcPr>
            <w:tcW w:w="715" w:type="dxa"/>
            <w:vMerge w:val="continue"/>
            <w:vAlign w:val="center"/>
          </w:tcPr>
          <w:p w14:paraId="6EA11E4F">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p>
        </w:tc>
        <w:tc>
          <w:tcPr>
            <w:tcW w:w="3522" w:type="dxa"/>
            <w:vMerge w:val="continue"/>
            <w:vAlign w:val="center"/>
          </w:tcPr>
          <w:p w14:paraId="77BBD909">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p>
        </w:tc>
        <w:tc>
          <w:tcPr>
            <w:tcW w:w="2394" w:type="dxa"/>
            <w:gridSpan w:val="2"/>
            <w:tcMar>
              <w:top w:w="15" w:type="dxa"/>
              <w:left w:w="15" w:type="dxa"/>
              <w:bottom w:w="0" w:type="dxa"/>
              <w:right w:w="15" w:type="dxa"/>
            </w:tcMar>
            <w:vAlign w:val="center"/>
          </w:tcPr>
          <w:p w14:paraId="256E9D3F">
            <w:pPr>
              <w:adjustRightInd w:val="0"/>
              <w:snapToGrid w:val="0"/>
              <w:spacing w:line="340" w:lineRule="exact"/>
              <w:ind w:firstLine="480" w:firstLineChars="0"/>
              <w:jc w:val="center"/>
              <w:textAlignment w:val="baseline"/>
              <w:rPr>
                <w:kern w:val="2"/>
                <w:sz w:val="21"/>
                <w:szCs w:val="24"/>
                <w:lang w:eastAsia="zh-CN" w:bidi="ar-SA"/>
              </w:rPr>
            </w:pPr>
            <w:r>
              <w:rPr>
                <w:rFonts w:hint="eastAsia"/>
                <w:kern w:val="2"/>
                <w:sz w:val="21"/>
                <w:szCs w:val="24"/>
                <w:lang w:eastAsia="zh-CN" w:bidi="ar-SA"/>
              </w:rPr>
              <w:t>噪声</w:t>
            </w:r>
          </w:p>
        </w:tc>
        <w:tc>
          <w:tcPr>
            <w:tcW w:w="1134" w:type="dxa"/>
            <w:tcMar>
              <w:top w:w="15" w:type="dxa"/>
              <w:left w:w="15" w:type="dxa"/>
              <w:bottom w:w="0" w:type="dxa"/>
              <w:right w:w="15" w:type="dxa"/>
            </w:tcMar>
            <w:vAlign w:val="center"/>
          </w:tcPr>
          <w:p w14:paraId="3FCD4A49">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r>
              <w:rPr>
                <w:rFonts w:hint="eastAsia"/>
                <w:kern w:val="2"/>
                <w:sz w:val="21"/>
                <w:szCs w:val="24"/>
                <w:lang w:eastAsia="zh-CN" w:bidi="ar-SA"/>
              </w:rPr>
              <w:t>0</w:t>
            </w:r>
          </w:p>
        </w:tc>
        <w:tc>
          <w:tcPr>
            <w:tcW w:w="1335" w:type="dxa"/>
            <w:tcMar>
              <w:top w:w="15" w:type="dxa"/>
              <w:left w:w="15" w:type="dxa"/>
              <w:bottom w:w="0" w:type="dxa"/>
              <w:right w:w="15" w:type="dxa"/>
            </w:tcMar>
            <w:vAlign w:val="center"/>
          </w:tcPr>
          <w:p w14:paraId="645AAB8D">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r>
              <w:rPr>
                <w:rFonts w:hint="eastAsia"/>
                <w:kern w:val="2"/>
                <w:sz w:val="21"/>
                <w:szCs w:val="24"/>
                <w:lang w:eastAsia="zh-CN" w:bidi="ar-SA"/>
              </w:rPr>
              <w:t>0</w:t>
            </w:r>
          </w:p>
        </w:tc>
      </w:tr>
      <w:tr w14:paraId="12B32480">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2" w:hRule="atLeast"/>
          <w:jc w:val="center"/>
        </w:trPr>
        <w:tc>
          <w:tcPr>
            <w:tcW w:w="715" w:type="dxa"/>
            <w:vMerge w:val="restart"/>
            <w:vAlign w:val="center"/>
          </w:tcPr>
          <w:p w14:paraId="669F8B86">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r>
              <w:rPr>
                <w:kern w:val="2"/>
                <w:sz w:val="21"/>
                <w:szCs w:val="24"/>
                <w:lang w:eastAsia="zh-CN" w:bidi="ar-SA"/>
              </w:rPr>
              <w:t>5</w:t>
            </w:r>
          </w:p>
        </w:tc>
        <w:tc>
          <w:tcPr>
            <w:tcW w:w="3522" w:type="dxa"/>
            <w:vMerge w:val="restart"/>
            <w:vAlign w:val="center"/>
          </w:tcPr>
          <w:p w14:paraId="14CA7502">
            <w:pPr>
              <w:adjustRightInd w:val="0"/>
              <w:snapToGrid w:val="0"/>
              <w:spacing w:line="340" w:lineRule="exact"/>
              <w:ind w:firstLine="0" w:firstLineChars="0"/>
              <w:jc w:val="center"/>
              <w:textAlignment w:val="baseline"/>
              <w:rPr>
                <w:kern w:val="2"/>
                <w:sz w:val="21"/>
                <w:szCs w:val="24"/>
                <w:lang w:eastAsia="zh-CN" w:bidi="ar-SA"/>
              </w:rPr>
            </w:pPr>
            <w:r>
              <w:rPr>
                <w:sz w:val="21"/>
                <w:szCs w:val="21"/>
                <w:lang w:val="en-GB" w:eastAsia="zh-CN" w:bidi="ar-SA"/>
              </w:rPr>
              <w:t>您认为</w:t>
            </w:r>
            <w:r>
              <w:rPr>
                <w:rFonts w:hint="eastAsia"/>
                <w:sz w:val="21"/>
                <w:szCs w:val="21"/>
                <w:lang w:val="en-GB" w:eastAsia="zh-CN" w:bidi="ar-SA"/>
              </w:rPr>
              <w:t>本建设项目投产后对环境的影响程度有多大？</w:t>
            </w:r>
          </w:p>
        </w:tc>
        <w:tc>
          <w:tcPr>
            <w:tcW w:w="2394" w:type="dxa"/>
            <w:gridSpan w:val="2"/>
            <w:tcMar>
              <w:top w:w="15" w:type="dxa"/>
              <w:left w:w="15" w:type="dxa"/>
              <w:bottom w:w="0" w:type="dxa"/>
              <w:right w:w="15" w:type="dxa"/>
            </w:tcMar>
            <w:vAlign w:val="center"/>
          </w:tcPr>
          <w:p w14:paraId="4B413D2D">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r>
              <w:rPr>
                <w:rFonts w:hint="eastAsia"/>
                <w:kern w:val="2"/>
                <w:sz w:val="21"/>
                <w:szCs w:val="24"/>
                <w:lang w:eastAsia="zh-CN" w:bidi="ar-SA"/>
              </w:rPr>
              <w:t>基本无影响</w:t>
            </w:r>
          </w:p>
        </w:tc>
        <w:tc>
          <w:tcPr>
            <w:tcW w:w="1134" w:type="dxa"/>
            <w:tcMar>
              <w:top w:w="15" w:type="dxa"/>
              <w:left w:w="15" w:type="dxa"/>
              <w:bottom w:w="0" w:type="dxa"/>
              <w:right w:w="15" w:type="dxa"/>
            </w:tcMar>
            <w:vAlign w:val="center"/>
          </w:tcPr>
          <w:p w14:paraId="121A17A3">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r>
              <w:rPr>
                <w:rFonts w:hint="eastAsia"/>
                <w:kern w:val="2"/>
                <w:sz w:val="21"/>
                <w:szCs w:val="24"/>
                <w:lang w:eastAsia="zh-CN" w:bidi="ar-SA"/>
              </w:rPr>
              <w:t>25</w:t>
            </w:r>
          </w:p>
        </w:tc>
        <w:tc>
          <w:tcPr>
            <w:tcW w:w="1335" w:type="dxa"/>
            <w:tcMar>
              <w:top w:w="15" w:type="dxa"/>
              <w:left w:w="15" w:type="dxa"/>
              <w:bottom w:w="0" w:type="dxa"/>
              <w:right w:w="15" w:type="dxa"/>
            </w:tcMar>
            <w:vAlign w:val="center"/>
          </w:tcPr>
          <w:p w14:paraId="29192540">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r>
              <w:rPr>
                <w:rFonts w:hint="eastAsia"/>
                <w:kern w:val="2"/>
                <w:sz w:val="21"/>
                <w:szCs w:val="24"/>
                <w:lang w:eastAsia="zh-CN" w:bidi="ar-SA"/>
              </w:rPr>
              <w:t>52</w:t>
            </w:r>
          </w:p>
        </w:tc>
      </w:tr>
      <w:tr w14:paraId="3594CE51">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2" w:hRule="atLeast"/>
          <w:jc w:val="center"/>
        </w:trPr>
        <w:tc>
          <w:tcPr>
            <w:tcW w:w="715" w:type="dxa"/>
            <w:vMerge w:val="continue"/>
            <w:vAlign w:val="center"/>
          </w:tcPr>
          <w:p w14:paraId="67C6CECB">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p>
        </w:tc>
        <w:tc>
          <w:tcPr>
            <w:tcW w:w="3522" w:type="dxa"/>
            <w:vMerge w:val="continue"/>
            <w:vAlign w:val="center"/>
          </w:tcPr>
          <w:p w14:paraId="79AEDDEA">
            <w:pPr>
              <w:adjustRightInd w:val="0"/>
              <w:snapToGrid w:val="0"/>
              <w:spacing w:line="340" w:lineRule="exact"/>
              <w:ind w:firstLine="480" w:firstLineChars="0"/>
              <w:jc w:val="center"/>
              <w:textAlignment w:val="baseline"/>
              <w:rPr>
                <w:sz w:val="21"/>
                <w:szCs w:val="21"/>
                <w:lang w:val="en-GB" w:eastAsia="zh-CN" w:bidi="ar-SA"/>
              </w:rPr>
            </w:pPr>
          </w:p>
        </w:tc>
        <w:tc>
          <w:tcPr>
            <w:tcW w:w="2394" w:type="dxa"/>
            <w:gridSpan w:val="2"/>
            <w:tcMar>
              <w:top w:w="15" w:type="dxa"/>
              <w:left w:w="15" w:type="dxa"/>
              <w:bottom w:w="0" w:type="dxa"/>
              <w:right w:w="15" w:type="dxa"/>
            </w:tcMar>
            <w:vAlign w:val="center"/>
          </w:tcPr>
          <w:p w14:paraId="6D28CF5F">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r>
              <w:rPr>
                <w:rFonts w:hint="eastAsia"/>
                <w:kern w:val="2"/>
                <w:sz w:val="21"/>
                <w:szCs w:val="24"/>
                <w:lang w:eastAsia="zh-CN" w:bidi="ar-SA"/>
              </w:rPr>
              <w:t>较小</w:t>
            </w:r>
          </w:p>
        </w:tc>
        <w:tc>
          <w:tcPr>
            <w:tcW w:w="1134" w:type="dxa"/>
            <w:tcMar>
              <w:top w:w="15" w:type="dxa"/>
              <w:left w:w="15" w:type="dxa"/>
              <w:bottom w:w="0" w:type="dxa"/>
              <w:right w:w="15" w:type="dxa"/>
            </w:tcMar>
            <w:vAlign w:val="center"/>
          </w:tcPr>
          <w:p w14:paraId="647D75E0">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r>
              <w:rPr>
                <w:rFonts w:hint="eastAsia"/>
                <w:kern w:val="2"/>
                <w:sz w:val="21"/>
                <w:szCs w:val="24"/>
                <w:lang w:eastAsia="zh-CN" w:bidi="ar-SA"/>
              </w:rPr>
              <w:t>9</w:t>
            </w:r>
          </w:p>
        </w:tc>
        <w:tc>
          <w:tcPr>
            <w:tcW w:w="1335" w:type="dxa"/>
            <w:tcMar>
              <w:top w:w="15" w:type="dxa"/>
              <w:left w:w="15" w:type="dxa"/>
              <w:bottom w:w="0" w:type="dxa"/>
              <w:right w:w="15" w:type="dxa"/>
            </w:tcMar>
            <w:vAlign w:val="center"/>
          </w:tcPr>
          <w:p w14:paraId="6DF71077">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r>
              <w:rPr>
                <w:rFonts w:hint="eastAsia"/>
                <w:kern w:val="2"/>
                <w:sz w:val="21"/>
                <w:szCs w:val="24"/>
                <w:lang w:eastAsia="zh-CN" w:bidi="ar-SA"/>
              </w:rPr>
              <w:t>19</w:t>
            </w:r>
          </w:p>
        </w:tc>
      </w:tr>
      <w:tr w14:paraId="65F10E3D">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 w:hRule="atLeast"/>
          <w:jc w:val="center"/>
        </w:trPr>
        <w:tc>
          <w:tcPr>
            <w:tcW w:w="715" w:type="dxa"/>
            <w:vMerge w:val="continue"/>
            <w:vAlign w:val="center"/>
          </w:tcPr>
          <w:p w14:paraId="52B33A1D">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p>
        </w:tc>
        <w:tc>
          <w:tcPr>
            <w:tcW w:w="3522" w:type="dxa"/>
            <w:vMerge w:val="continue"/>
            <w:vAlign w:val="center"/>
          </w:tcPr>
          <w:p w14:paraId="3C2AA738">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p>
        </w:tc>
        <w:tc>
          <w:tcPr>
            <w:tcW w:w="2394" w:type="dxa"/>
            <w:gridSpan w:val="2"/>
            <w:tcMar>
              <w:top w:w="15" w:type="dxa"/>
              <w:left w:w="15" w:type="dxa"/>
              <w:bottom w:w="0" w:type="dxa"/>
              <w:right w:w="15" w:type="dxa"/>
            </w:tcMar>
            <w:vAlign w:val="center"/>
          </w:tcPr>
          <w:p w14:paraId="1082AABB">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r>
              <w:rPr>
                <w:rFonts w:hint="eastAsia"/>
                <w:kern w:val="2"/>
                <w:sz w:val="21"/>
                <w:szCs w:val="24"/>
                <w:lang w:eastAsia="zh-CN" w:bidi="ar-SA"/>
              </w:rPr>
              <w:t>较大</w:t>
            </w:r>
          </w:p>
        </w:tc>
        <w:tc>
          <w:tcPr>
            <w:tcW w:w="1134" w:type="dxa"/>
            <w:tcMar>
              <w:top w:w="15" w:type="dxa"/>
              <w:left w:w="15" w:type="dxa"/>
              <w:bottom w:w="0" w:type="dxa"/>
              <w:right w:w="15" w:type="dxa"/>
            </w:tcMar>
            <w:vAlign w:val="center"/>
          </w:tcPr>
          <w:p w14:paraId="299313F9">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r>
              <w:rPr>
                <w:rFonts w:hint="eastAsia"/>
                <w:kern w:val="2"/>
                <w:sz w:val="21"/>
                <w:szCs w:val="24"/>
                <w:lang w:eastAsia="zh-CN" w:bidi="ar-SA"/>
              </w:rPr>
              <w:t>14</w:t>
            </w:r>
          </w:p>
        </w:tc>
        <w:tc>
          <w:tcPr>
            <w:tcW w:w="1335" w:type="dxa"/>
            <w:tcMar>
              <w:top w:w="15" w:type="dxa"/>
              <w:left w:w="15" w:type="dxa"/>
              <w:bottom w:w="0" w:type="dxa"/>
              <w:right w:w="15" w:type="dxa"/>
            </w:tcMar>
            <w:vAlign w:val="center"/>
          </w:tcPr>
          <w:p w14:paraId="07CCDADA">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r>
              <w:rPr>
                <w:rFonts w:hint="eastAsia"/>
                <w:kern w:val="2"/>
                <w:sz w:val="21"/>
                <w:szCs w:val="24"/>
                <w:lang w:eastAsia="zh-CN" w:bidi="ar-SA"/>
              </w:rPr>
              <w:t>29</w:t>
            </w:r>
          </w:p>
        </w:tc>
      </w:tr>
      <w:tr w14:paraId="669BEE49">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 w:hRule="atLeast"/>
          <w:jc w:val="center"/>
        </w:trPr>
        <w:tc>
          <w:tcPr>
            <w:tcW w:w="715" w:type="dxa"/>
            <w:vMerge w:val="continue"/>
            <w:vAlign w:val="center"/>
          </w:tcPr>
          <w:p w14:paraId="79E9D071">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p>
        </w:tc>
        <w:tc>
          <w:tcPr>
            <w:tcW w:w="3522" w:type="dxa"/>
            <w:vMerge w:val="continue"/>
            <w:vAlign w:val="center"/>
          </w:tcPr>
          <w:p w14:paraId="062F4355">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p>
        </w:tc>
        <w:tc>
          <w:tcPr>
            <w:tcW w:w="2394" w:type="dxa"/>
            <w:gridSpan w:val="2"/>
            <w:tcMar>
              <w:top w:w="15" w:type="dxa"/>
              <w:left w:w="15" w:type="dxa"/>
              <w:bottom w:w="0" w:type="dxa"/>
              <w:right w:w="15" w:type="dxa"/>
            </w:tcMar>
            <w:vAlign w:val="center"/>
          </w:tcPr>
          <w:p w14:paraId="5FF89DCB">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r>
              <w:rPr>
                <w:rFonts w:hint="eastAsia"/>
                <w:kern w:val="2"/>
                <w:sz w:val="21"/>
                <w:szCs w:val="24"/>
                <w:lang w:eastAsia="zh-CN" w:bidi="ar-SA"/>
              </w:rPr>
              <w:t>很大</w:t>
            </w:r>
          </w:p>
        </w:tc>
        <w:tc>
          <w:tcPr>
            <w:tcW w:w="1134" w:type="dxa"/>
            <w:tcMar>
              <w:top w:w="15" w:type="dxa"/>
              <w:left w:w="15" w:type="dxa"/>
              <w:bottom w:w="0" w:type="dxa"/>
              <w:right w:w="15" w:type="dxa"/>
            </w:tcMar>
            <w:vAlign w:val="center"/>
          </w:tcPr>
          <w:p w14:paraId="57544C67">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r>
              <w:rPr>
                <w:rFonts w:hint="eastAsia"/>
                <w:kern w:val="2"/>
                <w:sz w:val="21"/>
                <w:szCs w:val="24"/>
                <w:lang w:eastAsia="zh-CN" w:bidi="ar-SA"/>
              </w:rPr>
              <w:t>0</w:t>
            </w:r>
          </w:p>
        </w:tc>
        <w:tc>
          <w:tcPr>
            <w:tcW w:w="1335" w:type="dxa"/>
            <w:tcMar>
              <w:top w:w="15" w:type="dxa"/>
              <w:left w:w="15" w:type="dxa"/>
              <w:bottom w:w="0" w:type="dxa"/>
              <w:right w:w="15" w:type="dxa"/>
            </w:tcMar>
            <w:vAlign w:val="center"/>
          </w:tcPr>
          <w:p w14:paraId="5031A7A0">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r>
              <w:rPr>
                <w:rFonts w:hint="eastAsia"/>
                <w:kern w:val="2"/>
                <w:sz w:val="21"/>
                <w:szCs w:val="24"/>
                <w:lang w:eastAsia="zh-CN" w:bidi="ar-SA"/>
              </w:rPr>
              <w:t>0</w:t>
            </w:r>
          </w:p>
        </w:tc>
      </w:tr>
      <w:tr w14:paraId="3809AE25">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2" w:hRule="atLeast"/>
          <w:jc w:val="center"/>
        </w:trPr>
        <w:tc>
          <w:tcPr>
            <w:tcW w:w="715" w:type="dxa"/>
            <w:vMerge w:val="restart"/>
            <w:tcBorders>
              <w:top w:val="single" w:color="auto" w:sz="4" w:space="0"/>
            </w:tcBorders>
            <w:vAlign w:val="center"/>
          </w:tcPr>
          <w:p w14:paraId="7340BD46">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r>
              <w:rPr>
                <w:kern w:val="2"/>
                <w:sz w:val="21"/>
                <w:szCs w:val="24"/>
                <w:lang w:eastAsia="zh-CN" w:bidi="ar-SA"/>
              </w:rPr>
              <w:t>6</w:t>
            </w:r>
          </w:p>
        </w:tc>
        <w:tc>
          <w:tcPr>
            <w:tcW w:w="3522" w:type="dxa"/>
            <w:vMerge w:val="restart"/>
            <w:tcBorders>
              <w:top w:val="single" w:color="auto" w:sz="4" w:space="0"/>
            </w:tcBorders>
            <w:vAlign w:val="center"/>
          </w:tcPr>
          <w:p w14:paraId="12D1D913">
            <w:pPr>
              <w:adjustRightInd w:val="0"/>
              <w:snapToGrid w:val="0"/>
              <w:spacing w:line="340" w:lineRule="exact"/>
              <w:ind w:firstLine="0" w:firstLineChars="0"/>
              <w:jc w:val="center"/>
              <w:textAlignment w:val="baseline"/>
              <w:rPr>
                <w:kern w:val="2"/>
                <w:sz w:val="21"/>
                <w:szCs w:val="24"/>
                <w:lang w:eastAsia="zh-CN" w:bidi="ar-SA"/>
              </w:rPr>
            </w:pPr>
            <w:r>
              <w:rPr>
                <w:sz w:val="21"/>
                <w:szCs w:val="21"/>
                <w:lang w:val="en-GB" w:eastAsia="zh-CN" w:bidi="ar-SA"/>
              </w:rPr>
              <w:t>您认为</w:t>
            </w:r>
            <w:r>
              <w:rPr>
                <w:rFonts w:hint="eastAsia"/>
                <w:sz w:val="21"/>
                <w:szCs w:val="21"/>
                <w:lang w:val="en-GB" w:eastAsia="zh-CN" w:bidi="ar-SA"/>
              </w:rPr>
              <w:t>本项目的建设是否会促进地方经济？</w:t>
            </w:r>
          </w:p>
        </w:tc>
        <w:tc>
          <w:tcPr>
            <w:tcW w:w="2394" w:type="dxa"/>
            <w:gridSpan w:val="2"/>
            <w:tcMar>
              <w:top w:w="15" w:type="dxa"/>
              <w:left w:w="15" w:type="dxa"/>
              <w:bottom w:w="0" w:type="dxa"/>
              <w:right w:w="15" w:type="dxa"/>
            </w:tcMar>
            <w:vAlign w:val="center"/>
          </w:tcPr>
          <w:p w14:paraId="7CD635CF">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r>
              <w:rPr>
                <w:rFonts w:hint="eastAsia"/>
                <w:kern w:val="2"/>
                <w:sz w:val="21"/>
                <w:szCs w:val="24"/>
                <w:lang w:eastAsia="zh-CN" w:bidi="ar-SA"/>
              </w:rPr>
              <w:t>有很大促进</w:t>
            </w:r>
          </w:p>
        </w:tc>
        <w:tc>
          <w:tcPr>
            <w:tcW w:w="1134" w:type="dxa"/>
            <w:tcMar>
              <w:top w:w="15" w:type="dxa"/>
              <w:left w:w="15" w:type="dxa"/>
              <w:bottom w:w="0" w:type="dxa"/>
              <w:right w:w="15" w:type="dxa"/>
            </w:tcMar>
            <w:vAlign w:val="center"/>
          </w:tcPr>
          <w:p w14:paraId="5FF15C30">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r>
              <w:rPr>
                <w:rFonts w:hint="eastAsia"/>
                <w:kern w:val="2"/>
                <w:sz w:val="21"/>
                <w:szCs w:val="24"/>
                <w:lang w:eastAsia="zh-CN" w:bidi="ar-SA"/>
              </w:rPr>
              <w:t>23</w:t>
            </w:r>
          </w:p>
        </w:tc>
        <w:tc>
          <w:tcPr>
            <w:tcW w:w="1335" w:type="dxa"/>
            <w:tcMar>
              <w:top w:w="15" w:type="dxa"/>
              <w:left w:w="15" w:type="dxa"/>
              <w:bottom w:w="0" w:type="dxa"/>
              <w:right w:w="15" w:type="dxa"/>
            </w:tcMar>
            <w:vAlign w:val="center"/>
          </w:tcPr>
          <w:p w14:paraId="0FEA996E">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r>
              <w:rPr>
                <w:rFonts w:hint="eastAsia"/>
                <w:kern w:val="2"/>
                <w:sz w:val="21"/>
                <w:szCs w:val="24"/>
                <w:lang w:eastAsia="zh-CN" w:bidi="ar-SA"/>
              </w:rPr>
              <w:t>48</w:t>
            </w:r>
          </w:p>
        </w:tc>
      </w:tr>
      <w:tr w14:paraId="2BEC675C">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2" w:hRule="atLeast"/>
          <w:jc w:val="center"/>
        </w:trPr>
        <w:tc>
          <w:tcPr>
            <w:tcW w:w="715" w:type="dxa"/>
            <w:vMerge w:val="continue"/>
            <w:vAlign w:val="center"/>
          </w:tcPr>
          <w:p w14:paraId="5CD0FDFD">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p>
        </w:tc>
        <w:tc>
          <w:tcPr>
            <w:tcW w:w="3522" w:type="dxa"/>
            <w:vMerge w:val="continue"/>
            <w:vAlign w:val="center"/>
          </w:tcPr>
          <w:p w14:paraId="6EB0CD9E">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p>
        </w:tc>
        <w:tc>
          <w:tcPr>
            <w:tcW w:w="2394" w:type="dxa"/>
            <w:gridSpan w:val="2"/>
            <w:tcMar>
              <w:top w:w="15" w:type="dxa"/>
              <w:left w:w="15" w:type="dxa"/>
              <w:bottom w:w="0" w:type="dxa"/>
              <w:right w:w="15" w:type="dxa"/>
            </w:tcMar>
            <w:vAlign w:val="center"/>
          </w:tcPr>
          <w:p w14:paraId="09BE468F">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r>
              <w:rPr>
                <w:rFonts w:hint="eastAsia"/>
                <w:kern w:val="2"/>
                <w:sz w:val="21"/>
                <w:szCs w:val="24"/>
                <w:lang w:eastAsia="zh-CN" w:bidi="ar-SA"/>
              </w:rPr>
              <w:t>一般</w:t>
            </w:r>
          </w:p>
        </w:tc>
        <w:tc>
          <w:tcPr>
            <w:tcW w:w="1134" w:type="dxa"/>
            <w:tcMar>
              <w:top w:w="15" w:type="dxa"/>
              <w:left w:w="15" w:type="dxa"/>
              <w:bottom w:w="0" w:type="dxa"/>
              <w:right w:w="15" w:type="dxa"/>
            </w:tcMar>
            <w:vAlign w:val="center"/>
          </w:tcPr>
          <w:p w14:paraId="23CC55D4">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r>
              <w:rPr>
                <w:rFonts w:hint="eastAsia"/>
                <w:kern w:val="2"/>
                <w:sz w:val="21"/>
                <w:szCs w:val="24"/>
                <w:lang w:eastAsia="zh-CN" w:bidi="ar-SA"/>
              </w:rPr>
              <w:t>22</w:t>
            </w:r>
          </w:p>
        </w:tc>
        <w:tc>
          <w:tcPr>
            <w:tcW w:w="1335" w:type="dxa"/>
            <w:tcMar>
              <w:top w:w="15" w:type="dxa"/>
              <w:left w:w="15" w:type="dxa"/>
              <w:bottom w:w="0" w:type="dxa"/>
              <w:right w:w="15" w:type="dxa"/>
            </w:tcMar>
            <w:vAlign w:val="center"/>
          </w:tcPr>
          <w:p w14:paraId="0DF3304C">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r>
              <w:rPr>
                <w:rFonts w:hint="eastAsia"/>
                <w:kern w:val="2"/>
                <w:sz w:val="21"/>
                <w:szCs w:val="24"/>
                <w:lang w:eastAsia="zh-CN" w:bidi="ar-SA"/>
              </w:rPr>
              <w:t>46</w:t>
            </w:r>
          </w:p>
        </w:tc>
      </w:tr>
      <w:tr w14:paraId="09AA9D5B">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2" w:hRule="atLeast"/>
          <w:jc w:val="center"/>
        </w:trPr>
        <w:tc>
          <w:tcPr>
            <w:tcW w:w="715" w:type="dxa"/>
            <w:vMerge w:val="continue"/>
            <w:vAlign w:val="center"/>
          </w:tcPr>
          <w:p w14:paraId="4E17705E">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p>
        </w:tc>
        <w:tc>
          <w:tcPr>
            <w:tcW w:w="3522" w:type="dxa"/>
            <w:vMerge w:val="continue"/>
            <w:vAlign w:val="center"/>
          </w:tcPr>
          <w:p w14:paraId="38BFB6DE">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p>
        </w:tc>
        <w:tc>
          <w:tcPr>
            <w:tcW w:w="2394" w:type="dxa"/>
            <w:gridSpan w:val="2"/>
            <w:tcMar>
              <w:top w:w="15" w:type="dxa"/>
              <w:left w:w="15" w:type="dxa"/>
              <w:bottom w:w="0" w:type="dxa"/>
              <w:right w:w="15" w:type="dxa"/>
            </w:tcMar>
            <w:vAlign w:val="center"/>
          </w:tcPr>
          <w:p w14:paraId="3A2965DE">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r>
              <w:rPr>
                <w:rFonts w:hint="eastAsia"/>
                <w:kern w:val="2"/>
                <w:sz w:val="21"/>
                <w:szCs w:val="24"/>
                <w:lang w:eastAsia="zh-CN" w:bidi="ar-SA"/>
              </w:rPr>
              <w:t>不大</w:t>
            </w:r>
          </w:p>
        </w:tc>
        <w:tc>
          <w:tcPr>
            <w:tcW w:w="1134" w:type="dxa"/>
            <w:tcMar>
              <w:top w:w="15" w:type="dxa"/>
              <w:left w:w="15" w:type="dxa"/>
              <w:bottom w:w="0" w:type="dxa"/>
              <w:right w:w="15" w:type="dxa"/>
            </w:tcMar>
            <w:vAlign w:val="center"/>
          </w:tcPr>
          <w:p w14:paraId="10411832">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r>
              <w:rPr>
                <w:rFonts w:hint="eastAsia"/>
                <w:kern w:val="2"/>
                <w:sz w:val="21"/>
                <w:szCs w:val="24"/>
                <w:lang w:eastAsia="zh-CN" w:bidi="ar-SA"/>
              </w:rPr>
              <w:t>3</w:t>
            </w:r>
          </w:p>
        </w:tc>
        <w:tc>
          <w:tcPr>
            <w:tcW w:w="1335" w:type="dxa"/>
            <w:tcMar>
              <w:top w:w="15" w:type="dxa"/>
              <w:left w:w="15" w:type="dxa"/>
              <w:bottom w:w="0" w:type="dxa"/>
              <w:right w:w="15" w:type="dxa"/>
            </w:tcMar>
            <w:vAlign w:val="center"/>
          </w:tcPr>
          <w:p w14:paraId="46551E73">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r>
              <w:rPr>
                <w:rFonts w:hint="eastAsia"/>
                <w:kern w:val="2"/>
                <w:sz w:val="21"/>
                <w:szCs w:val="24"/>
                <w:lang w:eastAsia="zh-CN" w:bidi="ar-SA"/>
              </w:rPr>
              <w:t>6</w:t>
            </w:r>
          </w:p>
        </w:tc>
      </w:tr>
      <w:tr w14:paraId="16BA8612">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2" w:hRule="atLeast"/>
          <w:jc w:val="center"/>
        </w:trPr>
        <w:tc>
          <w:tcPr>
            <w:tcW w:w="715" w:type="dxa"/>
            <w:vMerge w:val="continue"/>
            <w:tcBorders>
              <w:bottom w:val="single" w:color="auto" w:sz="4" w:space="0"/>
            </w:tcBorders>
            <w:vAlign w:val="center"/>
          </w:tcPr>
          <w:p w14:paraId="788D8B5C">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p>
        </w:tc>
        <w:tc>
          <w:tcPr>
            <w:tcW w:w="3522" w:type="dxa"/>
            <w:vMerge w:val="continue"/>
            <w:tcBorders>
              <w:bottom w:val="single" w:color="auto" w:sz="4" w:space="0"/>
            </w:tcBorders>
            <w:vAlign w:val="center"/>
          </w:tcPr>
          <w:p w14:paraId="6A60E66B">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p>
        </w:tc>
        <w:tc>
          <w:tcPr>
            <w:tcW w:w="2394" w:type="dxa"/>
            <w:gridSpan w:val="2"/>
            <w:tcMar>
              <w:top w:w="15" w:type="dxa"/>
              <w:left w:w="15" w:type="dxa"/>
              <w:bottom w:w="0" w:type="dxa"/>
              <w:right w:w="15" w:type="dxa"/>
            </w:tcMar>
            <w:vAlign w:val="center"/>
          </w:tcPr>
          <w:p w14:paraId="367FD0E1">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r>
              <w:rPr>
                <w:rFonts w:hint="eastAsia"/>
                <w:kern w:val="2"/>
                <w:sz w:val="21"/>
                <w:szCs w:val="24"/>
                <w:lang w:eastAsia="zh-CN" w:bidi="ar-SA"/>
              </w:rPr>
              <w:t>不清楚</w:t>
            </w:r>
          </w:p>
        </w:tc>
        <w:tc>
          <w:tcPr>
            <w:tcW w:w="1134" w:type="dxa"/>
            <w:tcMar>
              <w:top w:w="15" w:type="dxa"/>
              <w:left w:w="15" w:type="dxa"/>
              <w:bottom w:w="0" w:type="dxa"/>
              <w:right w:w="15" w:type="dxa"/>
            </w:tcMar>
            <w:vAlign w:val="center"/>
          </w:tcPr>
          <w:p w14:paraId="4504AFF0">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r>
              <w:rPr>
                <w:rFonts w:hint="eastAsia"/>
                <w:kern w:val="2"/>
                <w:sz w:val="21"/>
                <w:szCs w:val="24"/>
                <w:lang w:eastAsia="zh-CN" w:bidi="ar-SA"/>
              </w:rPr>
              <w:t>0</w:t>
            </w:r>
          </w:p>
        </w:tc>
        <w:tc>
          <w:tcPr>
            <w:tcW w:w="1335" w:type="dxa"/>
            <w:tcMar>
              <w:top w:w="15" w:type="dxa"/>
              <w:left w:w="15" w:type="dxa"/>
              <w:bottom w:w="0" w:type="dxa"/>
              <w:right w:w="15" w:type="dxa"/>
            </w:tcMar>
            <w:vAlign w:val="center"/>
          </w:tcPr>
          <w:p w14:paraId="26817B69">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r>
              <w:rPr>
                <w:rFonts w:hint="eastAsia"/>
                <w:kern w:val="2"/>
                <w:sz w:val="21"/>
                <w:szCs w:val="24"/>
                <w:lang w:eastAsia="zh-CN" w:bidi="ar-SA"/>
              </w:rPr>
              <w:t>0</w:t>
            </w:r>
          </w:p>
        </w:tc>
      </w:tr>
      <w:tr w14:paraId="711DFB3F">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2" w:hRule="atLeast"/>
          <w:jc w:val="center"/>
        </w:trPr>
        <w:tc>
          <w:tcPr>
            <w:tcW w:w="715" w:type="dxa"/>
            <w:vMerge w:val="restart"/>
            <w:tcBorders>
              <w:top w:val="single" w:color="auto" w:sz="4" w:space="0"/>
            </w:tcBorders>
            <w:vAlign w:val="center"/>
          </w:tcPr>
          <w:p w14:paraId="5EAB2B89">
            <w:pPr>
              <w:adjustRightInd w:val="0"/>
              <w:snapToGrid w:val="0"/>
              <w:spacing w:line="340" w:lineRule="exact"/>
              <w:ind w:firstLineChars="0"/>
              <w:jc w:val="center"/>
              <w:textAlignment w:val="baseline"/>
              <w:rPr>
                <w:kern w:val="2"/>
                <w:sz w:val="21"/>
                <w:szCs w:val="24"/>
                <w:lang w:eastAsia="zh-CN" w:bidi="ar-SA"/>
              </w:rPr>
            </w:pPr>
            <w:r>
              <w:rPr>
                <w:rFonts w:hint="eastAsia"/>
                <w:kern w:val="2"/>
                <w:sz w:val="21"/>
                <w:szCs w:val="24"/>
                <w:lang w:eastAsia="zh-CN" w:bidi="ar-SA"/>
              </w:rPr>
              <w:t>7</w:t>
            </w:r>
          </w:p>
        </w:tc>
        <w:tc>
          <w:tcPr>
            <w:tcW w:w="3522" w:type="dxa"/>
            <w:vMerge w:val="restart"/>
            <w:tcBorders>
              <w:top w:val="single" w:color="auto" w:sz="4" w:space="0"/>
            </w:tcBorders>
            <w:vAlign w:val="center"/>
          </w:tcPr>
          <w:p w14:paraId="798E7727">
            <w:pPr>
              <w:widowControl/>
              <w:spacing w:beforeLines="25" w:line="360" w:lineRule="exact"/>
              <w:ind w:firstLine="0" w:firstLineChars="0"/>
              <w:rPr>
                <w:sz w:val="21"/>
                <w:szCs w:val="21"/>
                <w:lang w:val="en-GB" w:eastAsia="zh-CN" w:bidi="ar-SA"/>
              </w:rPr>
            </w:pPr>
            <w:r>
              <w:rPr>
                <w:rFonts w:hint="eastAsia"/>
                <w:sz w:val="21"/>
                <w:szCs w:val="21"/>
                <w:lang w:eastAsia="zh-CN" w:bidi="ar-SA"/>
              </w:rPr>
              <w:t>您对本建设项目的态度？</w:t>
            </w:r>
          </w:p>
        </w:tc>
        <w:tc>
          <w:tcPr>
            <w:tcW w:w="2394" w:type="dxa"/>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50AAB8C">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r>
              <w:rPr>
                <w:rFonts w:hint="eastAsia"/>
                <w:kern w:val="2"/>
                <w:sz w:val="21"/>
                <w:szCs w:val="24"/>
                <w:lang w:eastAsia="zh-CN" w:bidi="ar-SA"/>
              </w:rPr>
              <w:t>赞成</w:t>
            </w:r>
          </w:p>
        </w:tc>
        <w:tc>
          <w:tcPr>
            <w:tcW w:w="1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3319193">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r>
              <w:rPr>
                <w:rFonts w:hint="eastAsia"/>
                <w:kern w:val="2"/>
                <w:sz w:val="21"/>
                <w:szCs w:val="24"/>
                <w:lang w:eastAsia="zh-CN" w:bidi="ar-SA"/>
              </w:rPr>
              <w:t>48</w:t>
            </w:r>
          </w:p>
        </w:tc>
        <w:tc>
          <w:tcPr>
            <w:tcW w:w="133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23123D5">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r>
              <w:rPr>
                <w:rFonts w:hint="eastAsia"/>
                <w:kern w:val="2"/>
                <w:sz w:val="21"/>
                <w:szCs w:val="24"/>
                <w:lang w:eastAsia="zh-CN" w:bidi="ar-SA"/>
              </w:rPr>
              <w:t>100</w:t>
            </w:r>
          </w:p>
        </w:tc>
      </w:tr>
      <w:tr w14:paraId="65B2AD57">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2" w:hRule="atLeast"/>
          <w:jc w:val="center"/>
        </w:trPr>
        <w:tc>
          <w:tcPr>
            <w:tcW w:w="715" w:type="dxa"/>
            <w:vMerge w:val="continue"/>
            <w:vAlign w:val="center"/>
          </w:tcPr>
          <w:p w14:paraId="2C4B3FF6">
            <w:pPr>
              <w:adjustRightInd w:val="0"/>
              <w:snapToGrid w:val="0"/>
              <w:spacing w:line="340" w:lineRule="exact"/>
              <w:ind w:firstLine="480" w:firstLineChars="0"/>
              <w:jc w:val="center"/>
              <w:textAlignment w:val="baseline"/>
              <w:rPr>
                <w:kern w:val="2"/>
                <w:sz w:val="21"/>
                <w:szCs w:val="24"/>
                <w:lang w:eastAsia="zh-CN" w:bidi="ar-SA"/>
              </w:rPr>
            </w:pPr>
          </w:p>
        </w:tc>
        <w:tc>
          <w:tcPr>
            <w:tcW w:w="3522" w:type="dxa"/>
            <w:vMerge w:val="continue"/>
            <w:vAlign w:val="center"/>
          </w:tcPr>
          <w:p w14:paraId="6CBB6AD3">
            <w:pPr>
              <w:adjustRightInd w:val="0"/>
              <w:snapToGrid w:val="0"/>
              <w:spacing w:line="340" w:lineRule="exact"/>
              <w:ind w:firstLine="480" w:firstLineChars="0"/>
              <w:jc w:val="center"/>
              <w:textAlignment w:val="baseline"/>
              <w:rPr>
                <w:kern w:val="2"/>
                <w:sz w:val="21"/>
                <w:szCs w:val="24"/>
                <w:lang w:eastAsia="zh-CN" w:bidi="ar-SA"/>
              </w:rPr>
            </w:pPr>
          </w:p>
        </w:tc>
        <w:tc>
          <w:tcPr>
            <w:tcW w:w="2394" w:type="dxa"/>
            <w:gridSpan w:val="2"/>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6D4A3955">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r>
              <w:rPr>
                <w:rFonts w:hint="eastAsia"/>
                <w:kern w:val="2"/>
                <w:sz w:val="21"/>
                <w:szCs w:val="24"/>
                <w:lang w:eastAsia="zh-CN" w:bidi="ar-SA"/>
              </w:rPr>
              <w:t>反对</w:t>
            </w:r>
          </w:p>
        </w:tc>
        <w:tc>
          <w:tcPr>
            <w:tcW w:w="1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5CA0A444">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r>
              <w:rPr>
                <w:rFonts w:hint="eastAsia"/>
                <w:kern w:val="2"/>
                <w:sz w:val="21"/>
                <w:szCs w:val="24"/>
                <w:lang w:eastAsia="zh-CN" w:bidi="ar-SA"/>
              </w:rPr>
              <w:t>0</w:t>
            </w:r>
          </w:p>
        </w:tc>
        <w:tc>
          <w:tcPr>
            <w:tcW w:w="133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14:paraId="4541B805">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r>
              <w:rPr>
                <w:rFonts w:hint="eastAsia"/>
                <w:kern w:val="2"/>
                <w:sz w:val="21"/>
                <w:szCs w:val="24"/>
                <w:lang w:eastAsia="zh-CN" w:bidi="ar-SA"/>
              </w:rPr>
              <w:t>0</w:t>
            </w:r>
          </w:p>
        </w:tc>
      </w:tr>
      <w:tr w14:paraId="3663FAA7">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2" w:hRule="atLeast"/>
          <w:jc w:val="center"/>
        </w:trPr>
        <w:tc>
          <w:tcPr>
            <w:tcW w:w="715" w:type="dxa"/>
            <w:vMerge w:val="continue"/>
            <w:vAlign w:val="center"/>
          </w:tcPr>
          <w:p w14:paraId="461C2B40">
            <w:pPr>
              <w:adjustRightInd w:val="0"/>
              <w:snapToGrid w:val="0"/>
              <w:spacing w:line="340" w:lineRule="exact"/>
              <w:ind w:firstLine="480" w:firstLineChars="0"/>
              <w:jc w:val="center"/>
              <w:textAlignment w:val="baseline"/>
              <w:rPr>
                <w:kern w:val="2"/>
                <w:sz w:val="21"/>
                <w:szCs w:val="24"/>
                <w:lang w:eastAsia="zh-CN" w:bidi="ar-SA"/>
              </w:rPr>
            </w:pPr>
          </w:p>
        </w:tc>
        <w:tc>
          <w:tcPr>
            <w:tcW w:w="3522" w:type="dxa"/>
            <w:vMerge w:val="continue"/>
            <w:vAlign w:val="center"/>
          </w:tcPr>
          <w:p w14:paraId="4094C318">
            <w:pPr>
              <w:adjustRightInd w:val="0"/>
              <w:snapToGrid w:val="0"/>
              <w:spacing w:line="340" w:lineRule="exact"/>
              <w:ind w:firstLine="480" w:firstLineChars="0"/>
              <w:jc w:val="center"/>
              <w:textAlignment w:val="baseline"/>
              <w:rPr>
                <w:kern w:val="2"/>
                <w:sz w:val="21"/>
                <w:szCs w:val="24"/>
                <w:lang w:eastAsia="zh-CN" w:bidi="ar-SA"/>
              </w:rPr>
            </w:pPr>
          </w:p>
        </w:tc>
        <w:tc>
          <w:tcPr>
            <w:tcW w:w="2394" w:type="dxa"/>
            <w:gridSpan w:val="2"/>
            <w:tcBorders>
              <w:top w:val="single" w:color="auto" w:sz="4" w:space="0"/>
              <w:left w:val="single" w:color="auto" w:sz="4" w:space="0"/>
              <w:bottom w:val="single" w:color="auto" w:sz="12" w:space="0"/>
              <w:right w:val="single" w:color="auto" w:sz="4" w:space="0"/>
            </w:tcBorders>
            <w:tcMar>
              <w:top w:w="15" w:type="dxa"/>
              <w:left w:w="15" w:type="dxa"/>
              <w:bottom w:w="0" w:type="dxa"/>
              <w:right w:w="15" w:type="dxa"/>
            </w:tcMar>
            <w:vAlign w:val="center"/>
          </w:tcPr>
          <w:p w14:paraId="3A2E8ECC">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r>
              <w:rPr>
                <w:rFonts w:hint="eastAsia"/>
                <w:sz w:val="21"/>
                <w:szCs w:val="21"/>
                <w:lang w:val="en-GB" w:eastAsia="zh-CN" w:bidi="ar-SA"/>
              </w:rPr>
              <w:t>无所谓</w:t>
            </w:r>
          </w:p>
        </w:tc>
        <w:tc>
          <w:tcPr>
            <w:tcW w:w="1134" w:type="dxa"/>
            <w:tcBorders>
              <w:top w:val="single" w:color="auto" w:sz="4" w:space="0"/>
              <w:left w:val="single" w:color="auto" w:sz="4" w:space="0"/>
              <w:bottom w:val="single" w:color="auto" w:sz="12" w:space="0"/>
              <w:right w:val="single" w:color="auto" w:sz="4" w:space="0"/>
            </w:tcBorders>
            <w:tcMar>
              <w:top w:w="15" w:type="dxa"/>
              <w:left w:w="15" w:type="dxa"/>
              <w:bottom w:w="0" w:type="dxa"/>
              <w:right w:w="15" w:type="dxa"/>
            </w:tcMar>
            <w:vAlign w:val="center"/>
          </w:tcPr>
          <w:p w14:paraId="494A6D78">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r>
              <w:rPr>
                <w:rFonts w:hint="eastAsia"/>
                <w:kern w:val="2"/>
                <w:sz w:val="21"/>
                <w:szCs w:val="24"/>
                <w:lang w:eastAsia="zh-CN" w:bidi="ar-SA"/>
              </w:rPr>
              <w:t>0</w:t>
            </w:r>
          </w:p>
        </w:tc>
        <w:tc>
          <w:tcPr>
            <w:tcW w:w="1335" w:type="dxa"/>
            <w:tcBorders>
              <w:top w:val="single" w:color="auto" w:sz="4" w:space="0"/>
              <w:left w:val="single" w:color="auto" w:sz="4" w:space="0"/>
              <w:bottom w:val="single" w:color="auto" w:sz="12" w:space="0"/>
              <w:right w:val="single" w:color="auto" w:sz="4" w:space="0"/>
            </w:tcBorders>
            <w:tcMar>
              <w:top w:w="15" w:type="dxa"/>
              <w:left w:w="15" w:type="dxa"/>
              <w:bottom w:w="0" w:type="dxa"/>
              <w:right w:w="15" w:type="dxa"/>
            </w:tcMar>
            <w:vAlign w:val="center"/>
          </w:tcPr>
          <w:p w14:paraId="032B310F">
            <w:pPr>
              <w:adjustRightInd w:val="0"/>
              <w:snapToGrid w:val="0"/>
              <w:spacing w:line="340" w:lineRule="exact"/>
              <w:ind w:left="55" w:leftChars="23" w:right="106" w:rightChars="44" w:firstLine="0" w:firstLineChars="0"/>
              <w:jc w:val="center"/>
              <w:textAlignment w:val="baseline"/>
              <w:rPr>
                <w:kern w:val="2"/>
                <w:sz w:val="21"/>
                <w:szCs w:val="24"/>
                <w:lang w:eastAsia="zh-CN" w:bidi="ar-SA"/>
              </w:rPr>
            </w:pPr>
            <w:r>
              <w:rPr>
                <w:rFonts w:hint="eastAsia"/>
                <w:kern w:val="2"/>
                <w:sz w:val="21"/>
                <w:szCs w:val="24"/>
                <w:lang w:eastAsia="zh-CN" w:bidi="ar-SA"/>
              </w:rPr>
              <w:t>0</w:t>
            </w:r>
          </w:p>
        </w:tc>
      </w:tr>
    </w:tbl>
    <w:p w14:paraId="777D6DC1">
      <w:pPr>
        <w:pStyle w:val="4"/>
        <w:rPr>
          <w:lang w:eastAsia="zh-CN"/>
        </w:rPr>
      </w:pPr>
      <w:bookmarkStart w:id="1088" w:name="_Toc408414128"/>
      <w:bookmarkStart w:id="1089" w:name="_Toc312228461"/>
      <w:bookmarkStart w:id="1090" w:name="_Toc306547527"/>
      <w:bookmarkStart w:id="1091" w:name="_Toc294951712"/>
      <w:bookmarkStart w:id="1092" w:name="_Toc312229162"/>
      <w:r>
        <w:rPr>
          <w:lang w:eastAsia="zh-CN"/>
        </w:rPr>
        <w:t>16.</w:t>
      </w:r>
      <w:r>
        <w:rPr>
          <w:rFonts w:hint="eastAsia"/>
          <w:lang w:eastAsia="zh-CN"/>
        </w:rPr>
        <w:t>5</w:t>
      </w:r>
      <w:r>
        <w:rPr>
          <w:lang w:eastAsia="zh-CN"/>
        </w:rPr>
        <w:t>.4问卷调查结果分析</w:t>
      </w:r>
      <w:bookmarkEnd w:id="1088"/>
      <w:bookmarkEnd w:id="1089"/>
      <w:bookmarkEnd w:id="1090"/>
      <w:bookmarkEnd w:id="1091"/>
      <w:bookmarkEnd w:id="1092"/>
    </w:p>
    <w:p w14:paraId="71720F2F">
      <w:pPr>
        <w:ind w:firstLine="480"/>
        <w:rPr>
          <w:rFonts w:asciiTheme="minorEastAsia" w:hAnsiTheme="minorEastAsia" w:eastAsiaTheme="minorEastAsia"/>
          <w:lang w:eastAsia="zh-CN"/>
        </w:rPr>
      </w:pPr>
      <w:bookmarkStart w:id="1093" w:name="_Toc281380178"/>
      <w:r>
        <w:rPr>
          <w:rFonts w:asciiTheme="minorEastAsia" w:hAnsiTheme="minorEastAsia" w:eastAsiaTheme="minorEastAsia"/>
          <w:lang w:eastAsia="zh-CN"/>
        </w:rPr>
        <w:t>根据调查结果，归纳出公众意见如下：</w:t>
      </w:r>
    </w:p>
    <w:bookmarkEnd w:id="1093"/>
    <w:p w14:paraId="0ECA698B">
      <w:pPr>
        <w:ind w:firstLine="480"/>
        <w:outlineLvl w:val="0"/>
        <w:rPr>
          <w:rFonts w:asciiTheme="minorEastAsia" w:hAnsiTheme="minorEastAsia" w:eastAsiaTheme="minorEastAsia"/>
          <w:lang w:eastAsia="zh-CN"/>
        </w:rPr>
      </w:pPr>
      <w:r>
        <w:rPr>
          <w:rFonts w:hint="eastAsia" w:asciiTheme="minorEastAsia" w:hAnsiTheme="minorEastAsia" w:eastAsiaTheme="minorEastAsia"/>
          <w:lang w:eastAsia="zh-CN"/>
        </w:rPr>
        <w:t>（1）98%的被调查者对本项目了解或者比较了解，4%的人不了解；</w:t>
      </w:r>
    </w:p>
    <w:p w14:paraId="4E9AAEDE">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（2）81.0</w:t>
      </w:r>
      <w:r>
        <w:rPr>
          <w:rFonts w:asciiTheme="minorEastAsia" w:hAnsiTheme="minorEastAsia" w:eastAsiaTheme="minorEastAsia"/>
          <w:lang w:eastAsia="zh-CN"/>
        </w:rPr>
        <w:t>%的被调查者认为本区域现有的主要问题是大气</w:t>
      </w:r>
      <w:r>
        <w:rPr>
          <w:rFonts w:hint="eastAsia" w:asciiTheme="minorEastAsia" w:hAnsiTheme="minorEastAsia" w:eastAsiaTheme="minorEastAsia"/>
          <w:lang w:eastAsia="zh-CN"/>
        </w:rPr>
        <w:t>影响</w:t>
      </w:r>
      <w:r>
        <w:rPr>
          <w:rFonts w:asciiTheme="minorEastAsia" w:hAnsiTheme="minorEastAsia" w:eastAsiaTheme="minorEastAsia"/>
          <w:lang w:eastAsia="zh-CN"/>
        </w:rPr>
        <w:t>，</w:t>
      </w:r>
      <w:r>
        <w:rPr>
          <w:rFonts w:hint="eastAsia" w:asciiTheme="minorEastAsia" w:hAnsiTheme="minorEastAsia" w:eastAsiaTheme="minorEastAsia"/>
          <w:lang w:eastAsia="zh-CN"/>
        </w:rPr>
        <w:t>15.0</w:t>
      </w:r>
      <w:r>
        <w:rPr>
          <w:rFonts w:asciiTheme="minorEastAsia" w:hAnsiTheme="minorEastAsia" w:eastAsiaTheme="minorEastAsia"/>
          <w:lang w:eastAsia="zh-CN"/>
        </w:rPr>
        <w:t>%的人认为本区域现有的主要问题是</w:t>
      </w:r>
      <w:r>
        <w:rPr>
          <w:rFonts w:hint="eastAsia" w:asciiTheme="minorEastAsia" w:hAnsiTheme="minorEastAsia" w:eastAsiaTheme="minorEastAsia"/>
          <w:lang w:eastAsia="zh-CN"/>
        </w:rPr>
        <w:t>垃圾污染</w:t>
      </w:r>
      <w:r>
        <w:rPr>
          <w:rFonts w:asciiTheme="minorEastAsia" w:hAnsiTheme="minorEastAsia" w:eastAsiaTheme="minorEastAsia"/>
          <w:lang w:eastAsia="zh-CN"/>
        </w:rPr>
        <w:t>；</w:t>
      </w:r>
    </w:p>
    <w:p w14:paraId="4869FFA2">
      <w:pPr>
        <w:ind w:firstLine="480"/>
        <w:outlineLvl w:val="0"/>
        <w:rPr>
          <w:rFonts w:asciiTheme="minorEastAsia" w:hAnsiTheme="minorEastAsia" w:eastAsiaTheme="minorEastAsia"/>
          <w:lang w:eastAsia="zh-CN"/>
        </w:rPr>
      </w:pPr>
      <w:r>
        <w:rPr>
          <w:rFonts w:hint="eastAsia" w:asciiTheme="minorEastAsia" w:hAnsiTheme="minorEastAsia" w:eastAsiaTheme="minorEastAsia"/>
          <w:lang w:eastAsia="zh-CN"/>
        </w:rPr>
        <w:t>（3）96.0%的被调查者认为项目建设会对环境空气造成不利影响；</w:t>
      </w:r>
    </w:p>
    <w:p w14:paraId="4F75EB6F">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（4）94.0%的被调查者认为项目建设会促进当地经济的发展，6.0%的被调查者认为项目的建设对当地经济发展促进不大；</w:t>
      </w:r>
    </w:p>
    <w:p w14:paraId="64962E3E">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（5）29.0</w:t>
      </w:r>
      <w:r>
        <w:rPr>
          <w:rFonts w:asciiTheme="minorEastAsia" w:hAnsiTheme="minorEastAsia" w:eastAsiaTheme="minorEastAsia"/>
          <w:lang w:eastAsia="zh-CN"/>
        </w:rPr>
        <w:t>%的</w:t>
      </w:r>
      <w:r>
        <w:rPr>
          <w:rFonts w:hint="eastAsia" w:asciiTheme="minorEastAsia" w:hAnsiTheme="minorEastAsia" w:eastAsiaTheme="minorEastAsia"/>
          <w:lang w:eastAsia="zh-CN"/>
        </w:rPr>
        <w:t>被调查者</w:t>
      </w:r>
      <w:r>
        <w:rPr>
          <w:rFonts w:asciiTheme="minorEastAsia" w:hAnsiTheme="minorEastAsia" w:eastAsiaTheme="minorEastAsia"/>
          <w:lang w:eastAsia="zh-CN"/>
        </w:rPr>
        <w:t>认为项目建设对环境的影响</w:t>
      </w:r>
      <w:r>
        <w:rPr>
          <w:rFonts w:hint="eastAsia" w:asciiTheme="minorEastAsia" w:hAnsiTheme="minorEastAsia" w:eastAsiaTheme="minorEastAsia"/>
          <w:lang w:eastAsia="zh-CN"/>
        </w:rPr>
        <w:t>较大</w:t>
      </w:r>
      <w:r>
        <w:rPr>
          <w:rFonts w:asciiTheme="minorEastAsia" w:hAnsiTheme="minorEastAsia" w:eastAsiaTheme="minorEastAsia"/>
          <w:lang w:eastAsia="zh-CN"/>
        </w:rPr>
        <w:t>，</w:t>
      </w:r>
      <w:r>
        <w:rPr>
          <w:rFonts w:hint="eastAsia" w:asciiTheme="minorEastAsia" w:hAnsiTheme="minorEastAsia" w:eastAsiaTheme="minorEastAsia"/>
          <w:lang w:eastAsia="zh-CN"/>
        </w:rPr>
        <w:t>19.0</w:t>
      </w:r>
      <w:r>
        <w:rPr>
          <w:rFonts w:asciiTheme="minorEastAsia" w:hAnsiTheme="minorEastAsia" w:eastAsiaTheme="minorEastAsia"/>
          <w:lang w:eastAsia="zh-CN"/>
        </w:rPr>
        <w:t>%的</w:t>
      </w:r>
      <w:r>
        <w:rPr>
          <w:rFonts w:hint="eastAsia" w:asciiTheme="minorEastAsia" w:hAnsiTheme="minorEastAsia" w:eastAsiaTheme="minorEastAsia"/>
          <w:lang w:eastAsia="zh-CN"/>
        </w:rPr>
        <w:t>被调查者</w:t>
      </w:r>
      <w:r>
        <w:rPr>
          <w:rFonts w:asciiTheme="minorEastAsia" w:hAnsiTheme="minorEastAsia" w:eastAsiaTheme="minorEastAsia"/>
          <w:lang w:eastAsia="zh-CN"/>
        </w:rPr>
        <w:t>认为项目建设对环境的影响</w:t>
      </w:r>
      <w:r>
        <w:rPr>
          <w:rFonts w:hint="eastAsia" w:asciiTheme="minorEastAsia" w:hAnsiTheme="minorEastAsia" w:eastAsiaTheme="minorEastAsia"/>
          <w:lang w:eastAsia="zh-CN"/>
        </w:rPr>
        <w:t>较小</w:t>
      </w:r>
      <w:r>
        <w:rPr>
          <w:rFonts w:asciiTheme="minorEastAsia" w:hAnsiTheme="minorEastAsia" w:eastAsiaTheme="minorEastAsia"/>
          <w:lang w:eastAsia="zh-CN"/>
        </w:rPr>
        <w:t>，</w:t>
      </w:r>
      <w:r>
        <w:rPr>
          <w:rFonts w:hint="eastAsia" w:asciiTheme="minorEastAsia" w:hAnsiTheme="minorEastAsia" w:eastAsiaTheme="minorEastAsia"/>
          <w:lang w:eastAsia="zh-CN"/>
        </w:rPr>
        <w:t>52.0</w:t>
      </w:r>
      <w:r>
        <w:rPr>
          <w:rFonts w:asciiTheme="minorEastAsia" w:hAnsiTheme="minorEastAsia" w:eastAsiaTheme="minorEastAsia"/>
          <w:lang w:eastAsia="zh-CN"/>
        </w:rPr>
        <w:t>%的</w:t>
      </w:r>
      <w:r>
        <w:rPr>
          <w:rFonts w:hint="eastAsia" w:asciiTheme="minorEastAsia" w:hAnsiTheme="minorEastAsia" w:eastAsiaTheme="minorEastAsia"/>
          <w:lang w:eastAsia="zh-CN"/>
        </w:rPr>
        <w:t>被调查者</w:t>
      </w:r>
      <w:r>
        <w:rPr>
          <w:rFonts w:asciiTheme="minorEastAsia" w:hAnsiTheme="minorEastAsia" w:eastAsiaTheme="minorEastAsia"/>
          <w:lang w:eastAsia="zh-CN"/>
        </w:rPr>
        <w:t>认为项目建设对环境</w:t>
      </w:r>
      <w:r>
        <w:rPr>
          <w:rFonts w:hint="eastAsia" w:asciiTheme="minorEastAsia" w:hAnsiTheme="minorEastAsia" w:eastAsiaTheme="minorEastAsia"/>
          <w:lang w:eastAsia="zh-CN"/>
        </w:rPr>
        <w:t>基本没有</w:t>
      </w:r>
      <w:r>
        <w:rPr>
          <w:rFonts w:asciiTheme="minorEastAsia" w:hAnsiTheme="minorEastAsia" w:eastAsiaTheme="minorEastAsia"/>
          <w:lang w:eastAsia="zh-CN"/>
        </w:rPr>
        <w:t>影响；</w:t>
      </w:r>
    </w:p>
    <w:p w14:paraId="390DA4A5">
      <w:pPr>
        <w:ind w:firstLine="480"/>
        <w:rPr>
          <w:rFonts w:asciiTheme="minorEastAsia" w:hAnsiTheme="minorEastAsia" w:eastAsiaTheme="minorEastAsia"/>
          <w:lang w:eastAsia="zh-CN"/>
        </w:rPr>
      </w:pPr>
      <w:r>
        <w:rPr>
          <w:rFonts w:hint="eastAsia" w:asciiTheme="minorEastAsia" w:hAnsiTheme="minorEastAsia" w:eastAsiaTheme="minorEastAsia"/>
          <w:lang w:eastAsia="zh-CN"/>
        </w:rPr>
        <w:t>（6）100</w:t>
      </w:r>
      <w:r>
        <w:rPr>
          <w:rFonts w:asciiTheme="minorEastAsia" w:hAnsiTheme="minorEastAsia" w:eastAsiaTheme="minorEastAsia"/>
          <w:lang w:eastAsia="zh-CN"/>
        </w:rPr>
        <w:t>%的</w:t>
      </w:r>
      <w:r>
        <w:rPr>
          <w:rFonts w:hint="eastAsia" w:asciiTheme="minorEastAsia" w:hAnsiTheme="minorEastAsia" w:eastAsiaTheme="minorEastAsia"/>
          <w:lang w:eastAsia="zh-CN"/>
        </w:rPr>
        <w:t>被调查者赞成</w:t>
      </w:r>
      <w:r>
        <w:rPr>
          <w:rFonts w:asciiTheme="minorEastAsia" w:hAnsiTheme="minorEastAsia" w:eastAsiaTheme="minorEastAsia"/>
          <w:lang w:eastAsia="zh-CN"/>
        </w:rPr>
        <w:t>本项目建设</w:t>
      </w:r>
      <w:r>
        <w:rPr>
          <w:rFonts w:hint="eastAsia" w:asciiTheme="minorEastAsia" w:hAnsiTheme="minorEastAsia" w:eastAsiaTheme="minorEastAsia"/>
          <w:lang w:eastAsia="zh-CN"/>
        </w:rPr>
        <w:t>，没有反对意见</w:t>
      </w:r>
      <w:r>
        <w:rPr>
          <w:rFonts w:asciiTheme="minorEastAsia" w:hAnsiTheme="minorEastAsia" w:eastAsiaTheme="minorEastAsia"/>
          <w:lang w:eastAsia="zh-CN"/>
        </w:rPr>
        <w:t>。</w:t>
      </w:r>
    </w:p>
    <w:p w14:paraId="7639CD7C">
      <w:pPr>
        <w:pStyle w:val="3"/>
        <w:rPr>
          <w:lang w:eastAsia="zh-CN"/>
        </w:rPr>
      </w:pPr>
      <w:bookmarkStart w:id="1094" w:name="_Toc408414129"/>
      <w:r>
        <w:rPr>
          <w:lang w:eastAsia="zh-CN"/>
        </w:rPr>
        <w:t>16.</w:t>
      </w:r>
      <w:r>
        <w:rPr>
          <w:rFonts w:hint="eastAsia"/>
          <w:lang w:eastAsia="zh-CN"/>
        </w:rPr>
        <w:t>6</w:t>
      </w:r>
      <w:r>
        <w:rPr>
          <w:lang w:eastAsia="zh-CN"/>
        </w:rPr>
        <w:t>公众参与</w:t>
      </w:r>
      <w:r>
        <w:rPr>
          <w:rFonts w:hint="eastAsia"/>
          <w:lang w:eastAsia="zh-CN"/>
        </w:rPr>
        <w:t>意见的落实</w:t>
      </w:r>
      <w:bookmarkEnd w:id="1094"/>
    </w:p>
    <w:p w14:paraId="257ED05D">
      <w:pPr>
        <w:pStyle w:val="127"/>
        <w:ind w:firstLine="480"/>
        <w:rPr>
          <w:rFonts w:asciiTheme="minorEastAsia" w:hAnsiTheme="minorEastAsia" w:eastAsiaTheme="minorEastAsia"/>
          <w:lang w:eastAsia="zh-CN"/>
        </w:rPr>
      </w:pPr>
      <w:r>
        <w:rPr>
          <w:rFonts w:asciiTheme="minorEastAsia" w:hAnsiTheme="minorEastAsia" w:eastAsiaTheme="minorEastAsia"/>
          <w:lang w:eastAsia="zh-CN"/>
        </w:rPr>
        <w:t>此次公众调查结果表明：</w:t>
      </w:r>
      <w:r>
        <w:rPr>
          <w:rFonts w:hint="eastAsia" w:asciiTheme="minorEastAsia" w:hAnsiTheme="minorEastAsia" w:eastAsiaTheme="minorEastAsia"/>
          <w:lang w:eastAsia="zh-CN"/>
        </w:rPr>
        <w:t>由于本项目属于改扩建工程，</w:t>
      </w:r>
      <w:r>
        <w:rPr>
          <w:rFonts w:asciiTheme="minorEastAsia" w:hAnsiTheme="minorEastAsia" w:eastAsiaTheme="minorEastAsia"/>
          <w:lang w:eastAsia="zh-CN"/>
        </w:rPr>
        <w:t>大多数公众对建设项目</w:t>
      </w:r>
      <w:r>
        <w:rPr>
          <w:rFonts w:hint="eastAsia" w:asciiTheme="minorEastAsia" w:hAnsiTheme="minorEastAsia" w:eastAsiaTheme="minorEastAsia"/>
          <w:lang w:eastAsia="zh-CN"/>
        </w:rPr>
        <w:t>比较了解，被调查者对本项目全部持赞成意见，</w:t>
      </w:r>
      <w:r>
        <w:rPr>
          <w:rFonts w:asciiTheme="minorEastAsia" w:hAnsiTheme="minorEastAsia" w:eastAsiaTheme="minorEastAsia"/>
          <w:lang w:eastAsia="zh-CN"/>
        </w:rPr>
        <w:t>并且在</w:t>
      </w:r>
      <w:r>
        <w:rPr>
          <w:rFonts w:hint="eastAsia" w:asciiTheme="minorEastAsia" w:hAnsiTheme="minorEastAsia" w:eastAsiaTheme="minorEastAsia"/>
          <w:lang w:eastAsia="zh-CN"/>
        </w:rPr>
        <w:t>进一步</w:t>
      </w:r>
      <w:r>
        <w:rPr>
          <w:rFonts w:asciiTheme="minorEastAsia" w:hAnsiTheme="minorEastAsia" w:eastAsiaTheme="minorEastAsia"/>
          <w:lang w:eastAsia="zh-CN"/>
        </w:rPr>
        <w:t>了解该项目工程内容的同时，给予了理解与支持。该项目的建设是当地经济发展的大事，在实现其经济效益的同时，必须重点考虑到当地环境保护及本地区人民的生活质量和身体健康，因此要严格落实设计及评价提出的工程污染防治措施，这样才能使项目运营后取得经济效益、环境效益与社会效益三方面的统一，因此，应重点采取以下措施进行落实：</w:t>
      </w:r>
    </w:p>
    <w:p w14:paraId="1F969534">
      <w:pPr>
        <w:pStyle w:val="127"/>
        <w:ind w:firstLine="480"/>
        <w:rPr>
          <w:rFonts w:asciiTheme="minorEastAsia" w:hAnsiTheme="minorEastAsia" w:eastAsiaTheme="minorEastAsia"/>
          <w:lang w:eastAsia="zh-CN"/>
        </w:rPr>
      </w:pPr>
      <w:r>
        <w:rPr>
          <w:rFonts w:asciiTheme="minorEastAsia" w:hAnsiTheme="minorEastAsia" w:eastAsiaTheme="minorEastAsia"/>
          <w:lang w:eastAsia="zh-CN"/>
        </w:rPr>
        <w:t>（1）通过企业与周围牧户、政府及有关机构之间的沟通，表明企业有环境保护的决心和态度，征得群众的赞成态度；</w:t>
      </w:r>
    </w:p>
    <w:p w14:paraId="5F7C8B46">
      <w:pPr>
        <w:pStyle w:val="127"/>
        <w:ind w:firstLine="480"/>
        <w:rPr>
          <w:rFonts w:asciiTheme="minorEastAsia" w:hAnsiTheme="minorEastAsia" w:eastAsiaTheme="minorEastAsia"/>
          <w:lang w:eastAsia="zh-CN"/>
        </w:rPr>
      </w:pPr>
      <w:r>
        <w:rPr>
          <w:rFonts w:asciiTheme="minorEastAsia" w:hAnsiTheme="minorEastAsia" w:eastAsiaTheme="minorEastAsia"/>
          <w:lang w:eastAsia="zh-CN"/>
        </w:rPr>
        <w:t>（2</w:t>
      </w:r>
      <w:r>
        <w:rPr>
          <w:rFonts w:hint="eastAsia" w:asciiTheme="minorEastAsia" w:hAnsiTheme="minorEastAsia" w:eastAsiaTheme="minorEastAsia"/>
          <w:lang w:eastAsia="zh-CN"/>
        </w:rPr>
        <w:t>）</w:t>
      </w:r>
      <w:r>
        <w:rPr>
          <w:rFonts w:asciiTheme="minorEastAsia" w:hAnsiTheme="minorEastAsia" w:eastAsiaTheme="minorEastAsia"/>
          <w:lang w:eastAsia="zh-CN"/>
        </w:rPr>
        <w:t>有部分群众由于担心项目的运行会加重当地的环境影响。为此，建设单位应严格按照设计、评价及环境管理部门批复的要求，对工程不完善的部分进行整改，保证各项环保措施能正常运行，发挥其效益，严格控制生产排污，加强环境管理工作，最大可能降低污染物的外排，减少项目对周围环境的影响；</w:t>
      </w:r>
    </w:p>
    <w:p w14:paraId="17CBE963">
      <w:pPr>
        <w:pStyle w:val="127"/>
        <w:ind w:firstLine="480"/>
        <w:rPr>
          <w:rFonts w:asciiTheme="minorEastAsia" w:hAnsiTheme="minorEastAsia" w:eastAsiaTheme="minorEastAsia"/>
          <w:lang w:eastAsia="zh-CN"/>
        </w:rPr>
      </w:pPr>
      <w:r>
        <w:rPr>
          <w:rFonts w:asciiTheme="minorEastAsia" w:hAnsiTheme="minorEastAsia" w:eastAsiaTheme="minorEastAsia"/>
          <w:lang w:eastAsia="zh-CN"/>
        </w:rPr>
        <w:t>（3）建设单位及时通报项目对周围环境的影响，及时与当地牧民协商，对牧民们比较关注的环境污染问题做出回应，采取措施，造成损失的按照国家政策、规定给予一定的合理的经济补偿，并希望建设单位在可能的情况下尽量在当地招工，解决部分人的就业问题，以此来改善当地的牧民经济生活，增加收入，并把环保工作落到实处，使</w:t>
      </w:r>
      <w:r>
        <w:rPr>
          <w:rFonts w:hint="eastAsia" w:asciiTheme="minorEastAsia" w:hAnsiTheme="minorEastAsia" w:eastAsiaTheme="minorEastAsia"/>
          <w:lang w:eastAsia="zh-CN"/>
        </w:rPr>
        <w:t>油田在开发建设</w:t>
      </w:r>
      <w:r>
        <w:rPr>
          <w:rFonts w:asciiTheme="minorEastAsia" w:hAnsiTheme="minorEastAsia" w:eastAsiaTheme="minorEastAsia"/>
          <w:lang w:eastAsia="zh-CN"/>
        </w:rPr>
        <w:t>过程中对环境造成的影响降至最低</w:t>
      </w:r>
      <w:r>
        <w:rPr>
          <w:rFonts w:hint="eastAsia" w:asciiTheme="minorEastAsia" w:hAnsiTheme="minorEastAsia" w:eastAsiaTheme="minorEastAsia"/>
          <w:lang w:eastAsia="zh-CN"/>
        </w:rPr>
        <w:t>；</w:t>
      </w:r>
    </w:p>
    <w:p w14:paraId="02CD1E4F">
      <w:pPr>
        <w:pStyle w:val="127"/>
        <w:ind w:firstLine="480"/>
        <w:rPr>
          <w:rFonts w:asciiTheme="minorEastAsia" w:hAnsiTheme="minorEastAsia" w:eastAsiaTheme="minorEastAsia"/>
          <w:lang w:eastAsia="zh-CN"/>
        </w:rPr>
      </w:pPr>
      <w:r>
        <w:rPr>
          <w:rFonts w:asciiTheme="minorEastAsia" w:hAnsiTheme="minorEastAsia" w:eastAsiaTheme="minorEastAsia"/>
          <w:lang w:eastAsia="zh-CN"/>
        </w:rPr>
        <w:t>（4）加强</w:t>
      </w:r>
      <w:r>
        <w:rPr>
          <w:rFonts w:hint="eastAsia" w:asciiTheme="minorEastAsia" w:hAnsiTheme="minorEastAsia" w:eastAsiaTheme="minorEastAsia"/>
          <w:lang w:eastAsia="zh-CN"/>
        </w:rPr>
        <w:t>油田</w:t>
      </w:r>
      <w:r>
        <w:rPr>
          <w:rFonts w:asciiTheme="minorEastAsia" w:hAnsiTheme="minorEastAsia" w:eastAsiaTheme="minorEastAsia"/>
          <w:lang w:eastAsia="zh-CN"/>
        </w:rPr>
        <w:t>及周围闲置地的绿化和生态保护，从直观感觉上建立良好的形象</w:t>
      </w:r>
      <w:r>
        <w:rPr>
          <w:rFonts w:hint="eastAsia" w:asciiTheme="minorEastAsia" w:hAnsiTheme="minorEastAsia" w:eastAsiaTheme="minorEastAsia"/>
          <w:lang w:eastAsia="zh-CN"/>
        </w:rPr>
        <w:t>；</w:t>
      </w:r>
    </w:p>
    <w:p w14:paraId="3F1E2FA1">
      <w:pPr>
        <w:pStyle w:val="127"/>
        <w:ind w:firstLine="480"/>
        <w:rPr>
          <w:rFonts w:asciiTheme="minorEastAsia" w:hAnsiTheme="minorEastAsia" w:eastAsiaTheme="minorEastAsia"/>
          <w:lang w:eastAsia="zh-CN"/>
        </w:rPr>
      </w:pPr>
      <w:r>
        <w:rPr>
          <w:rFonts w:asciiTheme="minorEastAsia" w:hAnsiTheme="minorEastAsia" w:eastAsiaTheme="minorEastAsia"/>
          <w:lang w:eastAsia="zh-CN"/>
        </w:rPr>
        <w:t>（5）加强对项目施工建设期的环境管理，减轻由于运输、施工造成的噪声影响</w:t>
      </w:r>
      <w:r>
        <w:rPr>
          <w:rFonts w:hint="eastAsia" w:asciiTheme="minorEastAsia" w:hAnsiTheme="minorEastAsia" w:eastAsiaTheme="minorEastAsia"/>
          <w:lang w:eastAsia="zh-CN"/>
        </w:rPr>
        <w:t>。</w:t>
      </w:r>
    </w:p>
    <w:p w14:paraId="6F968FE6">
      <w:pPr>
        <w:pStyle w:val="127"/>
        <w:ind w:firstLine="480"/>
        <w:rPr>
          <w:rFonts w:asciiTheme="minorEastAsia" w:hAnsiTheme="minorEastAsia" w:eastAsiaTheme="minorEastAsia"/>
          <w:lang w:eastAsia="zh-CN"/>
        </w:rPr>
        <w:sectPr>
          <w:pgSz w:w="11907" w:h="16840"/>
          <w:pgMar w:top="1440" w:right="1797" w:bottom="1440" w:left="1797" w:header="851" w:footer="992" w:gutter="0"/>
          <w:cols w:space="720" w:num="1"/>
          <w:docGrid w:linePitch="312" w:charSpace="0"/>
        </w:sectPr>
      </w:pPr>
    </w:p>
    <w:p w14:paraId="562E444D">
      <w:pPr>
        <w:pStyle w:val="380"/>
        <w:spacing w:before="0" w:after="0"/>
        <w:rPr>
          <w:rFonts w:cs="Times New Roman"/>
          <w:lang w:eastAsia="zh-CN"/>
        </w:rPr>
      </w:pPr>
      <w:bookmarkStart w:id="1095" w:name="_Toc408414130"/>
      <w:r>
        <w:rPr>
          <w:rFonts w:cs="Times New Roman"/>
          <w:lang w:eastAsia="zh-CN"/>
        </w:rPr>
        <w:t>17 结论与建议</w:t>
      </w:r>
      <w:bookmarkEnd w:id="1075"/>
      <w:bookmarkEnd w:id="1095"/>
    </w:p>
    <w:p w14:paraId="37BFACFC">
      <w:pPr>
        <w:pStyle w:val="3"/>
        <w:rPr>
          <w:lang w:eastAsia="zh-CN"/>
        </w:rPr>
      </w:pPr>
      <w:bookmarkStart w:id="1096" w:name="_Toc248649478"/>
      <w:bookmarkStart w:id="1097" w:name="_Toc408414131"/>
      <w:r>
        <w:rPr>
          <w:lang w:eastAsia="zh-CN"/>
        </w:rPr>
        <w:t>17.1工程概况</w:t>
      </w:r>
      <w:bookmarkEnd w:id="1096"/>
      <w:bookmarkEnd w:id="1097"/>
    </w:p>
    <w:p w14:paraId="0FB26DE3">
      <w:pPr>
        <w:ind w:firstLine="480"/>
        <w:rPr>
          <w:rFonts w:asciiTheme="minorEastAsia" w:hAnsiTheme="minorEastAsia" w:eastAsiaTheme="minorEastAsia"/>
          <w:bCs/>
          <w:kern w:val="2"/>
          <w:szCs w:val="24"/>
          <w:lang w:eastAsia="zh-CN" w:bidi="ar-SA"/>
        </w:rPr>
      </w:pPr>
      <w:bookmarkStart w:id="1098" w:name="_Toc248649479"/>
      <w:r>
        <w:rPr>
          <w:rFonts w:asciiTheme="minorEastAsia" w:hAnsiTheme="minorEastAsia" w:eastAsiaTheme="minorEastAsia"/>
          <w:kern w:val="2"/>
          <w:szCs w:val="24"/>
          <w:lang w:eastAsia="zh-CN" w:bidi="ar-SA"/>
        </w:rPr>
        <w:t>乌里雅斯太油田地面产能开发建设项目</w:t>
      </w:r>
      <w:r>
        <w:rPr>
          <w:rFonts w:asciiTheme="minorEastAsia" w:hAnsiTheme="minorEastAsia" w:eastAsiaTheme="minorEastAsia"/>
          <w:bCs/>
          <w:kern w:val="2"/>
          <w:szCs w:val="24"/>
          <w:lang w:eastAsia="zh-CN" w:bidi="ar-SA"/>
        </w:rPr>
        <w:t>位于内蒙古自治区</w:t>
      </w:r>
      <w:r>
        <w:rPr>
          <w:rFonts w:hint="eastAsia" w:asciiTheme="minorEastAsia" w:hAnsiTheme="minorEastAsia" w:eastAsiaTheme="minorEastAsia"/>
          <w:bCs/>
          <w:kern w:val="2"/>
          <w:szCs w:val="24"/>
          <w:lang w:eastAsia="zh-CN" w:bidi="ar-SA"/>
        </w:rPr>
        <w:t>锡林郭勒盟</w:t>
      </w:r>
      <w:r>
        <w:rPr>
          <w:rFonts w:asciiTheme="minorEastAsia" w:hAnsiTheme="minorEastAsia" w:eastAsiaTheme="minorEastAsia"/>
          <w:bCs/>
          <w:kern w:val="2"/>
          <w:szCs w:val="24"/>
          <w:lang w:eastAsia="zh-CN" w:bidi="ar-SA"/>
        </w:rPr>
        <w:t>东乌珠穆沁旗</w:t>
      </w:r>
      <w:r>
        <w:rPr>
          <w:rFonts w:asciiTheme="minorEastAsia" w:hAnsiTheme="minorEastAsia" w:eastAsiaTheme="minorEastAsia"/>
          <w:kern w:val="2"/>
          <w:szCs w:val="24"/>
          <w:lang w:eastAsia="zh-CN" w:bidi="ar-SA"/>
        </w:rPr>
        <w:t>乌里雅斯太</w:t>
      </w:r>
      <w:r>
        <w:rPr>
          <w:rFonts w:hint="eastAsia" w:asciiTheme="minorEastAsia" w:hAnsiTheme="minorEastAsia" w:eastAsiaTheme="minorEastAsia"/>
          <w:kern w:val="2"/>
          <w:szCs w:val="24"/>
          <w:lang w:eastAsia="zh-CN" w:bidi="ar-SA"/>
        </w:rPr>
        <w:t>镇</w:t>
      </w:r>
      <w:r>
        <w:rPr>
          <w:rFonts w:hint="eastAsia" w:asciiTheme="minorEastAsia" w:hAnsiTheme="minorEastAsia" w:eastAsiaTheme="minorEastAsia"/>
          <w:bCs/>
          <w:kern w:val="2"/>
          <w:szCs w:val="24"/>
          <w:lang w:eastAsia="zh-CN" w:bidi="ar-SA"/>
        </w:rPr>
        <w:t>境内</w:t>
      </w:r>
      <w:r>
        <w:rPr>
          <w:rFonts w:asciiTheme="minorEastAsia" w:hAnsiTheme="minorEastAsia" w:eastAsiaTheme="minorEastAsia"/>
          <w:bCs/>
          <w:kern w:val="2"/>
          <w:szCs w:val="24"/>
          <w:lang w:eastAsia="zh-CN" w:bidi="ar-SA"/>
        </w:rPr>
        <w:t>，距</w:t>
      </w:r>
      <w:r>
        <w:rPr>
          <w:rFonts w:asciiTheme="minorEastAsia" w:hAnsiTheme="minorEastAsia" w:eastAsiaTheme="minorEastAsia"/>
          <w:kern w:val="2"/>
          <w:szCs w:val="24"/>
          <w:lang w:eastAsia="zh-CN" w:bidi="ar-SA"/>
        </w:rPr>
        <w:t>乌里雅斯太</w:t>
      </w:r>
      <w:r>
        <w:rPr>
          <w:rFonts w:hint="eastAsia" w:asciiTheme="minorEastAsia" w:hAnsiTheme="minorEastAsia" w:eastAsiaTheme="minorEastAsia"/>
          <w:kern w:val="2"/>
          <w:szCs w:val="24"/>
          <w:lang w:eastAsia="zh-CN" w:bidi="ar-SA"/>
        </w:rPr>
        <w:t>镇</w:t>
      </w:r>
      <w:r>
        <w:rPr>
          <w:rFonts w:asciiTheme="minorEastAsia" w:hAnsiTheme="minorEastAsia" w:eastAsiaTheme="minorEastAsia"/>
          <w:bCs/>
          <w:kern w:val="2"/>
          <w:szCs w:val="24"/>
          <w:lang w:eastAsia="zh-CN" w:bidi="ar-SA"/>
        </w:rPr>
        <w:t>约</w:t>
      </w:r>
      <w:r>
        <w:rPr>
          <w:rFonts w:hint="eastAsia" w:asciiTheme="minorEastAsia" w:hAnsiTheme="minorEastAsia" w:eastAsiaTheme="minorEastAsia"/>
          <w:bCs/>
          <w:kern w:val="2"/>
          <w:szCs w:val="24"/>
          <w:lang w:eastAsia="zh-CN" w:bidi="ar-SA"/>
        </w:rPr>
        <w:t>15.0km，由</w:t>
      </w:r>
      <w:r>
        <w:rPr>
          <w:rFonts w:asciiTheme="minorEastAsia" w:hAnsiTheme="minorEastAsia" w:eastAsiaTheme="minorEastAsia"/>
          <w:bCs/>
          <w:kern w:val="2"/>
          <w:szCs w:val="24"/>
          <w:lang w:eastAsia="zh-CN" w:bidi="ar-SA"/>
        </w:rPr>
        <w:t>中国石油华北油田公司二连分公司</w:t>
      </w:r>
      <w:r>
        <w:rPr>
          <w:rFonts w:hint="eastAsia" w:asciiTheme="minorEastAsia" w:hAnsiTheme="minorEastAsia" w:eastAsiaTheme="minorEastAsia"/>
          <w:bCs/>
          <w:kern w:val="2"/>
          <w:szCs w:val="24"/>
          <w:lang w:eastAsia="zh-CN" w:bidi="ar-SA"/>
        </w:rPr>
        <w:t>建设</w:t>
      </w:r>
      <w:r>
        <w:rPr>
          <w:rFonts w:asciiTheme="minorEastAsia" w:hAnsiTheme="minorEastAsia" w:eastAsiaTheme="minorEastAsia"/>
          <w:bCs/>
          <w:kern w:val="2"/>
          <w:szCs w:val="24"/>
          <w:lang w:eastAsia="zh-CN" w:bidi="ar-SA"/>
        </w:rPr>
        <w:t>。</w:t>
      </w:r>
    </w:p>
    <w:p w14:paraId="49A5D7AD">
      <w:pPr>
        <w:ind w:firstLine="480"/>
        <w:rPr>
          <w:rFonts w:asciiTheme="minorEastAsia" w:hAnsiTheme="minorEastAsia" w:eastAsiaTheme="minorEastAsia"/>
          <w:kern w:val="2"/>
          <w:szCs w:val="24"/>
          <w:lang w:eastAsia="zh-CN" w:bidi="ar-SA"/>
        </w:rPr>
      </w:pPr>
      <w:r>
        <w:rPr>
          <w:rFonts w:asciiTheme="minorEastAsia" w:hAnsiTheme="minorEastAsia" w:eastAsiaTheme="minorEastAsia"/>
          <w:kern w:val="2"/>
          <w:szCs w:val="24"/>
          <w:lang w:eastAsia="zh-CN" w:bidi="ar-SA"/>
        </w:rPr>
        <w:t>乌里雅斯太油田地面产能开发建设项目</w:t>
      </w:r>
      <w:r>
        <w:rPr>
          <w:rFonts w:hint="eastAsia" w:asciiTheme="minorEastAsia" w:hAnsiTheme="minorEastAsia" w:eastAsiaTheme="minorEastAsia"/>
          <w:kern w:val="2"/>
          <w:szCs w:val="24"/>
          <w:lang w:eastAsia="zh-CN" w:bidi="ar-SA"/>
        </w:rPr>
        <w:t xml:space="preserve">，开发太53 </w:t>
      </w:r>
      <w:r>
        <w:rPr>
          <w:rFonts w:asciiTheme="minorEastAsia" w:hAnsiTheme="minorEastAsia" w:eastAsiaTheme="minorEastAsia"/>
          <w:kern w:val="2"/>
          <w:szCs w:val="24"/>
          <w:lang w:eastAsia="zh-CN" w:bidi="ar-SA"/>
        </w:rPr>
        <w:t>断块</w:t>
      </w:r>
      <w:r>
        <w:rPr>
          <w:rFonts w:hint="eastAsia" w:asciiTheme="minorEastAsia" w:hAnsiTheme="minorEastAsia" w:eastAsiaTheme="minorEastAsia"/>
          <w:kern w:val="2"/>
          <w:szCs w:val="24"/>
          <w:lang w:eastAsia="zh-CN" w:bidi="ar-SA"/>
        </w:rPr>
        <w:t xml:space="preserve">和太27 </w:t>
      </w:r>
      <w:r>
        <w:rPr>
          <w:rFonts w:asciiTheme="minorEastAsia" w:hAnsiTheme="minorEastAsia" w:eastAsiaTheme="minorEastAsia"/>
          <w:kern w:val="2"/>
          <w:szCs w:val="24"/>
          <w:lang w:eastAsia="zh-CN" w:bidi="ar-SA"/>
        </w:rPr>
        <w:t>断块</w:t>
      </w:r>
      <w:r>
        <w:rPr>
          <w:rFonts w:hint="eastAsia" w:asciiTheme="minorEastAsia" w:hAnsiTheme="minorEastAsia" w:eastAsiaTheme="minorEastAsia"/>
          <w:kern w:val="2"/>
          <w:szCs w:val="24"/>
          <w:lang w:eastAsia="zh-CN" w:bidi="ar-SA"/>
        </w:rPr>
        <w:t xml:space="preserve">，太53 </w:t>
      </w:r>
      <w:r>
        <w:rPr>
          <w:rFonts w:asciiTheme="minorEastAsia" w:hAnsiTheme="minorEastAsia" w:eastAsiaTheme="minorEastAsia"/>
          <w:kern w:val="2"/>
          <w:szCs w:val="24"/>
          <w:lang w:eastAsia="zh-CN" w:bidi="ar-SA"/>
        </w:rPr>
        <w:t>断块</w:t>
      </w:r>
      <w:r>
        <w:rPr>
          <w:rFonts w:hint="eastAsia" w:asciiTheme="minorEastAsia" w:hAnsiTheme="minorEastAsia" w:eastAsiaTheme="minorEastAsia"/>
          <w:kern w:val="2"/>
          <w:szCs w:val="24"/>
          <w:lang w:eastAsia="zh-CN" w:bidi="ar-SA"/>
        </w:rPr>
        <w:t xml:space="preserve">现有油井22口，开井16口；太27断块现有油井26口。太53 </w:t>
      </w:r>
      <w:r>
        <w:rPr>
          <w:rFonts w:asciiTheme="minorEastAsia" w:hAnsiTheme="minorEastAsia" w:eastAsiaTheme="minorEastAsia"/>
          <w:kern w:val="2"/>
          <w:szCs w:val="24"/>
          <w:lang w:eastAsia="zh-CN" w:bidi="ar-SA"/>
        </w:rPr>
        <w:t>断块</w:t>
      </w:r>
      <w:r>
        <w:rPr>
          <w:rFonts w:hint="eastAsia" w:asciiTheme="minorEastAsia" w:hAnsiTheme="minorEastAsia" w:eastAsiaTheme="minorEastAsia"/>
          <w:kern w:val="2"/>
          <w:szCs w:val="24"/>
          <w:lang w:eastAsia="zh-CN" w:bidi="ar-SA"/>
        </w:rPr>
        <w:t>和太27断块现有注水井21口（太27断块16口，太53断块5口），开井</w:t>
      </w:r>
      <w:r>
        <w:rPr>
          <w:rFonts w:asciiTheme="minorEastAsia" w:hAnsiTheme="minorEastAsia" w:eastAsiaTheme="minorEastAsia"/>
          <w:kern w:val="2"/>
          <w:szCs w:val="24"/>
          <w:lang w:eastAsia="zh-CN" w:bidi="ar-SA"/>
        </w:rPr>
        <w:t>17</w:t>
      </w:r>
      <w:r>
        <w:rPr>
          <w:rFonts w:hint="eastAsia" w:asciiTheme="minorEastAsia" w:hAnsiTheme="minorEastAsia" w:eastAsiaTheme="minorEastAsia"/>
          <w:kern w:val="2"/>
          <w:szCs w:val="24"/>
          <w:lang w:eastAsia="zh-CN" w:bidi="ar-SA"/>
        </w:rPr>
        <w:t>口（太</w:t>
      </w:r>
      <w:r>
        <w:rPr>
          <w:rFonts w:asciiTheme="minorEastAsia" w:hAnsiTheme="minorEastAsia" w:eastAsiaTheme="minorEastAsia"/>
          <w:kern w:val="2"/>
          <w:szCs w:val="24"/>
          <w:lang w:eastAsia="zh-CN" w:bidi="ar-SA"/>
        </w:rPr>
        <w:t>27</w:t>
      </w:r>
      <w:r>
        <w:rPr>
          <w:rFonts w:hint="eastAsia" w:asciiTheme="minorEastAsia" w:hAnsiTheme="minorEastAsia" w:eastAsiaTheme="minorEastAsia"/>
          <w:kern w:val="2"/>
          <w:szCs w:val="24"/>
          <w:lang w:eastAsia="zh-CN" w:bidi="ar-SA"/>
        </w:rPr>
        <w:t>断块</w:t>
      </w:r>
      <w:r>
        <w:rPr>
          <w:rFonts w:asciiTheme="minorEastAsia" w:hAnsiTheme="minorEastAsia" w:eastAsiaTheme="minorEastAsia"/>
          <w:kern w:val="2"/>
          <w:szCs w:val="24"/>
          <w:lang w:eastAsia="zh-CN" w:bidi="ar-SA"/>
        </w:rPr>
        <w:t>13</w:t>
      </w:r>
      <w:r>
        <w:rPr>
          <w:rFonts w:hint="eastAsia" w:asciiTheme="minorEastAsia" w:hAnsiTheme="minorEastAsia" w:eastAsiaTheme="minorEastAsia"/>
          <w:kern w:val="2"/>
          <w:szCs w:val="24"/>
          <w:lang w:eastAsia="zh-CN" w:bidi="ar-SA"/>
        </w:rPr>
        <w:t>口，太</w:t>
      </w:r>
      <w:r>
        <w:rPr>
          <w:rFonts w:asciiTheme="minorEastAsia" w:hAnsiTheme="minorEastAsia" w:eastAsiaTheme="minorEastAsia"/>
          <w:kern w:val="2"/>
          <w:szCs w:val="24"/>
          <w:lang w:eastAsia="zh-CN" w:bidi="ar-SA"/>
        </w:rPr>
        <w:t>53</w:t>
      </w:r>
      <w:r>
        <w:rPr>
          <w:rFonts w:hint="eastAsia" w:asciiTheme="minorEastAsia" w:hAnsiTheme="minorEastAsia" w:eastAsiaTheme="minorEastAsia"/>
          <w:kern w:val="2"/>
          <w:szCs w:val="24"/>
          <w:lang w:eastAsia="zh-CN" w:bidi="ar-SA"/>
        </w:rPr>
        <w:t>断块</w:t>
      </w:r>
      <w:r>
        <w:rPr>
          <w:rFonts w:asciiTheme="minorEastAsia" w:hAnsiTheme="minorEastAsia" w:eastAsiaTheme="minorEastAsia"/>
          <w:kern w:val="2"/>
          <w:szCs w:val="24"/>
          <w:lang w:eastAsia="zh-CN" w:bidi="ar-SA"/>
        </w:rPr>
        <w:t>4</w:t>
      </w:r>
      <w:r>
        <w:rPr>
          <w:rFonts w:hint="eastAsia" w:asciiTheme="minorEastAsia" w:hAnsiTheme="minorEastAsia" w:eastAsiaTheme="minorEastAsia"/>
          <w:kern w:val="2"/>
          <w:szCs w:val="24"/>
          <w:lang w:eastAsia="zh-CN" w:bidi="ar-SA"/>
        </w:rPr>
        <w:t>口）。</w:t>
      </w:r>
      <w:r>
        <w:rPr>
          <w:rFonts w:hint="eastAsia" w:asciiTheme="minorEastAsia" w:hAnsiTheme="minorEastAsia" w:eastAsiaTheme="minorEastAsia"/>
          <w:lang w:eastAsia="zh-CN"/>
        </w:rPr>
        <w:t>乌里雅斯太油田2004年投入试采，2006年结合产能建设雅一站接转站，产能3.0×10</w:t>
      </w:r>
      <w:r>
        <w:rPr>
          <w:rFonts w:hint="eastAsia" w:asciiTheme="minorEastAsia" w:hAnsiTheme="minorEastAsia" w:eastAsiaTheme="minorEastAsia"/>
          <w:vertAlign w:val="superscript"/>
          <w:lang w:eastAsia="zh-CN"/>
        </w:rPr>
        <w:t>4</w:t>
      </w:r>
      <w:r>
        <w:rPr>
          <w:rFonts w:hint="eastAsia" w:asciiTheme="minorEastAsia" w:hAnsiTheme="minorEastAsia" w:eastAsiaTheme="minorEastAsia"/>
          <w:lang w:eastAsia="zh-CN"/>
        </w:rPr>
        <w:t>t/a。</w:t>
      </w:r>
      <w:r>
        <w:rPr>
          <w:rFonts w:asciiTheme="minorEastAsia" w:hAnsiTheme="minorEastAsia" w:eastAsiaTheme="minorEastAsia"/>
          <w:kern w:val="2"/>
          <w:szCs w:val="24"/>
          <w:lang w:eastAsia="zh-CN" w:bidi="ar-SA"/>
        </w:rPr>
        <w:t>乌里雅斯太油田</w:t>
      </w:r>
      <w:r>
        <w:rPr>
          <w:rFonts w:hint="eastAsia" w:asciiTheme="minorEastAsia" w:hAnsiTheme="minorEastAsia" w:eastAsiaTheme="minorEastAsia"/>
          <w:kern w:val="2"/>
          <w:szCs w:val="24"/>
          <w:lang w:eastAsia="zh-CN" w:bidi="ar-SA"/>
        </w:rPr>
        <w:t>现有工程</w:t>
      </w:r>
      <w:r>
        <w:rPr>
          <w:rFonts w:asciiTheme="minorEastAsia" w:hAnsiTheme="minorEastAsia" w:eastAsiaTheme="minorEastAsia"/>
          <w:kern w:val="2"/>
          <w:szCs w:val="24"/>
          <w:lang w:eastAsia="zh-CN" w:bidi="ar-SA"/>
        </w:rPr>
        <w:t>环境影响评价及环保验收手续齐全。</w:t>
      </w:r>
    </w:p>
    <w:p w14:paraId="09A39223">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lang w:eastAsia="zh-CN"/>
        </w:rPr>
        <w:t>本项目建设属于改扩建项目，项目建设内容主要包括：</w:t>
      </w:r>
      <w:r>
        <w:rPr>
          <w:rFonts w:hint="eastAsia" w:asciiTheme="minorEastAsia" w:hAnsiTheme="minorEastAsia" w:eastAsiaTheme="minorEastAsia"/>
          <w:kern w:val="2"/>
          <w:szCs w:val="24"/>
          <w:lang w:eastAsia="zh-CN" w:bidi="ar-SA"/>
        </w:rPr>
        <w:t>将</w:t>
      </w:r>
      <w:r>
        <w:rPr>
          <w:rFonts w:hint="eastAsia" w:asciiTheme="minorEastAsia" w:hAnsiTheme="minorEastAsia" w:eastAsiaTheme="minorEastAsia"/>
          <w:lang w:eastAsia="zh-CN"/>
        </w:rPr>
        <w:t>雅一站接转站扩建为雅斯联合站，设计</w:t>
      </w:r>
      <w:r>
        <w:rPr>
          <w:rFonts w:hint="eastAsia" w:asciiTheme="minorEastAsia" w:hAnsiTheme="minorEastAsia" w:eastAsiaTheme="minorEastAsia"/>
          <w:kern w:val="2"/>
          <w:szCs w:val="24"/>
          <w:lang w:eastAsia="zh-CN" w:bidi="ar-SA"/>
        </w:rPr>
        <w:t>规模</w:t>
      </w:r>
      <w:r>
        <w:rPr>
          <w:rFonts w:hint="eastAsia" w:asciiTheme="minorEastAsia" w:hAnsiTheme="minorEastAsia" w:eastAsiaTheme="minorEastAsia"/>
          <w:lang w:eastAsia="zh-CN"/>
        </w:rPr>
        <w:t>产能8×10</w:t>
      </w:r>
      <w:r>
        <w:rPr>
          <w:rFonts w:hint="eastAsia" w:asciiTheme="minorEastAsia" w:hAnsiTheme="minorEastAsia" w:eastAsiaTheme="minorEastAsia"/>
          <w:vertAlign w:val="superscript"/>
          <w:lang w:eastAsia="zh-CN"/>
        </w:rPr>
        <w:t>4</w:t>
      </w:r>
      <w:r>
        <w:rPr>
          <w:rFonts w:hint="eastAsia" w:asciiTheme="minorEastAsia" w:hAnsiTheme="minorEastAsia" w:eastAsiaTheme="minorEastAsia"/>
          <w:lang w:eastAsia="zh-CN"/>
        </w:rPr>
        <w:t>t/a，功能包括集油、分离、沉降脱水、加热、掺水、伴生气处理、天然气发电、装卸车、注水、污水处理、变配电等，扩建后的雅斯联合站，处理合格的原油通过阿乌宝线进入宝力格联合站，单井集油采用掺水流程，单井计量采用示功图计量，不建计量站，实现一级布站；新部署油水井93口，其中，油井74口，注水井19口。</w:t>
      </w:r>
    </w:p>
    <w:p w14:paraId="12B3A8CC">
      <w:pPr>
        <w:ind w:firstLine="480"/>
        <w:rPr>
          <w:rFonts w:asciiTheme="minorEastAsia" w:hAnsiTheme="minorEastAsia" w:eastAsiaTheme="minorEastAsia"/>
          <w:snapToGrid w:val="0"/>
          <w:lang w:eastAsia="zh-CN"/>
        </w:rPr>
      </w:pPr>
      <w:r>
        <w:rPr>
          <w:rFonts w:hint="eastAsia" w:asciiTheme="minorEastAsia" w:hAnsiTheme="minorEastAsia" w:eastAsiaTheme="minorEastAsia"/>
          <w:lang w:eastAsia="zh-CN"/>
        </w:rPr>
        <w:t>本项目</w:t>
      </w:r>
      <w:r>
        <w:rPr>
          <w:rFonts w:asciiTheme="minorEastAsia" w:hAnsiTheme="minorEastAsia" w:eastAsiaTheme="minorEastAsia"/>
          <w:lang w:eastAsia="zh-CN"/>
        </w:rPr>
        <w:t>总投资</w:t>
      </w:r>
      <w:r>
        <w:rPr>
          <w:rFonts w:hint="eastAsia" w:asciiTheme="minorEastAsia" w:hAnsiTheme="minorEastAsia" w:eastAsiaTheme="minorEastAsia"/>
          <w:lang w:eastAsia="zh-CN"/>
        </w:rPr>
        <w:t>8000.0</w:t>
      </w:r>
      <w:r>
        <w:rPr>
          <w:rFonts w:asciiTheme="minorEastAsia" w:hAnsiTheme="minorEastAsia" w:eastAsiaTheme="minorEastAsia"/>
          <w:lang w:eastAsia="zh-CN"/>
        </w:rPr>
        <w:t>万元，环保投资</w:t>
      </w:r>
      <w:r>
        <w:rPr>
          <w:rFonts w:hint="eastAsia" w:asciiTheme="minorEastAsia" w:hAnsiTheme="minorEastAsia" w:eastAsiaTheme="minorEastAsia"/>
          <w:lang w:eastAsia="zh-CN"/>
        </w:rPr>
        <w:t>1000.0</w:t>
      </w:r>
      <w:r>
        <w:rPr>
          <w:rFonts w:asciiTheme="minorEastAsia" w:hAnsiTheme="minorEastAsia" w:eastAsiaTheme="minorEastAsia"/>
          <w:lang w:eastAsia="zh-CN"/>
        </w:rPr>
        <w:t>万元，占总投资的</w:t>
      </w:r>
      <w:r>
        <w:rPr>
          <w:rFonts w:hint="eastAsia" w:asciiTheme="minorEastAsia" w:hAnsiTheme="minorEastAsia" w:eastAsiaTheme="minorEastAsia"/>
          <w:lang w:eastAsia="zh-CN"/>
        </w:rPr>
        <w:t>12.5</w:t>
      </w:r>
      <w:r>
        <w:rPr>
          <w:rFonts w:asciiTheme="minorEastAsia" w:hAnsiTheme="minorEastAsia" w:eastAsiaTheme="minorEastAsia"/>
          <w:lang w:eastAsia="zh-CN"/>
        </w:rPr>
        <w:t>%。</w:t>
      </w:r>
    </w:p>
    <w:p w14:paraId="034085E4">
      <w:pPr>
        <w:pStyle w:val="3"/>
        <w:rPr>
          <w:lang w:eastAsia="zh-CN"/>
        </w:rPr>
      </w:pPr>
      <w:bookmarkStart w:id="1099" w:name="_Toc408414132"/>
      <w:r>
        <w:rPr>
          <w:lang w:eastAsia="zh-CN"/>
        </w:rPr>
        <w:t>17.2产业政策及区域规划符合性分析</w:t>
      </w:r>
      <w:bookmarkEnd w:id="1098"/>
      <w:bookmarkEnd w:id="1099"/>
    </w:p>
    <w:p w14:paraId="30C6BFD2">
      <w:pPr>
        <w:ind w:firstLine="480"/>
        <w:rPr>
          <w:rFonts w:asciiTheme="minorEastAsia" w:hAnsiTheme="minorEastAsia" w:eastAsiaTheme="minorEastAsia"/>
          <w:kern w:val="2"/>
          <w:szCs w:val="24"/>
          <w:lang w:eastAsia="zh-CN" w:bidi="ar-SA"/>
        </w:rPr>
      </w:pPr>
      <w:bookmarkStart w:id="1100" w:name="_Toc236312892"/>
      <w:bookmarkStart w:id="1101" w:name="_Toc205277959"/>
      <w:bookmarkStart w:id="1102" w:name="_Toc206236266"/>
      <w:bookmarkStart w:id="1103" w:name="_Toc208712746"/>
      <w:bookmarkStart w:id="1104" w:name="_Toc211056979"/>
      <w:bookmarkStart w:id="1105" w:name="_Toc205625954"/>
      <w:bookmarkStart w:id="1106" w:name="_Toc205264512"/>
      <w:bookmarkStart w:id="1107" w:name="_Toc211222372"/>
      <w:bookmarkStart w:id="1108" w:name="_Toc206235607"/>
      <w:bookmarkStart w:id="1109" w:name="_Toc214955230"/>
      <w:bookmarkStart w:id="1110" w:name="_Toc211053014"/>
      <w:bookmarkStart w:id="1111" w:name="_Toc248649480"/>
      <w:bookmarkStart w:id="1112" w:name="_Toc211052856"/>
      <w:r>
        <w:rPr>
          <w:rFonts w:hint="eastAsia" w:asciiTheme="minorEastAsia" w:hAnsiTheme="minorEastAsia" w:eastAsiaTheme="minorEastAsia"/>
          <w:kern w:val="2"/>
          <w:szCs w:val="24"/>
          <w:lang w:eastAsia="zh-CN" w:bidi="ar-SA"/>
        </w:rPr>
        <w:t>（1）</w:t>
      </w:r>
      <w:r>
        <w:rPr>
          <w:rFonts w:asciiTheme="minorEastAsia" w:hAnsiTheme="minorEastAsia" w:eastAsiaTheme="minorEastAsia"/>
          <w:kern w:val="2"/>
          <w:szCs w:val="24"/>
          <w:lang w:eastAsia="zh-CN" w:bidi="ar-SA"/>
        </w:rPr>
        <w:t>石油化工工业是国家</w:t>
      </w:r>
      <w:r>
        <w:rPr>
          <w:rFonts w:hint="eastAsia" w:asciiTheme="minorEastAsia" w:hAnsiTheme="minorEastAsia" w:eastAsiaTheme="minorEastAsia"/>
          <w:kern w:val="2"/>
          <w:szCs w:val="24"/>
          <w:lang w:eastAsia="zh-CN" w:bidi="ar-SA"/>
        </w:rPr>
        <w:t>“</w:t>
      </w:r>
      <w:r>
        <w:rPr>
          <w:rFonts w:asciiTheme="minorEastAsia" w:hAnsiTheme="minorEastAsia" w:eastAsiaTheme="minorEastAsia"/>
          <w:kern w:val="2"/>
          <w:szCs w:val="24"/>
          <w:lang w:eastAsia="zh-CN" w:bidi="ar-SA"/>
        </w:rPr>
        <w:t>十二五</w:t>
      </w:r>
      <w:r>
        <w:rPr>
          <w:rFonts w:hint="eastAsia" w:asciiTheme="minorEastAsia" w:hAnsiTheme="minorEastAsia" w:eastAsiaTheme="minorEastAsia"/>
          <w:kern w:val="2"/>
          <w:szCs w:val="24"/>
          <w:lang w:eastAsia="zh-CN" w:bidi="ar-SA"/>
        </w:rPr>
        <w:t>”</w:t>
      </w:r>
      <w:r>
        <w:rPr>
          <w:rFonts w:asciiTheme="minorEastAsia" w:hAnsiTheme="minorEastAsia" w:eastAsiaTheme="minorEastAsia"/>
          <w:kern w:val="2"/>
          <w:szCs w:val="24"/>
          <w:lang w:eastAsia="zh-CN" w:bidi="ar-SA"/>
        </w:rPr>
        <w:t>期间重点发展的行业，根据国家发展和改革委员会颁布的《产业结构调整指导目录（</w:t>
      </w:r>
      <w:r>
        <w:rPr>
          <w:rFonts w:hint="eastAsia" w:asciiTheme="minorEastAsia" w:hAnsiTheme="minorEastAsia" w:eastAsiaTheme="minorEastAsia"/>
          <w:kern w:val="2"/>
          <w:szCs w:val="24"/>
          <w:lang w:eastAsia="zh-CN" w:bidi="ar-SA"/>
        </w:rPr>
        <w:t>2011本，</w:t>
      </w:r>
      <w:r>
        <w:rPr>
          <w:rFonts w:asciiTheme="minorEastAsia" w:hAnsiTheme="minorEastAsia" w:eastAsiaTheme="minorEastAsia"/>
          <w:kern w:val="2"/>
          <w:szCs w:val="24"/>
          <w:lang w:eastAsia="zh-CN" w:bidi="ar-SA"/>
        </w:rPr>
        <w:t>201</w:t>
      </w:r>
      <w:r>
        <w:rPr>
          <w:rFonts w:hint="eastAsia" w:asciiTheme="minorEastAsia" w:hAnsiTheme="minorEastAsia" w:eastAsiaTheme="minorEastAsia"/>
          <w:kern w:val="2"/>
          <w:szCs w:val="24"/>
          <w:lang w:eastAsia="zh-CN" w:bidi="ar-SA"/>
        </w:rPr>
        <w:t>3</w:t>
      </w:r>
      <w:r>
        <w:rPr>
          <w:rFonts w:asciiTheme="minorEastAsia" w:hAnsiTheme="minorEastAsia" w:eastAsiaTheme="minorEastAsia"/>
          <w:kern w:val="2"/>
          <w:szCs w:val="24"/>
          <w:lang w:eastAsia="zh-CN" w:bidi="ar-SA"/>
        </w:rPr>
        <w:t>年</w:t>
      </w:r>
      <w:r>
        <w:rPr>
          <w:rFonts w:hint="eastAsia" w:asciiTheme="minorEastAsia" w:hAnsiTheme="minorEastAsia" w:eastAsiaTheme="minorEastAsia"/>
          <w:kern w:val="2"/>
          <w:szCs w:val="24"/>
          <w:lang w:eastAsia="zh-CN" w:bidi="ar-SA"/>
        </w:rPr>
        <w:t>修订</w:t>
      </w:r>
      <w:r>
        <w:rPr>
          <w:rFonts w:asciiTheme="minorEastAsia" w:hAnsiTheme="minorEastAsia" w:eastAsiaTheme="minorEastAsia"/>
          <w:kern w:val="2"/>
          <w:szCs w:val="24"/>
          <w:lang w:eastAsia="zh-CN" w:bidi="ar-SA"/>
        </w:rPr>
        <w:t>）》中第一类中第七条第1款</w:t>
      </w:r>
      <w:r>
        <w:rPr>
          <w:rFonts w:hint="eastAsia" w:asciiTheme="minorEastAsia" w:hAnsiTheme="minorEastAsia" w:eastAsiaTheme="minorEastAsia"/>
          <w:kern w:val="2"/>
          <w:szCs w:val="24"/>
          <w:lang w:eastAsia="zh-CN" w:bidi="ar-SA"/>
        </w:rPr>
        <w:t>“</w:t>
      </w:r>
      <w:r>
        <w:rPr>
          <w:rFonts w:asciiTheme="minorEastAsia" w:hAnsiTheme="minorEastAsia" w:eastAsiaTheme="minorEastAsia"/>
          <w:kern w:val="2"/>
          <w:szCs w:val="24"/>
          <w:lang w:eastAsia="zh-CN" w:bidi="ar-SA"/>
        </w:rPr>
        <w:t>常规石油、天然气的勘探与开采</w:t>
      </w:r>
      <w:r>
        <w:rPr>
          <w:rFonts w:hint="eastAsia" w:asciiTheme="minorEastAsia" w:hAnsiTheme="minorEastAsia" w:eastAsiaTheme="minorEastAsia"/>
          <w:kern w:val="2"/>
          <w:szCs w:val="24"/>
          <w:lang w:eastAsia="zh-CN" w:bidi="ar-SA"/>
        </w:rPr>
        <w:t>”</w:t>
      </w:r>
      <w:r>
        <w:rPr>
          <w:rFonts w:asciiTheme="minorEastAsia" w:hAnsiTheme="minorEastAsia" w:eastAsiaTheme="minorEastAsia"/>
          <w:kern w:val="2"/>
          <w:szCs w:val="24"/>
          <w:lang w:eastAsia="zh-CN" w:bidi="ar-SA"/>
        </w:rPr>
        <w:t>的规定，本项目为鼓励类项目，符合国家产业政策。</w:t>
      </w:r>
    </w:p>
    <w:p w14:paraId="5753A531">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（2）</w:t>
      </w:r>
      <w:r>
        <w:rPr>
          <w:rFonts w:asciiTheme="minorEastAsia" w:hAnsiTheme="minorEastAsia" w:eastAsiaTheme="minorEastAsia"/>
          <w:kern w:val="2"/>
          <w:szCs w:val="24"/>
          <w:lang w:eastAsia="zh-CN" w:bidi="ar-SA"/>
        </w:rPr>
        <w:t>乌里雅斯太油田为锡林郭勒盟境内的石油资源勘查开发利用项目，该项目的建设符合内蒙古自治区</w:t>
      </w:r>
      <w:r>
        <w:rPr>
          <w:rFonts w:hint="eastAsia" w:asciiTheme="minorEastAsia" w:hAnsiTheme="minorEastAsia" w:eastAsiaTheme="minorEastAsia"/>
          <w:kern w:val="2"/>
          <w:szCs w:val="24"/>
          <w:lang w:eastAsia="zh-CN" w:bidi="ar-SA"/>
        </w:rPr>
        <w:t>“</w:t>
      </w:r>
      <w:r>
        <w:rPr>
          <w:rFonts w:asciiTheme="minorEastAsia" w:hAnsiTheme="minorEastAsia" w:eastAsiaTheme="minorEastAsia"/>
          <w:kern w:val="2"/>
          <w:szCs w:val="24"/>
          <w:lang w:eastAsia="zh-CN" w:bidi="ar-SA"/>
        </w:rPr>
        <w:t>十二五</w:t>
      </w:r>
      <w:r>
        <w:rPr>
          <w:rFonts w:hint="eastAsia" w:asciiTheme="minorEastAsia" w:hAnsiTheme="minorEastAsia" w:eastAsiaTheme="minorEastAsia"/>
          <w:kern w:val="2"/>
          <w:szCs w:val="24"/>
          <w:lang w:eastAsia="zh-CN" w:bidi="ar-SA"/>
        </w:rPr>
        <w:t>”</w:t>
      </w:r>
      <w:r>
        <w:rPr>
          <w:rFonts w:asciiTheme="minorEastAsia" w:hAnsiTheme="minorEastAsia" w:eastAsiaTheme="minorEastAsia"/>
          <w:kern w:val="2"/>
          <w:szCs w:val="24"/>
          <w:lang w:eastAsia="zh-CN" w:bidi="ar-SA"/>
        </w:rPr>
        <w:t>规划纲要</w:t>
      </w:r>
      <w:r>
        <w:rPr>
          <w:rFonts w:hint="eastAsia" w:asciiTheme="minorEastAsia" w:hAnsiTheme="minorEastAsia" w:eastAsiaTheme="minorEastAsia"/>
          <w:kern w:val="2"/>
          <w:szCs w:val="24"/>
          <w:lang w:eastAsia="zh-CN" w:bidi="ar-SA"/>
        </w:rPr>
        <w:t>“</w:t>
      </w:r>
      <w:r>
        <w:rPr>
          <w:rFonts w:asciiTheme="minorEastAsia" w:hAnsiTheme="minorEastAsia" w:eastAsiaTheme="minorEastAsia"/>
          <w:kern w:val="2"/>
          <w:szCs w:val="24"/>
          <w:lang w:eastAsia="zh-CN" w:bidi="ar-SA"/>
        </w:rPr>
        <w:t>推进石油天然气资源勘查开发利用</w:t>
      </w:r>
      <w:r>
        <w:rPr>
          <w:rFonts w:hint="eastAsia" w:asciiTheme="minorEastAsia" w:hAnsiTheme="minorEastAsia" w:eastAsiaTheme="minorEastAsia"/>
          <w:kern w:val="2"/>
          <w:szCs w:val="24"/>
          <w:lang w:eastAsia="zh-CN" w:bidi="ar-SA"/>
        </w:rPr>
        <w:t>”</w:t>
      </w:r>
      <w:r>
        <w:rPr>
          <w:rFonts w:asciiTheme="minorEastAsia" w:hAnsiTheme="minorEastAsia" w:eastAsiaTheme="minorEastAsia"/>
          <w:kern w:val="2"/>
          <w:szCs w:val="24"/>
          <w:lang w:eastAsia="zh-CN" w:bidi="ar-SA"/>
        </w:rPr>
        <w:t>的要求。</w:t>
      </w:r>
    </w:p>
    <w:p w14:paraId="475337CF">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（3）</w:t>
      </w:r>
      <w:r>
        <w:rPr>
          <w:rFonts w:asciiTheme="minorEastAsia" w:hAnsiTheme="minorEastAsia" w:eastAsiaTheme="minorEastAsia"/>
          <w:kern w:val="2"/>
          <w:szCs w:val="24"/>
          <w:lang w:eastAsia="zh-CN" w:bidi="ar-SA"/>
        </w:rPr>
        <w:t>本项目为东乌旗乌里雅斯太油田开发建设项目，符合锡林郭勒盟</w:t>
      </w:r>
      <w:r>
        <w:rPr>
          <w:rFonts w:hint="eastAsia" w:asciiTheme="minorEastAsia" w:hAnsiTheme="minorEastAsia" w:eastAsiaTheme="minorEastAsia"/>
          <w:kern w:val="2"/>
          <w:szCs w:val="24"/>
          <w:lang w:eastAsia="zh-CN" w:bidi="ar-SA"/>
        </w:rPr>
        <w:t>“</w:t>
      </w:r>
      <w:r>
        <w:rPr>
          <w:rFonts w:asciiTheme="minorEastAsia" w:hAnsiTheme="minorEastAsia" w:eastAsiaTheme="minorEastAsia"/>
          <w:kern w:val="2"/>
          <w:szCs w:val="24"/>
          <w:lang w:eastAsia="zh-CN" w:bidi="ar-SA"/>
        </w:rPr>
        <w:t>十二五</w:t>
      </w:r>
      <w:r>
        <w:rPr>
          <w:rFonts w:hint="eastAsia" w:asciiTheme="minorEastAsia" w:hAnsiTheme="minorEastAsia" w:eastAsiaTheme="minorEastAsia"/>
          <w:kern w:val="2"/>
          <w:szCs w:val="24"/>
          <w:lang w:eastAsia="zh-CN" w:bidi="ar-SA"/>
        </w:rPr>
        <w:t>”</w:t>
      </w:r>
      <w:r>
        <w:rPr>
          <w:rFonts w:asciiTheme="minorEastAsia" w:hAnsiTheme="minorEastAsia" w:eastAsiaTheme="minorEastAsia"/>
          <w:kern w:val="2"/>
          <w:szCs w:val="24"/>
          <w:lang w:eastAsia="zh-CN" w:bidi="ar-SA"/>
        </w:rPr>
        <w:t>规划</w:t>
      </w:r>
      <w:r>
        <w:rPr>
          <w:rFonts w:hint="eastAsia" w:asciiTheme="minorEastAsia" w:hAnsiTheme="minorEastAsia" w:eastAsiaTheme="minorEastAsia"/>
          <w:kern w:val="2"/>
          <w:szCs w:val="24"/>
          <w:lang w:eastAsia="zh-CN" w:bidi="ar-SA"/>
        </w:rPr>
        <w:t>“</w:t>
      </w:r>
      <w:r>
        <w:rPr>
          <w:rFonts w:asciiTheme="minorEastAsia" w:hAnsiTheme="minorEastAsia" w:eastAsiaTheme="minorEastAsia"/>
          <w:kern w:val="2"/>
          <w:szCs w:val="24"/>
          <w:lang w:eastAsia="zh-CN" w:bidi="ar-SA"/>
        </w:rPr>
        <w:t>加强石油勘探开发</w:t>
      </w:r>
      <w:r>
        <w:rPr>
          <w:rFonts w:hint="eastAsia" w:asciiTheme="minorEastAsia" w:hAnsiTheme="minorEastAsia" w:eastAsiaTheme="minorEastAsia"/>
          <w:kern w:val="2"/>
          <w:szCs w:val="24"/>
          <w:lang w:eastAsia="zh-CN" w:bidi="ar-SA"/>
        </w:rPr>
        <w:t>”</w:t>
      </w:r>
      <w:r>
        <w:rPr>
          <w:rFonts w:asciiTheme="minorEastAsia" w:hAnsiTheme="minorEastAsia" w:eastAsiaTheme="minorEastAsia"/>
          <w:kern w:val="2"/>
          <w:szCs w:val="24"/>
          <w:lang w:eastAsia="zh-CN" w:bidi="ar-SA"/>
        </w:rPr>
        <w:t>的要求。</w:t>
      </w:r>
    </w:p>
    <w:p w14:paraId="214065FB">
      <w:pPr>
        <w:pStyle w:val="3"/>
        <w:rPr>
          <w:lang w:eastAsia="zh-CN"/>
        </w:rPr>
      </w:pPr>
      <w:bookmarkStart w:id="1113" w:name="_Toc408414133"/>
      <w:r>
        <w:rPr>
          <w:lang w:eastAsia="zh-CN"/>
        </w:rPr>
        <w:t>17.3环境质量现状评价</w:t>
      </w:r>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p>
    <w:p w14:paraId="535233B5">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（1）</w:t>
      </w:r>
      <w:r>
        <w:rPr>
          <w:rFonts w:asciiTheme="minorEastAsia" w:hAnsiTheme="minorEastAsia" w:eastAsiaTheme="minorEastAsia"/>
          <w:kern w:val="2"/>
          <w:szCs w:val="24"/>
          <w:lang w:eastAsia="zh-CN" w:bidi="ar-SA"/>
        </w:rPr>
        <w:t>空气环境</w:t>
      </w:r>
    </w:p>
    <w:p w14:paraId="613949CB">
      <w:pPr>
        <w:ind w:firstLine="480"/>
        <w:rPr>
          <w:rFonts w:asciiTheme="minorEastAsia" w:hAnsiTheme="minorEastAsia" w:eastAsiaTheme="minorEastAsia"/>
          <w:kern w:val="2"/>
          <w:szCs w:val="24"/>
          <w:lang w:eastAsia="zh-CN" w:bidi="ar-SA"/>
        </w:rPr>
      </w:pPr>
      <w:r>
        <w:rPr>
          <w:rFonts w:asciiTheme="minorEastAsia" w:hAnsiTheme="minorEastAsia" w:eastAsiaTheme="minorEastAsia"/>
          <w:kern w:val="2"/>
          <w:szCs w:val="24"/>
          <w:lang w:eastAsia="zh-CN" w:bidi="ar-SA"/>
        </w:rPr>
        <w:t>由</w:t>
      </w:r>
      <w:r>
        <w:rPr>
          <w:rFonts w:hint="eastAsia" w:asciiTheme="minorEastAsia" w:hAnsiTheme="minorEastAsia" w:eastAsiaTheme="minorEastAsia"/>
          <w:kern w:val="2"/>
          <w:szCs w:val="24"/>
          <w:lang w:eastAsia="zh-CN" w:bidi="ar-SA"/>
        </w:rPr>
        <w:t>现状监测</w:t>
      </w:r>
      <w:r>
        <w:rPr>
          <w:rFonts w:asciiTheme="minorEastAsia" w:hAnsiTheme="minorEastAsia" w:eastAsiaTheme="minorEastAsia"/>
          <w:kern w:val="2"/>
          <w:szCs w:val="24"/>
          <w:lang w:eastAsia="zh-CN" w:bidi="ar-SA"/>
        </w:rPr>
        <w:t>及评价结果可知，评价区域内SO</w:t>
      </w:r>
      <w:r>
        <w:rPr>
          <w:rFonts w:asciiTheme="minorEastAsia" w:hAnsiTheme="minorEastAsia" w:eastAsiaTheme="minorEastAsia"/>
          <w:kern w:val="2"/>
          <w:szCs w:val="24"/>
          <w:vertAlign w:val="subscript"/>
          <w:lang w:eastAsia="zh-CN" w:bidi="ar-SA"/>
        </w:rPr>
        <w:t>2</w:t>
      </w:r>
      <w:r>
        <w:rPr>
          <w:rFonts w:asciiTheme="minorEastAsia" w:hAnsiTheme="minorEastAsia" w:eastAsiaTheme="minorEastAsia"/>
          <w:kern w:val="2"/>
          <w:szCs w:val="24"/>
          <w:lang w:eastAsia="zh-CN" w:bidi="ar-SA"/>
        </w:rPr>
        <w:t>、NOx、PM</w:t>
      </w:r>
      <w:r>
        <w:rPr>
          <w:rFonts w:asciiTheme="minorEastAsia" w:hAnsiTheme="minorEastAsia" w:eastAsiaTheme="minorEastAsia"/>
          <w:kern w:val="2"/>
          <w:szCs w:val="24"/>
          <w:vertAlign w:val="subscript"/>
          <w:lang w:eastAsia="zh-CN" w:bidi="ar-SA"/>
        </w:rPr>
        <w:t>10</w:t>
      </w:r>
      <w:r>
        <w:rPr>
          <w:rFonts w:asciiTheme="minorEastAsia" w:hAnsiTheme="minorEastAsia" w:eastAsiaTheme="minorEastAsia"/>
          <w:kern w:val="2"/>
          <w:szCs w:val="24"/>
          <w:lang w:eastAsia="zh-CN" w:bidi="ar-SA"/>
        </w:rPr>
        <w:t>、TSP日均浓度值均未超过相应的标准限值，评价指数小于1。评价区域内环境空气质量能够满足国家《环境空气质量标准》（GB3095-96）二级标准的要求。</w:t>
      </w:r>
    </w:p>
    <w:p w14:paraId="7A7B344D">
      <w:pPr>
        <w:ind w:firstLine="480"/>
        <w:outlineLvl w:val="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（2）</w:t>
      </w:r>
      <w:r>
        <w:rPr>
          <w:rFonts w:asciiTheme="minorEastAsia" w:hAnsiTheme="minorEastAsia" w:eastAsiaTheme="minorEastAsia"/>
          <w:kern w:val="2"/>
          <w:szCs w:val="24"/>
          <w:lang w:eastAsia="zh-CN" w:bidi="ar-SA"/>
        </w:rPr>
        <w:t>地下水环境</w:t>
      </w:r>
    </w:p>
    <w:p w14:paraId="4D7154C8">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现状监测结果及</w:t>
      </w:r>
      <w:r>
        <w:rPr>
          <w:rFonts w:asciiTheme="minorEastAsia" w:hAnsiTheme="minorEastAsia" w:eastAsiaTheme="minorEastAsia"/>
          <w:kern w:val="2"/>
          <w:szCs w:val="24"/>
          <w:lang w:eastAsia="zh-CN" w:bidi="ar-SA"/>
        </w:rPr>
        <w:t>评价结果可知，</w:t>
      </w:r>
      <w:r>
        <w:rPr>
          <w:rFonts w:hint="eastAsia" w:asciiTheme="minorEastAsia" w:hAnsiTheme="minorEastAsia" w:eastAsiaTheme="minorEastAsia"/>
          <w:kern w:val="2"/>
          <w:szCs w:val="24"/>
          <w:lang w:eastAsia="zh-CN" w:bidi="ar-SA"/>
        </w:rPr>
        <w:t>3个地下水水质监测点位</w:t>
      </w:r>
      <w:r>
        <w:rPr>
          <w:rFonts w:asciiTheme="minorEastAsia" w:hAnsiTheme="minorEastAsia" w:eastAsiaTheme="minorEastAsia"/>
          <w:kern w:val="2"/>
          <w:szCs w:val="24"/>
          <w:lang w:eastAsia="zh-CN" w:bidi="ar-SA"/>
        </w:rPr>
        <w:t>除</w:t>
      </w:r>
      <w:r>
        <w:rPr>
          <w:rFonts w:hint="eastAsia" w:asciiTheme="minorEastAsia" w:hAnsiTheme="minorEastAsia" w:eastAsiaTheme="minorEastAsia"/>
          <w:kern w:val="2"/>
          <w:szCs w:val="24"/>
          <w:lang w:eastAsia="zh-CN" w:bidi="ar-SA"/>
        </w:rPr>
        <w:t>2#监测点位</w:t>
      </w:r>
      <w:r>
        <w:rPr>
          <w:rFonts w:asciiTheme="minorEastAsia" w:hAnsiTheme="minorEastAsia" w:eastAsiaTheme="minorEastAsia"/>
          <w:kern w:val="2"/>
          <w:szCs w:val="24"/>
          <w:lang w:eastAsia="zh-CN" w:bidi="ar-SA"/>
        </w:rPr>
        <w:t>氟化物</w:t>
      </w:r>
      <w:r>
        <w:rPr>
          <w:rFonts w:hint="eastAsia" w:asciiTheme="minorEastAsia" w:hAnsiTheme="minorEastAsia" w:eastAsiaTheme="minorEastAsia"/>
          <w:kern w:val="2"/>
          <w:szCs w:val="24"/>
          <w:lang w:eastAsia="zh-CN" w:bidi="ar-SA"/>
        </w:rPr>
        <w:t>超标</w:t>
      </w:r>
      <w:r>
        <w:rPr>
          <w:rFonts w:asciiTheme="minorEastAsia" w:hAnsiTheme="minorEastAsia" w:eastAsiaTheme="minorEastAsia"/>
          <w:kern w:val="2"/>
          <w:szCs w:val="24"/>
          <w:lang w:eastAsia="zh-CN" w:bidi="ar-SA"/>
        </w:rPr>
        <w:t>外</w:t>
      </w:r>
      <w:r>
        <w:rPr>
          <w:rFonts w:hint="eastAsia" w:asciiTheme="minorEastAsia" w:hAnsiTheme="minorEastAsia" w:eastAsiaTheme="minorEastAsia"/>
          <w:kern w:val="2"/>
          <w:szCs w:val="24"/>
          <w:lang w:eastAsia="zh-CN" w:bidi="ar-SA"/>
        </w:rPr>
        <w:t>，</w:t>
      </w:r>
      <w:r>
        <w:rPr>
          <w:rFonts w:asciiTheme="minorEastAsia" w:hAnsiTheme="minorEastAsia" w:eastAsiaTheme="minorEastAsia"/>
          <w:kern w:val="2"/>
          <w:szCs w:val="24"/>
          <w:lang w:eastAsia="zh-CN" w:bidi="ar-SA"/>
        </w:rPr>
        <w:t>其他各项指标达到</w:t>
      </w:r>
      <w:r>
        <w:rPr>
          <w:rFonts w:hint="eastAsia" w:asciiTheme="minorEastAsia" w:hAnsiTheme="minorEastAsia" w:eastAsiaTheme="minorEastAsia"/>
          <w:kern w:val="2"/>
          <w:szCs w:val="24"/>
          <w:lang w:eastAsia="zh-CN" w:bidi="ar-SA"/>
        </w:rPr>
        <w:t>（</w:t>
      </w:r>
      <w:r>
        <w:rPr>
          <w:rFonts w:asciiTheme="minorEastAsia" w:hAnsiTheme="minorEastAsia" w:eastAsiaTheme="minorEastAsia"/>
          <w:kern w:val="2"/>
          <w:szCs w:val="24"/>
          <w:lang w:eastAsia="zh-CN" w:bidi="ar-SA"/>
        </w:rPr>
        <w:t>GB/T14848-93</w:t>
      </w:r>
      <w:r>
        <w:rPr>
          <w:rFonts w:hint="eastAsia" w:asciiTheme="minorEastAsia" w:hAnsiTheme="minorEastAsia" w:eastAsiaTheme="minorEastAsia"/>
          <w:kern w:val="2"/>
          <w:szCs w:val="24"/>
          <w:lang w:eastAsia="zh-CN" w:bidi="ar-SA"/>
        </w:rPr>
        <w:t>）Ⅲ</w:t>
      </w:r>
      <w:r>
        <w:rPr>
          <w:rFonts w:asciiTheme="minorEastAsia" w:hAnsiTheme="minorEastAsia" w:eastAsiaTheme="minorEastAsia"/>
          <w:kern w:val="2"/>
          <w:szCs w:val="24"/>
          <w:lang w:eastAsia="zh-CN" w:bidi="ar-SA"/>
        </w:rPr>
        <w:t>类标准要求。</w:t>
      </w:r>
      <w:r>
        <w:rPr>
          <w:rFonts w:hint="eastAsia" w:asciiTheme="minorEastAsia" w:hAnsiTheme="minorEastAsia" w:eastAsiaTheme="minorEastAsia"/>
          <w:kern w:val="2"/>
          <w:szCs w:val="24"/>
          <w:lang w:eastAsia="zh-CN" w:bidi="ar-SA"/>
        </w:rPr>
        <w:t>2#监测点</w:t>
      </w:r>
      <w:r>
        <w:rPr>
          <w:rFonts w:asciiTheme="minorEastAsia" w:hAnsiTheme="minorEastAsia" w:eastAsiaTheme="minorEastAsia"/>
          <w:kern w:val="2"/>
          <w:szCs w:val="24"/>
          <w:lang w:eastAsia="zh-CN" w:bidi="ar-SA"/>
        </w:rPr>
        <w:t>氟化物出现超标，最大超标倍数为</w:t>
      </w:r>
      <w:r>
        <w:rPr>
          <w:rFonts w:hint="eastAsia" w:asciiTheme="minorEastAsia" w:hAnsiTheme="minorEastAsia" w:eastAsiaTheme="minorEastAsia"/>
          <w:kern w:val="2"/>
          <w:szCs w:val="24"/>
          <w:lang w:eastAsia="zh-CN" w:bidi="ar-SA"/>
        </w:rPr>
        <w:t>0</w:t>
      </w:r>
      <w:r>
        <w:rPr>
          <w:rFonts w:asciiTheme="minorEastAsia" w:hAnsiTheme="minorEastAsia" w:eastAsiaTheme="minorEastAsia"/>
          <w:kern w:val="2"/>
          <w:szCs w:val="24"/>
          <w:lang w:eastAsia="zh-CN" w:bidi="ar-SA"/>
        </w:rPr>
        <w:t>.</w:t>
      </w:r>
      <w:r>
        <w:rPr>
          <w:rFonts w:hint="eastAsia" w:asciiTheme="minorEastAsia" w:hAnsiTheme="minorEastAsia" w:eastAsiaTheme="minorEastAsia"/>
          <w:kern w:val="2"/>
          <w:szCs w:val="24"/>
          <w:lang w:eastAsia="zh-CN" w:bidi="ar-SA"/>
        </w:rPr>
        <w:t>77</w:t>
      </w:r>
      <w:r>
        <w:rPr>
          <w:rFonts w:asciiTheme="minorEastAsia" w:hAnsiTheme="minorEastAsia" w:eastAsiaTheme="minorEastAsia"/>
          <w:kern w:val="2"/>
          <w:szCs w:val="24"/>
          <w:lang w:eastAsia="zh-CN" w:bidi="ar-SA"/>
        </w:rPr>
        <w:t>，其原因为当地的地质化学构造所致</w:t>
      </w:r>
      <w:r>
        <w:rPr>
          <w:rFonts w:hint="eastAsia" w:asciiTheme="minorEastAsia" w:hAnsiTheme="minorEastAsia" w:eastAsiaTheme="minorEastAsia"/>
          <w:kern w:val="2"/>
          <w:szCs w:val="24"/>
          <w:lang w:eastAsia="zh-CN" w:bidi="ar-SA"/>
        </w:rPr>
        <w:t>。</w:t>
      </w:r>
      <w:r>
        <w:rPr>
          <w:rFonts w:asciiTheme="minorEastAsia" w:hAnsiTheme="minorEastAsia" w:eastAsiaTheme="minorEastAsia"/>
          <w:kern w:val="2"/>
          <w:szCs w:val="24"/>
          <w:lang w:eastAsia="zh-CN" w:bidi="ar-SA"/>
        </w:rPr>
        <w:t>总体看来，</w:t>
      </w:r>
      <w:r>
        <w:rPr>
          <w:rFonts w:hint="eastAsia" w:asciiTheme="minorEastAsia" w:hAnsiTheme="minorEastAsia" w:eastAsiaTheme="minorEastAsia"/>
          <w:kern w:val="2"/>
          <w:szCs w:val="24"/>
          <w:lang w:eastAsia="zh-CN" w:bidi="ar-SA"/>
        </w:rPr>
        <w:t>评价区</w:t>
      </w:r>
      <w:r>
        <w:rPr>
          <w:rFonts w:asciiTheme="minorEastAsia" w:hAnsiTheme="minorEastAsia" w:eastAsiaTheme="minorEastAsia"/>
          <w:kern w:val="2"/>
          <w:szCs w:val="24"/>
          <w:lang w:eastAsia="zh-CN" w:bidi="ar-SA"/>
        </w:rPr>
        <w:t>地下水水质较好。</w:t>
      </w:r>
    </w:p>
    <w:p w14:paraId="64469CC5">
      <w:pPr>
        <w:ind w:firstLine="480"/>
        <w:outlineLvl w:val="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（3）</w:t>
      </w:r>
      <w:r>
        <w:rPr>
          <w:rFonts w:asciiTheme="minorEastAsia" w:hAnsiTheme="minorEastAsia" w:eastAsiaTheme="minorEastAsia"/>
          <w:kern w:val="2"/>
          <w:szCs w:val="24"/>
          <w:lang w:eastAsia="zh-CN" w:bidi="ar-SA"/>
        </w:rPr>
        <w:t>声环境</w:t>
      </w:r>
    </w:p>
    <w:p w14:paraId="4EEC9C12">
      <w:pPr>
        <w:ind w:firstLine="480"/>
        <w:rPr>
          <w:rFonts w:asciiTheme="minorEastAsia" w:hAnsiTheme="minorEastAsia" w:eastAsiaTheme="minorEastAsia"/>
          <w:kern w:val="2"/>
          <w:szCs w:val="24"/>
          <w:lang w:eastAsia="zh-CN" w:bidi="ar-SA"/>
        </w:rPr>
      </w:pPr>
      <w:r>
        <w:rPr>
          <w:rFonts w:asciiTheme="minorEastAsia" w:hAnsiTheme="minorEastAsia" w:eastAsiaTheme="minorEastAsia"/>
          <w:kern w:val="2"/>
          <w:szCs w:val="24"/>
          <w:lang w:eastAsia="zh-CN" w:bidi="ar-SA"/>
        </w:rPr>
        <w:t>由环境噪声监测结果可知：</w:t>
      </w:r>
      <w:r>
        <w:rPr>
          <w:rFonts w:hint="eastAsia" w:asciiTheme="minorEastAsia" w:hAnsiTheme="minorEastAsia" w:eastAsiaTheme="minorEastAsia"/>
          <w:kern w:val="2"/>
          <w:szCs w:val="24"/>
          <w:lang w:eastAsia="zh-CN" w:bidi="ar-SA"/>
        </w:rPr>
        <w:t>联合站厂界4</w:t>
      </w:r>
      <w:r>
        <w:rPr>
          <w:rFonts w:asciiTheme="minorEastAsia" w:hAnsiTheme="minorEastAsia" w:eastAsiaTheme="minorEastAsia"/>
          <w:kern w:val="2"/>
          <w:szCs w:val="24"/>
          <w:lang w:eastAsia="zh-CN" w:bidi="ar-SA"/>
        </w:rPr>
        <w:t>个监测点的噪声现状监测值昼间在</w:t>
      </w:r>
      <w:r>
        <w:rPr>
          <w:rFonts w:hint="eastAsia" w:asciiTheme="minorEastAsia" w:hAnsiTheme="minorEastAsia" w:eastAsiaTheme="minorEastAsia"/>
          <w:kern w:val="2"/>
          <w:szCs w:val="24"/>
          <w:lang w:eastAsia="zh-CN" w:bidi="ar-SA"/>
        </w:rPr>
        <w:t>51.0</w:t>
      </w:r>
      <w:r>
        <w:rPr>
          <w:rFonts w:asciiTheme="minorEastAsia" w:hAnsiTheme="minorEastAsia" w:eastAsiaTheme="minorEastAsia"/>
          <w:kern w:val="2"/>
          <w:szCs w:val="24"/>
          <w:lang w:eastAsia="zh-CN" w:bidi="ar-SA"/>
        </w:rPr>
        <w:t>～</w:t>
      </w:r>
      <w:r>
        <w:rPr>
          <w:rFonts w:hint="eastAsia" w:asciiTheme="minorEastAsia" w:hAnsiTheme="minorEastAsia" w:eastAsiaTheme="minorEastAsia"/>
          <w:kern w:val="2"/>
          <w:szCs w:val="24"/>
          <w:lang w:eastAsia="zh-CN" w:bidi="ar-SA"/>
        </w:rPr>
        <w:t>52.0</w:t>
      </w:r>
      <w:r>
        <w:rPr>
          <w:rFonts w:asciiTheme="minorEastAsia" w:hAnsiTheme="minorEastAsia" w:eastAsiaTheme="minorEastAsia"/>
          <w:kern w:val="2"/>
          <w:szCs w:val="24"/>
          <w:lang w:eastAsia="zh-CN" w:bidi="ar-SA"/>
        </w:rPr>
        <w:t>dB(A)之间、夜间在</w:t>
      </w:r>
      <w:r>
        <w:rPr>
          <w:rFonts w:hint="eastAsia" w:asciiTheme="minorEastAsia" w:hAnsiTheme="minorEastAsia" w:eastAsiaTheme="minorEastAsia"/>
          <w:kern w:val="2"/>
          <w:szCs w:val="24"/>
          <w:lang w:eastAsia="zh-CN" w:bidi="ar-SA"/>
        </w:rPr>
        <w:t>41.2</w:t>
      </w:r>
      <w:r>
        <w:rPr>
          <w:rFonts w:asciiTheme="minorEastAsia" w:hAnsiTheme="minorEastAsia" w:eastAsiaTheme="minorEastAsia"/>
          <w:kern w:val="2"/>
          <w:szCs w:val="24"/>
          <w:lang w:eastAsia="zh-CN" w:bidi="ar-SA"/>
        </w:rPr>
        <w:t>～</w:t>
      </w:r>
      <w:r>
        <w:rPr>
          <w:rFonts w:hint="eastAsia" w:asciiTheme="minorEastAsia" w:hAnsiTheme="minorEastAsia" w:eastAsiaTheme="minorEastAsia"/>
          <w:kern w:val="2"/>
          <w:szCs w:val="24"/>
          <w:lang w:eastAsia="zh-CN" w:bidi="ar-SA"/>
        </w:rPr>
        <w:t>42.8</w:t>
      </w:r>
      <w:r>
        <w:rPr>
          <w:rFonts w:asciiTheme="minorEastAsia" w:hAnsiTheme="minorEastAsia" w:eastAsiaTheme="minorEastAsia"/>
          <w:kern w:val="2"/>
          <w:szCs w:val="24"/>
          <w:lang w:eastAsia="zh-CN" w:bidi="ar-SA"/>
        </w:rPr>
        <w:t>dB(A)之间</w:t>
      </w:r>
      <w:r>
        <w:rPr>
          <w:rFonts w:hint="eastAsia" w:asciiTheme="minorEastAsia" w:hAnsiTheme="minorEastAsia" w:eastAsiaTheme="minorEastAsia"/>
          <w:kern w:val="2"/>
          <w:szCs w:val="24"/>
          <w:lang w:eastAsia="zh-CN" w:bidi="ar-SA"/>
        </w:rPr>
        <w:t>；敏感点2个监测点</w:t>
      </w:r>
      <w:r>
        <w:rPr>
          <w:rFonts w:asciiTheme="minorEastAsia" w:hAnsiTheme="minorEastAsia" w:eastAsiaTheme="minorEastAsia"/>
          <w:kern w:val="2"/>
          <w:szCs w:val="24"/>
          <w:lang w:eastAsia="zh-CN" w:bidi="ar-SA"/>
        </w:rPr>
        <w:t>的噪声现状监测值昼间在</w:t>
      </w:r>
      <w:r>
        <w:rPr>
          <w:rFonts w:hint="eastAsia" w:asciiTheme="minorEastAsia" w:hAnsiTheme="minorEastAsia" w:eastAsiaTheme="minorEastAsia"/>
          <w:kern w:val="2"/>
          <w:szCs w:val="24"/>
          <w:lang w:eastAsia="zh-CN" w:bidi="ar-SA"/>
        </w:rPr>
        <w:t>48.8</w:t>
      </w:r>
      <w:r>
        <w:rPr>
          <w:rFonts w:asciiTheme="minorEastAsia" w:hAnsiTheme="minorEastAsia" w:eastAsiaTheme="minorEastAsia"/>
          <w:kern w:val="2"/>
          <w:szCs w:val="24"/>
          <w:lang w:eastAsia="zh-CN" w:bidi="ar-SA"/>
        </w:rPr>
        <w:t>～</w:t>
      </w:r>
      <w:r>
        <w:rPr>
          <w:rFonts w:hint="eastAsia" w:asciiTheme="minorEastAsia" w:hAnsiTheme="minorEastAsia" w:eastAsiaTheme="minorEastAsia"/>
          <w:kern w:val="2"/>
          <w:szCs w:val="24"/>
          <w:lang w:eastAsia="zh-CN" w:bidi="ar-SA"/>
        </w:rPr>
        <w:t>49.1</w:t>
      </w:r>
      <w:r>
        <w:rPr>
          <w:rFonts w:asciiTheme="minorEastAsia" w:hAnsiTheme="minorEastAsia" w:eastAsiaTheme="minorEastAsia"/>
          <w:kern w:val="2"/>
          <w:szCs w:val="24"/>
          <w:lang w:eastAsia="zh-CN" w:bidi="ar-SA"/>
        </w:rPr>
        <w:t>dB(A)之间、夜间在</w:t>
      </w:r>
      <w:r>
        <w:rPr>
          <w:rFonts w:hint="eastAsia" w:asciiTheme="minorEastAsia" w:hAnsiTheme="minorEastAsia" w:eastAsiaTheme="minorEastAsia"/>
          <w:kern w:val="2"/>
          <w:szCs w:val="24"/>
          <w:lang w:eastAsia="zh-CN" w:bidi="ar-SA"/>
        </w:rPr>
        <w:t>39.4</w:t>
      </w:r>
      <w:r>
        <w:rPr>
          <w:rFonts w:asciiTheme="minorEastAsia" w:hAnsiTheme="minorEastAsia" w:eastAsiaTheme="minorEastAsia"/>
          <w:kern w:val="2"/>
          <w:szCs w:val="24"/>
          <w:lang w:eastAsia="zh-CN" w:bidi="ar-SA"/>
        </w:rPr>
        <w:t>～</w:t>
      </w:r>
      <w:r>
        <w:rPr>
          <w:rFonts w:hint="eastAsia" w:asciiTheme="minorEastAsia" w:hAnsiTheme="minorEastAsia" w:eastAsiaTheme="minorEastAsia"/>
          <w:kern w:val="2"/>
          <w:szCs w:val="24"/>
          <w:lang w:eastAsia="zh-CN" w:bidi="ar-SA"/>
        </w:rPr>
        <w:t>40.1</w:t>
      </w:r>
      <w:r>
        <w:rPr>
          <w:rFonts w:asciiTheme="minorEastAsia" w:hAnsiTheme="minorEastAsia" w:eastAsiaTheme="minorEastAsia"/>
          <w:kern w:val="2"/>
          <w:szCs w:val="24"/>
          <w:lang w:eastAsia="zh-CN" w:bidi="ar-SA"/>
        </w:rPr>
        <w:t>dB(A)之间</w:t>
      </w:r>
      <w:r>
        <w:rPr>
          <w:rFonts w:hint="eastAsia" w:asciiTheme="minorEastAsia" w:hAnsiTheme="minorEastAsia" w:eastAsiaTheme="minorEastAsia"/>
          <w:kern w:val="2"/>
          <w:szCs w:val="24"/>
          <w:lang w:eastAsia="zh-CN" w:bidi="ar-SA"/>
        </w:rPr>
        <w:t>。厂界及敏感点声环境</w:t>
      </w:r>
      <w:r>
        <w:rPr>
          <w:rFonts w:asciiTheme="minorEastAsia" w:hAnsiTheme="minorEastAsia" w:eastAsiaTheme="minorEastAsia"/>
          <w:kern w:val="2"/>
          <w:szCs w:val="24"/>
          <w:lang w:eastAsia="zh-CN" w:bidi="ar-SA"/>
        </w:rPr>
        <w:t>均未超过《声环境质量标准》(GB3096-2008)2类标准限值，说明本项目所处</w:t>
      </w:r>
      <w:r>
        <w:rPr>
          <w:rFonts w:hint="eastAsia" w:asciiTheme="minorEastAsia" w:hAnsiTheme="minorEastAsia" w:eastAsiaTheme="minorEastAsia"/>
          <w:kern w:val="2"/>
          <w:szCs w:val="24"/>
          <w:lang w:eastAsia="zh-CN" w:bidi="ar-SA"/>
        </w:rPr>
        <w:t>区域</w:t>
      </w:r>
      <w:r>
        <w:rPr>
          <w:rFonts w:asciiTheme="minorEastAsia" w:hAnsiTheme="minorEastAsia" w:eastAsiaTheme="minorEastAsia"/>
          <w:kern w:val="2"/>
          <w:szCs w:val="24"/>
          <w:lang w:eastAsia="zh-CN" w:bidi="ar-SA"/>
        </w:rPr>
        <w:t>声环境质量良好。</w:t>
      </w:r>
    </w:p>
    <w:p w14:paraId="147C8B41">
      <w:pPr>
        <w:ind w:firstLine="480"/>
        <w:outlineLvl w:val="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（4）</w:t>
      </w:r>
      <w:r>
        <w:rPr>
          <w:rFonts w:asciiTheme="minorEastAsia" w:hAnsiTheme="minorEastAsia" w:eastAsiaTheme="minorEastAsia"/>
          <w:kern w:val="2"/>
          <w:szCs w:val="24"/>
          <w:lang w:eastAsia="zh-CN" w:bidi="ar-SA"/>
        </w:rPr>
        <w:t>土壤环境</w:t>
      </w:r>
    </w:p>
    <w:p w14:paraId="2CD5F987">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评价区域内土壤中砷、铜、铅、锌等指标的监测数据与背景值对照，没有明显的变化，且污染指数很小，均能满足《土壤环境质量标准》(GBl5618-1995)二级标准的要求。</w:t>
      </w:r>
    </w:p>
    <w:p w14:paraId="6FCC226E">
      <w:pPr>
        <w:ind w:firstLine="480"/>
        <w:outlineLvl w:val="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（5）</w:t>
      </w:r>
      <w:r>
        <w:rPr>
          <w:rFonts w:asciiTheme="minorEastAsia" w:hAnsiTheme="minorEastAsia" w:eastAsiaTheme="minorEastAsia"/>
          <w:kern w:val="2"/>
          <w:szCs w:val="24"/>
          <w:lang w:eastAsia="zh-CN" w:bidi="ar-SA"/>
        </w:rPr>
        <w:t>生态环境</w:t>
      </w:r>
    </w:p>
    <w:p w14:paraId="0C3F82FE">
      <w:pPr>
        <w:ind w:firstLine="480"/>
        <w:rPr>
          <w:rFonts w:asciiTheme="minorEastAsia" w:hAnsiTheme="minorEastAsia" w:eastAsiaTheme="minorEastAsia"/>
          <w:kern w:val="2"/>
          <w:szCs w:val="24"/>
          <w:lang w:eastAsia="zh-CN" w:bidi="ar-SA"/>
        </w:rPr>
      </w:pPr>
      <w:bookmarkStart w:id="1114" w:name="_Toc206235608"/>
      <w:bookmarkStart w:id="1115" w:name="_Toc205625955"/>
      <w:bookmarkStart w:id="1116" w:name="_Toc205277960"/>
      <w:bookmarkStart w:id="1117" w:name="_Toc211052857"/>
      <w:bookmarkStart w:id="1118" w:name="_Toc211053015"/>
      <w:bookmarkStart w:id="1119" w:name="_Toc211056980"/>
      <w:bookmarkStart w:id="1120" w:name="_Toc211222373"/>
      <w:bookmarkStart w:id="1121" w:name="_Toc214955231"/>
      <w:bookmarkStart w:id="1122" w:name="_Toc205264513"/>
      <w:bookmarkStart w:id="1123" w:name="_Toc206236267"/>
      <w:bookmarkStart w:id="1124" w:name="_Toc236312893"/>
      <w:bookmarkStart w:id="1125" w:name="_Toc208712747"/>
      <w:bookmarkStart w:id="1126" w:name="_Toc248649481"/>
      <w:r>
        <w:rPr>
          <w:rFonts w:hint="eastAsia" w:asciiTheme="minorEastAsia" w:hAnsiTheme="minorEastAsia" w:eastAsiaTheme="minorEastAsia"/>
          <w:kern w:val="2"/>
          <w:szCs w:val="24"/>
          <w:lang w:eastAsia="zh-CN" w:bidi="ar-SA"/>
        </w:rPr>
        <w:t>本项目区地处锡林郭勒盟东乌珠穆沁旗境内，属于内蒙古高原微丘地貌。评价区内自然植被主要以典型</w:t>
      </w:r>
      <w:r>
        <w:rPr>
          <w:rFonts w:asciiTheme="minorEastAsia" w:hAnsiTheme="minorEastAsia" w:eastAsiaTheme="minorEastAsia"/>
          <w:kern w:val="2"/>
          <w:szCs w:val="24"/>
          <w:lang w:eastAsia="zh-CN" w:bidi="ar-SA"/>
        </w:rPr>
        <w:t>草原植被</w:t>
      </w:r>
      <w:r>
        <w:rPr>
          <w:rFonts w:hint="eastAsia" w:asciiTheme="minorEastAsia" w:hAnsiTheme="minorEastAsia" w:eastAsiaTheme="minorEastAsia"/>
          <w:kern w:val="2"/>
          <w:szCs w:val="24"/>
          <w:lang w:eastAsia="zh-CN" w:bidi="ar-SA"/>
        </w:rPr>
        <w:t>为主，</w:t>
      </w:r>
      <w:r>
        <w:rPr>
          <w:rFonts w:asciiTheme="minorEastAsia" w:hAnsiTheme="minorEastAsia" w:eastAsiaTheme="minorEastAsia"/>
          <w:kern w:val="2"/>
          <w:szCs w:val="24"/>
          <w:lang w:eastAsia="zh-CN" w:bidi="ar-SA"/>
        </w:rPr>
        <w:t>主要植被类型为</w:t>
      </w:r>
      <w:r>
        <w:rPr>
          <w:rFonts w:hint="eastAsia" w:asciiTheme="minorEastAsia" w:hAnsiTheme="minorEastAsia" w:eastAsiaTheme="minorEastAsia"/>
          <w:kern w:val="2"/>
          <w:szCs w:val="24"/>
          <w:lang w:eastAsia="zh-CN" w:bidi="ar-SA"/>
        </w:rPr>
        <w:t>大针茅</w:t>
      </w:r>
      <w:r>
        <w:rPr>
          <w:rFonts w:asciiTheme="minorEastAsia" w:hAnsiTheme="minorEastAsia" w:eastAsiaTheme="minorEastAsia"/>
          <w:kern w:val="2"/>
          <w:szCs w:val="24"/>
          <w:lang w:eastAsia="zh-CN" w:bidi="ar-SA"/>
        </w:rPr>
        <w:t>+</w:t>
      </w:r>
      <w:r>
        <w:rPr>
          <w:rFonts w:hint="eastAsia" w:asciiTheme="minorEastAsia" w:hAnsiTheme="minorEastAsia" w:eastAsiaTheme="minorEastAsia"/>
          <w:kern w:val="2"/>
          <w:szCs w:val="24"/>
          <w:lang w:eastAsia="zh-CN" w:bidi="ar-SA"/>
        </w:rPr>
        <w:t>羊草+苔草</w:t>
      </w:r>
      <w:r>
        <w:rPr>
          <w:rFonts w:asciiTheme="minorEastAsia" w:hAnsiTheme="minorEastAsia" w:eastAsiaTheme="minorEastAsia"/>
          <w:kern w:val="2"/>
          <w:szCs w:val="24"/>
          <w:lang w:eastAsia="zh-CN" w:bidi="ar-SA"/>
        </w:rPr>
        <w:t>群落</w:t>
      </w:r>
      <w:r>
        <w:rPr>
          <w:rFonts w:hint="eastAsia" w:asciiTheme="minorEastAsia" w:hAnsiTheme="minorEastAsia" w:eastAsiaTheme="minorEastAsia"/>
          <w:kern w:val="2"/>
          <w:szCs w:val="24"/>
          <w:lang w:eastAsia="zh-CN" w:bidi="ar-SA"/>
        </w:rPr>
        <w:t>和大针茅</w:t>
      </w:r>
      <w:r>
        <w:rPr>
          <w:rFonts w:asciiTheme="minorEastAsia" w:hAnsiTheme="minorEastAsia" w:eastAsiaTheme="minorEastAsia"/>
          <w:kern w:val="2"/>
          <w:szCs w:val="24"/>
          <w:lang w:eastAsia="zh-CN" w:bidi="ar-SA"/>
        </w:rPr>
        <w:t>+</w:t>
      </w:r>
      <w:r>
        <w:rPr>
          <w:rFonts w:hint="eastAsia" w:asciiTheme="minorEastAsia" w:hAnsiTheme="minorEastAsia" w:eastAsiaTheme="minorEastAsia"/>
          <w:kern w:val="2"/>
          <w:szCs w:val="24"/>
          <w:lang w:eastAsia="zh-CN" w:bidi="ar-SA"/>
        </w:rPr>
        <w:t>羊草+糙隐子草</w:t>
      </w:r>
      <w:r>
        <w:rPr>
          <w:rFonts w:asciiTheme="minorEastAsia" w:hAnsiTheme="minorEastAsia" w:eastAsiaTheme="minorEastAsia"/>
          <w:kern w:val="2"/>
          <w:szCs w:val="24"/>
          <w:lang w:eastAsia="zh-CN" w:bidi="ar-SA"/>
        </w:rPr>
        <w:t>群落</w:t>
      </w:r>
      <w:r>
        <w:rPr>
          <w:rFonts w:hint="eastAsia" w:asciiTheme="minorEastAsia" w:hAnsiTheme="minorEastAsia" w:eastAsiaTheme="minorEastAsia"/>
          <w:kern w:val="2"/>
          <w:szCs w:val="24"/>
          <w:lang w:eastAsia="zh-CN" w:bidi="ar-SA"/>
        </w:rPr>
        <w:t>，</w:t>
      </w:r>
      <w:r>
        <w:rPr>
          <w:rFonts w:asciiTheme="minorEastAsia" w:hAnsiTheme="minorEastAsia" w:eastAsiaTheme="minorEastAsia"/>
          <w:kern w:val="2"/>
          <w:szCs w:val="24"/>
          <w:lang w:eastAsia="zh-CN" w:bidi="ar-SA"/>
        </w:rPr>
        <w:t>其次是</w:t>
      </w:r>
      <w:r>
        <w:rPr>
          <w:rFonts w:hint="eastAsia" w:asciiTheme="minorEastAsia" w:hAnsiTheme="minorEastAsia" w:eastAsiaTheme="minorEastAsia"/>
          <w:kern w:val="2"/>
          <w:szCs w:val="24"/>
          <w:lang w:eastAsia="zh-CN" w:bidi="ar-SA"/>
        </w:rPr>
        <w:t>苔草+杂类草、芨芨草+杂类草草甸植被</w:t>
      </w:r>
      <w:r>
        <w:rPr>
          <w:rFonts w:asciiTheme="minorEastAsia" w:hAnsiTheme="minorEastAsia" w:eastAsiaTheme="minorEastAsia"/>
          <w:kern w:val="2"/>
          <w:szCs w:val="24"/>
          <w:lang w:eastAsia="zh-CN" w:bidi="ar-SA"/>
        </w:rPr>
        <w:t>，</w:t>
      </w:r>
      <w:r>
        <w:rPr>
          <w:rFonts w:hint="eastAsia" w:asciiTheme="minorEastAsia" w:hAnsiTheme="minorEastAsia" w:eastAsiaTheme="minorEastAsia"/>
          <w:kern w:val="2"/>
          <w:szCs w:val="24"/>
          <w:lang w:eastAsia="zh-CN" w:bidi="ar-SA"/>
        </w:rPr>
        <w:t>另外还分布有</w:t>
      </w:r>
      <w:r>
        <w:rPr>
          <w:rFonts w:asciiTheme="minorEastAsia" w:hAnsiTheme="minorEastAsia" w:eastAsiaTheme="minorEastAsia"/>
          <w:kern w:val="2"/>
          <w:szCs w:val="24"/>
          <w:lang w:eastAsia="zh-CN" w:bidi="ar-SA"/>
        </w:rPr>
        <w:t>细叶苔草</w:t>
      </w:r>
      <w:r>
        <w:rPr>
          <w:rFonts w:hint="eastAsia" w:asciiTheme="minorEastAsia" w:hAnsiTheme="minorEastAsia" w:eastAsiaTheme="minorEastAsia"/>
          <w:kern w:val="2"/>
          <w:szCs w:val="24"/>
          <w:lang w:eastAsia="zh-CN" w:bidi="ar-SA"/>
        </w:rPr>
        <w:t>为建群种的地湿地植被和芨芨草盐化草甸植被以及零星分布的一年一熟的饲草料地。植物以大针茅、羊草、苔草、芨芨草为主，伴生植物主要有冰草、星毛委陵菜、百里香、阿狗花等。评价区域土壤以栗钙土为主，还分布有非地带性土壤草甸土。本评价区以风力侵蚀为主，间有季节性水蚀。评价区域内现分布的野生动物主要为</w:t>
      </w:r>
      <w:r>
        <w:rPr>
          <w:rFonts w:asciiTheme="minorEastAsia" w:hAnsiTheme="minorEastAsia" w:eastAsiaTheme="minorEastAsia"/>
          <w:kern w:val="2"/>
          <w:szCs w:val="24"/>
          <w:lang w:eastAsia="zh-CN" w:bidi="ar-SA"/>
        </w:rPr>
        <w:t>啮齿类等小型动物及雀形目鸟类</w:t>
      </w:r>
      <w:r>
        <w:rPr>
          <w:rFonts w:hint="eastAsia" w:asciiTheme="minorEastAsia" w:hAnsiTheme="minorEastAsia" w:eastAsiaTheme="minorEastAsia"/>
          <w:kern w:val="2"/>
          <w:szCs w:val="24"/>
          <w:lang w:eastAsia="zh-CN" w:bidi="ar-SA"/>
        </w:rPr>
        <w:t>，鸟类主要有沙半鸡</w:t>
      </w:r>
      <w:r>
        <w:rPr>
          <w:rFonts w:asciiTheme="minorEastAsia" w:hAnsiTheme="minorEastAsia" w:eastAsiaTheme="minorEastAsia"/>
          <w:kern w:val="2"/>
          <w:szCs w:val="24"/>
          <w:lang w:eastAsia="zh-CN" w:bidi="ar-SA"/>
        </w:rPr>
        <w:t>、乌鸦</w:t>
      </w:r>
      <w:r>
        <w:rPr>
          <w:rFonts w:hint="eastAsia" w:asciiTheme="minorEastAsia" w:hAnsiTheme="minorEastAsia" w:eastAsiaTheme="minorEastAsia"/>
          <w:kern w:val="2"/>
          <w:szCs w:val="24"/>
          <w:lang w:eastAsia="zh-CN" w:bidi="ar-SA"/>
        </w:rPr>
        <w:t>等，均为广布种。</w:t>
      </w:r>
    </w:p>
    <w:p w14:paraId="43D4FA82">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评价区域内未发现未发现国家保护的</w:t>
      </w:r>
      <w:r>
        <w:rPr>
          <w:rFonts w:asciiTheme="minorEastAsia" w:hAnsiTheme="minorEastAsia" w:eastAsiaTheme="minorEastAsia"/>
          <w:kern w:val="2"/>
          <w:szCs w:val="24"/>
          <w:lang w:eastAsia="zh-CN" w:bidi="ar-SA"/>
        </w:rPr>
        <w:t>珍稀濒危野生动</w:t>
      </w:r>
      <w:r>
        <w:rPr>
          <w:rFonts w:hint="eastAsia" w:asciiTheme="minorEastAsia" w:hAnsiTheme="minorEastAsia" w:eastAsiaTheme="minorEastAsia"/>
          <w:kern w:val="2"/>
          <w:szCs w:val="24"/>
          <w:lang w:eastAsia="zh-CN" w:bidi="ar-SA"/>
        </w:rPr>
        <w:t>植</w:t>
      </w:r>
      <w:r>
        <w:rPr>
          <w:rFonts w:asciiTheme="minorEastAsia" w:hAnsiTheme="minorEastAsia" w:eastAsiaTheme="minorEastAsia"/>
          <w:kern w:val="2"/>
          <w:szCs w:val="24"/>
          <w:lang w:eastAsia="zh-CN" w:bidi="ar-SA"/>
        </w:rPr>
        <w:t>物及其栖息地。</w:t>
      </w:r>
    </w:p>
    <w:p w14:paraId="297A9586">
      <w:pPr>
        <w:pStyle w:val="3"/>
        <w:rPr>
          <w:lang w:eastAsia="zh-CN"/>
        </w:rPr>
      </w:pPr>
      <w:bookmarkStart w:id="1127" w:name="_Toc408414134"/>
      <w:r>
        <w:rPr>
          <w:lang w:eastAsia="zh-CN"/>
        </w:rPr>
        <w:t>17.4环境影响</w:t>
      </w:r>
      <w:bookmarkEnd w:id="1114"/>
      <w:bookmarkEnd w:id="1115"/>
      <w:bookmarkEnd w:id="1116"/>
      <w:bookmarkEnd w:id="1117"/>
      <w:bookmarkEnd w:id="1118"/>
      <w:bookmarkEnd w:id="1119"/>
      <w:bookmarkEnd w:id="1120"/>
      <w:bookmarkEnd w:id="1121"/>
      <w:bookmarkEnd w:id="1122"/>
      <w:bookmarkEnd w:id="1123"/>
      <w:bookmarkEnd w:id="1124"/>
      <w:bookmarkEnd w:id="1125"/>
      <w:bookmarkEnd w:id="1126"/>
      <w:r>
        <w:rPr>
          <w:lang w:eastAsia="zh-CN"/>
        </w:rPr>
        <w:t>评价</w:t>
      </w:r>
      <w:bookmarkEnd w:id="1127"/>
    </w:p>
    <w:p w14:paraId="1844E4D1">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（1）</w:t>
      </w:r>
      <w:r>
        <w:rPr>
          <w:rFonts w:asciiTheme="minorEastAsia" w:hAnsiTheme="minorEastAsia" w:eastAsiaTheme="minorEastAsia"/>
          <w:kern w:val="2"/>
          <w:szCs w:val="24"/>
          <w:lang w:eastAsia="zh-CN" w:bidi="ar-SA"/>
        </w:rPr>
        <w:t>环境空气</w:t>
      </w:r>
    </w:p>
    <w:p w14:paraId="17EF54FB">
      <w:pPr>
        <w:ind w:firstLine="480"/>
        <w:rPr>
          <w:rFonts w:asciiTheme="minorEastAsia" w:hAnsiTheme="minorEastAsia" w:eastAsiaTheme="minorEastAsia"/>
          <w:kern w:val="2"/>
          <w:szCs w:val="24"/>
          <w:lang w:eastAsia="zh-CN" w:bidi="ar-SA"/>
        </w:rPr>
      </w:pPr>
      <w:r>
        <w:rPr>
          <w:rFonts w:asciiTheme="minorEastAsia" w:hAnsiTheme="minorEastAsia" w:eastAsiaTheme="minorEastAsia"/>
          <w:kern w:val="2"/>
          <w:szCs w:val="24"/>
          <w:lang w:eastAsia="zh-CN" w:bidi="ar-SA"/>
        </w:rPr>
        <w:t>本工程排放的大气污染物主要为</w:t>
      </w:r>
      <w:r>
        <w:rPr>
          <w:rFonts w:hint="eastAsia" w:asciiTheme="minorEastAsia" w:hAnsiTheme="minorEastAsia" w:eastAsiaTheme="minorEastAsia"/>
          <w:kern w:val="2"/>
          <w:szCs w:val="24"/>
          <w:lang w:eastAsia="zh-CN" w:bidi="ar-SA"/>
        </w:rPr>
        <w:t>加热锅炉及燃气发电机组</w:t>
      </w:r>
      <w:r>
        <w:rPr>
          <w:rFonts w:asciiTheme="minorEastAsia" w:hAnsiTheme="minorEastAsia" w:eastAsiaTheme="minorEastAsia"/>
          <w:kern w:val="2"/>
          <w:szCs w:val="24"/>
          <w:lang w:eastAsia="zh-CN" w:bidi="ar-SA"/>
        </w:rPr>
        <w:t>燃烧产生的SO</w:t>
      </w:r>
      <w:r>
        <w:rPr>
          <w:rFonts w:asciiTheme="minorEastAsia" w:hAnsiTheme="minorEastAsia" w:eastAsiaTheme="minorEastAsia"/>
          <w:kern w:val="2"/>
          <w:szCs w:val="24"/>
          <w:vertAlign w:val="subscript"/>
          <w:lang w:eastAsia="zh-CN" w:bidi="ar-SA"/>
        </w:rPr>
        <w:t>2</w:t>
      </w:r>
      <w:r>
        <w:rPr>
          <w:rFonts w:asciiTheme="minorEastAsia" w:hAnsiTheme="minorEastAsia" w:eastAsiaTheme="minorEastAsia"/>
          <w:kern w:val="2"/>
          <w:szCs w:val="24"/>
          <w:lang w:eastAsia="zh-CN" w:bidi="ar-SA"/>
        </w:rPr>
        <w:t>、NO</w:t>
      </w:r>
      <w:r>
        <w:rPr>
          <w:rFonts w:hint="eastAsia" w:asciiTheme="minorEastAsia" w:hAnsiTheme="minorEastAsia" w:eastAsiaTheme="minorEastAsia"/>
          <w:kern w:val="2"/>
          <w:szCs w:val="24"/>
          <w:vertAlign w:val="subscript"/>
          <w:lang w:eastAsia="zh-CN" w:bidi="ar-SA"/>
        </w:rPr>
        <w:t>x</w:t>
      </w:r>
      <w:r>
        <w:rPr>
          <w:rFonts w:asciiTheme="minorEastAsia" w:hAnsiTheme="minorEastAsia" w:eastAsiaTheme="minorEastAsia"/>
          <w:kern w:val="2"/>
          <w:szCs w:val="24"/>
          <w:lang w:eastAsia="zh-CN" w:bidi="ar-SA"/>
        </w:rPr>
        <w:t>、</w:t>
      </w:r>
      <w:r>
        <w:rPr>
          <w:rFonts w:hint="eastAsia" w:asciiTheme="minorEastAsia" w:hAnsiTheme="minorEastAsia" w:eastAsiaTheme="minorEastAsia"/>
          <w:kern w:val="2"/>
          <w:szCs w:val="24"/>
          <w:lang w:eastAsia="zh-CN" w:bidi="ar-SA"/>
        </w:rPr>
        <w:t>烟尘以及</w:t>
      </w:r>
      <w:r>
        <w:rPr>
          <w:rFonts w:asciiTheme="minorEastAsia" w:hAnsiTheme="minorEastAsia" w:eastAsiaTheme="minorEastAsia"/>
          <w:kern w:val="2"/>
          <w:szCs w:val="24"/>
          <w:lang w:eastAsia="zh-CN" w:bidi="ar-SA"/>
        </w:rPr>
        <w:t>油气集输过程中挥发烃类。由于</w:t>
      </w:r>
      <w:r>
        <w:rPr>
          <w:rFonts w:hint="eastAsia" w:asciiTheme="minorEastAsia" w:hAnsiTheme="minorEastAsia" w:eastAsiaTheme="minorEastAsia"/>
          <w:kern w:val="2"/>
          <w:szCs w:val="24"/>
          <w:lang w:eastAsia="zh-CN" w:bidi="ar-SA"/>
        </w:rPr>
        <w:t>采取了相应的环保措施</w:t>
      </w:r>
      <w:r>
        <w:rPr>
          <w:rFonts w:asciiTheme="minorEastAsia" w:hAnsiTheme="minorEastAsia" w:eastAsiaTheme="minorEastAsia"/>
          <w:kern w:val="2"/>
          <w:szCs w:val="24"/>
          <w:lang w:eastAsia="zh-CN" w:bidi="ar-SA"/>
        </w:rPr>
        <w:t>污染物</w:t>
      </w:r>
      <w:r>
        <w:rPr>
          <w:rFonts w:hint="eastAsia" w:asciiTheme="minorEastAsia" w:hAnsiTheme="minorEastAsia" w:eastAsiaTheme="minorEastAsia"/>
          <w:kern w:val="2"/>
          <w:szCs w:val="24"/>
          <w:lang w:eastAsia="zh-CN" w:bidi="ar-SA"/>
        </w:rPr>
        <w:t>达标排放</w:t>
      </w:r>
      <w:r>
        <w:rPr>
          <w:rFonts w:asciiTheme="minorEastAsia" w:hAnsiTheme="minorEastAsia" w:eastAsiaTheme="minorEastAsia"/>
          <w:kern w:val="2"/>
          <w:szCs w:val="24"/>
          <w:lang w:eastAsia="zh-CN" w:bidi="ar-SA"/>
        </w:rPr>
        <w:t>，</w:t>
      </w:r>
      <w:r>
        <w:rPr>
          <w:rFonts w:hint="eastAsia" w:asciiTheme="minorEastAsia" w:hAnsiTheme="minorEastAsia" w:eastAsiaTheme="minorEastAsia"/>
          <w:kern w:val="2"/>
          <w:szCs w:val="24"/>
          <w:lang w:eastAsia="zh-CN" w:bidi="ar-SA"/>
        </w:rPr>
        <w:t>排放的</w:t>
      </w:r>
      <w:r>
        <w:rPr>
          <w:rFonts w:asciiTheme="minorEastAsia" w:hAnsiTheme="minorEastAsia" w:eastAsiaTheme="minorEastAsia"/>
          <w:kern w:val="2"/>
          <w:szCs w:val="24"/>
          <w:lang w:eastAsia="zh-CN" w:bidi="ar-SA"/>
        </w:rPr>
        <w:t>污染物占标率很低，环境空气质量不会因为工程建设而受到</w:t>
      </w:r>
      <w:r>
        <w:rPr>
          <w:rFonts w:hint="eastAsia" w:asciiTheme="minorEastAsia" w:hAnsiTheme="minorEastAsia" w:eastAsiaTheme="minorEastAsia"/>
          <w:kern w:val="2"/>
          <w:szCs w:val="24"/>
          <w:lang w:eastAsia="zh-CN" w:bidi="ar-SA"/>
        </w:rPr>
        <w:t>较大</w:t>
      </w:r>
      <w:r>
        <w:rPr>
          <w:rFonts w:asciiTheme="minorEastAsia" w:hAnsiTheme="minorEastAsia" w:eastAsiaTheme="minorEastAsia"/>
          <w:kern w:val="2"/>
          <w:szCs w:val="24"/>
          <w:lang w:eastAsia="zh-CN" w:bidi="ar-SA"/>
        </w:rPr>
        <w:t>影响。</w:t>
      </w:r>
    </w:p>
    <w:p w14:paraId="294EF4A0">
      <w:pPr>
        <w:ind w:firstLine="480"/>
        <w:outlineLvl w:val="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（2）</w:t>
      </w:r>
      <w:r>
        <w:rPr>
          <w:rFonts w:asciiTheme="minorEastAsia" w:hAnsiTheme="minorEastAsia" w:eastAsiaTheme="minorEastAsia"/>
          <w:kern w:val="2"/>
          <w:szCs w:val="24"/>
          <w:lang w:eastAsia="zh-CN" w:bidi="ar-SA"/>
        </w:rPr>
        <w:t>地下水环境</w:t>
      </w:r>
    </w:p>
    <w:p w14:paraId="7F856858">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乌里雅斯太</w:t>
      </w:r>
      <w:r>
        <w:rPr>
          <w:rFonts w:asciiTheme="minorEastAsia" w:hAnsiTheme="minorEastAsia" w:eastAsiaTheme="minorEastAsia"/>
          <w:kern w:val="2"/>
          <w:szCs w:val="24"/>
          <w:lang w:eastAsia="zh-CN" w:bidi="ar-SA"/>
        </w:rPr>
        <w:t>油田</w:t>
      </w:r>
      <w:r>
        <w:rPr>
          <w:rFonts w:hint="eastAsia" w:asciiTheme="minorEastAsia" w:hAnsiTheme="minorEastAsia" w:eastAsiaTheme="minorEastAsia"/>
          <w:kern w:val="2"/>
          <w:szCs w:val="24"/>
          <w:lang w:eastAsia="zh-CN" w:bidi="ar-SA"/>
        </w:rPr>
        <w:t>含</w:t>
      </w:r>
      <w:r>
        <w:rPr>
          <w:rFonts w:asciiTheme="minorEastAsia" w:hAnsiTheme="minorEastAsia" w:eastAsiaTheme="minorEastAsia"/>
          <w:kern w:val="2"/>
          <w:szCs w:val="24"/>
          <w:lang w:eastAsia="zh-CN" w:bidi="ar-SA"/>
        </w:rPr>
        <w:t>油</w:t>
      </w:r>
      <w:r>
        <w:rPr>
          <w:rFonts w:hint="eastAsia" w:asciiTheme="minorEastAsia" w:hAnsiTheme="minorEastAsia" w:eastAsiaTheme="minorEastAsia"/>
          <w:kern w:val="2"/>
          <w:szCs w:val="24"/>
          <w:lang w:eastAsia="zh-CN" w:bidi="ar-SA"/>
        </w:rPr>
        <w:t>废</w:t>
      </w:r>
      <w:r>
        <w:rPr>
          <w:rFonts w:asciiTheme="minorEastAsia" w:hAnsiTheme="minorEastAsia" w:eastAsiaTheme="minorEastAsia"/>
          <w:kern w:val="2"/>
          <w:szCs w:val="24"/>
          <w:lang w:eastAsia="zh-CN" w:bidi="ar-SA"/>
        </w:rPr>
        <w:t>水</w:t>
      </w:r>
      <w:r>
        <w:rPr>
          <w:rFonts w:hint="eastAsia" w:asciiTheme="minorEastAsia" w:hAnsiTheme="minorEastAsia" w:eastAsiaTheme="minorEastAsia"/>
          <w:kern w:val="2"/>
          <w:szCs w:val="24"/>
          <w:lang w:eastAsia="zh-CN" w:bidi="ar-SA"/>
        </w:rPr>
        <w:t>经污水处理设施处理达标后全部回注地层，不外排</w:t>
      </w:r>
      <w:r>
        <w:rPr>
          <w:rFonts w:asciiTheme="minorEastAsia" w:hAnsiTheme="minorEastAsia" w:eastAsiaTheme="minorEastAsia"/>
          <w:kern w:val="2"/>
          <w:szCs w:val="24"/>
          <w:lang w:eastAsia="zh-CN" w:bidi="ar-SA"/>
        </w:rPr>
        <w:t>外排</w:t>
      </w:r>
      <w:r>
        <w:rPr>
          <w:rFonts w:hint="eastAsia" w:asciiTheme="minorEastAsia" w:hAnsiTheme="minorEastAsia" w:eastAsiaTheme="minorEastAsia"/>
          <w:kern w:val="2"/>
          <w:szCs w:val="24"/>
          <w:lang w:eastAsia="zh-CN" w:bidi="ar-SA"/>
        </w:rPr>
        <w:t>，生活污水经地埋式污水处理设施处理后，排入蒸发池进行绿化或者洒水抑尘</w:t>
      </w:r>
      <w:r>
        <w:rPr>
          <w:rFonts w:asciiTheme="minorEastAsia" w:hAnsiTheme="minorEastAsia" w:eastAsiaTheme="minorEastAsia"/>
          <w:kern w:val="2"/>
          <w:szCs w:val="24"/>
          <w:lang w:eastAsia="zh-CN" w:bidi="ar-SA"/>
        </w:rPr>
        <w:t>。</w:t>
      </w:r>
      <w:r>
        <w:rPr>
          <w:rFonts w:hint="eastAsia" w:asciiTheme="minorEastAsia" w:hAnsiTheme="minorEastAsia" w:eastAsiaTheme="minorEastAsia"/>
          <w:kern w:val="2"/>
          <w:szCs w:val="24"/>
          <w:lang w:eastAsia="zh-CN" w:bidi="ar-SA"/>
        </w:rPr>
        <w:t>在油田开发生产过程中在钻井泥浆池、落地油暂存池、油井采油区、含油污水处理系统等处均采取了防止原油渗漏的措施，防渗系数达到</w:t>
      </w:r>
      <w:r>
        <w:rPr>
          <w:rFonts w:asciiTheme="minorEastAsia" w:hAnsiTheme="minorEastAsia" w:eastAsiaTheme="minorEastAsia"/>
          <w:kern w:val="2"/>
          <w:szCs w:val="24"/>
          <w:lang w:eastAsia="zh-CN" w:bidi="ar-SA"/>
        </w:rPr>
        <w:t>渗透系数小于1.0×10</w:t>
      </w:r>
      <w:r>
        <w:rPr>
          <w:rFonts w:asciiTheme="minorEastAsia" w:hAnsiTheme="minorEastAsia" w:eastAsiaTheme="minorEastAsia"/>
          <w:kern w:val="2"/>
          <w:szCs w:val="24"/>
          <w:vertAlign w:val="superscript"/>
          <w:lang w:eastAsia="zh-CN" w:bidi="ar-SA"/>
        </w:rPr>
        <w:t>-7</w:t>
      </w:r>
      <w:r>
        <w:rPr>
          <w:rFonts w:asciiTheme="minorEastAsia" w:hAnsiTheme="minorEastAsia" w:eastAsiaTheme="minorEastAsia"/>
          <w:kern w:val="2"/>
          <w:szCs w:val="24"/>
          <w:lang w:eastAsia="zh-CN" w:bidi="ar-SA"/>
        </w:rPr>
        <w:t>cm/s</w:t>
      </w:r>
      <w:r>
        <w:rPr>
          <w:rFonts w:hint="eastAsia" w:asciiTheme="minorEastAsia" w:hAnsiTheme="minorEastAsia" w:eastAsiaTheme="minorEastAsia"/>
          <w:kern w:val="2"/>
          <w:szCs w:val="24"/>
          <w:lang w:eastAsia="zh-CN" w:bidi="ar-SA"/>
        </w:rPr>
        <w:t>的要求。另外</w:t>
      </w:r>
      <w:r>
        <w:rPr>
          <w:rFonts w:asciiTheme="minorEastAsia" w:hAnsiTheme="minorEastAsia" w:eastAsiaTheme="minorEastAsia"/>
          <w:kern w:val="2"/>
          <w:szCs w:val="24"/>
          <w:lang w:eastAsia="zh-CN" w:bidi="ar-SA"/>
        </w:rPr>
        <w:t>该地区主要土壤-栗钙土的性质比较紧实干硬，在1m深度左右已形成一层钙积层，渗透率很小。根据《大庆油田开发建设对土壤环境影响研究》结果并结合目前油田开发建设对土壤环境的影响的类此调查可知，落地油在土壤中的最大迁移深度小于</w:t>
      </w:r>
      <w:r>
        <w:rPr>
          <w:rFonts w:hint="eastAsia" w:asciiTheme="minorEastAsia" w:hAnsiTheme="minorEastAsia" w:eastAsiaTheme="minorEastAsia"/>
          <w:kern w:val="2"/>
          <w:szCs w:val="24"/>
          <w:lang w:eastAsia="zh-CN" w:bidi="ar-SA"/>
        </w:rPr>
        <w:t>3.0</w:t>
      </w:r>
      <w:r>
        <w:rPr>
          <w:rFonts w:asciiTheme="minorEastAsia" w:hAnsiTheme="minorEastAsia" w:eastAsiaTheme="minorEastAsia"/>
          <w:kern w:val="2"/>
          <w:szCs w:val="24"/>
          <w:lang w:eastAsia="zh-CN" w:bidi="ar-SA"/>
        </w:rPr>
        <w:t>m，一般不超过1.0m，石油类污染物主要积聚在土壤表层80cm以内，加之本油田</w:t>
      </w:r>
      <w:r>
        <w:rPr>
          <w:rFonts w:hint="eastAsia" w:asciiTheme="minorEastAsia" w:hAnsiTheme="minorEastAsia" w:eastAsiaTheme="minorEastAsia"/>
          <w:kern w:val="2"/>
          <w:szCs w:val="24"/>
          <w:lang w:eastAsia="zh-CN" w:bidi="ar-SA"/>
        </w:rPr>
        <w:t>所处区域</w:t>
      </w:r>
      <w:r>
        <w:rPr>
          <w:rFonts w:asciiTheme="minorEastAsia" w:hAnsiTheme="minorEastAsia" w:eastAsiaTheme="minorEastAsia"/>
          <w:kern w:val="2"/>
          <w:szCs w:val="24"/>
          <w:lang w:eastAsia="zh-CN" w:bidi="ar-SA"/>
        </w:rPr>
        <w:t>气候干旱，不存在大量降水的淋滤作用，因此油田开发产生的落地原油下渗到地下水中的可能性很小。且由于本区潜水面的埋藏深度最浅为3m以上，不会对潜水层造成影响。结合本油田开发所在区域地下水环境现状监测结果，区域地下水未出现石油类污染现象。油田开发的生产实际结果证明，严格生产管理，</w:t>
      </w:r>
      <w:r>
        <w:rPr>
          <w:rFonts w:hint="eastAsia" w:asciiTheme="minorEastAsia" w:hAnsiTheme="minorEastAsia" w:eastAsiaTheme="minorEastAsia"/>
          <w:kern w:val="2"/>
          <w:szCs w:val="24"/>
          <w:lang w:eastAsia="zh-CN" w:bidi="ar-SA"/>
        </w:rPr>
        <w:t>落实水环境保护措施，</w:t>
      </w:r>
      <w:r>
        <w:rPr>
          <w:rFonts w:asciiTheme="minorEastAsia" w:hAnsiTheme="minorEastAsia" w:eastAsiaTheme="minorEastAsia"/>
          <w:kern w:val="2"/>
          <w:szCs w:val="24"/>
          <w:lang w:eastAsia="zh-CN" w:bidi="ar-SA"/>
        </w:rPr>
        <w:t>油田正常开发生产对区域内地下水不会产生污染。</w:t>
      </w:r>
    </w:p>
    <w:p w14:paraId="75DFE844">
      <w:pPr>
        <w:ind w:firstLine="480"/>
        <w:rPr>
          <w:rFonts w:asciiTheme="minorEastAsia" w:hAnsiTheme="minorEastAsia" w:eastAsiaTheme="minorEastAsia"/>
          <w:kern w:val="2"/>
          <w:szCs w:val="24"/>
          <w:lang w:eastAsia="zh-CN" w:bidi="ar-SA"/>
        </w:rPr>
      </w:pPr>
      <w:r>
        <w:rPr>
          <w:rFonts w:asciiTheme="minorEastAsia" w:hAnsiTheme="minorEastAsia" w:eastAsiaTheme="minorEastAsia"/>
          <w:kern w:val="2"/>
          <w:szCs w:val="24"/>
          <w:lang w:eastAsia="zh-CN" w:bidi="ar-SA"/>
        </w:rPr>
        <w:t>油田生产开采使用一定量的地下水资源，由于用水量在合理范围内，对当地的地下水资源也不会产生明显影响。</w:t>
      </w:r>
    </w:p>
    <w:p w14:paraId="2B2DF100">
      <w:pPr>
        <w:ind w:firstLine="480"/>
        <w:outlineLvl w:val="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（3）</w:t>
      </w:r>
      <w:r>
        <w:rPr>
          <w:rFonts w:asciiTheme="minorEastAsia" w:hAnsiTheme="minorEastAsia" w:eastAsiaTheme="minorEastAsia"/>
          <w:kern w:val="2"/>
          <w:szCs w:val="24"/>
          <w:lang w:eastAsia="zh-CN" w:bidi="ar-SA"/>
        </w:rPr>
        <w:t>声环境</w:t>
      </w:r>
    </w:p>
    <w:p w14:paraId="78490376">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根据预测，油田的</w:t>
      </w:r>
      <w:r>
        <w:rPr>
          <w:rFonts w:asciiTheme="minorEastAsia" w:hAnsiTheme="minorEastAsia" w:eastAsiaTheme="minorEastAsia"/>
          <w:kern w:val="2"/>
          <w:szCs w:val="24"/>
          <w:lang w:eastAsia="zh-CN" w:bidi="ar-SA"/>
        </w:rPr>
        <w:t>建设能够满足区域环境对声环境质量的要求，</w:t>
      </w:r>
      <w:r>
        <w:rPr>
          <w:rFonts w:hint="eastAsia" w:asciiTheme="minorEastAsia" w:hAnsiTheme="minorEastAsia" w:eastAsiaTheme="minorEastAsia"/>
          <w:kern w:val="2"/>
          <w:szCs w:val="24"/>
          <w:lang w:eastAsia="zh-CN" w:bidi="ar-SA"/>
        </w:rPr>
        <w:t>本项目的</w:t>
      </w:r>
      <w:r>
        <w:rPr>
          <w:rFonts w:asciiTheme="minorEastAsia" w:hAnsiTheme="minorEastAsia" w:eastAsiaTheme="minorEastAsia"/>
          <w:kern w:val="2"/>
          <w:szCs w:val="24"/>
          <w:lang w:eastAsia="zh-CN" w:bidi="ar-SA"/>
        </w:rPr>
        <w:t>建设不会对所在区域的声环境产生较大影响。</w:t>
      </w:r>
    </w:p>
    <w:p w14:paraId="18761F80">
      <w:pPr>
        <w:ind w:firstLine="480"/>
        <w:outlineLvl w:val="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（4）</w:t>
      </w:r>
      <w:r>
        <w:rPr>
          <w:rFonts w:asciiTheme="minorEastAsia" w:hAnsiTheme="minorEastAsia" w:eastAsiaTheme="minorEastAsia"/>
          <w:kern w:val="2"/>
          <w:szCs w:val="24"/>
          <w:lang w:eastAsia="zh-CN" w:bidi="ar-SA"/>
        </w:rPr>
        <w:t>固体废物影响</w:t>
      </w:r>
    </w:p>
    <w:p w14:paraId="6709AAD7">
      <w:pPr>
        <w:ind w:firstLine="480"/>
        <w:rPr>
          <w:rFonts w:asciiTheme="minorEastAsia" w:hAnsiTheme="minorEastAsia" w:eastAsiaTheme="minorEastAsia"/>
          <w:kern w:val="2"/>
          <w:szCs w:val="24"/>
          <w:lang w:eastAsia="zh-CN" w:bidi="ar-SA"/>
        </w:rPr>
      </w:pPr>
      <w:r>
        <w:rPr>
          <w:rFonts w:asciiTheme="minorEastAsia" w:hAnsiTheme="minorEastAsia" w:eastAsiaTheme="minorEastAsia"/>
          <w:kern w:val="2"/>
          <w:szCs w:val="24"/>
          <w:lang w:eastAsia="zh-CN" w:bidi="ar-SA"/>
        </w:rPr>
        <w:t>本工程产生的固体废弃物主要有生活垃圾、含油污泥、油</w:t>
      </w:r>
      <w:r>
        <w:rPr>
          <w:rFonts w:hint="eastAsia" w:asciiTheme="minorEastAsia" w:hAnsiTheme="minorEastAsia" w:eastAsiaTheme="minorEastAsia"/>
          <w:kern w:val="2"/>
          <w:szCs w:val="24"/>
          <w:lang w:eastAsia="zh-CN" w:bidi="ar-SA"/>
        </w:rPr>
        <w:t>泥</w:t>
      </w:r>
      <w:r>
        <w:rPr>
          <w:rFonts w:asciiTheme="minorEastAsia" w:hAnsiTheme="minorEastAsia" w:eastAsiaTheme="minorEastAsia"/>
          <w:kern w:val="2"/>
          <w:szCs w:val="24"/>
          <w:lang w:eastAsia="zh-CN" w:bidi="ar-SA"/>
        </w:rPr>
        <w:t>砂</w:t>
      </w:r>
      <w:r>
        <w:rPr>
          <w:rFonts w:hint="eastAsia" w:asciiTheme="minorEastAsia" w:hAnsiTheme="minorEastAsia" w:eastAsiaTheme="minorEastAsia"/>
          <w:kern w:val="2"/>
          <w:szCs w:val="24"/>
          <w:lang w:eastAsia="zh-CN" w:bidi="ar-SA"/>
        </w:rPr>
        <w:t>、落地油</w:t>
      </w:r>
      <w:r>
        <w:rPr>
          <w:rFonts w:asciiTheme="minorEastAsia" w:hAnsiTheme="minorEastAsia" w:eastAsiaTheme="minorEastAsia"/>
          <w:kern w:val="2"/>
          <w:szCs w:val="24"/>
          <w:lang w:eastAsia="zh-CN" w:bidi="ar-SA"/>
        </w:rPr>
        <w:t>等污染物，产生量少，工程采取合理的废物回收、处置方案，对环境影响较小。</w:t>
      </w:r>
    </w:p>
    <w:p w14:paraId="32D7A261">
      <w:pPr>
        <w:ind w:firstLine="480"/>
        <w:outlineLvl w:val="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（5）</w:t>
      </w:r>
      <w:r>
        <w:rPr>
          <w:rFonts w:asciiTheme="minorEastAsia" w:hAnsiTheme="minorEastAsia" w:eastAsiaTheme="minorEastAsia"/>
          <w:kern w:val="2"/>
          <w:szCs w:val="24"/>
          <w:lang w:eastAsia="zh-CN" w:bidi="ar-SA"/>
        </w:rPr>
        <w:t>生态环境</w:t>
      </w:r>
    </w:p>
    <w:p w14:paraId="05CDC846">
      <w:pPr>
        <w:ind w:firstLine="480"/>
        <w:rPr>
          <w:rFonts w:asciiTheme="minorEastAsia" w:hAnsiTheme="minorEastAsia" w:eastAsiaTheme="minorEastAsia"/>
          <w:kern w:val="2"/>
          <w:szCs w:val="24"/>
          <w:lang w:eastAsia="zh-CN" w:bidi="ar-SA"/>
        </w:rPr>
      </w:pPr>
      <w:r>
        <w:rPr>
          <w:rFonts w:hint="eastAsia" w:asciiTheme="minorEastAsia" w:hAnsiTheme="minorEastAsia" w:eastAsiaTheme="minorEastAsia"/>
          <w:kern w:val="2"/>
          <w:szCs w:val="24"/>
          <w:lang w:eastAsia="zh-CN" w:bidi="ar-SA"/>
        </w:rPr>
        <w:t>油田开发建设过程中，占用土地及施工活动均会对景观、地表植被及野生动物等造成一定的影响。</w:t>
      </w:r>
    </w:p>
    <w:p w14:paraId="2C82B39E">
      <w:pPr>
        <w:ind w:firstLine="480"/>
        <w:rPr>
          <w:rFonts w:asciiTheme="minorEastAsia" w:hAnsiTheme="minorEastAsia" w:eastAsiaTheme="minorEastAsia"/>
          <w:kern w:val="2"/>
          <w:szCs w:val="24"/>
          <w:lang w:eastAsia="zh-CN" w:bidi="ar-SA"/>
        </w:rPr>
      </w:pPr>
      <w:r>
        <w:rPr>
          <w:rFonts w:asciiTheme="minorEastAsia" w:hAnsiTheme="minorEastAsia" w:eastAsiaTheme="minorEastAsia"/>
          <w:kern w:val="2"/>
          <w:szCs w:val="24"/>
          <w:lang w:eastAsia="zh-CN" w:bidi="ar-SA"/>
        </w:rPr>
        <w:t>油田范围内及周围区域景观受油田滚动开发的影响，将由现有的草原景观逐渐转化为草原与人工建构筑物并存的景观。</w:t>
      </w:r>
      <w:r>
        <w:rPr>
          <w:rFonts w:hint="eastAsia" w:asciiTheme="minorEastAsia" w:hAnsiTheme="minorEastAsia" w:eastAsiaTheme="minorEastAsia"/>
          <w:kern w:val="2"/>
          <w:szCs w:val="24"/>
          <w:lang w:eastAsia="zh-CN" w:bidi="ar-SA"/>
        </w:rPr>
        <w:t>由于本工程是改扩建工程，新部署的油水井是在现有的太53、太27断块上部署，雅斯联合站是在现有的雅—站的基础上改扩建，评价范围内的人工景观已经形成，本工程的建设不会对现有的景观格局产生新的较大的影响。油田在滚动开发建设过程中，地面所有建构筑物的建设应与周围景观相协调。</w:t>
      </w:r>
    </w:p>
    <w:p w14:paraId="7C7DBE1A">
      <w:pPr>
        <w:ind w:firstLine="480"/>
        <w:rPr>
          <w:rFonts w:asciiTheme="minorEastAsia" w:hAnsiTheme="minorEastAsia" w:eastAsiaTheme="minorEastAsia"/>
          <w:kern w:val="2"/>
          <w:szCs w:val="24"/>
          <w:lang w:eastAsia="zh-CN" w:bidi="ar-SA"/>
        </w:rPr>
      </w:pPr>
      <w:r>
        <w:rPr>
          <w:rFonts w:asciiTheme="minorEastAsia" w:hAnsiTheme="minorEastAsia" w:eastAsiaTheme="minorEastAsia"/>
          <w:kern w:val="2"/>
          <w:szCs w:val="24"/>
          <w:lang w:eastAsia="zh-CN" w:bidi="ar-SA"/>
        </w:rPr>
        <w:t>本工程占地面积</w:t>
      </w:r>
      <w:r>
        <w:rPr>
          <w:rFonts w:hint="eastAsia" w:asciiTheme="minorEastAsia" w:hAnsiTheme="minorEastAsia" w:eastAsiaTheme="minorEastAsia"/>
          <w:kern w:val="2"/>
          <w:szCs w:val="24"/>
          <w:lang w:eastAsia="zh-CN" w:bidi="ar-SA"/>
        </w:rPr>
        <w:t>65.87</w:t>
      </w:r>
      <w:r>
        <w:rPr>
          <w:rFonts w:asciiTheme="minorEastAsia" w:hAnsiTheme="minorEastAsia" w:eastAsiaTheme="minorEastAsia"/>
          <w:kern w:val="2"/>
          <w:szCs w:val="24"/>
          <w:lang w:eastAsia="zh-CN" w:bidi="ar-SA"/>
        </w:rPr>
        <w:t>hm</w:t>
      </w:r>
      <w:r>
        <w:rPr>
          <w:rFonts w:asciiTheme="minorEastAsia" w:hAnsiTheme="minorEastAsia" w:eastAsiaTheme="minorEastAsia"/>
          <w:kern w:val="2"/>
          <w:szCs w:val="24"/>
          <w:vertAlign w:val="superscript"/>
          <w:lang w:eastAsia="zh-CN" w:bidi="ar-SA"/>
        </w:rPr>
        <w:t>2</w:t>
      </w:r>
      <w:r>
        <w:rPr>
          <w:rFonts w:asciiTheme="minorEastAsia" w:hAnsiTheme="minorEastAsia" w:eastAsiaTheme="minorEastAsia"/>
          <w:kern w:val="2"/>
          <w:szCs w:val="24"/>
          <w:lang w:eastAsia="zh-CN" w:bidi="ar-SA"/>
        </w:rPr>
        <w:t>，其中永久占地</w:t>
      </w:r>
      <w:r>
        <w:rPr>
          <w:rFonts w:hint="eastAsia" w:asciiTheme="minorEastAsia" w:hAnsiTheme="minorEastAsia" w:eastAsiaTheme="minorEastAsia"/>
          <w:kern w:val="2"/>
          <w:szCs w:val="24"/>
          <w:lang w:eastAsia="zh-CN" w:bidi="ar-SA"/>
        </w:rPr>
        <w:t>15.2</w:t>
      </w:r>
      <w:r>
        <w:rPr>
          <w:rFonts w:asciiTheme="minorEastAsia" w:hAnsiTheme="minorEastAsia" w:eastAsiaTheme="minorEastAsia"/>
          <w:kern w:val="2"/>
          <w:szCs w:val="24"/>
          <w:lang w:eastAsia="zh-CN" w:bidi="ar-SA"/>
        </w:rPr>
        <w:t>hm</w:t>
      </w:r>
      <w:r>
        <w:rPr>
          <w:rFonts w:asciiTheme="minorEastAsia" w:hAnsiTheme="minorEastAsia" w:eastAsiaTheme="minorEastAsia"/>
          <w:kern w:val="2"/>
          <w:szCs w:val="24"/>
          <w:vertAlign w:val="superscript"/>
          <w:lang w:eastAsia="zh-CN" w:bidi="ar-SA"/>
        </w:rPr>
        <w:t>2</w:t>
      </w:r>
      <w:r>
        <w:rPr>
          <w:rFonts w:asciiTheme="minorEastAsia" w:hAnsiTheme="minorEastAsia" w:eastAsiaTheme="minorEastAsia"/>
          <w:kern w:val="2"/>
          <w:szCs w:val="24"/>
          <w:lang w:eastAsia="zh-CN" w:bidi="ar-SA"/>
        </w:rPr>
        <w:t>，临时占地</w:t>
      </w:r>
      <w:r>
        <w:rPr>
          <w:rFonts w:hint="eastAsia" w:asciiTheme="minorEastAsia" w:hAnsiTheme="minorEastAsia" w:eastAsiaTheme="minorEastAsia"/>
          <w:kern w:val="2"/>
          <w:szCs w:val="24"/>
          <w:lang w:eastAsia="zh-CN" w:bidi="ar-SA"/>
        </w:rPr>
        <w:t>50.67</w:t>
      </w:r>
      <w:r>
        <w:rPr>
          <w:rFonts w:asciiTheme="minorEastAsia" w:hAnsiTheme="minorEastAsia" w:eastAsiaTheme="minorEastAsia"/>
          <w:kern w:val="2"/>
          <w:szCs w:val="24"/>
          <w:lang w:eastAsia="zh-CN" w:bidi="ar-SA"/>
        </w:rPr>
        <w:t>hm</w:t>
      </w:r>
      <w:r>
        <w:rPr>
          <w:rFonts w:asciiTheme="minorEastAsia" w:hAnsiTheme="minorEastAsia" w:eastAsiaTheme="minorEastAsia"/>
          <w:kern w:val="2"/>
          <w:szCs w:val="24"/>
          <w:vertAlign w:val="superscript"/>
          <w:lang w:eastAsia="zh-CN" w:bidi="ar-SA"/>
        </w:rPr>
        <w:t>2</w:t>
      </w:r>
      <w:r>
        <w:rPr>
          <w:rFonts w:asciiTheme="minorEastAsia" w:hAnsiTheme="minorEastAsia" w:eastAsiaTheme="minorEastAsia"/>
          <w:kern w:val="2"/>
          <w:szCs w:val="24"/>
          <w:lang w:eastAsia="zh-CN" w:bidi="ar-SA"/>
        </w:rPr>
        <w:t>，占地类型全部为草地</w:t>
      </w:r>
      <w:r>
        <w:rPr>
          <w:rFonts w:hint="eastAsia" w:asciiTheme="minorEastAsia" w:hAnsiTheme="minorEastAsia" w:eastAsiaTheme="minorEastAsia"/>
          <w:kern w:val="2"/>
          <w:szCs w:val="24"/>
          <w:lang w:eastAsia="zh-CN" w:bidi="ar-SA"/>
        </w:rPr>
        <w:t>。工程永久占地</w:t>
      </w:r>
      <w:r>
        <w:rPr>
          <w:rFonts w:asciiTheme="minorEastAsia" w:hAnsiTheme="minorEastAsia" w:eastAsiaTheme="minorEastAsia"/>
          <w:kern w:val="2"/>
          <w:szCs w:val="24"/>
          <w:lang w:eastAsia="zh-CN" w:bidi="ar-SA"/>
        </w:rPr>
        <w:t>将</w:t>
      </w:r>
      <w:r>
        <w:rPr>
          <w:rFonts w:hint="eastAsia" w:asciiTheme="minorEastAsia" w:hAnsiTheme="minorEastAsia" w:eastAsiaTheme="minorEastAsia"/>
          <w:kern w:val="2"/>
          <w:szCs w:val="24"/>
          <w:lang w:eastAsia="zh-CN" w:bidi="ar-SA"/>
        </w:rPr>
        <w:t>改变草地用途，</w:t>
      </w:r>
      <w:r>
        <w:rPr>
          <w:rFonts w:asciiTheme="minorEastAsia" w:hAnsiTheme="minorEastAsia" w:eastAsiaTheme="minorEastAsia"/>
          <w:kern w:val="2"/>
          <w:szCs w:val="24"/>
          <w:lang w:eastAsia="zh-CN" w:bidi="ar-SA"/>
        </w:rPr>
        <w:t>造成</w:t>
      </w:r>
      <w:r>
        <w:rPr>
          <w:rFonts w:hint="eastAsia" w:asciiTheme="minorEastAsia" w:hAnsiTheme="minorEastAsia" w:eastAsiaTheme="minorEastAsia"/>
          <w:kern w:val="2"/>
          <w:szCs w:val="24"/>
          <w:lang w:eastAsia="zh-CN" w:bidi="ar-SA"/>
        </w:rPr>
        <w:t>草地损失，工程</w:t>
      </w:r>
      <w:r>
        <w:rPr>
          <w:rFonts w:asciiTheme="minorEastAsia" w:hAnsiTheme="minorEastAsia" w:eastAsiaTheme="minorEastAsia"/>
          <w:kern w:val="2"/>
          <w:szCs w:val="24"/>
          <w:lang w:eastAsia="zh-CN" w:bidi="ar-SA"/>
        </w:rPr>
        <w:t>临时占地将干扰和破坏影响范围内的植物生长，影响区域内的植被群落</w:t>
      </w:r>
      <w:r>
        <w:rPr>
          <w:rFonts w:hint="eastAsia" w:asciiTheme="minorEastAsia" w:hAnsiTheme="minorEastAsia" w:eastAsiaTheme="minorEastAsia"/>
          <w:kern w:val="2"/>
          <w:szCs w:val="24"/>
          <w:lang w:eastAsia="zh-CN" w:bidi="ar-SA"/>
        </w:rPr>
        <w:t>的高度和密度</w:t>
      </w:r>
      <w:r>
        <w:rPr>
          <w:rFonts w:asciiTheme="minorEastAsia" w:hAnsiTheme="minorEastAsia" w:eastAsiaTheme="minorEastAsia"/>
          <w:kern w:val="2"/>
          <w:szCs w:val="24"/>
          <w:lang w:eastAsia="zh-CN" w:bidi="ar-SA"/>
        </w:rPr>
        <w:t>，降低了区域植被覆盖度。</w:t>
      </w:r>
      <w:r>
        <w:rPr>
          <w:rFonts w:hint="eastAsia" w:asciiTheme="minorEastAsia" w:hAnsiTheme="minorEastAsia" w:eastAsiaTheme="minorEastAsia"/>
          <w:kern w:val="2"/>
          <w:szCs w:val="24"/>
          <w:lang w:eastAsia="zh-CN" w:bidi="ar-SA"/>
        </w:rPr>
        <w:t>为了减少对植被的影响破坏，本项目对永久占地进行了征地补偿，对临时占地进行植被恢复，采取了相应的措施后，项目的建设对生态环境的影响将会降到最低。</w:t>
      </w:r>
    </w:p>
    <w:p w14:paraId="0C7CEBA3">
      <w:pPr>
        <w:ind w:firstLine="480"/>
        <w:rPr>
          <w:rFonts w:asciiTheme="minorEastAsia" w:hAnsiTheme="minorEastAsia" w:eastAsiaTheme="minorEastAsia"/>
          <w:kern w:val="2"/>
          <w:szCs w:val="24"/>
          <w:lang w:eastAsia="zh-CN" w:bidi="ar-SA"/>
        </w:rPr>
      </w:pPr>
      <w:r>
        <w:rPr>
          <w:rFonts w:asciiTheme="minorEastAsia" w:hAnsiTheme="minorEastAsia" w:eastAsiaTheme="minorEastAsia"/>
          <w:kern w:val="2"/>
          <w:szCs w:val="24"/>
          <w:lang w:eastAsia="zh-CN" w:bidi="ar-SA"/>
        </w:rPr>
        <w:t>油田在建设施工期间，将影响评价区野生动物的栖息环境，使野生动物失去部分觅食地、栖息场所和活动区域等，工程建设使野生动物的活动范围减小。施工过程中一些施工噪声、产生的废气和人为活动等，将可能惊吓和驱赶施工区及周围一定范围内的野生动物，同时减少施工区域内野生动物的分布数量，对评价区的野生动物的生存环境产生不利影响。根据现状调查，当地牧民主要以从事畜牧业为主，有一定的人为活动。该区域现分布的野生动物主要是啮齿类等小型动物及雀形目鸟类，鸟类主要有</w:t>
      </w:r>
      <w:r>
        <w:rPr>
          <w:rFonts w:hint="eastAsia" w:asciiTheme="minorEastAsia" w:hAnsiTheme="minorEastAsia" w:eastAsiaTheme="minorEastAsia"/>
          <w:kern w:val="2"/>
          <w:szCs w:val="24"/>
          <w:lang w:eastAsia="zh-CN" w:bidi="ar-SA"/>
        </w:rPr>
        <w:t>沙半鸡</w:t>
      </w:r>
      <w:r>
        <w:rPr>
          <w:rFonts w:asciiTheme="minorEastAsia" w:hAnsiTheme="minorEastAsia" w:eastAsiaTheme="minorEastAsia"/>
          <w:kern w:val="2"/>
          <w:szCs w:val="24"/>
          <w:lang w:eastAsia="zh-CN" w:bidi="ar-SA"/>
        </w:rPr>
        <w:t>、乌鸦等，已经很少见到。本工程的建设施工，只是影响了野生动物的活动范围，对野生动物的种类和数量不会产生明显影响。</w:t>
      </w:r>
    </w:p>
    <w:p w14:paraId="6A0C9B2A">
      <w:pPr>
        <w:pStyle w:val="3"/>
        <w:rPr>
          <w:lang w:eastAsia="zh-CN"/>
        </w:rPr>
      </w:pPr>
      <w:bookmarkStart w:id="1128" w:name="_Toc205277961"/>
      <w:bookmarkStart w:id="1129" w:name="_Toc205625956"/>
      <w:bookmarkStart w:id="1130" w:name="_Toc206235609"/>
      <w:bookmarkStart w:id="1131" w:name="_Toc206236268"/>
      <w:bookmarkStart w:id="1132" w:name="_Toc208712748"/>
      <w:bookmarkStart w:id="1133" w:name="_Toc211052858"/>
      <w:bookmarkStart w:id="1134" w:name="_Toc211053016"/>
      <w:bookmarkStart w:id="1135" w:name="_Toc205264514"/>
      <w:bookmarkStart w:id="1136" w:name="_Toc214955232"/>
      <w:bookmarkStart w:id="1137" w:name="_Toc236312894"/>
      <w:bookmarkStart w:id="1138" w:name="_Toc408414135"/>
      <w:bookmarkStart w:id="1139" w:name="_Toc211056981"/>
      <w:bookmarkStart w:id="1140" w:name="_Toc248649482"/>
      <w:bookmarkStart w:id="1141" w:name="_Toc211222374"/>
      <w:r>
        <w:rPr>
          <w:lang w:eastAsia="zh-CN"/>
        </w:rPr>
        <w:t>17.5清洁生产</w:t>
      </w:r>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p>
    <w:p w14:paraId="0AC51F56">
      <w:pPr>
        <w:ind w:firstLine="480"/>
        <w:rPr>
          <w:rFonts w:asciiTheme="minorEastAsia" w:hAnsiTheme="minorEastAsia" w:eastAsiaTheme="minorEastAsia"/>
          <w:kern w:val="2"/>
          <w:szCs w:val="24"/>
          <w:lang w:eastAsia="zh-CN" w:bidi="ar-SA"/>
        </w:rPr>
      </w:pPr>
      <w:r>
        <w:rPr>
          <w:rFonts w:asciiTheme="minorEastAsia" w:hAnsiTheme="minorEastAsia" w:eastAsiaTheme="minorEastAsia"/>
          <w:kern w:val="2"/>
          <w:szCs w:val="24"/>
          <w:lang w:eastAsia="zh-CN" w:bidi="ar-SA"/>
        </w:rPr>
        <w:t>本项目工程污水回注率、落地油回收率、吨油综合能耗等技术指标均低于阿尔善油田生产能耗控制指标，本</w:t>
      </w:r>
      <w:r>
        <w:rPr>
          <w:rFonts w:hint="eastAsia" w:asciiTheme="minorEastAsia" w:hAnsiTheme="minorEastAsia" w:eastAsiaTheme="minorEastAsia"/>
          <w:kern w:val="2"/>
          <w:szCs w:val="24"/>
          <w:lang w:eastAsia="zh-CN" w:bidi="ar-SA"/>
        </w:rPr>
        <w:t>项目</w:t>
      </w:r>
      <w:r>
        <w:rPr>
          <w:rFonts w:asciiTheme="minorEastAsia" w:hAnsiTheme="minorEastAsia" w:eastAsiaTheme="minorEastAsia"/>
          <w:kern w:val="2"/>
          <w:szCs w:val="24"/>
          <w:lang w:eastAsia="zh-CN" w:bidi="ar-SA"/>
        </w:rPr>
        <w:t>的清洁生产水平较好。</w:t>
      </w:r>
    </w:p>
    <w:p w14:paraId="4AA035C0">
      <w:pPr>
        <w:pStyle w:val="3"/>
        <w:rPr>
          <w:lang w:eastAsia="zh-CN"/>
        </w:rPr>
      </w:pPr>
      <w:bookmarkStart w:id="1142" w:name="_Toc205264515"/>
      <w:bookmarkStart w:id="1143" w:name="_Toc205277962"/>
      <w:bookmarkStart w:id="1144" w:name="_Toc206236269"/>
      <w:bookmarkStart w:id="1145" w:name="_Toc211222375"/>
      <w:bookmarkStart w:id="1146" w:name="_Toc205625957"/>
      <w:bookmarkStart w:id="1147" w:name="_Toc206235610"/>
      <w:bookmarkStart w:id="1148" w:name="_Toc208712749"/>
      <w:bookmarkStart w:id="1149" w:name="_Toc211052859"/>
      <w:bookmarkStart w:id="1150" w:name="_Toc211053017"/>
      <w:bookmarkStart w:id="1151" w:name="_Toc214955233"/>
      <w:bookmarkStart w:id="1152" w:name="_Toc211056982"/>
      <w:bookmarkStart w:id="1153" w:name="_Toc236312895"/>
      <w:bookmarkStart w:id="1154" w:name="_Toc408414136"/>
      <w:bookmarkStart w:id="1155" w:name="_Toc248649483"/>
      <w:r>
        <w:rPr>
          <w:lang w:eastAsia="zh-CN"/>
        </w:rPr>
        <w:t>17.6环境风险</w:t>
      </w:r>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p>
    <w:p w14:paraId="53EDA4B2">
      <w:pPr>
        <w:ind w:firstLine="480"/>
        <w:rPr>
          <w:rFonts w:asciiTheme="minorEastAsia" w:hAnsiTheme="minorEastAsia" w:eastAsiaTheme="minorEastAsia"/>
          <w:kern w:val="2"/>
          <w:szCs w:val="24"/>
          <w:lang w:eastAsia="zh-CN" w:bidi="ar-SA"/>
        </w:rPr>
      </w:pPr>
      <w:r>
        <w:rPr>
          <w:rFonts w:asciiTheme="minorEastAsia" w:hAnsiTheme="minorEastAsia" w:eastAsiaTheme="minorEastAsia"/>
          <w:kern w:val="2"/>
          <w:szCs w:val="24"/>
          <w:lang w:eastAsia="zh-CN" w:bidi="ar-SA"/>
        </w:rPr>
        <w:t>本工程的主要风险为油水泄漏事故和火灾爆炸事故。在工程采取一系列污染防治技术措施和管理措施后，可以控制和降低工程发生事故的概率，使事故发生的风险在可接受的范围。但建设单位还应加强员工的环保教育和培训，完善项目的事故应急预案，并定期演习，避免污染事故的发生。</w:t>
      </w:r>
    </w:p>
    <w:p w14:paraId="6B85AFF8">
      <w:pPr>
        <w:pStyle w:val="3"/>
        <w:rPr>
          <w:lang w:eastAsia="zh-CN"/>
        </w:rPr>
      </w:pPr>
      <w:bookmarkStart w:id="1156" w:name="_Toc339720018"/>
      <w:bookmarkStart w:id="1157" w:name="_Toc408414137"/>
      <w:bookmarkStart w:id="1158" w:name="_Toc352423452"/>
      <w:r>
        <w:rPr>
          <w:lang w:eastAsia="zh-CN"/>
        </w:rPr>
        <w:t>17.7污染物总量控制</w:t>
      </w:r>
      <w:bookmarkEnd w:id="1156"/>
      <w:bookmarkEnd w:id="1157"/>
      <w:bookmarkEnd w:id="1158"/>
    </w:p>
    <w:p w14:paraId="7AB2BC97">
      <w:pPr>
        <w:ind w:firstLine="480"/>
        <w:rPr>
          <w:rFonts w:asciiTheme="minorEastAsia" w:hAnsiTheme="minorEastAsia" w:eastAsiaTheme="minorEastAsia"/>
          <w:kern w:val="2"/>
          <w:szCs w:val="24"/>
          <w:lang w:eastAsia="zh-CN" w:bidi="ar-SA"/>
        </w:rPr>
      </w:pPr>
      <w:r>
        <w:rPr>
          <w:rFonts w:asciiTheme="minorEastAsia" w:hAnsiTheme="minorEastAsia" w:eastAsiaTheme="minorEastAsia"/>
          <w:kern w:val="2"/>
          <w:szCs w:val="24"/>
          <w:lang w:eastAsia="zh-CN" w:bidi="ar-SA"/>
        </w:rPr>
        <w:t>本项目本着</w:t>
      </w:r>
      <w:r>
        <w:rPr>
          <w:rFonts w:hint="eastAsia" w:asciiTheme="minorEastAsia" w:hAnsiTheme="minorEastAsia" w:eastAsiaTheme="minorEastAsia"/>
          <w:kern w:val="2"/>
          <w:szCs w:val="24"/>
          <w:lang w:eastAsia="zh-CN" w:bidi="ar-SA"/>
        </w:rPr>
        <w:t>“</w:t>
      </w:r>
      <w:r>
        <w:rPr>
          <w:rFonts w:asciiTheme="minorEastAsia" w:hAnsiTheme="minorEastAsia" w:eastAsiaTheme="minorEastAsia"/>
          <w:kern w:val="2"/>
          <w:szCs w:val="24"/>
          <w:lang w:eastAsia="zh-CN" w:bidi="ar-SA"/>
        </w:rPr>
        <w:t>达标排放、总量控制</w:t>
      </w:r>
      <w:r>
        <w:rPr>
          <w:rFonts w:hint="eastAsia" w:asciiTheme="minorEastAsia" w:hAnsiTheme="minorEastAsia" w:eastAsiaTheme="minorEastAsia"/>
          <w:kern w:val="2"/>
          <w:szCs w:val="24"/>
          <w:lang w:eastAsia="zh-CN" w:bidi="ar-SA"/>
        </w:rPr>
        <w:t>”</w:t>
      </w:r>
      <w:r>
        <w:rPr>
          <w:rFonts w:asciiTheme="minorEastAsia" w:hAnsiTheme="minorEastAsia" w:eastAsiaTheme="minorEastAsia"/>
          <w:kern w:val="2"/>
          <w:szCs w:val="24"/>
          <w:lang w:eastAsia="zh-CN" w:bidi="ar-SA"/>
        </w:rPr>
        <w:t>的原则，对新增污染源均采取了切实可行的污染防治措施和废物综合利用方案。本工程</w:t>
      </w:r>
      <w:r>
        <w:rPr>
          <w:rFonts w:hint="eastAsia" w:asciiTheme="minorEastAsia" w:hAnsiTheme="minorEastAsia" w:eastAsiaTheme="minorEastAsia"/>
          <w:kern w:val="2"/>
          <w:szCs w:val="24"/>
          <w:lang w:eastAsia="zh-CN" w:bidi="ar-SA"/>
        </w:rPr>
        <w:t>“</w:t>
      </w:r>
      <w:r>
        <w:rPr>
          <w:rFonts w:asciiTheme="minorEastAsia" w:hAnsiTheme="minorEastAsia" w:eastAsiaTheme="minorEastAsia"/>
          <w:kern w:val="2"/>
          <w:szCs w:val="24"/>
          <w:lang w:eastAsia="zh-CN" w:bidi="ar-SA"/>
        </w:rPr>
        <w:t>三废</w:t>
      </w:r>
      <w:r>
        <w:rPr>
          <w:rFonts w:hint="eastAsia" w:asciiTheme="minorEastAsia" w:hAnsiTheme="minorEastAsia" w:eastAsiaTheme="minorEastAsia"/>
          <w:kern w:val="2"/>
          <w:szCs w:val="24"/>
          <w:lang w:eastAsia="zh-CN" w:bidi="ar-SA"/>
        </w:rPr>
        <w:t>”</w:t>
      </w:r>
      <w:r>
        <w:rPr>
          <w:rFonts w:asciiTheme="minorEastAsia" w:hAnsiTheme="minorEastAsia" w:eastAsiaTheme="minorEastAsia"/>
          <w:kern w:val="2"/>
          <w:szCs w:val="24"/>
          <w:lang w:eastAsia="zh-CN" w:bidi="ar-SA"/>
        </w:rPr>
        <w:t>排放完全能满足达标排放的要求。评价在对污染源进行分析的基础上，提出了合理、可行的防治措施，</w:t>
      </w:r>
      <w:r>
        <w:rPr>
          <w:rFonts w:hint="eastAsia" w:asciiTheme="minorEastAsia" w:hAnsiTheme="minorEastAsia" w:eastAsiaTheme="minorEastAsia"/>
          <w:kern w:val="2"/>
          <w:szCs w:val="24"/>
          <w:lang w:eastAsia="zh-CN" w:bidi="ar-SA"/>
        </w:rPr>
        <w:t>减少</w:t>
      </w:r>
      <w:r>
        <w:rPr>
          <w:rFonts w:asciiTheme="minorEastAsia" w:hAnsiTheme="minorEastAsia" w:eastAsiaTheme="minorEastAsia"/>
          <w:kern w:val="2"/>
          <w:szCs w:val="24"/>
          <w:lang w:eastAsia="zh-CN" w:bidi="ar-SA"/>
        </w:rPr>
        <w:t>污染物的排放。经核算，本项目</w:t>
      </w:r>
      <w:r>
        <w:rPr>
          <w:rFonts w:hint="eastAsia" w:asciiTheme="minorEastAsia" w:hAnsiTheme="minorEastAsia" w:eastAsiaTheme="minorEastAsia"/>
          <w:kern w:val="2"/>
          <w:szCs w:val="24"/>
          <w:lang w:eastAsia="zh-CN" w:bidi="ar-SA"/>
        </w:rPr>
        <w:t>新增主要</w:t>
      </w:r>
      <w:r>
        <w:rPr>
          <w:rFonts w:asciiTheme="minorEastAsia" w:hAnsiTheme="minorEastAsia" w:eastAsiaTheme="minorEastAsia"/>
          <w:kern w:val="2"/>
          <w:szCs w:val="24"/>
          <w:lang w:eastAsia="zh-CN" w:bidi="ar-SA"/>
        </w:rPr>
        <w:t>污染物排放总量</w:t>
      </w:r>
      <w:r>
        <w:rPr>
          <w:rFonts w:hint="eastAsia" w:asciiTheme="minorEastAsia" w:hAnsiTheme="minorEastAsia" w:eastAsiaTheme="minorEastAsia"/>
          <w:kern w:val="2"/>
          <w:szCs w:val="24"/>
          <w:lang w:eastAsia="zh-CN" w:bidi="ar-SA"/>
        </w:rPr>
        <w:t>分别为</w:t>
      </w:r>
      <w:r>
        <w:rPr>
          <w:rFonts w:asciiTheme="minorEastAsia" w:hAnsiTheme="minorEastAsia" w:eastAsiaTheme="minorEastAsia"/>
          <w:kern w:val="2"/>
          <w:szCs w:val="24"/>
          <w:lang w:eastAsia="zh-CN" w:bidi="ar-SA"/>
        </w:rPr>
        <w:t>：</w:t>
      </w:r>
      <w:bookmarkStart w:id="1159" w:name="_Toc205625958"/>
      <w:bookmarkStart w:id="1160" w:name="_Toc206236270"/>
      <w:bookmarkStart w:id="1161" w:name="_Toc211052860"/>
      <w:bookmarkStart w:id="1162" w:name="_Toc211053018"/>
      <w:bookmarkStart w:id="1163" w:name="_Toc211056983"/>
      <w:bookmarkStart w:id="1164" w:name="_Toc211222376"/>
      <w:bookmarkStart w:id="1165" w:name="_Toc205264516"/>
      <w:bookmarkStart w:id="1166" w:name="_Toc205277963"/>
      <w:bookmarkStart w:id="1167" w:name="_Toc206235611"/>
      <w:bookmarkStart w:id="1168" w:name="_Toc214955234"/>
      <w:bookmarkStart w:id="1169" w:name="_Toc236312896"/>
      <w:bookmarkStart w:id="1170" w:name="_Toc248649484"/>
      <w:bookmarkStart w:id="1171" w:name="_Toc208712750"/>
      <w:r>
        <w:rPr>
          <w:rFonts w:hint="eastAsia" w:asciiTheme="minorEastAsia" w:hAnsiTheme="minorEastAsia" w:eastAsiaTheme="minorEastAsia"/>
          <w:kern w:val="2"/>
          <w:szCs w:val="24"/>
          <w:lang w:eastAsia="zh-CN" w:bidi="ar-SA"/>
        </w:rPr>
        <w:t>烟尘：0.336</w:t>
      </w:r>
      <w:r>
        <w:rPr>
          <w:rFonts w:asciiTheme="minorEastAsia" w:hAnsiTheme="minorEastAsia" w:eastAsiaTheme="minorEastAsia"/>
          <w:kern w:val="2"/>
          <w:szCs w:val="24"/>
          <w:lang w:eastAsia="zh-CN" w:bidi="ar-SA"/>
        </w:rPr>
        <w:t xml:space="preserve"> t/a</w:t>
      </w:r>
      <w:r>
        <w:rPr>
          <w:rFonts w:hint="eastAsia" w:asciiTheme="minorEastAsia" w:hAnsiTheme="minorEastAsia" w:eastAsiaTheme="minorEastAsia"/>
          <w:kern w:val="2"/>
          <w:szCs w:val="24"/>
          <w:lang w:eastAsia="zh-CN" w:bidi="ar-SA"/>
        </w:rPr>
        <w:t>；二氧化硫</w:t>
      </w:r>
      <w:r>
        <w:rPr>
          <w:rFonts w:asciiTheme="minorEastAsia" w:hAnsiTheme="minorEastAsia" w:eastAsiaTheme="minorEastAsia"/>
          <w:kern w:val="2"/>
          <w:szCs w:val="24"/>
          <w:lang w:eastAsia="zh-CN" w:bidi="ar-SA"/>
        </w:rPr>
        <w:t>：</w:t>
      </w:r>
      <w:r>
        <w:rPr>
          <w:rFonts w:hint="eastAsia" w:asciiTheme="minorEastAsia" w:hAnsiTheme="minorEastAsia" w:eastAsiaTheme="minorEastAsia"/>
          <w:kern w:val="2"/>
          <w:szCs w:val="24"/>
          <w:lang w:eastAsia="zh-CN" w:bidi="ar-SA"/>
        </w:rPr>
        <w:t>0.231</w:t>
      </w:r>
      <w:r>
        <w:rPr>
          <w:rFonts w:asciiTheme="minorEastAsia" w:hAnsiTheme="minorEastAsia" w:eastAsiaTheme="minorEastAsia"/>
          <w:kern w:val="2"/>
          <w:szCs w:val="24"/>
          <w:lang w:eastAsia="zh-CN" w:bidi="ar-SA"/>
        </w:rPr>
        <w:t>t/a；</w:t>
      </w:r>
      <w:r>
        <w:rPr>
          <w:rFonts w:hint="eastAsia" w:asciiTheme="minorEastAsia" w:hAnsiTheme="minorEastAsia" w:eastAsiaTheme="minorEastAsia"/>
          <w:kern w:val="2"/>
          <w:szCs w:val="24"/>
          <w:lang w:eastAsia="zh-CN" w:bidi="ar-SA"/>
        </w:rPr>
        <w:t>氮氧化物：0.798</w:t>
      </w:r>
      <w:r>
        <w:rPr>
          <w:rFonts w:asciiTheme="minorEastAsia" w:hAnsiTheme="minorEastAsia" w:eastAsiaTheme="minorEastAsia"/>
          <w:kern w:val="2"/>
          <w:szCs w:val="24"/>
          <w:lang w:eastAsia="zh-CN" w:bidi="ar-SA"/>
        </w:rPr>
        <w:t>t/a</w:t>
      </w:r>
      <w:r>
        <w:rPr>
          <w:rFonts w:hint="eastAsia" w:asciiTheme="minorEastAsia" w:hAnsiTheme="minorEastAsia" w:eastAsiaTheme="minorEastAsia"/>
          <w:kern w:val="2"/>
          <w:szCs w:val="24"/>
          <w:lang w:eastAsia="zh-CN" w:bidi="ar-SA"/>
        </w:rPr>
        <w:t>；</w:t>
      </w:r>
      <w:r>
        <w:rPr>
          <w:rFonts w:asciiTheme="minorEastAsia" w:hAnsiTheme="minorEastAsia" w:eastAsiaTheme="minorEastAsia"/>
          <w:kern w:val="2"/>
          <w:szCs w:val="24"/>
          <w:lang w:eastAsia="zh-CN" w:bidi="ar-SA"/>
        </w:rPr>
        <w:t xml:space="preserve"> </w:t>
      </w:r>
      <w:r>
        <w:rPr>
          <w:rFonts w:hint="eastAsia" w:asciiTheme="minorEastAsia" w:hAnsiTheme="minorEastAsia" w:eastAsiaTheme="minorEastAsia"/>
          <w:kern w:val="2"/>
          <w:szCs w:val="24"/>
          <w:lang w:eastAsia="zh-CN" w:bidi="ar-SA"/>
        </w:rPr>
        <w:t>化学需氧量</w:t>
      </w:r>
      <w:r>
        <w:rPr>
          <w:rFonts w:asciiTheme="minorEastAsia" w:hAnsiTheme="minorEastAsia" w:eastAsiaTheme="minorEastAsia"/>
          <w:kern w:val="2"/>
          <w:szCs w:val="24"/>
          <w:lang w:eastAsia="zh-CN" w:bidi="ar-SA"/>
        </w:rPr>
        <w:t>：0t/a</w:t>
      </w:r>
      <w:r>
        <w:rPr>
          <w:rFonts w:hint="eastAsia" w:asciiTheme="minorEastAsia" w:hAnsiTheme="minorEastAsia" w:eastAsiaTheme="minorEastAsia"/>
          <w:kern w:val="2"/>
          <w:szCs w:val="24"/>
          <w:lang w:eastAsia="zh-CN" w:bidi="ar-SA"/>
        </w:rPr>
        <w:t>；氨氮</w:t>
      </w:r>
      <w:r>
        <w:rPr>
          <w:rFonts w:asciiTheme="minorEastAsia" w:hAnsiTheme="minorEastAsia" w:eastAsiaTheme="minorEastAsia"/>
          <w:kern w:val="2"/>
          <w:szCs w:val="24"/>
          <w:lang w:eastAsia="zh-CN" w:bidi="ar-SA"/>
        </w:rPr>
        <w:t>：0t/a。</w:t>
      </w:r>
    </w:p>
    <w:p w14:paraId="63983B44">
      <w:pPr>
        <w:pStyle w:val="3"/>
        <w:rPr>
          <w:lang w:eastAsia="zh-CN"/>
        </w:rPr>
      </w:pPr>
      <w:bookmarkStart w:id="1172" w:name="_Toc408414138"/>
      <w:r>
        <w:rPr>
          <w:lang w:eastAsia="zh-CN"/>
        </w:rPr>
        <w:t>17.8公众参与</w:t>
      </w:r>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p>
    <w:p w14:paraId="05B928E8">
      <w:pPr>
        <w:ind w:firstLine="480"/>
        <w:rPr>
          <w:rFonts w:asciiTheme="minorEastAsia" w:hAnsiTheme="minorEastAsia" w:eastAsiaTheme="minorEastAsia"/>
          <w:kern w:val="2"/>
          <w:szCs w:val="24"/>
          <w:lang w:eastAsia="zh-CN" w:bidi="ar-SA"/>
        </w:rPr>
      </w:pPr>
      <w:r>
        <w:rPr>
          <w:rFonts w:asciiTheme="minorEastAsia" w:hAnsiTheme="minorEastAsia" w:eastAsiaTheme="minorEastAsia"/>
          <w:kern w:val="2"/>
          <w:szCs w:val="24"/>
          <w:lang w:eastAsia="zh-CN" w:bidi="ar-SA"/>
        </w:rPr>
        <w:t>为充分了解当地各部门和群众的意见，切实保护受影响居民的利益，同时也可为建设单位的设计、施工提供参考意见，</w:t>
      </w:r>
      <w:r>
        <w:rPr>
          <w:rFonts w:hint="eastAsia" w:asciiTheme="minorEastAsia" w:hAnsiTheme="minorEastAsia" w:eastAsiaTheme="minorEastAsia"/>
          <w:kern w:val="2"/>
          <w:szCs w:val="24"/>
          <w:lang w:eastAsia="zh-CN" w:bidi="ar-SA"/>
        </w:rPr>
        <w:t>建设单位和评价单位</w:t>
      </w:r>
      <w:r>
        <w:rPr>
          <w:rFonts w:asciiTheme="minorEastAsia" w:hAnsiTheme="minorEastAsia" w:eastAsiaTheme="minorEastAsia"/>
          <w:kern w:val="2"/>
          <w:szCs w:val="24"/>
          <w:lang w:eastAsia="zh-CN" w:bidi="ar-SA"/>
        </w:rPr>
        <w:t>于201</w:t>
      </w:r>
      <w:r>
        <w:rPr>
          <w:rFonts w:hint="eastAsia" w:asciiTheme="minorEastAsia" w:hAnsiTheme="minorEastAsia" w:eastAsiaTheme="minorEastAsia"/>
          <w:kern w:val="2"/>
          <w:szCs w:val="24"/>
          <w:lang w:eastAsia="zh-CN" w:bidi="ar-SA"/>
        </w:rPr>
        <w:t>4</w:t>
      </w:r>
      <w:r>
        <w:rPr>
          <w:rFonts w:asciiTheme="minorEastAsia" w:hAnsiTheme="minorEastAsia" w:eastAsiaTheme="minorEastAsia"/>
          <w:kern w:val="2"/>
          <w:szCs w:val="24"/>
          <w:lang w:eastAsia="zh-CN" w:bidi="ar-SA"/>
        </w:rPr>
        <w:t>年</w:t>
      </w:r>
      <w:r>
        <w:rPr>
          <w:rFonts w:hint="eastAsia" w:asciiTheme="minorEastAsia" w:hAnsiTheme="minorEastAsia" w:eastAsiaTheme="minorEastAsia"/>
          <w:kern w:val="2"/>
          <w:szCs w:val="24"/>
          <w:lang w:eastAsia="zh-CN" w:bidi="ar-SA"/>
        </w:rPr>
        <w:t>10</w:t>
      </w:r>
      <w:r>
        <w:rPr>
          <w:rFonts w:asciiTheme="minorEastAsia" w:hAnsiTheme="minorEastAsia" w:eastAsiaTheme="minorEastAsia"/>
          <w:kern w:val="2"/>
          <w:szCs w:val="24"/>
          <w:lang w:eastAsia="zh-CN" w:bidi="ar-SA"/>
        </w:rPr>
        <w:t>月进行了现场踏勘，在</w:t>
      </w:r>
      <w:r>
        <w:rPr>
          <w:rFonts w:hint="eastAsia" w:asciiTheme="minorEastAsia" w:hAnsiTheme="minorEastAsia" w:eastAsiaTheme="minorEastAsia"/>
          <w:kern w:val="2"/>
          <w:szCs w:val="24"/>
          <w:lang w:eastAsia="zh-CN" w:bidi="ar-SA"/>
        </w:rPr>
        <w:t>乌里雅斯太油田及乌里雅斯太镇</w:t>
      </w:r>
      <w:r>
        <w:rPr>
          <w:rFonts w:asciiTheme="minorEastAsia" w:hAnsiTheme="minorEastAsia" w:eastAsiaTheme="minorEastAsia"/>
          <w:kern w:val="2"/>
          <w:szCs w:val="24"/>
          <w:lang w:eastAsia="zh-CN" w:bidi="ar-SA"/>
        </w:rPr>
        <w:t>主要街道和居民集中地张贴了本</w:t>
      </w:r>
      <w:r>
        <w:rPr>
          <w:rFonts w:hint="eastAsia" w:asciiTheme="minorEastAsia" w:hAnsiTheme="minorEastAsia" w:eastAsiaTheme="minorEastAsia"/>
          <w:kern w:val="2"/>
          <w:szCs w:val="24"/>
          <w:lang w:eastAsia="zh-CN" w:bidi="ar-SA"/>
        </w:rPr>
        <w:t>项目</w:t>
      </w:r>
      <w:r>
        <w:rPr>
          <w:rFonts w:asciiTheme="minorEastAsia" w:hAnsiTheme="minorEastAsia" w:eastAsiaTheme="minorEastAsia"/>
          <w:kern w:val="2"/>
          <w:szCs w:val="24"/>
          <w:lang w:eastAsia="zh-CN" w:bidi="ar-SA"/>
        </w:rPr>
        <w:t>环境影响评价公告，征询了公众意见</w:t>
      </w:r>
      <w:r>
        <w:rPr>
          <w:rFonts w:hint="eastAsia" w:asciiTheme="minorEastAsia" w:hAnsiTheme="minorEastAsia" w:eastAsiaTheme="minorEastAsia"/>
          <w:kern w:val="2"/>
          <w:szCs w:val="24"/>
          <w:lang w:eastAsia="zh-CN" w:bidi="ar-SA"/>
        </w:rPr>
        <w:t>，</w:t>
      </w:r>
      <w:r>
        <w:rPr>
          <w:rFonts w:asciiTheme="minorEastAsia" w:hAnsiTheme="minorEastAsia" w:eastAsiaTheme="minorEastAsia"/>
          <w:kern w:val="2"/>
          <w:szCs w:val="24"/>
          <w:lang w:eastAsia="zh-CN" w:bidi="ar-SA"/>
        </w:rPr>
        <w:t>于201</w:t>
      </w:r>
      <w:r>
        <w:rPr>
          <w:rFonts w:hint="eastAsia" w:asciiTheme="minorEastAsia" w:hAnsiTheme="minorEastAsia" w:eastAsiaTheme="minorEastAsia"/>
          <w:kern w:val="2"/>
          <w:szCs w:val="24"/>
          <w:lang w:eastAsia="zh-CN" w:bidi="ar-SA"/>
        </w:rPr>
        <w:t>4</w:t>
      </w:r>
      <w:r>
        <w:rPr>
          <w:rFonts w:asciiTheme="minorEastAsia" w:hAnsiTheme="minorEastAsia" w:eastAsiaTheme="minorEastAsia"/>
          <w:kern w:val="2"/>
          <w:szCs w:val="24"/>
          <w:lang w:eastAsia="zh-CN" w:bidi="ar-SA"/>
        </w:rPr>
        <w:t>年</w:t>
      </w:r>
      <w:r>
        <w:rPr>
          <w:rFonts w:hint="eastAsia" w:asciiTheme="minorEastAsia" w:hAnsiTheme="minorEastAsia" w:eastAsiaTheme="minorEastAsia"/>
          <w:kern w:val="2"/>
          <w:szCs w:val="24"/>
          <w:lang w:eastAsia="zh-CN" w:bidi="ar-SA"/>
        </w:rPr>
        <w:t>11</w:t>
      </w:r>
      <w:r>
        <w:rPr>
          <w:rFonts w:asciiTheme="minorEastAsia" w:hAnsiTheme="minorEastAsia" w:eastAsiaTheme="minorEastAsia"/>
          <w:kern w:val="2"/>
          <w:szCs w:val="24"/>
          <w:lang w:eastAsia="zh-CN" w:bidi="ar-SA"/>
        </w:rPr>
        <w:t>月</w:t>
      </w:r>
      <w:r>
        <w:rPr>
          <w:rFonts w:hint="eastAsia" w:asciiTheme="minorEastAsia" w:hAnsiTheme="minorEastAsia" w:eastAsiaTheme="minorEastAsia"/>
          <w:kern w:val="2"/>
          <w:szCs w:val="24"/>
          <w:lang w:eastAsia="zh-CN" w:bidi="ar-SA"/>
        </w:rPr>
        <w:t>27</w:t>
      </w:r>
      <w:r>
        <w:rPr>
          <w:rFonts w:asciiTheme="minorEastAsia" w:hAnsiTheme="minorEastAsia" w:eastAsiaTheme="minorEastAsia"/>
          <w:kern w:val="2"/>
          <w:szCs w:val="24"/>
          <w:lang w:eastAsia="zh-CN" w:bidi="ar-SA"/>
        </w:rPr>
        <w:t>日在锡盟日报上进行第二次公告。通过对公众意见的调查统计，本工程建设得到了广大公众的支持，</w:t>
      </w:r>
      <w:r>
        <w:rPr>
          <w:rFonts w:hint="eastAsia" w:asciiTheme="minorEastAsia" w:hAnsiTheme="minorEastAsia" w:eastAsiaTheme="minorEastAsia"/>
          <w:kern w:val="2"/>
          <w:szCs w:val="24"/>
          <w:lang w:eastAsia="zh-CN" w:bidi="ar-SA"/>
        </w:rPr>
        <w:t>没有反对意见。建设单位应</w:t>
      </w:r>
      <w:r>
        <w:rPr>
          <w:rFonts w:asciiTheme="minorEastAsia" w:hAnsiTheme="minorEastAsia" w:eastAsiaTheme="minorEastAsia"/>
          <w:kern w:val="2"/>
          <w:szCs w:val="24"/>
          <w:lang w:eastAsia="zh-CN" w:bidi="ar-SA"/>
        </w:rPr>
        <w:t>在实现经济效益的同时，必须重点考虑到当地环境保护及本地区人民的生活质量和身体健康</w:t>
      </w:r>
      <w:r>
        <w:rPr>
          <w:rFonts w:hint="eastAsia" w:asciiTheme="minorEastAsia" w:hAnsiTheme="minorEastAsia" w:eastAsiaTheme="minorEastAsia"/>
          <w:kern w:val="2"/>
          <w:szCs w:val="24"/>
          <w:lang w:eastAsia="zh-CN" w:bidi="ar-SA"/>
        </w:rPr>
        <w:t>，</w:t>
      </w:r>
      <w:r>
        <w:rPr>
          <w:rFonts w:asciiTheme="minorEastAsia" w:hAnsiTheme="minorEastAsia" w:eastAsiaTheme="minorEastAsia"/>
          <w:kern w:val="2"/>
          <w:szCs w:val="24"/>
          <w:lang w:eastAsia="zh-CN" w:bidi="ar-SA"/>
        </w:rPr>
        <w:t>要严格落实设计及评价提出的工程污染防治措施，使项目运营后取得经济效益、环境效益与社会效益三方面的统一</w:t>
      </w:r>
      <w:r>
        <w:rPr>
          <w:rFonts w:hint="eastAsia" w:asciiTheme="minorEastAsia" w:hAnsiTheme="minorEastAsia" w:eastAsiaTheme="minorEastAsia"/>
          <w:kern w:val="2"/>
          <w:szCs w:val="24"/>
          <w:lang w:eastAsia="zh-CN" w:bidi="ar-SA"/>
        </w:rPr>
        <w:t>。</w:t>
      </w:r>
    </w:p>
    <w:p w14:paraId="1DD94DEC">
      <w:pPr>
        <w:pStyle w:val="3"/>
        <w:rPr>
          <w:lang w:eastAsia="zh-CN"/>
        </w:rPr>
      </w:pPr>
      <w:bookmarkStart w:id="1173" w:name="_Toc408414139"/>
      <w:r>
        <w:rPr>
          <w:lang w:eastAsia="zh-CN"/>
        </w:rPr>
        <w:t>17.9结论</w:t>
      </w:r>
      <w:bookmarkEnd w:id="1173"/>
    </w:p>
    <w:p w14:paraId="445E4431">
      <w:pPr>
        <w:ind w:firstLine="480"/>
        <w:rPr>
          <w:rFonts w:asciiTheme="minorEastAsia" w:hAnsiTheme="minorEastAsia" w:eastAsiaTheme="minorEastAsia"/>
          <w:kern w:val="2"/>
          <w:szCs w:val="24"/>
          <w:lang w:eastAsia="zh-CN" w:bidi="ar-SA"/>
        </w:rPr>
      </w:pPr>
      <w:r>
        <w:rPr>
          <w:rFonts w:asciiTheme="minorEastAsia" w:hAnsiTheme="minorEastAsia" w:eastAsiaTheme="minorEastAsia"/>
          <w:kern w:val="2"/>
          <w:szCs w:val="24"/>
          <w:lang w:eastAsia="zh-CN" w:bidi="ar-SA"/>
        </w:rPr>
        <w:t>综上所述，乌里雅斯太油田产能建设工程符合国家产业政策和锡林郭勒盟中长期经济发展规划。油田正常生产情况下</w:t>
      </w:r>
      <w:r>
        <w:rPr>
          <w:rFonts w:hint="eastAsia" w:asciiTheme="minorEastAsia" w:hAnsiTheme="minorEastAsia" w:eastAsiaTheme="minorEastAsia"/>
          <w:kern w:val="2"/>
          <w:szCs w:val="24"/>
          <w:lang w:eastAsia="zh-CN" w:bidi="ar-SA"/>
        </w:rPr>
        <w:t>排放的污染物达标排放，</w:t>
      </w:r>
      <w:r>
        <w:rPr>
          <w:rFonts w:asciiTheme="minorEastAsia" w:hAnsiTheme="minorEastAsia" w:eastAsiaTheme="minorEastAsia"/>
          <w:kern w:val="2"/>
          <w:szCs w:val="24"/>
          <w:lang w:eastAsia="zh-CN" w:bidi="ar-SA"/>
        </w:rPr>
        <w:t>对环境的影响较小，工程施工及生产运行过程中可能出现的各类风险事故，在相应的污染防治措施、生态保护措施及事故应急措施得以切实有效实施的前提下，</w:t>
      </w:r>
      <w:r>
        <w:rPr>
          <w:rFonts w:hint="eastAsia" w:asciiTheme="minorEastAsia" w:hAnsiTheme="minorEastAsia" w:eastAsiaTheme="minorEastAsia"/>
          <w:kern w:val="2"/>
          <w:szCs w:val="24"/>
          <w:lang w:eastAsia="zh-CN" w:bidi="ar-SA"/>
        </w:rPr>
        <w:t>不会对评价</w:t>
      </w:r>
      <w:r>
        <w:rPr>
          <w:rFonts w:asciiTheme="minorEastAsia" w:hAnsiTheme="minorEastAsia" w:eastAsiaTheme="minorEastAsia"/>
          <w:kern w:val="2"/>
          <w:szCs w:val="24"/>
          <w:lang w:eastAsia="zh-CN" w:bidi="ar-SA"/>
        </w:rPr>
        <w:t>区域环境</w:t>
      </w:r>
      <w:r>
        <w:rPr>
          <w:rFonts w:hint="eastAsia" w:asciiTheme="minorEastAsia" w:hAnsiTheme="minorEastAsia" w:eastAsiaTheme="minorEastAsia"/>
          <w:kern w:val="2"/>
          <w:szCs w:val="24"/>
          <w:lang w:eastAsia="zh-CN" w:bidi="ar-SA"/>
        </w:rPr>
        <w:t>造成较大的影响</w:t>
      </w:r>
      <w:r>
        <w:rPr>
          <w:rFonts w:asciiTheme="minorEastAsia" w:hAnsiTheme="minorEastAsia" w:eastAsiaTheme="minorEastAsia"/>
          <w:kern w:val="2"/>
          <w:szCs w:val="24"/>
          <w:lang w:eastAsia="zh-CN" w:bidi="ar-SA"/>
        </w:rPr>
        <w:t>。从环境保护角度分析，</w:t>
      </w:r>
      <w:r>
        <w:rPr>
          <w:rFonts w:hint="eastAsia" w:asciiTheme="minorEastAsia" w:hAnsiTheme="minorEastAsia" w:eastAsiaTheme="minorEastAsia"/>
          <w:kern w:val="2"/>
          <w:szCs w:val="24"/>
          <w:lang w:eastAsia="zh-CN" w:bidi="ar-SA"/>
        </w:rPr>
        <w:t>乌里雅斯太油田地面产能开发建设项目</w:t>
      </w:r>
      <w:r>
        <w:rPr>
          <w:rFonts w:asciiTheme="minorEastAsia" w:hAnsiTheme="minorEastAsia" w:eastAsiaTheme="minorEastAsia"/>
          <w:kern w:val="2"/>
          <w:szCs w:val="24"/>
          <w:lang w:eastAsia="zh-CN" w:bidi="ar-SA"/>
        </w:rPr>
        <w:t>是可行的。</w:t>
      </w:r>
    </w:p>
    <w:p w14:paraId="146FA23B">
      <w:pPr>
        <w:pStyle w:val="3"/>
        <w:rPr>
          <w:lang w:eastAsia="zh-CN"/>
        </w:rPr>
      </w:pPr>
      <w:bookmarkStart w:id="1174" w:name="_Toc171308661"/>
      <w:bookmarkStart w:id="1175" w:name="_Toc211053019"/>
      <w:bookmarkStart w:id="1176" w:name="_Toc214955235"/>
      <w:bookmarkStart w:id="1177" w:name="_Toc205264517"/>
      <w:bookmarkStart w:id="1178" w:name="_Toc102625519"/>
      <w:bookmarkStart w:id="1179" w:name="_Toc236312897"/>
      <w:bookmarkStart w:id="1180" w:name="_Toc176685007"/>
      <w:bookmarkStart w:id="1181" w:name="_Toc211056984"/>
      <w:bookmarkStart w:id="1182" w:name="_Toc169863730"/>
      <w:bookmarkStart w:id="1183" w:name="_Toc169863956"/>
      <w:bookmarkStart w:id="1184" w:name="_Toc170269580"/>
      <w:bookmarkStart w:id="1185" w:name="_Toc147376289"/>
      <w:bookmarkStart w:id="1186" w:name="_Toc177181396"/>
      <w:bookmarkStart w:id="1187" w:name="_Toc205277964"/>
      <w:bookmarkStart w:id="1188" w:name="_Toc129999880"/>
      <w:bookmarkStart w:id="1189" w:name="_Toc205625959"/>
      <w:bookmarkStart w:id="1190" w:name="_Toc206235612"/>
      <w:bookmarkStart w:id="1191" w:name="_Toc208712751"/>
      <w:bookmarkStart w:id="1192" w:name="_Toc211052861"/>
      <w:bookmarkStart w:id="1193" w:name="_Toc211222377"/>
      <w:bookmarkStart w:id="1194" w:name="_Toc206236271"/>
      <w:bookmarkStart w:id="1195" w:name="_Toc408414140"/>
      <w:bookmarkStart w:id="1196" w:name="_Toc248649485"/>
      <w:r>
        <w:rPr>
          <w:lang w:eastAsia="zh-CN"/>
        </w:rPr>
        <w:t>17.10建议</w:t>
      </w:r>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p>
    <w:p w14:paraId="659F1B19">
      <w:pPr>
        <w:ind w:firstLine="480"/>
        <w:rPr>
          <w:snapToGrid w:val="0"/>
          <w:lang w:eastAsia="zh-CN"/>
        </w:rPr>
      </w:pPr>
      <w:r>
        <w:rPr>
          <w:snapToGrid w:val="0"/>
          <w:lang w:eastAsia="zh-CN"/>
        </w:rPr>
        <w:t>为了能够真正实现经济效益、环境效益、社会效益的统一，保护周围环境的质量，不改变原环境功能，油田开发</w:t>
      </w:r>
      <w:r>
        <w:rPr>
          <w:rFonts w:hint="eastAsia"/>
          <w:snapToGrid w:val="0"/>
          <w:lang w:eastAsia="zh-CN"/>
        </w:rPr>
        <w:t>过程中</w:t>
      </w:r>
      <w:r>
        <w:rPr>
          <w:snapToGrid w:val="0"/>
          <w:lang w:eastAsia="zh-CN"/>
        </w:rPr>
        <w:t>一定要加强管理，落实各项污染防治措施，尤其要注意加强油田开发初期的生态环境保护。</w:t>
      </w:r>
    </w:p>
    <w:p w14:paraId="6DDA5FC9">
      <w:pPr>
        <w:ind w:firstLine="0" w:firstLineChars="0"/>
        <w:rPr>
          <w:sz w:val="21"/>
          <w:szCs w:val="21"/>
          <w:lang w:eastAsia="zh-CN"/>
        </w:rPr>
      </w:pPr>
    </w:p>
    <w:p w14:paraId="29A82530">
      <w:pPr>
        <w:ind w:firstLine="0" w:firstLineChars="0"/>
        <w:rPr>
          <w:sz w:val="21"/>
          <w:szCs w:val="21"/>
          <w:lang w:eastAsia="zh-CN"/>
        </w:rPr>
      </w:pPr>
    </w:p>
    <w:sectPr>
      <w:pgSz w:w="11907" w:h="16840"/>
      <w:pgMar w:top="1440" w:right="1797" w:bottom="1440" w:left="1797" w:header="851" w:footer="992" w:gutter="0"/>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汉鼎简书宋">
    <w:altName w:val="微软雅黑"/>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Arial Narrow">
    <w:altName w:val="Arial"/>
    <w:panose1 w:val="020B0606020202030204"/>
    <w:charset w:val="00"/>
    <w:family w:val="swiss"/>
    <w:pitch w:val="default"/>
    <w:sig w:usb0="00000000" w:usb1="00000000" w:usb2="00000000" w:usb3="00000000" w:csb0="2000009F" w:csb1="DFD70000"/>
  </w:font>
  <w:font w:name="ˎ̥">
    <w:altName w:val="Times New Roman"/>
    <w:panose1 w:val="00000000000000000000"/>
    <w:charset w:val="00"/>
    <w:family w:val="roman"/>
    <w:pitch w:val="default"/>
    <w:sig w:usb0="00000000" w:usb1="00000000" w:usb2="00000000" w:usb3="00000000" w:csb0="00040001" w:csb1="00000000"/>
  </w:font>
  <w:font w:name="华文细黑">
    <w:altName w:val="微软雅黑"/>
    <w:panose1 w:val="02010600040101010101"/>
    <w:charset w:val="86"/>
    <w:family w:val="auto"/>
    <w:pitch w:val="default"/>
    <w:sig w:usb0="00000000" w:usb1="00000000" w:usb2="00000000" w:usb3="00000000" w:csb0="0004009F" w:csb1="DFD70000"/>
  </w:font>
  <w:font w:name="华文行楷">
    <w:altName w:val="微软雅黑"/>
    <w:panose1 w:val="02010800040101010101"/>
    <w:charset w:val="86"/>
    <w:family w:val="auto"/>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宋体">
    <w:panose1 w:val="02010600030101010101"/>
    <w:charset w:val="86"/>
    <w:family w:val="auto"/>
    <w:pitch w:val="default"/>
    <w:sig w:usb0="00000203" w:usb1="288F0000" w:usb2="0000000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华文新魏">
    <w:altName w:val="宋体"/>
    <w:panose1 w:val="02010800040101010101"/>
    <w:charset w:val="86"/>
    <w:family w:val="auto"/>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方正书宋简体">
    <w:altName w:val="宋体"/>
    <w:panose1 w:val="00000000000000000000"/>
    <w:charset w:val="86"/>
    <w:family w:val="auto"/>
    <w:pitch w:val="default"/>
    <w:sig w:usb0="00000000" w:usb1="00000000" w:usb2="00000010" w:usb3="00000000" w:csb0="00040000" w:csb1="00000000"/>
  </w:font>
  <w:font w:name="Times">
    <w:altName w:val="Times New Roman"/>
    <w:panose1 w:val="02020603050405020304"/>
    <w:charset w:val="00"/>
    <w:family w:val="roman"/>
    <w:pitch w:val="default"/>
    <w:sig w:usb0="00000000" w:usb1="00000000" w:usb2="00000008" w:usb3="00000000" w:csb0="000001FF" w:csb1="00000000"/>
  </w:font>
  <w:font w:name="隶书">
    <w:altName w:val="微软雅黑"/>
    <w:panose1 w:val="02010509060101010101"/>
    <w:charset w:val="86"/>
    <w:family w:val="modern"/>
    <w:pitch w:val="default"/>
    <w:sig w:usb0="00000000" w:usb1="00000000" w:usb2="00000000" w:usb3="00000000" w:csb0="00040000" w:csb1="00000000"/>
  </w:font>
  <w:font w:name="UniversalMath1 BT">
    <w:altName w:val="Symbol"/>
    <w:panose1 w:val="05050102010205020602"/>
    <w:charset w:val="02"/>
    <w:family w:val="roman"/>
    <w:pitch w:val="default"/>
    <w:sig w:usb0="00000000" w:usb1="00000000" w:usb2="00000000" w:usb3="00000000" w:csb0="80000000" w:csb1="00000000"/>
  </w:font>
  <w:font w:name="Adobe 宋体 Std L">
    <w:altName w:val="宋体"/>
    <w:panose1 w:val="00000000000000000000"/>
    <w:charset w:val="86"/>
    <w:family w:val="roman"/>
    <w:pitch w:val="default"/>
    <w:sig w:usb0="00000000" w:usb1="00000000" w:usb2="00000016" w:usb3="00000000" w:csb0="000600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69063D">
    <w:pPr>
      <w:pStyle w:val="47"/>
      <w:ind w:right="360" w:rightChars="150" w:firstLine="360"/>
      <w:rPr>
        <w:lang w:eastAsia="zh-CN"/>
      </w:rPr>
    </w:pPr>
    <w:r>
      <w:rPr>
        <w:rFonts w:hint="eastAsia"/>
        <w:lang w:eastAsia="zh-CN"/>
      </w:rPr>
      <w:t>中晟环保科技开发</w:t>
    </w:r>
    <w:r>
      <w:rPr>
        <w:lang w:eastAsia="zh-CN"/>
      </w:rPr>
      <w:t xml:space="preserve">有限公司             </w:t>
    </w:r>
    <w:r>
      <w:rPr>
        <w:rFonts w:hint="eastAsia"/>
        <w:lang w:eastAsia="zh-CN"/>
      </w:rPr>
      <w:t xml:space="preserve">   </w:t>
    </w:r>
    <w:r>
      <w:rPr>
        <w:lang w:eastAsia="zh-CN"/>
      </w:rPr>
      <w:t xml:space="preserve">      </w:t>
    </w:r>
    <w:r>
      <w:rPr>
        <w:rFonts w:hint="eastAsia"/>
        <w:lang w:eastAsia="zh-CN"/>
      </w:rPr>
      <w:t xml:space="preserve">   </w:t>
    </w:r>
    <w:r>
      <w:rPr>
        <w:lang w:eastAsia="zh-CN"/>
      </w:rPr>
      <w:t xml:space="preserve"> </w:t>
    </w:r>
    <w:r>
      <w:rPr>
        <w:rFonts w:hint="eastAsia"/>
        <w:lang w:eastAsia="zh-CN"/>
      </w:rPr>
      <w:t xml:space="preserve">       </w:t>
    </w:r>
    <w:r>
      <w:rPr>
        <w:lang w:eastAsia="zh-CN"/>
      </w:rPr>
      <w:t xml:space="preserve">      </w:t>
    </w:r>
    <w:r>
      <w:fldChar w:fldCharType="begin"/>
    </w:r>
    <w:r>
      <w:rPr>
        <w:lang w:eastAsia="zh-CN"/>
      </w:rPr>
      <w:instrText xml:space="preserve"> PAGE </w:instrText>
    </w:r>
    <w:r>
      <w:fldChar w:fldCharType="separate"/>
    </w:r>
    <w:r>
      <w:rPr>
        <w:lang w:eastAsia="zh-CN"/>
      </w:rPr>
      <w:t>5</w:t>
    </w:r>
    <w:r>
      <w:fldChar w:fldCharType="end"/>
    </w:r>
    <w:r>
      <w:rPr>
        <w:rFonts w:hint="eastAsia"/>
        <w:lang w:eastAsia="zh-CN"/>
      </w:rPr>
      <w:t xml:space="preserve">                         </w:t>
    </w:r>
    <w:r>
      <w:rPr>
        <w:lang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B0204">
    <w:pPr>
      <w:pStyle w:val="4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317FE7">
    <w:pPr>
      <w:pStyle w:val="4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91051C">
    <w:pPr>
      <w:pStyle w:val="47"/>
      <w:framePr w:wrap="around" w:vAnchor="text" w:hAnchor="margin" w:xAlign="center" w:y="1"/>
      <w:ind w:firstLine="360"/>
      <w:rPr>
        <w:rStyle w:val="81"/>
      </w:rPr>
    </w:pPr>
    <w:r>
      <w:fldChar w:fldCharType="begin"/>
    </w:r>
    <w:r>
      <w:rPr>
        <w:rStyle w:val="81"/>
      </w:rPr>
      <w:instrText xml:space="preserve">PAGE  </w:instrText>
    </w:r>
    <w:r>
      <w:fldChar w:fldCharType="separate"/>
    </w:r>
    <w:r>
      <w:rPr>
        <w:rStyle w:val="81"/>
      </w:rPr>
      <w:t>67</w:t>
    </w:r>
    <w:r>
      <w:fldChar w:fldCharType="end"/>
    </w:r>
  </w:p>
  <w:p w14:paraId="7F66748E">
    <w:pPr>
      <w:pStyle w:val="47"/>
      <w:framePr w:wrap="around" w:vAnchor="text" w:hAnchor="margin" w:xAlign="right" w:y="1"/>
      <w:ind w:firstLine="360"/>
      <w:rPr>
        <w:rStyle w:val="81"/>
      </w:rPr>
    </w:pPr>
  </w:p>
  <w:p w14:paraId="6EDBAD57">
    <w:pPr>
      <w:pStyle w:val="47"/>
      <w:ind w:right="360" w:rightChars="150" w:firstLine="360"/>
      <w:rPr>
        <w:lang w:eastAsia="zh-CN"/>
      </w:rPr>
    </w:pPr>
    <w:r>
      <w:rPr>
        <w:rFonts w:hint="eastAsia"/>
        <w:lang w:eastAsia="zh-CN"/>
      </w:rPr>
      <w:t>中晟环保科技开发</w:t>
    </w:r>
    <w:r>
      <w:rPr>
        <w:lang w:eastAsia="zh-CN"/>
      </w:rPr>
      <w:t>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80D8C">
    <w:pPr>
      <w:pStyle w:val="47"/>
      <w:framePr w:wrap="around" w:vAnchor="text" w:hAnchor="margin" w:xAlign="center" w:y="1"/>
      <w:ind w:firstLine="360"/>
    </w:pPr>
    <w:r>
      <w:fldChar w:fldCharType="begin"/>
    </w:r>
    <w:r>
      <w:instrText xml:space="preserve">PAGE  </w:instrText>
    </w:r>
    <w:r>
      <w:fldChar w:fldCharType="separate"/>
    </w:r>
    <w:r>
      <w:fldChar w:fldCharType="end"/>
    </w:r>
  </w:p>
  <w:p w14:paraId="0CA4D59D">
    <w:pPr>
      <w:pStyle w:val="47"/>
      <w:ind w:right="360" w:rightChars="15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01785">
    <w:pPr>
      <w:pStyle w:val="47"/>
      <w:ind w:firstLine="360"/>
      <w:rPr>
        <w:lang w:eastAsia="zh-CN"/>
      </w:rPr>
    </w:pPr>
    <w:r>
      <w:rPr>
        <w:rFonts w:hint="eastAsia"/>
        <w:lang w:eastAsia="zh-CN"/>
      </w:rPr>
      <w:t>中晟环保科技开发</w:t>
    </w:r>
    <w:r>
      <w:rPr>
        <w:lang w:eastAsia="zh-CN"/>
      </w:rPr>
      <w:t>有限公司</w:t>
    </w:r>
    <w:r>
      <w:rPr>
        <w:rFonts w:hint="eastAsia"/>
        <w:lang w:eastAsia="zh-CN"/>
      </w:rPr>
      <w:t xml:space="preserve">                </w:t>
    </w:r>
    <w:r>
      <w:rPr>
        <w:szCs w:val="21"/>
        <w:lang w:eastAsia="zh-CN"/>
      </w:rPr>
      <w:t xml:space="preserve">- </w:t>
    </w:r>
    <w:r>
      <w:rPr>
        <w:szCs w:val="21"/>
      </w:rPr>
      <w:fldChar w:fldCharType="begin"/>
    </w:r>
    <w:r>
      <w:rPr>
        <w:szCs w:val="21"/>
        <w:lang w:eastAsia="zh-CN"/>
      </w:rPr>
      <w:instrText xml:space="preserve"> PAGE </w:instrText>
    </w:r>
    <w:r>
      <w:rPr>
        <w:szCs w:val="21"/>
      </w:rPr>
      <w:fldChar w:fldCharType="separate"/>
    </w:r>
    <w:r>
      <w:rPr>
        <w:szCs w:val="21"/>
        <w:lang w:eastAsia="zh-CN"/>
      </w:rPr>
      <w:t>204</w:t>
    </w:r>
    <w:r>
      <w:rPr>
        <w:szCs w:val="21"/>
      </w:rPr>
      <w:fldChar w:fldCharType="end"/>
    </w:r>
    <w:r>
      <w:rPr>
        <w:szCs w:val="21"/>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2DCEB">
    <w:pPr>
      <w:pStyle w:val="49"/>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2F1B4">
    <w:pPr>
      <w:pStyle w:val="4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46A03">
    <w:pPr>
      <w:pStyle w:val="4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D5AEF2">
    <w:pPr>
      <w:pStyle w:val="49"/>
      <w:ind w:firstLineChars="111"/>
      <w:rPr>
        <w:szCs w:val="21"/>
      </w:rPr>
    </w:pPr>
    <w:r>
      <w:rPr>
        <w:szCs w:val="24"/>
      </w:rPr>
      <w:t>乌里雅斯太油田地面产能开发建设项目</w:t>
    </w:r>
    <w:r>
      <w:rPr>
        <w:rFonts w:hint="eastAsia"/>
        <w:szCs w:val="24"/>
      </w:rPr>
      <w:t>环境影响评价报告书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1252A">
    <w:pPr>
      <w:ind w:firstLine="48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50"/>
  <w:drawingGridHorizontalSpacing w:val="120"/>
  <w:drawingGridVerticalSpacing w:val="163"/>
  <w:displayHorizontalDrawingGridEvery w:val="0"/>
  <w:displayVerticalDrawingGridEvery w:val="2"/>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YyMmM5ZWViZDE5OGI0MjM4NzczOTJkMWU3N2M1YTEifQ=="/>
  </w:docVars>
  <w:rsids>
    <w:rsidRoot w:val="00172A27"/>
    <w:rsid w:val="00000797"/>
    <w:rsid w:val="0000201D"/>
    <w:rsid w:val="0000639F"/>
    <w:rsid w:val="00006902"/>
    <w:rsid w:val="000075B0"/>
    <w:rsid w:val="000114B5"/>
    <w:rsid w:val="000114F4"/>
    <w:rsid w:val="000115BA"/>
    <w:rsid w:val="00011A61"/>
    <w:rsid w:val="00012128"/>
    <w:rsid w:val="00012D8A"/>
    <w:rsid w:val="00013846"/>
    <w:rsid w:val="00020B18"/>
    <w:rsid w:val="00023417"/>
    <w:rsid w:val="00023DB1"/>
    <w:rsid w:val="00024835"/>
    <w:rsid w:val="0002610D"/>
    <w:rsid w:val="00031751"/>
    <w:rsid w:val="00031873"/>
    <w:rsid w:val="0003248C"/>
    <w:rsid w:val="000332FD"/>
    <w:rsid w:val="00033526"/>
    <w:rsid w:val="00035055"/>
    <w:rsid w:val="00035C7D"/>
    <w:rsid w:val="0003775B"/>
    <w:rsid w:val="0003786B"/>
    <w:rsid w:val="000402DF"/>
    <w:rsid w:val="00040B19"/>
    <w:rsid w:val="00041335"/>
    <w:rsid w:val="00041E3F"/>
    <w:rsid w:val="0004299F"/>
    <w:rsid w:val="00042B84"/>
    <w:rsid w:val="00044E1F"/>
    <w:rsid w:val="00045A0B"/>
    <w:rsid w:val="00046AB8"/>
    <w:rsid w:val="0004718B"/>
    <w:rsid w:val="0004782F"/>
    <w:rsid w:val="00050B1E"/>
    <w:rsid w:val="00051357"/>
    <w:rsid w:val="00052959"/>
    <w:rsid w:val="00052FDC"/>
    <w:rsid w:val="0005390F"/>
    <w:rsid w:val="0005431D"/>
    <w:rsid w:val="00057391"/>
    <w:rsid w:val="00061392"/>
    <w:rsid w:val="00063078"/>
    <w:rsid w:val="00067EA0"/>
    <w:rsid w:val="000725B1"/>
    <w:rsid w:val="00075073"/>
    <w:rsid w:val="00075F2C"/>
    <w:rsid w:val="00080FD0"/>
    <w:rsid w:val="0008220D"/>
    <w:rsid w:val="000844A3"/>
    <w:rsid w:val="000860C0"/>
    <w:rsid w:val="0008664E"/>
    <w:rsid w:val="00087191"/>
    <w:rsid w:val="00090180"/>
    <w:rsid w:val="000907D3"/>
    <w:rsid w:val="000918E0"/>
    <w:rsid w:val="00093265"/>
    <w:rsid w:val="00095D4E"/>
    <w:rsid w:val="00097EB7"/>
    <w:rsid w:val="000A0AA7"/>
    <w:rsid w:val="000A222C"/>
    <w:rsid w:val="000A28FE"/>
    <w:rsid w:val="000A2A7B"/>
    <w:rsid w:val="000A6643"/>
    <w:rsid w:val="000A7512"/>
    <w:rsid w:val="000A7F71"/>
    <w:rsid w:val="000B3000"/>
    <w:rsid w:val="000B416D"/>
    <w:rsid w:val="000B6FA8"/>
    <w:rsid w:val="000C096C"/>
    <w:rsid w:val="000C3226"/>
    <w:rsid w:val="000C3BCA"/>
    <w:rsid w:val="000C4533"/>
    <w:rsid w:val="000C5FE0"/>
    <w:rsid w:val="000C6B20"/>
    <w:rsid w:val="000D3A32"/>
    <w:rsid w:val="000D3C72"/>
    <w:rsid w:val="000D43A9"/>
    <w:rsid w:val="000D50E0"/>
    <w:rsid w:val="000E4723"/>
    <w:rsid w:val="000E48D3"/>
    <w:rsid w:val="000E4E14"/>
    <w:rsid w:val="000E7AC0"/>
    <w:rsid w:val="000F0645"/>
    <w:rsid w:val="000F122F"/>
    <w:rsid w:val="000F3A60"/>
    <w:rsid w:val="000F431B"/>
    <w:rsid w:val="000F4F73"/>
    <w:rsid w:val="000F7B34"/>
    <w:rsid w:val="001066FB"/>
    <w:rsid w:val="00106A05"/>
    <w:rsid w:val="001102F1"/>
    <w:rsid w:val="001108D9"/>
    <w:rsid w:val="00111333"/>
    <w:rsid w:val="001143AD"/>
    <w:rsid w:val="00115742"/>
    <w:rsid w:val="00115AB8"/>
    <w:rsid w:val="00116643"/>
    <w:rsid w:val="00117A12"/>
    <w:rsid w:val="00117F2C"/>
    <w:rsid w:val="001210AF"/>
    <w:rsid w:val="0012180C"/>
    <w:rsid w:val="001220CF"/>
    <w:rsid w:val="00122A5F"/>
    <w:rsid w:val="0012383E"/>
    <w:rsid w:val="00123DA1"/>
    <w:rsid w:val="001324CB"/>
    <w:rsid w:val="00133233"/>
    <w:rsid w:val="00134676"/>
    <w:rsid w:val="00136910"/>
    <w:rsid w:val="001370D8"/>
    <w:rsid w:val="001371EF"/>
    <w:rsid w:val="00140768"/>
    <w:rsid w:val="001411CC"/>
    <w:rsid w:val="00152B9C"/>
    <w:rsid w:val="00153F81"/>
    <w:rsid w:val="001552D5"/>
    <w:rsid w:val="0015630C"/>
    <w:rsid w:val="00156E19"/>
    <w:rsid w:val="00157A3A"/>
    <w:rsid w:val="00160D45"/>
    <w:rsid w:val="00160EBF"/>
    <w:rsid w:val="00163585"/>
    <w:rsid w:val="00167008"/>
    <w:rsid w:val="00167149"/>
    <w:rsid w:val="00167D77"/>
    <w:rsid w:val="00170FF8"/>
    <w:rsid w:val="00172A27"/>
    <w:rsid w:val="00172E1C"/>
    <w:rsid w:val="001739FB"/>
    <w:rsid w:val="00173E00"/>
    <w:rsid w:val="00174259"/>
    <w:rsid w:val="00180A52"/>
    <w:rsid w:val="001810EA"/>
    <w:rsid w:val="00181631"/>
    <w:rsid w:val="001827CB"/>
    <w:rsid w:val="00183464"/>
    <w:rsid w:val="001836E7"/>
    <w:rsid w:val="0018495A"/>
    <w:rsid w:val="00187010"/>
    <w:rsid w:val="00190DED"/>
    <w:rsid w:val="00192590"/>
    <w:rsid w:val="001927D9"/>
    <w:rsid w:val="00192A99"/>
    <w:rsid w:val="00194A62"/>
    <w:rsid w:val="00194B02"/>
    <w:rsid w:val="001955EE"/>
    <w:rsid w:val="00197561"/>
    <w:rsid w:val="001A0577"/>
    <w:rsid w:val="001A0764"/>
    <w:rsid w:val="001A0CFF"/>
    <w:rsid w:val="001A2991"/>
    <w:rsid w:val="001A5D35"/>
    <w:rsid w:val="001A6E46"/>
    <w:rsid w:val="001A7DB4"/>
    <w:rsid w:val="001B4017"/>
    <w:rsid w:val="001B4969"/>
    <w:rsid w:val="001C0BB0"/>
    <w:rsid w:val="001C1D77"/>
    <w:rsid w:val="001C77A0"/>
    <w:rsid w:val="001C78A2"/>
    <w:rsid w:val="001C7A6E"/>
    <w:rsid w:val="001D0184"/>
    <w:rsid w:val="001D1FE9"/>
    <w:rsid w:val="001D2059"/>
    <w:rsid w:val="001D22AA"/>
    <w:rsid w:val="001D297C"/>
    <w:rsid w:val="001D303D"/>
    <w:rsid w:val="001D38A8"/>
    <w:rsid w:val="001D43FA"/>
    <w:rsid w:val="001D4768"/>
    <w:rsid w:val="001D4893"/>
    <w:rsid w:val="001D6AA5"/>
    <w:rsid w:val="001E2469"/>
    <w:rsid w:val="001E49E8"/>
    <w:rsid w:val="001E5628"/>
    <w:rsid w:val="001E58C1"/>
    <w:rsid w:val="001E7885"/>
    <w:rsid w:val="001E78C9"/>
    <w:rsid w:val="001F0CFA"/>
    <w:rsid w:val="001F1234"/>
    <w:rsid w:val="001F1611"/>
    <w:rsid w:val="001F3EF0"/>
    <w:rsid w:val="001F3F07"/>
    <w:rsid w:val="001F4EA6"/>
    <w:rsid w:val="001F548F"/>
    <w:rsid w:val="002006DE"/>
    <w:rsid w:val="00200816"/>
    <w:rsid w:val="00200E4D"/>
    <w:rsid w:val="002023C8"/>
    <w:rsid w:val="00202D01"/>
    <w:rsid w:val="002034BD"/>
    <w:rsid w:val="00204358"/>
    <w:rsid w:val="0020727C"/>
    <w:rsid w:val="0021165B"/>
    <w:rsid w:val="002120A3"/>
    <w:rsid w:val="002126C9"/>
    <w:rsid w:val="00214DF3"/>
    <w:rsid w:val="00220149"/>
    <w:rsid w:val="002206E9"/>
    <w:rsid w:val="00220B8E"/>
    <w:rsid w:val="002224E7"/>
    <w:rsid w:val="00224F5A"/>
    <w:rsid w:val="002273BF"/>
    <w:rsid w:val="00230DE7"/>
    <w:rsid w:val="002338DE"/>
    <w:rsid w:val="002359D5"/>
    <w:rsid w:val="0024218D"/>
    <w:rsid w:val="0024299E"/>
    <w:rsid w:val="0025059A"/>
    <w:rsid w:val="00250F36"/>
    <w:rsid w:val="0025123C"/>
    <w:rsid w:val="002517CE"/>
    <w:rsid w:val="00253BE6"/>
    <w:rsid w:val="00253BF7"/>
    <w:rsid w:val="00253F97"/>
    <w:rsid w:val="002548E5"/>
    <w:rsid w:val="002619A6"/>
    <w:rsid w:val="00262D06"/>
    <w:rsid w:val="0027111B"/>
    <w:rsid w:val="00271BBF"/>
    <w:rsid w:val="00272D93"/>
    <w:rsid w:val="0027484E"/>
    <w:rsid w:val="00280D1D"/>
    <w:rsid w:val="00280D86"/>
    <w:rsid w:val="002816A0"/>
    <w:rsid w:val="00282D0E"/>
    <w:rsid w:val="00283ECF"/>
    <w:rsid w:val="00284665"/>
    <w:rsid w:val="00285267"/>
    <w:rsid w:val="00286DD6"/>
    <w:rsid w:val="00287D0E"/>
    <w:rsid w:val="00293DFF"/>
    <w:rsid w:val="00294D6D"/>
    <w:rsid w:val="00295BFD"/>
    <w:rsid w:val="002A09DF"/>
    <w:rsid w:val="002A331E"/>
    <w:rsid w:val="002A3D70"/>
    <w:rsid w:val="002A4394"/>
    <w:rsid w:val="002A531E"/>
    <w:rsid w:val="002B0FE1"/>
    <w:rsid w:val="002B18F8"/>
    <w:rsid w:val="002B1F1D"/>
    <w:rsid w:val="002B3197"/>
    <w:rsid w:val="002B31A2"/>
    <w:rsid w:val="002B3786"/>
    <w:rsid w:val="002B3C46"/>
    <w:rsid w:val="002B49A6"/>
    <w:rsid w:val="002B4AD2"/>
    <w:rsid w:val="002B682E"/>
    <w:rsid w:val="002B6D1E"/>
    <w:rsid w:val="002C2D40"/>
    <w:rsid w:val="002C2EA7"/>
    <w:rsid w:val="002C5040"/>
    <w:rsid w:val="002C520E"/>
    <w:rsid w:val="002D2A46"/>
    <w:rsid w:val="002D3CEE"/>
    <w:rsid w:val="002D7A6A"/>
    <w:rsid w:val="002E3D8E"/>
    <w:rsid w:val="002E3EEE"/>
    <w:rsid w:val="002E59D8"/>
    <w:rsid w:val="002F28C3"/>
    <w:rsid w:val="002F347A"/>
    <w:rsid w:val="002F3539"/>
    <w:rsid w:val="002F360C"/>
    <w:rsid w:val="002F5D71"/>
    <w:rsid w:val="00307499"/>
    <w:rsid w:val="003078C5"/>
    <w:rsid w:val="00311040"/>
    <w:rsid w:val="00314011"/>
    <w:rsid w:val="00314B81"/>
    <w:rsid w:val="00315F6E"/>
    <w:rsid w:val="00316DC9"/>
    <w:rsid w:val="003205C2"/>
    <w:rsid w:val="00324CD8"/>
    <w:rsid w:val="00327C03"/>
    <w:rsid w:val="00332966"/>
    <w:rsid w:val="003329F6"/>
    <w:rsid w:val="00333C9C"/>
    <w:rsid w:val="003361C4"/>
    <w:rsid w:val="003368BF"/>
    <w:rsid w:val="00337DC7"/>
    <w:rsid w:val="003420E6"/>
    <w:rsid w:val="003433AD"/>
    <w:rsid w:val="00343CE3"/>
    <w:rsid w:val="00345E06"/>
    <w:rsid w:val="00346063"/>
    <w:rsid w:val="00346820"/>
    <w:rsid w:val="00354EE1"/>
    <w:rsid w:val="00356436"/>
    <w:rsid w:val="00356625"/>
    <w:rsid w:val="00356F7D"/>
    <w:rsid w:val="00357BBE"/>
    <w:rsid w:val="00361454"/>
    <w:rsid w:val="0036179E"/>
    <w:rsid w:val="0036248D"/>
    <w:rsid w:val="00365D9B"/>
    <w:rsid w:val="003705A2"/>
    <w:rsid w:val="00370C43"/>
    <w:rsid w:val="003730EF"/>
    <w:rsid w:val="00375BB8"/>
    <w:rsid w:val="0037611F"/>
    <w:rsid w:val="00377035"/>
    <w:rsid w:val="00377075"/>
    <w:rsid w:val="00381C6B"/>
    <w:rsid w:val="00384973"/>
    <w:rsid w:val="003876C3"/>
    <w:rsid w:val="00390010"/>
    <w:rsid w:val="003A2196"/>
    <w:rsid w:val="003A22AD"/>
    <w:rsid w:val="003A78EB"/>
    <w:rsid w:val="003B03FE"/>
    <w:rsid w:val="003B04DD"/>
    <w:rsid w:val="003B1BB6"/>
    <w:rsid w:val="003B323A"/>
    <w:rsid w:val="003B3CF0"/>
    <w:rsid w:val="003B6194"/>
    <w:rsid w:val="003C13ED"/>
    <w:rsid w:val="003C1C35"/>
    <w:rsid w:val="003C304C"/>
    <w:rsid w:val="003D0A91"/>
    <w:rsid w:val="003D13F9"/>
    <w:rsid w:val="003D1717"/>
    <w:rsid w:val="003D713B"/>
    <w:rsid w:val="003D71B7"/>
    <w:rsid w:val="003E0862"/>
    <w:rsid w:val="003E0E1B"/>
    <w:rsid w:val="003E27BD"/>
    <w:rsid w:val="003E2F27"/>
    <w:rsid w:val="003E4EB4"/>
    <w:rsid w:val="003F1C5A"/>
    <w:rsid w:val="003F2109"/>
    <w:rsid w:val="003F21CD"/>
    <w:rsid w:val="003F4AC4"/>
    <w:rsid w:val="003F5549"/>
    <w:rsid w:val="003F79A8"/>
    <w:rsid w:val="0040281F"/>
    <w:rsid w:val="00404592"/>
    <w:rsid w:val="00404D7C"/>
    <w:rsid w:val="00406C74"/>
    <w:rsid w:val="00410980"/>
    <w:rsid w:val="0041253E"/>
    <w:rsid w:val="004148DF"/>
    <w:rsid w:val="00414CDD"/>
    <w:rsid w:val="004155F6"/>
    <w:rsid w:val="00415D3D"/>
    <w:rsid w:val="004173D3"/>
    <w:rsid w:val="00421BEF"/>
    <w:rsid w:val="004228EF"/>
    <w:rsid w:val="00423FA9"/>
    <w:rsid w:val="00424C99"/>
    <w:rsid w:val="00425040"/>
    <w:rsid w:val="00425B6D"/>
    <w:rsid w:val="00425C79"/>
    <w:rsid w:val="004330CE"/>
    <w:rsid w:val="004334FB"/>
    <w:rsid w:val="004339B9"/>
    <w:rsid w:val="0044089D"/>
    <w:rsid w:val="00441DFA"/>
    <w:rsid w:val="004425CC"/>
    <w:rsid w:val="004450A7"/>
    <w:rsid w:val="00445C19"/>
    <w:rsid w:val="00447C9C"/>
    <w:rsid w:val="00452EEA"/>
    <w:rsid w:val="00452F8C"/>
    <w:rsid w:val="00453BDC"/>
    <w:rsid w:val="004540AE"/>
    <w:rsid w:val="004565FE"/>
    <w:rsid w:val="004576D7"/>
    <w:rsid w:val="004608E3"/>
    <w:rsid w:val="0046446D"/>
    <w:rsid w:val="004652A6"/>
    <w:rsid w:val="0046652A"/>
    <w:rsid w:val="00467482"/>
    <w:rsid w:val="004676DD"/>
    <w:rsid w:val="00467B0C"/>
    <w:rsid w:val="00472574"/>
    <w:rsid w:val="004725CF"/>
    <w:rsid w:val="00473AAF"/>
    <w:rsid w:val="00473E58"/>
    <w:rsid w:val="004740A7"/>
    <w:rsid w:val="00475EE4"/>
    <w:rsid w:val="00484E1A"/>
    <w:rsid w:val="00486DBF"/>
    <w:rsid w:val="00486F00"/>
    <w:rsid w:val="00490F99"/>
    <w:rsid w:val="004A1AC1"/>
    <w:rsid w:val="004A4040"/>
    <w:rsid w:val="004A4E0D"/>
    <w:rsid w:val="004A5387"/>
    <w:rsid w:val="004A6DC9"/>
    <w:rsid w:val="004B260E"/>
    <w:rsid w:val="004B35A6"/>
    <w:rsid w:val="004B4B08"/>
    <w:rsid w:val="004B7605"/>
    <w:rsid w:val="004B7FFB"/>
    <w:rsid w:val="004C3D09"/>
    <w:rsid w:val="004C3E11"/>
    <w:rsid w:val="004C4C86"/>
    <w:rsid w:val="004C5AD9"/>
    <w:rsid w:val="004C5F80"/>
    <w:rsid w:val="004C619F"/>
    <w:rsid w:val="004D4CF1"/>
    <w:rsid w:val="004E0834"/>
    <w:rsid w:val="004E1E8B"/>
    <w:rsid w:val="004E203F"/>
    <w:rsid w:val="004E2383"/>
    <w:rsid w:val="004E2929"/>
    <w:rsid w:val="004E4A4B"/>
    <w:rsid w:val="004F1FDB"/>
    <w:rsid w:val="00501AC7"/>
    <w:rsid w:val="0050210F"/>
    <w:rsid w:val="005023F7"/>
    <w:rsid w:val="00503136"/>
    <w:rsid w:val="00503427"/>
    <w:rsid w:val="0050365E"/>
    <w:rsid w:val="00503786"/>
    <w:rsid w:val="005047D5"/>
    <w:rsid w:val="00504B64"/>
    <w:rsid w:val="0050723C"/>
    <w:rsid w:val="00507895"/>
    <w:rsid w:val="00510119"/>
    <w:rsid w:val="00513098"/>
    <w:rsid w:val="00513106"/>
    <w:rsid w:val="00513DF9"/>
    <w:rsid w:val="005157A8"/>
    <w:rsid w:val="00517EDA"/>
    <w:rsid w:val="00520C18"/>
    <w:rsid w:val="00522E44"/>
    <w:rsid w:val="00532ADB"/>
    <w:rsid w:val="00533387"/>
    <w:rsid w:val="00533626"/>
    <w:rsid w:val="00535016"/>
    <w:rsid w:val="00535312"/>
    <w:rsid w:val="005354F2"/>
    <w:rsid w:val="00537644"/>
    <w:rsid w:val="0053768F"/>
    <w:rsid w:val="005426E9"/>
    <w:rsid w:val="00543275"/>
    <w:rsid w:val="00543D0C"/>
    <w:rsid w:val="00547829"/>
    <w:rsid w:val="005516A2"/>
    <w:rsid w:val="00551BAC"/>
    <w:rsid w:val="00551DF2"/>
    <w:rsid w:val="005520CE"/>
    <w:rsid w:val="00553F8C"/>
    <w:rsid w:val="0055612B"/>
    <w:rsid w:val="00556452"/>
    <w:rsid w:val="00556718"/>
    <w:rsid w:val="00565D35"/>
    <w:rsid w:val="00565EFC"/>
    <w:rsid w:val="00566A37"/>
    <w:rsid w:val="005670B2"/>
    <w:rsid w:val="00574087"/>
    <w:rsid w:val="0057428C"/>
    <w:rsid w:val="005773D0"/>
    <w:rsid w:val="00577CE8"/>
    <w:rsid w:val="005820B1"/>
    <w:rsid w:val="0058240F"/>
    <w:rsid w:val="00591388"/>
    <w:rsid w:val="00591A1A"/>
    <w:rsid w:val="0059399B"/>
    <w:rsid w:val="005944E5"/>
    <w:rsid w:val="005957F2"/>
    <w:rsid w:val="005A09A7"/>
    <w:rsid w:val="005A2D70"/>
    <w:rsid w:val="005A4484"/>
    <w:rsid w:val="005A5E31"/>
    <w:rsid w:val="005B0AD8"/>
    <w:rsid w:val="005B22E5"/>
    <w:rsid w:val="005B5183"/>
    <w:rsid w:val="005B5681"/>
    <w:rsid w:val="005B56F0"/>
    <w:rsid w:val="005B7D11"/>
    <w:rsid w:val="005C26F3"/>
    <w:rsid w:val="005C7432"/>
    <w:rsid w:val="005D2AA2"/>
    <w:rsid w:val="005D42BE"/>
    <w:rsid w:val="005D47F0"/>
    <w:rsid w:val="005D6D7B"/>
    <w:rsid w:val="005E02F4"/>
    <w:rsid w:val="005E2E48"/>
    <w:rsid w:val="005E4F9B"/>
    <w:rsid w:val="005E5137"/>
    <w:rsid w:val="005F00BF"/>
    <w:rsid w:val="005F1CF8"/>
    <w:rsid w:val="005F33A4"/>
    <w:rsid w:val="005F377C"/>
    <w:rsid w:val="005F576C"/>
    <w:rsid w:val="005F79E0"/>
    <w:rsid w:val="005F7ED9"/>
    <w:rsid w:val="006009EC"/>
    <w:rsid w:val="00601605"/>
    <w:rsid w:val="0060446F"/>
    <w:rsid w:val="006049FD"/>
    <w:rsid w:val="00611E9C"/>
    <w:rsid w:val="00612100"/>
    <w:rsid w:val="006172BD"/>
    <w:rsid w:val="006172E3"/>
    <w:rsid w:val="00620115"/>
    <w:rsid w:val="00624FBE"/>
    <w:rsid w:val="00625671"/>
    <w:rsid w:val="00625796"/>
    <w:rsid w:val="00626B93"/>
    <w:rsid w:val="006270AA"/>
    <w:rsid w:val="006305A0"/>
    <w:rsid w:val="00631091"/>
    <w:rsid w:val="00636799"/>
    <w:rsid w:val="00636D6D"/>
    <w:rsid w:val="00641EE1"/>
    <w:rsid w:val="00643469"/>
    <w:rsid w:val="006466B5"/>
    <w:rsid w:val="0065067D"/>
    <w:rsid w:val="006528A5"/>
    <w:rsid w:val="00652A61"/>
    <w:rsid w:val="006549DE"/>
    <w:rsid w:val="006558A9"/>
    <w:rsid w:val="00656844"/>
    <w:rsid w:val="00656B27"/>
    <w:rsid w:val="00657B5C"/>
    <w:rsid w:val="00660DDA"/>
    <w:rsid w:val="00662BB7"/>
    <w:rsid w:val="006644F0"/>
    <w:rsid w:val="006663AD"/>
    <w:rsid w:val="00667108"/>
    <w:rsid w:val="00670E07"/>
    <w:rsid w:val="00671268"/>
    <w:rsid w:val="00671BFA"/>
    <w:rsid w:val="006720C0"/>
    <w:rsid w:val="00674610"/>
    <w:rsid w:val="006748E2"/>
    <w:rsid w:val="00677318"/>
    <w:rsid w:val="00677414"/>
    <w:rsid w:val="0068340D"/>
    <w:rsid w:val="0069031A"/>
    <w:rsid w:val="00690F15"/>
    <w:rsid w:val="00691AC1"/>
    <w:rsid w:val="00696288"/>
    <w:rsid w:val="006A0956"/>
    <w:rsid w:val="006B0159"/>
    <w:rsid w:val="006B19CB"/>
    <w:rsid w:val="006B2D68"/>
    <w:rsid w:val="006B397D"/>
    <w:rsid w:val="006B439C"/>
    <w:rsid w:val="006B668D"/>
    <w:rsid w:val="006B68F1"/>
    <w:rsid w:val="006B7DA0"/>
    <w:rsid w:val="006C03E8"/>
    <w:rsid w:val="006C0913"/>
    <w:rsid w:val="006C1456"/>
    <w:rsid w:val="006C1B1E"/>
    <w:rsid w:val="006C22A3"/>
    <w:rsid w:val="006C249E"/>
    <w:rsid w:val="006C2BDB"/>
    <w:rsid w:val="006C3131"/>
    <w:rsid w:val="006C3E9D"/>
    <w:rsid w:val="006C4DF5"/>
    <w:rsid w:val="006C52EC"/>
    <w:rsid w:val="006C56A8"/>
    <w:rsid w:val="006C5955"/>
    <w:rsid w:val="006C7AE8"/>
    <w:rsid w:val="006D0209"/>
    <w:rsid w:val="006D0D21"/>
    <w:rsid w:val="006D3719"/>
    <w:rsid w:val="006D3BA2"/>
    <w:rsid w:val="006D3F28"/>
    <w:rsid w:val="006D4AB1"/>
    <w:rsid w:val="006D6206"/>
    <w:rsid w:val="006D6F40"/>
    <w:rsid w:val="006D77B3"/>
    <w:rsid w:val="006E0F9A"/>
    <w:rsid w:val="006E408F"/>
    <w:rsid w:val="006E5C94"/>
    <w:rsid w:val="006E6DE0"/>
    <w:rsid w:val="006F43AA"/>
    <w:rsid w:val="006F4D99"/>
    <w:rsid w:val="006F5EF7"/>
    <w:rsid w:val="006F7072"/>
    <w:rsid w:val="007050A2"/>
    <w:rsid w:val="0070554D"/>
    <w:rsid w:val="00707C7E"/>
    <w:rsid w:val="00710B0D"/>
    <w:rsid w:val="00710C5A"/>
    <w:rsid w:val="007123A3"/>
    <w:rsid w:val="007139EA"/>
    <w:rsid w:val="007140BC"/>
    <w:rsid w:val="0071450C"/>
    <w:rsid w:val="00714FEE"/>
    <w:rsid w:val="00720243"/>
    <w:rsid w:val="00720A40"/>
    <w:rsid w:val="00720CB8"/>
    <w:rsid w:val="00721A6E"/>
    <w:rsid w:val="0072294F"/>
    <w:rsid w:val="0072360A"/>
    <w:rsid w:val="00723665"/>
    <w:rsid w:val="007240ED"/>
    <w:rsid w:val="007243F1"/>
    <w:rsid w:val="00724AE6"/>
    <w:rsid w:val="00724F01"/>
    <w:rsid w:val="00730006"/>
    <w:rsid w:val="00732EC7"/>
    <w:rsid w:val="00733E14"/>
    <w:rsid w:val="007348EA"/>
    <w:rsid w:val="00735DB6"/>
    <w:rsid w:val="00743EE6"/>
    <w:rsid w:val="00744FC9"/>
    <w:rsid w:val="00745818"/>
    <w:rsid w:val="00745953"/>
    <w:rsid w:val="00747BE6"/>
    <w:rsid w:val="007503D2"/>
    <w:rsid w:val="0075063A"/>
    <w:rsid w:val="00754222"/>
    <w:rsid w:val="007559DB"/>
    <w:rsid w:val="00755AAB"/>
    <w:rsid w:val="007576C2"/>
    <w:rsid w:val="007616E1"/>
    <w:rsid w:val="00764BB1"/>
    <w:rsid w:val="00765223"/>
    <w:rsid w:val="00765224"/>
    <w:rsid w:val="007667B7"/>
    <w:rsid w:val="00771165"/>
    <w:rsid w:val="007715E8"/>
    <w:rsid w:val="00772D02"/>
    <w:rsid w:val="00775594"/>
    <w:rsid w:val="00775686"/>
    <w:rsid w:val="00776080"/>
    <w:rsid w:val="007821B4"/>
    <w:rsid w:val="0078302E"/>
    <w:rsid w:val="007844F2"/>
    <w:rsid w:val="00787FE8"/>
    <w:rsid w:val="0079175C"/>
    <w:rsid w:val="00791A80"/>
    <w:rsid w:val="00791FD9"/>
    <w:rsid w:val="00792C09"/>
    <w:rsid w:val="00795CFE"/>
    <w:rsid w:val="007A2086"/>
    <w:rsid w:val="007A4444"/>
    <w:rsid w:val="007A46BF"/>
    <w:rsid w:val="007A547F"/>
    <w:rsid w:val="007A5E76"/>
    <w:rsid w:val="007A75CD"/>
    <w:rsid w:val="007B05C5"/>
    <w:rsid w:val="007B07DF"/>
    <w:rsid w:val="007B0A03"/>
    <w:rsid w:val="007B12B4"/>
    <w:rsid w:val="007B479F"/>
    <w:rsid w:val="007B7382"/>
    <w:rsid w:val="007C045E"/>
    <w:rsid w:val="007D14AB"/>
    <w:rsid w:val="007D274F"/>
    <w:rsid w:val="007D6545"/>
    <w:rsid w:val="007D7940"/>
    <w:rsid w:val="007D79CB"/>
    <w:rsid w:val="007E0DC8"/>
    <w:rsid w:val="007E0FD1"/>
    <w:rsid w:val="007E125E"/>
    <w:rsid w:val="007F2570"/>
    <w:rsid w:val="007F3A6F"/>
    <w:rsid w:val="007F3C80"/>
    <w:rsid w:val="008019F0"/>
    <w:rsid w:val="00802DCB"/>
    <w:rsid w:val="00805DD9"/>
    <w:rsid w:val="0080600B"/>
    <w:rsid w:val="00810325"/>
    <w:rsid w:val="008128C4"/>
    <w:rsid w:val="00812A54"/>
    <w:rsid w:val="00813073"/>
    <w:rsid w:val="00815948"/>
    <w:rsid w:val="00816A50"/>
    <w:rsid w:val="0081726F"/>
    <w:rsid w:val="00820BF5"/>
    <w:rsid w:val="00822076"/>
    <w:rsid w:val="00823655"/>
    <w:rsid w:val="00827819"/>
    <w:rsid w:val="0083016B"/>
    <w:rsid w:val="00831A92"/>
    <w:rsid w:val="00833AC5"/>
    <w:rsid w:val="00834626"/>
    <w:rsid w:val="0083623A"/>
    <w:rsid w:val="008365EB"/>
    <w:rsid w:val="00836689"/>
    <w:rsid w:val="008378EF"/>
    <w:rsid w:val="00841166"/>
    <w:rsid w:val="00841D58"/>
    <w:rsid w:val="0084342B"/>
    <w:rsid w:val="0084582A"/>
    <w:rsid w:val="008474CA"/>
    <w:rsid w:val="00851D83"/>
    <w:rsid w:val="008520E2"/>
    <w:rsid w:val="00853AE1"/>
    <w:rsid w:val="00855A09"/>
    <w:rsid w:val="00855DA7"/>
    <w:rsid w:val="00856708"/>
    <w:rsid w:val="0085680F"/>
    <w:rsid w:val="00856CCF"/>
    <w:rsid w:val="00857B1C"/>
    <w:rsid w:val="00860F76"/>
    <w:rsid w:val="00861D24"/>
    <w:rsid w:val="00862007"/>
    <w:rsid w:val="00862645"/>
    <w:rsid w:val="00865516"/>
    <w:rsid w:val="008666FF"/>
    <w:rsid w:val="00867A27"/>
    <w:rsid w:val="00870325"/>
    <w:rsid w:val="00871C87"/>
    <w:rsid w:val="00871D4A"/>
    <w:rsid w:val="008720F1"/>
    <w:rsid w:val="008748D8"/>
    <w:rsid w:val="00882666"/>
    <w:rsid w:val="00883C57"/>
    <w:rsid w:val="008A3FA9"/>
    <w:rsid w:val="008A4D0F"/>
    <w:rsid w:val="008A5A3B"/>
    <w:rsid w:val="008A7BCA"/>
    <w:rsid w:val="008B18C8"/>
    <w:rsid w:val="008B3910"/>
    <w:rsid w:val="008B57E2"/>
    <w:rsid w:val="008B744E"/>
    <w:rsid w:val="008C09E0"/>
    <w:rsid w:val="008C0E43"/>
    <w:rsid w:val="008C469E"/>
    <w:rsid w:val="008C51FC"/>
    <w:rsid w:val="008C6B50"/>
    <w:rsid w:val="008D082F"/>
    <w:rsid w:val="008D0DCA"/>
    <w:rsid w:val="008D1129"/>
    <w:rsid w:val="008D151A"/>
    <w:rsid w:val="008D2FDE"/>
    <w:rsid w:val="008D4FAA"/>
    <w:rsid w:val="008D5473"/>
    <w:rsid w:val="008E0F62"/>
    <w:rsid w:val="008E1B5B"/>
    <w:rsid w:val="008E31AF"/>
    <w:rsid w:val="008E3795"/>
    <w:rsid w:val="008E3C62"/>
    <w:rsid w:val="008E654D"/>
    <w:rsid w:val="008F0FA3"/>
    <w:rsid w:val="008F3ECA"/>
    <w:rsid w:val="008F5169"/>
    <w:rsid w:val="00901FCF"/>
    <w:rsid w:val="009027B1"/>
    <w:rsid w:val="0090288D"/>
    <w:rsid w:val="00903CC5"/>
    <w:rsid w:val="00911866"/>
    <w:rsid w:val="00911D64"/>
    <w:rsid w:val="00912445"/>
    <w:rsid w:val="00912876"/>
    <w:rsid w:val="009141E0"/>
    <w:rsid w:val="009152D5"/>
    <w:rsid w:val="00916EFA"/>
    <w:rsid w:val="009203AC"/>
    <w:rsid w:val="00920938"/>
    <w:rsid w:val="00923617"/>
    <w:rsid w:val="00924431"/>
    <w:rsid w:val="00930032"/>
    <w:rsid w:val="0093407D"/>
    <w:rsid w:val="0093638A"/>
    <w:rsid w:val="00936B9B"/>
    <w:rsid w:val="00936E30"/>
    <w:rsid w:val="00940B40"/>
    <w:rsid w:val="0094225A"/>
    <w:rsid w:val="009433F5"/>
    <w:rsid w:val="00944F95"/>
    <w:rsid w:val="00945F22"/>
    <w:rsid w:val="00947E15"/>
    <w:rsid w:val="00950373"/>
    <w:rsid w:val="009535B2"/>
    <w:rsid w:val="00955AC3"/>
    <w:rsid w:val="009577F9"/>
    <w:rsid w:val="00960270"/>
    <w:rsid w:val="009617EE"/>
    <w:rsid w:val="009658A2"/>
    <w:rsid w:val="00965B06"/>
    <w:rsid w:val="00965FC4"/>
    <w:rsid w:val="00966CF4"/>
    <w:rsid w:val="00967B42"/>
    <w:rsid w:val="00970503"/>
    <w:rsid w:val="009710BF"/>
    <w:rsid w:val="00973894"/>
    <w:rsid w:val="009779E6"/>
    <w:rsid w:val="00977BDD"/>
    <w:rsid w:val="009804E9"/>
    <w:rsid w:val="00980727"/>
    <w:rsid w:val="00981135"/>
    <w:rsid w:val="0098156A"/>
    <w:rsid w:val="009822F0"/>
    <w:rsid w:val="00982C12"/>
    <w:rsid w:val="00983D17"/>
    <w:rsid w:val="009851F7"/>
    <w:rsid w:val="0099165D"/>
    <w:rsid w:val="00992DE2"/>
    <w:rsid w:val="00992F6E"/>
    <w:rsid w:val="00993744"/>
    <w:rsid w:val="00993849"/>
    <w:rsid w:val="0099656C"/>
    <w:rsid w:val="00997568"/>
    <w:rsid w:val="00997654"/>
    <w:rsid w:val="00997BF4"/>
    <w:rsid w:val="009A497F"/>
    <w:rsid w:val="009A6FCF"/>
    <w:rsid w:val="009A77BB"/>
    <w:rsid w:val="009A79F0"/>
    <w:rsid w:val="009B14DB"/>
    <w:rsid w:val="009B20CA"/>
    <w:rsid w:val="009B5877"/>
    <w:rsid w:val="009B6A18"/>
    <w:rsid w:val="009C2328"/>
    <w:rsid w:val="009C3D51"/>
    <w:rsid w:val="009C5933"/>
    <w:rsid w:val="009C67DF"/>
    <w:rsid w:val="009C68CB"/>
    <w:rsid w:val="009D0480"/>
    <w:rsid w:val="009D0CF1"/>
    <w:rsid w:val="009D0EFE"/>
    <w:rsid w:val="009D238F"/>
    <w:rsid w:val="009D323B"/>
    <w:rsid w:val="009D4771"/>
    <w:rsid w:val="009D688B"/>
    <w:rsid w:val="009D797C"/>
    <w:rsid w:val="009D7A4A"/>
    <w:rsid w:val="009E00FA"/>
    <w:rsid w:val="009E2362"/>
    <w:rsid w:val="009E5159"/>
    <w:rsid w:val="009E51AF"/>
    <w:rsid w:val="009E64E9"/>
    <w:rsid w:val="009E7579"/>
    <w:rsid w:val="009F106C"/>
    <w:rsid w:val="009F23C5"/>
    <w:rsid w:val="009F2525"/>
    <w:rsid w:val="009F4222"/>
    <w:rsid w:val="009F573A"/>
    <w:rsid w:val="00A0619E"/>
    <w:rsid w:val="00A139E5"/>
    <w:rsid w:val="00A15E12"/>
    <w:rsid w:val="00A174F7"/>
    <w:rsid w:val="00A24170"/>
    <w:rsid w:val="00A241A6"/>
    <w:rsid w:val="00A250E5"/>
    <w:rsid w:val="00A25756"/>
    <w:rsid w:val="00A265CA"/>
    <w:rsid w:val="00A26843"/>
    <w:rsid w:val="00A30B70"/>
    <w:rsid w:val="00A320E6"/>
    <w:rsid w:val="00A348BF"/>
    <w:rsid w:val="00A34D2D"/>
    <w:rsid w:val="00A4017A"/>
    <w:rsid w:val="00A40B85"/>
    <w:rsid w:val="00A421C8"/>
    <w:rsid w:val="00A43A06"/>
    <w:rsid w:val="00A43DB9"/>
    <w:rsid w:val="00A44645"/>
    <w:rsid w:val="00A450E8"/>
    <w:rsid w:val="00A505D0"/>
    <w:rsid w:val="00A521BD"/>
    <w:rsid w:val="00A524E1"/>
    <w:rsid w:val="00A530C8"/>
    <w:rsid w:val="00A55502"/>
    <w:rsid w:val="00A556FD"/>
    <w:rsid w:val="00A56806"/>
    <w:rsid w:val="00A57CB1"/>
    <w:rsid w:val="00A57E1E"/>
    <w:rsid w:val="00A60414"/>
    <w:rsid w:val="00A60C51"/>
    <w:rsid w:val="00A60F18"/>
    <w:rsid w:val="00A62DB5"/>
    <w:rsid w:val="00A64917"/>
    <w:rsid w:val="00A6750F"/>
    <w:rsid w:val="00A70775"/>
    <w:rsid w:val="00A71454"/>
    <w:rsid w:val="00A73D5D"/>
    <w:rsid w:val="00A7433E"/>
    <w:rsid w:val="00A774E1"/>
    <w:rsid w:val="00A81E1A"/>
    <w:rsid w:val="00A92629"/>
    <w:rsid w:val="00A931E1"/>
    <w:rsid w:val="00A934A6"/>
    <w:rsid w:val="00A939A8"/>
    <w:rsid w:val="00A95DAC"/>
    <w:rsid w:val="00A96670"/>
    <w:rsid w:val="00A97A60"/>
    <w:rsid w:val="00AA0BB4"/>
    <w:rsid w:val="00AA0E32"/>
    <w:rsid w:val="00AA7E59"/>
    <w:rsid w:val="00AA7EAE"/>
    <w:rsid w:val="00AB3B5A"/>
    <w:rsid w:val="00AB4A51"/>
    <w:rsid w:val="00AB7084"/>
    <w:rsid w:val="00AB72FD"/>
    <w:rsid w:val="00AB7465"/>
    <w:rsid w:val="00AC07CB"/>
    <w:rsid w:val="00AC318F"/>
    <w:rsid w:val="00AC39DD"/>
    <w:rsid w:val="00AC7FB2"/>
    <w:rsid w:val="00AD03AD"/>
    <w:rsid w:val="00AD6366"/>
    <w:rsid w:val="00AD769B"/>
    <w:rsid w:val="00AD7AC4"/>
    <w:rsid w:val="00AE3DCF"/>
    <w:rsid w:val="00AE7EB2"/>
    <w:rsid w:val="00AF1A9F"/>
    <w:rsid w:val="00AF1F39"/>
    <w:rsid w:val="00AF5523"/>
    <w:rsid w:val="00AF5FAB"/>
    <w:rsid w:val="00AF79C8"/>
    <w:rsid w:val="00B02328"/>
    <w:rsid w:val="00B0475C"/>
    <w:rsid w:val="00B05525"/>
    <w:rsid w:val="00B069C3"/>
    <w:rsid w:val="00B14A44"/>
    <w:rsid w:val="00B16C6E"/>
    <w:rsid w:val="00B26A4F"/>
    <w:rsid w:val="00B26E6B"/>
    <w:rsid w:val="00B26EA4"/>
    <w:rsid w:val="00B3399B"/>
    <w:rsid w:val="00B35963"/>
    <w:rsid w:val="00B359CA"/>
    <w:rsid w:val="00B3666A"/>
    <w:rsid w:val="00B37954"/>
    <w:rsid w:val="00B4171D"/>
    <w:rsid w:val="00B440CB"/>
    <w:rsid w:val="00B45DC3"/>
    <w:rsid w:val="00B472B5"/>
    <w:rsid w:val="00B50822"/>
    <w:rsid w:val="00B55A89"/>
    <w:rsid w:val="00B56146"/>
    <w:rsid w:val="00B5636B"/>
    <w:rsid w:val="00B578FA"/>
    <w:rsid w:val="00B60F4E"/>
    <w:rsid w:val="00B6168E"/>
    <w:rsid w:val="00B643C9"/>
    <w:rsid w:val="00B64A30"/>
    <w:rsid w:val="00B65D97"/>
    <w:rsid w:val="00B66CB6"/>
    <w:rsid w:val="00B716EA"/>
    <w:rsid w:val="00B71B81"/>
    <w:rsid w:val="00B72BD0"/>
    <w:rsid w:val="00B7534D"/>
    <w:rsid w:val="00B76AB3"/>
    <w:rsid w:val="00B806AD"/>
    <w:rsid w:val="00B81A2A"/>
    <w:rsid w:val="00B82659"/>
    <w:rsid w:val="00B82DE4"/>
    <w:rsid w:val="00B840EF"/>
    <w:rsid w:val="00B84C63"/>
    <w:rsid w:val="00B87329"/>
    <w:rsid w:val="00B9040B"/>
    <w:rsid w:val="00B906D8"/>
    <w:rsid w:val="00B909A2"/>
    <w:rsid w:val="00B91FCE"/>
    <w:rsid w:val="00B940B7"/>
    <w:rsid w:val="00B95664"/>
    <w:rsid w:val="00B97B6A"/>
    <w:rsid w:val="00BA0E4B"/>
    <w:rsid w:val="00BA11B3"/>
    <w:rsid w:val="00BA291E"/>
    <w:rsid w:val="00BA2AB9"/>
    <w:rsid w:val="00BA2C8C"/>
    <w:rsid w:val="00BA2E1D"/>
    <w:rsid w:val="00BA46CC"/>
    <w:rsid w:val="00BA7127"/>
    <w:rsid w:val="00BA77FE"/>
    <w:rsid w:val="00BB314F"/>
    <w:rsid w:val="00BB56B1"/>
    <w:rsid w:val="00BC04F9"/>
    <w:rsid w:val="00BC0FE2"/>
    <w:rsid w:val="00BC333F"/>
    <w:rsid w:val="00BC4CF7"/>
    <w:rsid w:val="00BC56F9"/>
    <w:rsid w:val="00BC6710"/>
    <w:rsid w:val="00BD50DA"/>
    <w:rsid w:val="00BD5642"/>
    <w:rsid w:val="00BD5DE4"/>
    <w:rsid w:val="00BD642D"/>
    <w:rsid w:val="00BD65C7"/>
    <w:rsid w:val="00BD6F84"/>
    <w:rsid w:val="00BD7A7A"/>
    <w:rsid w:val="00BE0AB5"/>
    <w:rsid w:val="00BE2210"/>
    <w:rsid w:val="00BE2831"/>
    <w:rsid w:val="00BE2D7C"/>
    <w:rsid w:val="00BE67B6"/>
    <w:rsid w:val="00BE749C"/>
    <w:rsid w:val="00BE7F56"/>
    <w:rsid w:val="00BF3275"/>
    <w:rsid w:val="00BF41BA"/>
    <w:rsid w:val="00BF4228"/>
    <w:rsid w:val="00BF5657"/>
    <w:rsid w:val="00BF634D"/>
    <w:rsid w:val="00BF6688"/>
    <w:rsid w:val="00BF71B8"/>
    <w:rsid w:val="00C00584"/>
    <w:rsid w:val="00C01354"/>
    <w:rsid w:val="00C01894"/>
    <w:rsid w:val="00C01A90"/>
    <w:rsid w:val="00C04145"/>
    <w:rsid w:val="00C045D1"/>
    <w:rsid w:val="00C05B42"/>
    <w:rsid w:val="00C07C3F"/>
    <w:rsid w:val="00C10B56"/>
    <w:rsid w:val="00C15339"/>
    <w:rsid w:val="00C200A5"/>
    <w:rsid w:val="00C205B5"/>
    <w:rsid w:val="00C21A95"/>
    <w:rsid w:val="00C2220D"/>
    <w:rsid w:val="00C25CCF"/>
    <w:rsid w:val="00C269DA"/>
    <w:rsid w:val="00C27DF5"/>
    <w:rsid w:val="00C34435"/>
    <w:rsid w:val="00C36F4C"/>
    <w:rsid w:val="00C37D55"/>
    <w:rsid w:val="00C402BB"/>
    <w:rsid w:val="00C41DC9"/>
    <w:rsid w:val="00C436EA"/>
    <w:rsid w:val="00C45050"/>
    <w:rsid w:val="00C47789"/>
    <w:rsid w:val="00C50128"/>
    <w:rsid w:val="00C50B58"/>
    <w:rsid w:val="00C517CB"/>
    <w:rsid w:val="00C56B74"/>
    <w:rsid w:val="00C57F92"/>
    <w:rsid w:val="00C603A0"/>
    <w:rsid w:val="00C60BD6"/>
    <w:rsid w:val="00C62A73"/>
    <w:rsid w:val="00C62FBA"/>
    <w:rsid w:val="00C656EE"/>
    <w:rsid w:val="00C66447"/>
    <w:rsid w:val="00C665BC"/>
    <w:rsid w:val="00C67134"/>
    <w:rsid w:val="00C678D7"/>
    <w:rsid w:val="00C70FF9"/>
    <w:rsid w:val="00C729CA"/>
    <w:rsid w:val="00C74D2F"/>
    <w:rsid w:val="00C77F98"/>
    <w:rsid w:val="00C86579"/>
    <w:rsid w:val="00C8688B"/>
    <w:rsid w:val="00C86B62"/>
    <w:rsid w:val="00C86BC6"/>
    <w:rsid w:val="00C91369"/>
    <w:rsid w:val="00C914E9"/>
    <w:rsid w:val="00C915C5"/>
    <w:rsid w:val="00C91B0B"/>
    <w:rsid w:val="00C953CB"/>
    <w:rsid w:val="00C95521"/>
    <w:rsid w:val="00C965CD"/>
    <w:rsid w:val="00C966B1"/>
    <w:rsid w:val="00CA19F4"/>
    <w:rsid w:val="00CA37BE"/>
    <w:rsid w:val="00CA5D74"/>
    <w:rsid w:val="00CA602F"/>
    <w:rsid w:val="00CB0BB3"/>
    <w:rsid w:val="00CB564A"/>
    <w:rsid w:val="00CB5DF5"/>
    <w:rsid w:val="00CB5EA8"/>
    <w:rsid w:val="00CB63F2"/>
    <w:rsid w:val="00CB70BC"/>
    <w:rsid w:val="00CB7173"/>
    <w:rsid w:val="00CB7AEA"/>
    <w:rsid w:val="00CC04BA"/>
    <w:rsid w:val="00CC1231"/>
    <w:rsid w:val="00CC1730"/>
    <w:rsid w:val="00CC2701"/>
    <w:rsid w:val="00CC467A"/>
    <w:rsid w:val="00CC5319"/>
    <w:rsid w:val="00CC6526"/>
    <w:rsid w:val="00CC6E85"/>
    <w:rsid w:val="00CD0020"/>
    <w:rsid w:val="00CD16BA"/>
    <w:rsid w:val="00CD1E3D"/>
    <w:rsid w:val="00CD1EC4"/>
    <w:rsid w:val="00CD7F28"/>
    <w:rsid w:val="00CE1E07"/>
    <w:rsid w:val="00CE2F42"/>
    <w:rsid w:val="00CE693F"/>
    <w:rsid w:val="00CE715D"/>
    <w:rsid w:val="00CE7293"/>
    <w:rsid w:val="00CF31C3"/>
    <w:rsid w:val="00CF4FAD"/>
    <w:rsid w:val="00CF7652"/>
    <w:rsid w:val="00D033ED"/>
    <w:rsid w:val="00D037D0"/>
    <w:rsid w:val="00D04123"/>
    <w:rsid w:val="00D07331"/>
    <w:rsid w:val="00D1001B"/>
    <w:rsid w:val="00D1104A"/>
    <w:rsid w:val="00D11E40"/>
    <w:rsid w:val="00D169D9"/>
    <w:rsid w:val="00D16D0C"/>
    <w:rsid w:val="00D2076E"/>
    <w:rsid w:val="00D20FBF"/>
    <w:rsid w:val="00D21035"/>
    <w:rsid w:val="00D2252A"/>
    <w:rsid w:val="00D22B25"/>
    <w:rsid w:val="00D274B1"/>
    <w:rsid w:val="00D33426"/>
    <w:rsid w:val="00D34C17"/>
    <w:rsid w:val="00D40102"/>
    <w:rsid w:val="00D4230B"/>
    <w:rsid w:val="00D43E5C"/>
    <w:rsid w:val="00D44516"/>
    <w:rsid w:val="00D459F0"/>
    <w:rsid w:val="00D50729"/>
    <w:rsid w:val="00D54BCD"/>
    <w:rsid w:val="00D557F5"/>
    <w:rsid w:val="00D56DC2"/>
    <w:rsid w:val="00D571A8"/>
    <w:rsid w:val="00D61D43"/>
    <w:rsid w:val="00D656EF"/>
    <w:rsid w:val="00D7267C"/>
    <w:rsid w:val="00D7359A"/>
    <w:rsid w:val="00D738DA"/>
    <w:rsid w:val="00D74355"/>
    <w:rsid w:val="00D77C41"/>
    <w:rsid w:val="00D80E3B"/>
    <w:rsid w:val="00D81107"/>
    <w:rsid w:val="00D82E82"/>
    <w:rsid w:val="00D84F68"/>
    <w:rsid w:val="00D8578A"/>
    <w:rsid w:val="00D87A24"/>
    <w:rsid w:val="00D92BD7"/>
    <w:rsid w:val="00D93784"/>
    <w:rsid w:val="00D9644A"/>
    <w:rsid w:val="00D9672C"/>
    <w:rsid w:val="00DA00B6"/>
    <w:rsid w:val="00DA186C"/>
    <w:rsid w:val="00DA2C0D"/>
    <w:rsid w:val="00DB0BE4"/>
    <w:rsid w:val="00DB1222"/>
    <w:rsid w:val="00DB1232"/>
    <w:rsid w:val="00DB17A3"/>
    <w:rsid w:val="00DB2744"/>
    <w:rsid w:val="00DB6A3D"/>
    <w:rsid w:val="00DC02B9"/>
    <w:rsid w:val="00DC08BF"/>
    <w:rsid w:val="00DC2740"/>
    <w:rsid w:val="00DC6EB6"/>
    <w:rsid w:val="00DC73DB"/>
    <w:rsid w:val="00DD1CC5"/>
    <w:rsid w:val="00DD2A1E"/>
    <w:rsid w:val="00DD3BC1"/>
    <w:rsid w:val="00DD631F"/>
    <w:rsid w:val="00DD6C75"/>
    <w:rsid w:val="00DD78F0"/>
    <w:rsid w:val="00DE05E5"/>
    <w:rsid w:val="00DE49CF"/>
    <w:rsid w:val="00DE7BAE"/>
    <w:rsid w:val="00DE7EB0"/>
    <w:rsid w:val="00DF11BC"/>
    <w:rsid w:val="00DF1A78"/>
    <w:rsid w:val="00DF3809"/>
    <w:rsid w:val="00DF3D67"/>
    <w:rsid w:val="00DF4F00"/>
    <w:rsid w:val="00DF727A"/>
    <w:rsid w:val="00DF7618"/>
    <w:rsid w:val="00E01CEA"/>
    <w:rsid w:val="00E02750"/>
    <w:rsid w:val="00E0441E"/>
    <w:rsid w:val="00E0504C"/>
    <w:rsid w:val="00E0614A"/>
    <w:rsid w:val="00E0654C"/>
    <w:rsid w:val="00E135B8"/>
    <w:rsid w:val="00E14577"/>
    <w:rsid w:val="00E147CE"/>
    <w:rsid w:val="00E14D38"/>
    <w:rsid w:val="00E14FC6"/>
    <w:rsid w:val="00E16037"/>
    <w:rsid w:val="00E173A2"/>
    <w:rsid w:val="00E17B1E"/>
    <w:rsid w:val="00E22B5A"/>
    <w:rsid w:val="00E230BB"/>
    <w:rsid w:val="00E23101"/>
    <w:rsid w:val="00E23E61"/>
    <w:rsid w:val="00E31CD6"/>
    <w:rsid w:val="00E32598"/>
    <w:rsid w:val="00E329FE"/>
    <w:rsid w:val="00E33E92"/>
    <w:rsid w:val="00E35535"/>
    <w:rsid w:val="00E37858"/>
    <w:rsid w:val="00E408ED"/>
    <w:rsid w:val="00E40CF3"/>
    <w:rsid w:val="00E42DBC"/>
    <w:rsid w:val="00E439FC"/>
    <w:rsid w:val="00E4661E"/>
    <w:rsid w:val="00E47A58"/>
    <w:rsid w:val="00E54337"/>
    <w:rsid w:val="00E5484C"/>
    <w:rsid w:val="00E54DDC"/>
    <w:rsid w:val="00E55DA0"/>
    <w:rsid w:val="00E562FA"/>
    <w:rsid w:val="00E60B3D"/>
    <w:rsid w:val="00E61959"/>
    <w:rsid w:val="00E63A49"/>
    <w:rsid w:val="00E649FA"/>
    <w:rsid w:val="00E66DC3"/>
    <w:rsid w:val="00E7124F"/>
    <w:rsid w:val="00E71274"/>
    <w:rsid w:val="00E758F3"/>
    <w:rsid w:val="00E76C04"/>
    <w:rsid w:val="00E77FE9"/>
    <w:rsid w:val="00E8118B"/>
    <w:rsid w:val="00E8275D"/>
    <w:rsid w:val="00E83A1D"/>
    <w:rsid w:val="00E85C8A"/>
    <w:rsid w:val="00E85EB7"/>
    <w:rsid w:val="00E86848"/>
    <w:rsid w:val="00E86CEC"/>
    <w:rsid w:val="00E87084"/>
    <w:rsid w:val="00E87CCB"/>
    <w:rsid w:val="00E93C4A"/>
    <w:rsid w:val="00E93EB8"/>
    <w:rsid w:val="00E95E90"/>
    <w:rsid w:val="00E9602D"/>
    <w:rsid w:val="00EA00A9"/>
    <w:rsid w:val="00EA0AE0"/>
    <w:rsid w:val="00EA0E4E"/>
    <w:rsid w:val="00EA153D"/>
    <w:rsid w:val="00EA1963"/>
    <w:rsid w:val="00EA19B7"/>
    <w:rsid w:val="00EA25FD"/>
    <w:rsid w:val="00EA2CE6"/>
    <w:rsid w:val="00EB4484"/>
    <w:rsid w:val="00EB5149"/>
    <w:rsid w:val="00EB597F"/>
    <w:rsid w:val="00EB5B1F"/>
    <w:rsid w:val="00EB789E"/>
    <w:rsid w:val="00EC0034"/>
    <w:rsid w:val="00EC0171"/>
    <w:rsid w:val="00EC17BA"/>
    <w:rsid w:val="00EC36E4"/>
    <w:rsid w:val="00EC3701"/>
    <w:rsid w:val="00EC441F"/>
    <w:rsid w:val="00EC5285"/>
    <w:rsid w:val="00EC6056"/>
    <w:rsid w:val="00EC6BE2"/>
    <w:rsid w:val="00EC7B0B"/>
    <w:rsid w:val="00ED647C"/>
    <w:rsid w:val="00ED671E"/>
    <w:rsid w:val="00EE4844"/>
    <w:rsid w:val="00EF0015"/>
    <w:rsid w:val="00EF0F59"/>
    <w:rsid w:val="00EF22E6"/>
    <w:rsid w:val="00EF6F00"/>
    <w:rsid w:val="00EF6FF5"/>
    <w:rsid w:val="00EF7350"/>
    <w:rsid w:val="00EF75D2"/>
    <w:rsid w:val="00EF7FCD"/>
    <w:rsid w:val="00F00723"/>
    <w:rsid w:val="00F00C87"/>
    <w:rsid w:val="00F02007"/>
    <w:rsid w:val="00F059CF"/>
    <w:rsid w:val="00F0655D"/>
    <w:rsid w:val="00F06F89"/>
    <w:rsid w:val="00F12CB4"/>
    <w:rsid w:val="00F14134"/>
    <w:rsid w:val="00F17B66"/>
    <w:rsid w:val="00F20391"/>
    <w:rsid w:val="00F22C87"/>
    <w:rsid w:val="00F23895"/>
    <w:rsid w:val="00F26A6D"/>
    <w:rsid w:val="00F278FD"/>
    <w:rsid w:val="00F27B4F"/>
    <w:rsid w:val="00F27E9D"/>
    <w:rsid w:val="00F33940"/>
    <w:rsid w:val="00F35A47"/>
    <w:rsid w:val="00F3609C"/>
    <w:rsid w:val="00F36F16"/>
    <w:rsid w:val="00F376B4"/>
    <w:rsid w:val="00F40655"/>
    <w:rsid w:val="00F47582"/>
    <w:rsid w:val="00F54050"/>
    <w:rsid w:val="00F54214"/>
    <w:rsid w:val="00F54EA5"/>
    <w:rsid w:val="00F60BAF"/>
    <w:rsid w:val="00F60E49"/>
    <w:rsid w:val="00F615FE"/>
    <w:rsid w:val="00F61C51"/>
    <w:rsid w:val="00F65CB9"/>
    <w:rsid w:val="00F66371"/>
    <w:rsid w:val="00F66AB9"/>
    <w:rsid w:val="00F67962"/>
    <w:rsid w:val="00F7284F"/>
    <w:rsid w:val="00F73D19"/>
    <w:rsid w:val="00F819C9"/>
    <w:rsid w:val="00F828A6"/>
    <w:rsid w:val="00F84146"/>
    <w:rsid w:val="00F90E0F"/>
    <w:rsid w:val="00F90EAC"/>
    <w:rsid w:val="00F90EF1"/>
    <w:rsid w:val="00F91453"/>
    <w:rsid w:val="00F938F0"/>
    <w:rsid w:val="00F939B9"/>
    <w:rsid w:val="00F95A99"/>
    <w:rsid w:val="00FA013E"/>
    <w:rsid w:val="00FA0D16"/>
    <w:rsid w:val="00FA1064"/>
    <w:rsid w:val="00FA15AA"/>
    <w:rsid w:val="00FA1E7F"/>
    <w:rsid w:val="00FA5914"/>
    <w:rsid w:val="00FB19E4"/>
    <w:rsid w:val="00FB245E"/>
    <w:rsid w:val="00FB265B"/>
    <w:rsid w:val="00FB289E"/>
    <w:rsid w:val="00FB48B2"/>
    <w:rsid w:val="00FB69C7"/>
    <w:rsid w:val="00FC3E63"/>
    <w:rsid w:val="00FC7038"/>
    <w:rsid w:val="00FD01CD"/>
    <w:rsid w:val="00FD1864"/>
    <w:rsid w:val="00FD7216"/>
    <w:rsid w:val="00FE19D2"/>
    <w:rsid w:val="00FE1A5A"/>
    <w:rsid w:val="00FE2246"/>
    <w:rsid w:val="00FE31E8"/>
    <w:rsid w:val="00FE32FB"/>
    <w:rsid w:val="00FE57A8"/>
    <w:rsid w:val="00FE65C8"/>
    <w:rsid w:val="00FE7A71"/>
    <w:rsid w:val="00FF083A"/>
    <w:rsid w:val="00FF0D29"/>
    <w:rsid w:val="00FF436E"/>
    <w:rsid w:val="00FF5069"/>
    <w:rsid w:val="00FF7D2C"/>
    <w:rsid w:val="09A72956"/>
    <w:rsid w:val="0A033A7B"/>
    <w:rsid w:val="0E0D73D8"/>
    <w:rsid w:val="23834AD2"/>
    <w:rsid w:val="2C252AFD"/>
    <w:rsid w:val="47947B37"/>
    <w:rsid w:val="47C23F4A"/>
    <w:rsid w:val="489B28AD"/>
    <w:rsid w:val="4AD82E40"/>
    <w:rsid w:val="4D044513"/>
    <w:rsid w:val="4D963D8A"/>
    <w:rsid w:val="58F86605"/>
    <w:rsid w:val="666D1281"/>
    <w:rsid w:val="689C5C6B"/>
    <w:rsid w:val="6EBE1E3F"/>
    <w:rsid w:val="708C70C4"/>
    <w:rsid w:val="77E563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uiPriority="99"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sz w:val="24"/>
      <w:szCs w:val="22"/>
      <w:lang w:val="en-US" w:eastAsia="en-US" w:bidi="en-US"/>
    </w:rPr>
  </w:style>
  <w:style w:type="paragraph" w:styleId="2">
    <w:name w:val="heading 1"/>
    <w:basedOn w:val="1"/>
    <w:next w:val="1"/>
    <w:link w:val="169"/>
    <w:qFormat/>
    <w:uiPriority w:val="9"/>
    <w:pPr>
      <w:keepNext/>
      <w:keepLines/>
      <w:adjustRightInd w:val="0"/>
      <w:snapToGrid w:val="0"/>
      <w:ind w:firstLine="0" w:firstLineChars="0"/>
      <w:outlineLvl w:val="0"/>
    </w:pPr>
    <w:rPr>
      <w:b/>
      <w:bCs/>
      <w:sz w:val="44"/>
      <w:szCs w:val="28"/>
    </w:rPr>
  </w:style>
  <w:style w:type="paragraph" w:styleId="3">
    <w:name w:val="heading 2"/>
    <w:basedOn w:val="1"/>
    <w:next w:val="1"/>
    <w:link w:val="151"/>
    <w:qFormat/>
    <w:uiPriority w:val="9"/>
    <w:pPr>
      <w:keepNext/>
      <w:keepLines/>
      <w:adjustRightInd w:val="0"/>
      <w:snapToGrid w:val="0"/>
      <w:ind w:firstLine="0" w:firstLineChars="0"/>
      <w:outlineLvl w:val="1"/>
    </w:pPr>
    <w:rPr>
      <w:b/>
      <w:bCs/>
      <w:sz w:val="32"/>
      <w:szCs w:val="26"/>
      <w:lang w:bidi="ar-SA"/>
    </w:rPr>
  </w:style>
  <w:style w:type="paragraph" w:styleId="4">
    <w:name w:val="heading 3"/>
    <w:basedOn w:val="1"/>
    <w:next w:val="1"/>
    <w:link w:val="128"/>
    <w:qFormat/>
    <w:uiPriority w:val="9"/>
    <w:pPr>
      <w:keepNext/>
      <w:keepLines/>
      <w:ind w:firstLine="0" w:firstLineChars="0"/>
      <w:outlineLvl w:val="2"/>
    </w:pPr>
    <w:rPr>
      <w:b/>
      <w:bCs/>
      <w:sz w:val="28"/>
      <w:szCs w:val="20"/>
      <w:lang w:bidi="ar-SA"/>
    </w:rPr>
  </w:style>
  <w:style w:type="paragraph" w:styleId="5">
    <w:name w:val="heading 4"/>
    <w:basedOn w:val="1"/>
    <w:next w:val="1"/>
    <w:link w:val="107"/>
    <w:qFormat/>
    <w:uiPriority w:val="0"/>
    <w:pPr>
      <w:keepNext/>
      <w:keepLines/>
      <w:spacing w:before="200"/>
      <w:outlineLvl w:val="3"/>
    </w:pPr>
    <w:rPr>
      <w:rFonts w:ascii="Cambria" w:hAnsi="Cambria"/>
      <w:b/>
      <w:bCs/>
      <w:i/>
      <w:iCs/>
      <w:color w:val="4F81BD"/>
      <w:sz w:val="20"/>
      <w:szCs w:val="20"/>
      <w:lang w:bidi="ar-SA"/>
    </w:rPr>
  </w:style>
  <w:style w:type="paragraph" w:styleId="6">
    <w:name w:val="heading 5"/>
    <w:basedOn w:val="1"/>
    <w:next w:val="1"/>
    <w:link w:val="108"/>
    <w:qFormat/>
    <w:uiPriority w:val="0"/>
    <w:pPr>
      <w:keepNext/>
      <w:keepLines/>
      <w:spacing w:before="200"/>
      <w:outlineLvl w:val="4"/>
    </w:pPr>
    <w:rPr>
      <w:rFonts w:ascii="Cambria" w:hAnsi="Cambria"/>
      <w:color w:val="243F60"/>
      <w:sz w:val="20"/>
      <w:szCs w:val="20"/>
      <w:lang w:bidi="ar-SA"/>
    </w:rPr>
  </w:style>
  <w:style w:type="paragraph" w:styleId="7">
    <w:name w:val="heading 6"/>
    <w:basedOn w:val="1"/>
    <w:next w:val="1"/>
    <w:link w:val="105"/>
    <w:qFormat/>
    <w:uiPriority w:val="0"/>
    <w:pPr>
      <w:keepNext/>
      <w:keepLines/>
      <w:spacing w:before="200"/>
      <w:outlineLvl w:val="5"/>
    </w:pPr>
    <w:rPr>
      <w:rFonts w:ascii="Cambria" w:hAnsi="Cambria"/>
      <w:i/>
      <w:iCs/>
      <w:color w:val="243F60"/>
      <w:sz w:val="20"/>
      <w:szCs w:val="20"/>
      <w:lang w:bidi="ar-SA"/>
    </w:rPr>
  </w:style>
  <w:style w:type="paragraph" w:styleId="8">
    <w:name w:val="heading 7"/>
    <w:basedOn w:val="1"/>
    <w:next w:val="1"/>
    <w:link w:val="129"/>
    <w:qFormat/>
    <w:uiPriority w:val="0"/>
    <w:pPr>
      <w:keepNext/>
      <w:keepLines/>
      <w:spacing w:before="200"/>
      <w:outlineLvl w:val="6"/>
    </w:pPr>
    <w:rPr>
      <w:rFonts w:ascii="Cambria" w:hAnsi="Cambria"/>
      <w:i/>
      <w:iCs/>
      <w:color w:val="404040"/>
      <w:sz w:val="20"/>
      <w:szCs w:val="20"/>
      <w:lang w:bidi="ar-SA"/>
    </w:rPr>
  </w:style>
  <w:style w:type="paragraph" w:styleId="9">
    <w:name w:val="heading 8"/>
    <w:basedOn w:val="1"/>
    <w:next w:val="1"/>
    <w:link w:val="158"/>
    <w:qFormat/>
    <w:uiPriority w:val="0"/>
    <w:pPr>
      <w:keepNext/>
      <w:keepLines/>
      <w:spacing w:before="200"/>
      <w:outlineLvl w:val="7"/>
    </w:pPr>
    <w:rPr>
      <w:rFonts w:ascii="Cambria" w:hAnsi="Cambria"/>
      <w:color w:val="4F81BD"/>
      <w:sz w:val="20"/>
      <w:szCs w:val="20"/>
      <w:lang w:bidi="ar-SA"/>
    </w:rPr>
  </w:style>
  <w:style w:type="paragraph" w:styleId="10">
    <w:name w:val="heading 9"/>
    <w:basedOn w:val="1"/>
    <w:next w:val="1"/>
    <w:link w:val="125"/>
    <w:qFormat/>
    <w:uiPriority w:val="0"/>
    <w:pPr>
      <w:keepNext/>
      <w:keepLines/>
      <w:spacing w:before="200"/>
      <w:outlineLvl w:val="8"/>
    </w:pPr>
    <w:rPr>
      <w:rFonts w:ascii="Cambria" w:hAnsi="Cambria"/>
      <w:i/>
      <w:iCs/>
      <w:color w:val="404040"/>
      <w:sz w:val="20"/>
      <w:szCs w:val="20"/>
      <w:lang w:bidi="ar-SA"/>
    </w:rPr>
  </w:style>
  <w:style w:type="character" w:default="1" w:styleId="78">
    <w:name w:val="Default Paragraph Font"/>
    <w:semiHidden/>
    <w:unhideWhenUsed/>
    <w:qFormat/>
    <w:uiPriority w:val="1"/>
  </w:style>
  <w:style w:type="table" w:default="1" w:styleId="76">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ind w:left="1260" w:hanging="420"/>
    </w:pPr>
  </w:style>
  <w:style w:type="paragraph" w:styleId="12">
    <w:name w:val="toc 7"/>
    <w:basedOn w:val="1"/>
    <w:next w:val="1"/>
    <w:qFormat/>
    <w:uiPriority w:val="39"/>
    <w:pPr>
      <w:ind w:left="1260"/>
      <w:jc w:val="left"/>
    </w:pPr>
    <w:rPr>
      <w:sz w:val="18"/>
      <w:szCs w:val="18"/>
    </w:rPr>
  </w:style>
  <w:style w:type="paragraph" w:styleId="13">
    <w:name w:val="List Number 2"/>
    <w:basedOn w:val="1"/>
    <w:qFormat/>
    <w:uiPriority w:val="0"/>
  </w:style>
  <w:style w:type="paragraph" w:styleId="14">
    <w:name w:val="Note Heading"/>
    <w:basedOn w:val="1"/>
    <w:next w:val="1"/>
    <w:link w:val="163"/>
    <w:qFormat/>
    <w:uiPriority w:val="0"/>
    <w:pPr>
      <w:jc w:val="center"/>
    </w:pPr>
  </w:style>
  <w:style w:type="paragraph" w:styleId="15">
    <w:name w:val="List Bullet 4"/>
    <w:basedOn w:val="1"/>
    <w:qFormat/>
    <w:uiPriority w:val="0"/>
  </w:style>
  <w:style w:type="paragraph" w:styleId="16">
    <w:name w:val="E-mail Signature"/>
    <w:basedOn w:val="1"/>
    <w:qFormat/>
    <w:uiPriority w:val="0"/>
  </w:style>
  <w:style w:type="paragraph" w:styleId="17">
    <w:name w:val="List Number"/>
    <w:basedOn w:val="1"/>
    <w:qFormat/>
    <w:uiPriority w:val="0"/>
  </w:style>
  <w:style w:type="paragraph" w:styleId="18">
    <w:name w:val="Normal Indent"/>
    <w:basedOn w:val="1"/>
    <w:link w:val="171"/>
    <w:qFormat/>
    <w:uiPriority w:val="0"/>
    <w:pPr>
      <w:ind w:firstLine="420"/>
    </w:pPr>
    <w:rPr>
      <w:rFonts w:ascii="Calibri" w:hAnsi="Calibri"/>
      <w:kern w:val="2"/>
      <w:sz w:val="21"/>
      <w:szCs w:val="24"/>
      <w:lang w:eastAsia="zh-CN" w:bidi="ar-SA"/>
    </w:rPr>
  </w:style>
  <w:style w:type="paragraph" w:styleId="19">
    <w:name w:val="caption"/>
    <w:basedOn w:val="1"/>
    <w:next w:val="1"/>
    <w:qFormat/>
    <w:uiPriority w:val="0"/>
    <w:pPr>
      <w:spacing w:line="240" w:lineRule="auto"/>
    </w:pPr>
    <w:rPr>
      <w:b/>
      <w:bCs/>
      <w:color w:val="4F81BD"/>
      <w:sz w:val="18"/>
      <w:szCs w:val="18"/>
    </w:rPr>
  </w:style>
  <w:style w:type="paragraph" w:styleId="20">
    <w:name w:val="List Bullet"/>
    <w:basedOn w:val="1"/>
    <w:qFormat/>
    <w:uiPriority w:val="0"/>
  </w:style>
  <w:style w:type="paragraph" w:styleId="21">
    <w:name w:val="envelope address"/>
    <w:basedOn w:val="1"/>
    <w:qFormat/>
    <w:uiPriority w:val="0"/>
    <w:pPr>
      <w:snapToGrid w:val="0"/>
      <w:ind w:left="2880"/>
    </w:pPr>
    <w:rPr>
      <w:rFonts w:ascii="Arial" w:hAnsi="Arial" w:cs="Arial"/>
    </w:rPr>
  </w:style>
  <w:style w:type="paragraph" w:styleId="22">
    <w:name w:val="Document Map"/>
    <w:basedOn w:val="1"/>
    <w:link w:val="298"/>
    <w:qFormat/>
    <w:uiPriority w:val="0"/>
    <w:pPr>
      <w:shd w:val="clear" w:color="auto" w:fill="000080"/>
    </w:pPr>
    <w:rPr>
      <w:shd w:val="clear" w:color="auto" w:fill="000080"/>
    </w:rPr>
  </w:style>
  <w:style w:type="paragraph" w:styleId="23">
    <w:name w:val="annotation text"/>
    <w:basedOn w:val="1"/>
    <w:link w:val="196"/>
    <w:qFormat/>
    <w:uiPriority w:val="0"/>
    <w:pPr>
      <w:widowControl/>
      <w:jc w:val="left"/>
    </w:pPr>
    <w:rPr>
      <w:sz w:val="28"/>
      <w:szCs w:val="20"/>
    </w:rPr>
  </w:style>
  <w:style w:type="paragraph" w:styleId="24">
    <w:name w:val="Salutation"/>
    <w:basedOn w:val="1"/>
    <w:next w:val="1"/>
    <w:qFormat/>
    <w:uiPriority w:val="0"/>
  </w:style>
  <w:style w:type="paragraph" w:styleId="25">
    <w:name w:val="Body Text 3"/>
    <w:basedOn w:val="1"/>
    <w:qFormat/>
    <w:uiPriority w:val="0"/>
    <w:pPr>
      <w:spacing w:after="120"/>
    </w:pPr>
    <w:rPr>
      <w:sz w:val="16"/>
      <w:szCs w:val="16"/>
    </w:rPr>
  </w:style>
  <w:style w:type="paragraph" w:styleId="26">
    <w:name w:val="Closing"/>
    <w:basedOn w:val="1"/>
    <w:qFormat/>
    <w:uiPriority w:val="0"/>
    <w:pPr>
      <w:ind w:left="4320"/>
    </w:pPr>
  </w:style>
  <w:style w:type="paragraph" w:styleId="27">
    <w:name w:val="List Bullet 3"/>
    <w:basedOn w:val="1"/>
    <w:qFormat/>
    <w:uiPriority w:val="0"/>
  </w:style>
  <w:style w:type="paragraph" w:styleId="28">
    <w:name w:val="Body Text"/>
    <w:basedOn w:val="1"/>
    <w:link w:val="133"/>
    <w:qFormat/>
    <w:uiPriority w:val="0"/>
    <w:pPr>
      <w:spacing w:after="120"/>
    </w:pPr>
    <w:rPr>
      <w:rFonts w:ascii="Calibri" w:hAnsi="Calibri"/>
      <w:kern w:val="2"/>
      <w:sz w:val="21"/>
      <w:szCs w:val="24"/>
      <w:lang w:eastAsia="zh-CN" w:bidi="ar-SA"/>
    </w:rPr>
  </w:style>
  <w:style w:type="paragraph" w:styleId="29">
    <w:name w:val="Body Text Indent"/>
    <w:basedOn w:val="1"/>
    <w:qFormat/>
    <w:uiPriority w:val="0"/>
    <w:pPr>
      <w:spacing w:after="120"/>
      <w:ind w:left="420"/>
    </w:pPr>
  </w:style>
  <w:style w:type="paragraph" w:styleId="30">
    <w:name w:val="List Number 3"/>
    <w:basedOn w:val="1"/>
    <w:qFormat/>
    <w:uiPriority w:val="0"/>
  </w:style>
  <w:style w:type="paragraph" w:styleId="31">
    <w:name w:val="List 2"/>
    <w:basedOn w:val="1"/>
    <w:qFormat/>
    <w:uiPriority w:val="0"/>
    <w:pPr>
      <w:ind w:left="840" w:hanging="420"/>
    </w:pPr>
  </w:style>
  <w:style w:type="paragraph" w:styleId="32">
    <w:name w:val="List Continue"/>
    <w:basedOn w:val="1"/>
    <w:qFormat/>
    <w:uiPriority w:val="0"/>
    <w:pPr>
      <w:spacing w:after="120"/>
      <w:ind w:left="420"/>
    </w:pPr>
  </w:style>
  <w:style w:type="paragraph" w:styleId="33">
    <w:name w:val="Block Text"/>
    <w:basedOn w:val="1"/>
    <w:qFormat/>
    <w:uiPriority w:val="0"/>
    <w:pPr>
      <w:spacing w:after="120"/>
      <w:ind w:left="1440" w:right="1440"/>
    </w:pPr>
  </w:style>
  <w:style w:type="paragraph" w:styleId="34">
    <w:name w:val="List Bullet 2"/>
    <w:basedOn w:val="1"/>
    <w:qFormat/>
    <w:uiPriority w:val="0"/>
  </w:style>
  <w:style w:type="paragraph" w:styleId="35">
    <w:name w:val="HTML Address"/>
    <w:basedOn w:val="1"/>
    <w:qFormat/>
    <w:uiPriority w:val="0"/>
    <w:rPr>
      <w:i/>
      <w:iCs/>
    </w:rPr>
  </w:style>
  <w:style w:type="paragraph" w:styleId="36">
    <w:name w:val="toc 5"/>
    <w:basedOn w:val="1"/>
    <w:next w:val="1"/>
    <w:qFormat/>
    <w:uiPriority w:val="39"/>
    <w:pPr>
      <w:ind w:left="840"/>
      <w:jc w:val="left"/>
    </w:pPr>
    <w:rPr>
      <w:sz w:val="18"/>
      <w:szCs w:val="18"/>
    </w:rPr>
  </w:style>
  <w:style w:type="paragraph" w:styleId="37">
    <w:name w:val="toc 3"/>
    <w:basedOn w:val="1"/>
    <w:next w:val="1"/>
    <w:qFormat/>
    <w:uiPriority w:val="39"/>
    <w:pPr>
      <w:tabs>
        <w:tab w:val="right" w:leader="dot" w:pos="8296"/>
      </w:tabs>
      <w:ind w:left="420"/>
      <w:jc w:val="left"/>
    </w:pPr>
    <w:rPr>
      <w:i/>
      <w:iCs/>
    </w:rPr>
  </w:style>
  <w:style w:type="paragraph" w:styleId="38">
    <w:name w:val="Plain Text"/>
    <w:basedOn w:val="1"/>
    <w:link w:val="215"/>
    <w:qFormat/>
    <w:uiPriority w:val="0"/>
    <w:rPr>
      <w:rFonts w:ascii="宋体" w:hAnsi="Courier New" w:cs="Courier New"/>
      <w:kern w:val="2"/>
      <w:sz w:val="21"/>
      <w:szCs w:val="21"/>
      <w:lang w:eastAsia="zh-CN" w:bidi="ar-SA"/>
    </w:rPr>
  </w:style>
  <w:style w:type="paragraph" w:styleId="39">
    <w:name w:val="List Bullet 5"/>
    <w:basedOn w:val="1"/>
    <w:qFormat/>
    <w:uiPriority w:val="0"/>
  </w:style>
  <w:style w:type="paragraph" w:styleId="40">
    <w:name w:val="List Number 4"/>
    <w:basedOn w:val="1"/>
    <w:qFormat/>
    <w:uiPriority w:val="0"/>
  </w:style>
  <w:style w:type="paragraph" w:styleId="41">
    <w:name w:val="toc 8"/>
    <w:basedOn w:val="1"/>
    <w:next w:val="1"/>
    <w:qFormat/>
    <w:uiPriority w:val="39"/>
    <w:pPr>
      <w:ind w:left="1470"/>
      <w:jc w:val="left"/>
    </w:pPr>
    <w:rPr>
      <w:sz w:val="18"/>
      <w:szCs w:val="18"/>
    </w:rPr>
  </w:style>
  <w:style w:type="paragraph" w:styleId="42">
    <w:name w:val="Date"/>
    <w:basedOn w:val="1"/>
    <w:next w:val="1"/>
    <w:qFormat/>
    <w:uiPriority w:val="0"/>
  </w:style>
  <w:style w:type="paragraph" w:styleId="43">
    <w:name w:val="Body Text Indent 2"/>
    <w:basedOn w:val="1"/>
    <w:qFormat/>
    <w:uiPriority w:val="0"/>
    <w:pPr>
      <w:spacing w:after="120" w:line="480" w:lineRule="auto"/>
      <w:ind w:left="420"/>
    </w:pPr>
  </w:style>
  <w:style w:type="paragraph" w:styleId="44">
    <w:name w:val="endnote text"/>
    <w:basedOn w:val="1"/>
    <w:link w:val="182"/>
    <w:qFormat/>
    <w:uiPriority w:val="0"/>
    <w:pPr>
      <w:snapToGrid w:val="0"/>
      <w:spacing w:line="240" w:lineRule="auto"/>
      <w:ind w:firstLine="0" w:firstLineChars="0"/>
      <w:jc w:val="left"/>
    </w:pPr>
    <w:rPr>
      <w:kern w:val="2"/>
      <w:sz w:val="21"/>
      <w:szCs w:val="20"/>
      <w:lang w:bidi="ar-SA"/>
    </w:rPr>
  </w:style>
  <w:style w:type="paragraph" w:styleId="45">
    <w:name w:val="List Continue 5"/>
    <w:basedOn w:val="1"/>
    <w:qFormat/>
    <w:uiPriority w:val="0"/>
    <w:pPr>
      <w:spacing w:after="120"/>
      <w:ind w:left="2100"/>
    </w:pPr>
  </w:style>
  <w:style w:type="paragraph" w:styleId="46">
    <w:name w:val="Balloon Text"/>
    <w:basedOn w:val="1"/>
    <w:link w:val="341"/>
    <w:qFormat/>
    <w:uiPriority w:val="99"/>
    <w:rPr>
      <w:sz w:val="18"/>
      <w:szCs w:val="18"/>
    </w:rPr>
  </w:style>
  <w:style w:type="paragraph" w:styleId="47">
    <w:name w:val="footer"/>
    <w:basedOn w:val="1"/>
    <w:link w:val="106"/>
    <w:qFormat/>
    <w:uiPriority w:val="99"/>
    <w:pPr>
      <w:pBdr>
        <w:top w:val="single" w:color="auto" w:sz="6" w:space="1"/>
      </w:pBdr>
      <w:tabs>
        <w:tab w:val="center" w:pos="4153"/>
        <w:tab w:val="right" w:pos="8306"/>
      </w:tabs>
      <w:snapToGrid w:val="0"/>
      <w:jc w:val="left"/>
    </w:pPr>
    <w:rPr>
      <w:sz w:val="18"/>
      <w:szCs w:val="18"/>
    </w:rPr>
  </w:style>
  <w:style w:type="paragraph" w:styleId="48">
    <w:name w:val="envelope return"/>
    <w:basedOn w:val="1"/>
    <w:qFormat/>
    <w:uiPriority w:val="0"/>
    <w:pPr>
      <w:snapToGrid w:val="0"/>
    </w:pPr>
    <w:rPr>
      <w:rFonts w:ascii="Arial" w:hAnsi="Arial" w:cs="Arial"/>
    </w:rPr>
  </w:style>
  <w:style w:type="paragraph" w:styleId="49">
    <w:name w:val="header"/>
    <w:basedOn w:val="1"/>
    <w:link w:val="99"/>
    <w:qFormat/>
    <w:uiPriority w:val="99"/>
    <w:pPr>
      <w:pBdr>
        <w:bottom w:val="thinThickSmallGap" w:color="auto" w:sz="24" w:space="1"/>
      </w:pBdr>
      <w:tabs>
        <w:tab w:val="center" w:pos="4153"/>
        <w:tab w:val="right" w:pos="8306"/>
      </w:tabs>
      <w:snapToGrid w:val="0"/>
      <w:jc w:val="center"/>
    </w:pPr>
    <w:rPr>
      <w:rFonts w:ascii="Calibri" w:hAnsi="Calibri"/>
      <w:kern w:val="2"/>
      <w:sz w:val="18"/>
      <w:szCs w:val="18"/>
      <w:lang w:eastAsia="zh-CN" w:bidi="ar-SA"/>
    </w:rPr>
  </w:style>
  <w:style w:type="paragraph" w:styleId="50">
    <w:name w:val="Signature"/>
    <w:basedOn w:val="1"/>
    <w:qFormat/>
    <w:uiPriority w:val="0"/>
    <w:pPr>
      <w:ind w:left="4320"/>
    </w:pPr>
  </w:style>
  <w:style w:type="paragraph" w:styleId="51">
    <w:name w:val="toc 1"/>
    <w:basedOn w:val="1"/>
    <w:next w:val="1"/>
    <w:qFormat/>
    <w:uiPriority w:val="39"/>
    <w:pPr>
      <w:tabs>
        <w:tab w:val="right" w:leader="dot" w:pos="8296"/>
      </w:tabs>
      <w:spacing w:before="120" w:after="120"/>
      <w:ind w:firstLine="480"/>
      <w:jc w:val="left"/>
    </w:pPr>
    <w:rPr>
      <w:rFonts w:hAnsi="宋体"/>
      <w:bCs/>
      <w:caps/>
      <w:lang w:eastAsia="zh-CN"/>
    </w:rPr>
  </w:style>
  <w:style w:type="paragraph" w:styleId="52">
    <w:name w:val="List Continue 4"/>
    <w:basedOn w:val="1"/>
    <w:qFormat/>
    <w:uiPriority w:val="0"/>
    <w:pPr>
      <w:spacing w:after="120"/>
      <w:ind w:left="1680"/>
    </w:pPr>
  </w:style>
  <w:style w:type="paragraph" w:styleId="53">
    <w:name w:val="toc 4"/>
    <w:basedOn w:val="1"/>
    <w:next w:val="1"/>
    <w:qFormat/>
    <w:uiPriority w:val="39"/>
    <w:pPr>
      <w:ind w:left="630"/>
      <w:jc w:val="left"/>
    </w:pPr>
    <w:rPr>
      <w:sz w:val="18"/>
      <w:szCs w:val="18"/>
    </w:rPr>
  </w:style>
  <w:style w:type="paragraph" w:styleId="54">
    <w:name w:val="Subtitle"/>
    <w:basedOn w:val="1"/>
    <w:next w:val="1"/>
    <w:link w:val="189"/>
    <w:qFormat/>
    <w:uiPriority w:val="0"/>
    <w:rPr>
      <w:rFonts w:ascii="Cambria" w:hAnsi="Cambria"/>
      <w:i/>
      <w:iCs/>
      <w:color w:val="4F81BD"/>
      <w:spacing w:val="15"/>
      <w:szCs w:val="24"/>
      <w:lang w:bidi="ar-SA"/>
    </w:rPr>
  </w:style>
  <w:style w:type="paragraph" w:styleId="55">
    <w:name w:val="List Number 5"/>
    <w:basedOn w:val="1"/>
    <w:qFormat/>
    <w:uiPriority w:val="0"/>
  </w:style>
  <w:style w:type="paragraph" w:styleId="56">
    <w:name w:val="List"/>
    <w:basedOn w:val="1"/>
    <w:qFormat/>
    <w:uiPriority w:val="0"/>
    <w:pPr>
      <w:ind w:left="420" w:hanging="420"/>
    </w:pPr>
  </w:style>
  <w:style w:type="paragraph" w:styleId="57">
    <w:name w:val="footnote text"/>
    <w:basedOn w:val="1"/>
    <w:qFormat/>
    <w:uiPriority w:val="0"/>
    <w:pPr>
      <w:snapToGrid w:val="0"/>
      <w:jc w:val="left"/>
    </w:pPr>
    <w:rPr>
      <w:sz w:val="18"/>
      <w:szCs w:val="18"/>
    </w:rPr>
  </w:style>
  <w:style w:type="paragraph" w:styleId="58">
    <w:name w:val="toc 6"/>
    <w:basedOn w:val="1"/>
    <w:next w:val="1"/>
    <w:qFormat/>
    <w:uiPriority w:val="39"/>
    <w:pPr>
      <w:ind w:left="1050"/>
      <w:jc w:val="left"/>
    </w:pPr>
    <w:rPr>
      <w:sz w:val="18"/>
      <w:szCs w:val="18"/>
    </w:rPr>
  </w:style>
  <w:style w:type="paragraph" w:styleId="59">
    <w:name w:val="List 5"/>
    <w:basedOn w:val="1"/>
    <w:qFormat/>
    <w:uiPriority w:val="0"/>
    <w:pPr>
      <w:ind w:left="2100" w:hanging="420"/>
    </w:pPr>
  </w:style>
  <w:style w:type="paragraph" w:styleId="60">
    <w:name w:val="Body Text Indent 3"/>
    <w:basedOn w:val="1"/>
    <w:qFormat/>
    <w:uiPriority w:val="0"/>
    <w:pPr>
      <w:spacing w:after="120"/>
      <w:ind w:left="420"/>
    </w:pPr>
    <w:rPr>
      <w:sz w:val="16"/>
      <w:szCs w:val="16"/>
    </w:rPr>
  </w:style>
  <w:style w:type="paragraph" w:styleId="61">
    <w:name w:val="table of figures"/>
    <w:basedOn w:val="1"/>
    <w:next w:val="1"/>
    <w:qFormat/>
    <w:uiPriority w:val="0"/>
    <w:pPr>
      <w:ind w:left="840" w:leftChars="200" w:hanging="420" w:hangingChars="200"/>
    </w:pPr>
  </w:style>
  <w:style w:type="paragraph" w:styleId="62">
    <w:name w:val="toc 2"/>
    <w:basedOn w:val="1"/>
    <w:next w:val="1"/>
    <w:qFormat/>
    <w:uiPriority w:val="39"/>
    <w:pPr>
      <w:ind w:left="210"/>
      <w:jc w:val="left"/>
    </w:pPr>
    <w:rPr>
      <w:smallCaps/>
      <w:sz w:val="20"/>
      <w:szCs w:val="20"/>
    </w:rPr>
  </w:style>
  <w:style w:type="paragraph" w:styleId="63">
    <w:name w:val="toc 9"/>
    <w:basedOn w:val="1"/>
    <w:next w:val="1"/>
    <w:qFormat/>
    <w:uiPriority w:val="39"/>
    <w:pPr>
      <w:ind w:left="1680"/>
      <w:jc w:val="left"/>
    </w:pPr>
    <w:rPr>
      <w:sz w:val="18"/>
      <w:szCs w:val="18"/>
    </w:rPr>
  </w:style>
  <w:style w:type="paragraph" w:styleId="64">
    <w:name w:val="Body Text 2"/>
    <w:basedOn w:val="1"/>
    <w:qFormat/>
    <w:uiPriority w:val="0"/>
    <w:pPr>
      <w:spacing w:after="120" w:line="480" w:lineRule="auto"/>
    </w:pPr>
  </w:style>
  <w:style w:type="paragraph" w:styleId="65">
    <w:name w:val="List 4"/>
    <w:basedOn w:val="1"/>
    <w:qFormat/>
    <w:uiPriority w:val="0"/>
    <w:pPr>
      <w:ind w:left="1680" w:hanging="420"/>
    </w:pPr>
  </w:style>
  <w:style w:type="paragraph" w:styleId="66">
    <w:name w:val="List Continue 2"/>
    <w:basedOn w:val="1"/>
    <w:qFormat/>
    <w:uiPriority w:val="0"/>
    <w:pPr>
      <w:spacing w:after="120"/>
      <w:ind w:left="840"/>
    </w:pPr>
  </w:style>
  <w:style w:type="paragraph" w:styleId="67">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hanging="1080"/>
    </w:pPr>
    <w:rPr>
      <w:rFonts w:ascii="Arial" w:hAnsi="Arial" w:cs="Arial"/>
    </w:rPr>
  </w:style>
  <w:style w:type="paragraph" w:styleId="68">
    <w:name w:val="HTML Preformatted"/>
    <w:basedOn w:val="1"/>
    <w:qFormat/>
    <w:uiPriority w:val="0"/>
    <w:rPr>
      <w:rFonts w:ascii="Courier New" w:hAnsi="Courier New" w:cs="Courier New"/>
      <w:sz w:val="20"/>
      <w:szCs w:val="20"/>
    </w:rPr>
  </w:style>
  <w:style w:type="paragraph" w:styleId="69">
    <w:name w:val="Normal (Web)"/>
    <w:basedOn w:val="1"/>
    <w:qFormat/>
    <w:uiPriority w:val="0"/>
  </w:style>
  <w:style w:type="paragraph" w:styleId="70">
    <w:name w:val="List Continue 3"/>
    <w:basedOn w:val="1"/>
    <w:qFormat/>
    <w:uiPriority w:val="0"/>
    <w:pPr>
      <w:spacing w:after="120"/>
      <w:ind w:left="1260"/>
    </w:pPr>
  </w:style>
  <w:style w:type="paragraph" w:styleId="71">
    <w:name w:val="index 1"/>
    <w:basedOn w:val="1"/>
    <w:next w:val="1"/>
    <w:qFormat/>
    <w:uiPriority w:val="0"/>
    <w:pPr>
      <w:autoSpaceDE w:val="0"/>
      <w:autoSpaceDN w:val="0"/>
      <w:adjustRightInd w:val="0"/>
      <w:ind w:firstLine="480"/>
    </w:pPr>
    <w:rPr>
      <w:rFonts w:ascii="宋体"/>
      <w:szCs w:val="20"/>
    </w:rPr>
  </w:style>
  <w:style w:type="paragraph" w:styleId="72">
    <w:name w:val="Title"/>
    <w:basedOn w:val="1"/>
    <w:next w:val="1"/>
    <w:link w:val="280"/>
    <w:qFormat/>
    <w:uiPriority w:val="0"/>
    <w:pPr>
      <w:pBdr>
        <w:bottom w:val="single" w:color="4F81BD" w:sz="8" w:space="4"/>
      </w:pBdr>
      <w:spacing w:after="300" w:line="240" w:lineRule="auto"/>
      <w:contextualSpacing/>
    </w:pPr>
    <w:rPr>
      <w:rFonts w:ascii="Cambria" w:hAnsi="Cambria"/>
      <w:color w:val="17365D"/>
      <w:spacing w:val="5"/>
      <w:kern w:val="28"/>
      <w:sz w:val="52"/>
      <w:szCs w:val="52"/>
      <w:lang w:bidi="ar-SA"/>
    </w:rPr>
  </w:style>
  <w:style w:type="paragraph" w:styleId="73">
    <w:name w:val="annotation subject"/>
    <w:basedOn w:val="23"/>
    <w:next w:val="23"/>
    <w:qFormat/>
    <w:uiPriority w:val="0"/>
    <w:pPr>
      <w:widowControl w:val="0"/>
    </w:pPr>
    <w:rPr>
      <w:b/>
      <w:bCs/>
      <w:kern w:val="2"/>
      <w:sz w:val="21"/>
      <w:szCs w:val="24"/>
    </w:rPr>
  </w:style>
  <w:style w:type="paragraph" w:styleId="74">
    <w:name w:val="Body Text First Indent"/>
    <w:basedOn w:val="28"/>
    <w:qFormat/>
    <w:uiPriority w:val="0"/>
    <w:pPr>
      <w:ind w:firstLine="420"/>
    </w:pPr>
  </w:style>
  <w:style w:type="paragraph" w:styleId="75">
    <w:name w:val="Body Text First Indent 2"/>
    <w:basedOn w:val="29"/>
    <w:link w:val="157"/>
    <w:qFormat/>
    <w:uiPriority w:val="0"/>
    <w:pPr>
      <w:ind w:firstLine="420"/>
    </w:pPr>
    <w:rPr>
      <w:rFonts w:ascii="Calibri" w:hAnsi="Calibri"/>
      <w:kern w:val="2"/>
      <w:sz w:val="21"/>
      <w:szCs w:val="24"/>
      <w:lang w:eastAsia="zh-CN" w:bidi="ar-SA"/>
    </w:rPr>
  </w:style>
  <w:style w:type="table" w:styleId="77">
    <w:name w:val="Table Grid"/>
    <w:basedOn w:val="76"/>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79">
    <w:name w:val="Strong"/>
    <w:qFormat/>
    <w:uiPriority w:val="0"/>
    <w:rPr>
      <w:b/>
      <w:bCs/>
    </w:rPr>
  </w:style>
  <w:style w:type="character" w:styleId="80">
    <w:name w:val="endnote reference"/>
    <w:qFormat/>
    <w:uiPriority w:val="0"/>
    <w:rPr>
      <w:vertAlign w:val="superscript"/>
    </w:rPr>
  </w:style>
  <w:style w:type="character" w:styleId="81">
    <w:name w:val="page number"/>
    <w:basedOn w:val="78"/>
    <w:qFormat/>
    <w:uiPriority w:val="0"/>
  </w:style>
  <w:style w:type="character" w:styleId="82">
    <w:name w:val="FollowedHyperlink"/>
    <w:qFormat/>
    <w:uiPriority w:val="0"/>
    <w:rPr>
      <w:color w:val="800080"/>
      <w:u w:val="single"/>
    </w:rPr>
  </w:style>
  <w:style w:type="character" w:styleId="83">
    <w:name w:val="Emphasis"/>
    <w:qFormat/>
    <w:uiPriority w:val="0"/>
    <w:rPr>
      <w:i/>
      <w:iCs/>
    </w:rPr>
  </w:style>
  <w:style w:type="character" w:styleId="84">
    <w:name w:val="line number"/>
    <w:basedOn w:val="78"/>
    <w:qFormat/>
    <w:uiPriority w:val="0"/>
  </w:style>
  <w:style w:type="character" w:styleId="85">
    <w:name w:val="HTML Definition"/>
    <w:qFormat/>
    <w:uiPriority w:val="0"/>
    <w:rPr>
      <w:i/>
      <w:iCs/>
    </w:rPr>
  </w:style>
  <w:style w:type="character" w:styleId="86">
    <w:name w:val="HTML Typewriter"/>
    <w:qFormat/>
    <w:uiPriority w:val="0"/>
    <w:rPr>
      <w:rFonts w:ascii="Courier New" w:hAnsi="Courier New" w:cs="Courier New"/>
      <w:sz w:val="20"/>
      <w:szCs w:val="20"/>
    </w:rPr>
  </w:style>
  <w:style w:type="character" w:styleId="87">
    <w:name w:val="HTML Acronym"/>
    <w:basedOn w:val="78"/>
    <w:qFormat/>
    <w:uiPriority w:val="0"/>
  </w:style>
  <w:style w:type="character" w:styleId="88">
    <w:name w:val="HTML Variable"/>
    <w:qFormat/>
    <w:uiPriority w:val="0"/>
    <w:rPr>
      <w:i/>
      <w:iCs/>
    </w:rPr>
  </w:style>
  <w:style w:type="character" w:styleId="89">
    <w:name w:val="Hyperlink"/>
    <w:qFormat/>
    <w:uiPriority w:val="99"/>
    <w:rPr>
      <w:color w:val="0000FF"/>
      <w:u w:val="single"/>
    </w:rPr>
  </w:style>
  <w:style w:type="character" w:styleId="90">
    <w:name w:val="HTML Code"/>
    <w:qFormat/>
    <w:uiPriority w:val="0"/>
    <w:rPr>
      <w:rFonts w:ascii="Courier New" w:hAnsi="Courier New" w:cs="Courier New"/>
      <w:sz w:val="20"/>
      <w:szCs w:val="20"/>
    </w:rPr>
  </w:style>
  <w:style w:type="character" w:styleId="91">
    <w:name w:val="annotation reference"/>
    <w:qFormat/>
    <w:uiPriority w:val="0"/>
    <w:rPr>
      <w:vanish/>
    </w:rPr>
  </w:style>
  <w:style w:type="character" w:styleId="92">
    <w:name w:val="HTML Cite"/>
    <w:qFormat/>
    <w:uiPriority w:val="0"/>
    <w:rPr>
      <w:i/>
      <w:iCs/>
    </w:rPr>
  </w:style>
  <w:style w:type="character" w:styleId="93">
    <w:name w:val="footnote reference"/>
    <w:qFormat/>
    <w:uiPriority w:val="0"/>
    <w:rPr>
      <w:vertAlign w:val="superscript"/>
    </w:rPr>
  </w:style>
  <w:style w:type="character" w:styleId="94">
    <w:name w:val="HTML Keyboard"/>
    <w:qFormat/>
    <w:uiPriority w:val="0"/>
    <w:rPr>
      <w:rFonts w:ascii="Courier New" w:hAnsi="Courier New" w:cs="Courier New"/>
      <w:sz w:val="20"/>
      <w:szCs w:val="20"/>
    </w:rPr>
  </w:style>
  <w:style w:type="character" w:styleId="95">
    <w:name w:val="HTML Sample"/>
    <w:qFormat/>
    <w:uiPriority w:val="0"/>
    <w:rPr>
      <w:rFonts w:ascii="Courier New" w:hAnsi="Courier New" w:cs="Courier New"/>
    </w:rPr>
  </w:style>
  <w:style w:type="character" w:customStyle="1" w:styleId="96">
    <w:name w:val="ALT+C Char Char"/>
    <w:link w:val="97"/>
    <w:qFormat/>
    <w:uiPriority w:val="0"/>
    <w:rPr>
      <w:rFonts w:eastAsia="宋体"/>
      <w:kern w:val="2"/>
      <w:sz w:val="24"/>
      <w:szCs w:val="24"/>
      <w:lang w:val="en-US" w:eastAsia="zh-CN" w:bidi="ar-SA"/>
    </w:rPr>
  </w:style>
  <w:style w:type="paragraph" w:customStyle="1" w:styleId="97">
    <w:name w:val="ALT+C"/>
    <w:basedOn w:val="1"/>
    <w:link w:val="96"/>
    <w:qFormat/>
    <w:uiPriority w:val="0"/>
    <w:pPr>
      <w:keepNext/>
      <w:ind w:firstLine="480"/>
    </w:pPr>
    <w:rPr>
      <w:rFonts w:ascii="Calibri" w:hAnsi="Calibri"/>
      <w:kern w:val="2"/>
      <w:szCs w:val="24"/>
      <w:lang w:eastAsia="zh-CN" w:bidi="ar-SA"/>
    </w:rPr>
  </w:style>
  <w:style w:type="character" w:customStyle="1" w:styleId="98">
    <w:name w:val="标题 2 Char1"/>
    <w:qFormat/>
    <w:uiPriority w:val="0"/>
    <w:rPr>
      <w:rFonts w:ascii="Arial" w:hAnsi="Arial" w:eastAsia="黑体"/>
      <w:b/>
      <w:bCs/>
      <w:kern w:val="2"/>
      <w:sz w:val="32"/>
      <w:szCs w:val="32"/>
      <w:lang w:val="en-US" w:eastAsia="zh-CN" w:bidi="ar-SA"/>
    </w:rPr>
  </w:style>
  <w:style w:type="character" w:customStyle="1" w:styleId="99">
    <w:name w:val="页眉 Char"/>
    <w:link w:val="49"/>
    <w:qFormat/>
    <w:uiPriority w:val="99"/>
    <w:rPr>
      <w:rFonts w:eastAsia="宋体"/>
      <w:kern w:val="2"/>
      <w:sz w:val="18"/>
      <w:szCs w:val="18"/>
      <w:lang w:val="en-US" w:eastAsia="zh-CN" w:bidi="ar-SA"/>
    </w:rPr>
  </w:style>
  <w:style w:type="character" w:customStyle="1" w:styleId="100">
    <w:name w:val="表文字 Char1"/>
    <w:link w:val="101"/>
    <w:qFormat/>
    <w:uiPriority w:val="0"/>
    <w:rPr>
      <w:rFonts w:eastAsia="汉鼎简书宋"/>
      <w:kern w:val="2"/>
      <w:sz w:val="21"/>
      <w:szCs w:val="21"/>
      <w:lang w:val="en-US" w:eastAsia="zh-CN" w:bidi="ar-SA"/>
    </w:rPr>
  </w:style>
  <w:style w:type="paragraph" w:customStyle="1" w:styleId="101">
    <w:name w:val="表文字"/>
    <w:basedOn w:val="1"/>
    <w:link w:val="100"/>
    <w:qFormat/>
    <w:uiPriority w:val="0"/>
    <w:pPr>
      <w:topLinePunct/>
      <w:adjustRightInd w:val="0"/>
      <w:spacing w:line="240" w:lineRule="exact"/>
      <w:textAlignment w:val="baseline"/>
    </w:pPr>
    <w:rPr>
      <w:rFonts w:ascii="Calibri" w:hAnsi="Calibri" w:eastAsia="汉鼎简书宋"/>
      <w:kern w:val="2"/>
      <w:sz w:val="21"/>
      <w:szCs w:val="21"/>
      <w:lang w:eastAsia="zh-CN" w:bidi="ar-SA"/>
    </w:rPr>
  </w:style>
  <w:style w:type="character" w:customStyle="1" w:styleId="102">
    <w:name w:val="标题 3 Char1"/>
    <w:qFormat/>
    <w:uiPriority w:val="0"/>
    <w:rPr>
      <w:rFonts w:eastAsia="宋体"/>
      <w:b/>
      <w:bCs/>
      <w:kern w:val="2"/>
      <w:sz w:val="32"/>
      <w:szCs w:val="32"/>
      <w:lang w:val="en-US" w:eastAsia="zh-CN" w:bidi="ar-SA"/>
    </w:rPr>
  </w:style>
  <w:style w:type="character" w:customStyle="1" w:styleId="103">
    <w:name w:val="样式 正文文本 + 小四 首行缩进:  0.85 厘米 段前: 12 磅 行距: 1.5 倍行距 Char Char"/>
    <w:link w:val="104"/>
    <w:qFormat/>
    <w:uiPriority w:val="0"/>
    <w:rPr>
      <w:rFonts w:eastAsia="宋体" w:cs="宋体"/>
      <w:kern w:val="2"/>
      <w:sz w:val="24"/>
      <w:lang w:val="en-US" w:eastAsia="zh-CN" w:bidi="ar-SA"/>
    </w:rPr>
  </w:style>
  <w:style w:type="paragraph" w:customStyle="1" w:styleId="104">
    <w:name w:val="样式 正文文本 + 小四 首行缩进:  0.85 厘米 段前: 12 磅 行距: 1.5 倍行距"/>
    <w:basedOn w:val="28"/>
    <w:link w:val="103"/>
    <w:uiPriority w:val="0"/>
    <w:pPr>
      <w:spacing w:before="240"/>
      <w:ind w:firstLine="482"/>
    </w:pPr>
    <w:rPr>
      <w:rFonts w:cs="宋体"/>
      <w:sz w:val="24"/>
      <w:szCs w:val="20"/>
    </w:rPr>
  </w:style>
  <w:style w:type="character" w:customStyle="1" w:styleId="105">
    <w:name w:val="标题 6 Char"/>
    <w:link w:val="7"/>
    <w:qFormat/>
    <w:uiPriority w:val="0"/>
    <w:rPr>
      <w:rFonts w:ascii="Cambria" w:hAnsi="Cambria" w:eastAsia="宋体" w:cs="Times New Roman"/>
      <w:i/>
      <w:iCs/>
      <w:color w:val="243F60"/>
    </w:rPr>
  </w:style>
  <w:style w:type="character" w:customStyle="1" w:styleId="106">
    <w:name w:val="页脚 Char"/>
    <w:link w:val="47"/>
    <w:qFormat/>
    <w:uiPriority w:val="99"/>
    <w:rPr>
      <w:rFonts w:ascii="Times New Roman" w:hAnsi="Times New Roman"/>
      <w:sz w:val="18"/>
      <w:szCs w:val="18"/>
      <w:lang w:eastAsia="en-US" w:bidi="en-US"/>
    </w:rPr>
  </w:style>
  <w:style w:type="character" w:customStyle="1" w:styleId="107">
    <w:name w:val="标题 4 Char"/>
    <w:link w:val="5"/>
    <w:qFormat/>
    <w:uiPriority w:val="0"/>
    <w:rPr>
      <w:rFonts w:ascii="Cambria" w:hAnsi="Cambria" w:eastAsia="宋体" w:cs="Times New Roman"/>
      <w:b/>
      <w:bCs/>
      <w:i/>
      <w:iCs/>
      <w:color w:val="4F81BD"/>
    </w:rPr>
  </w:style>
  <w:style w:type="character" w:customStyle="1" w:styleId="108">
    <w:name w:val="标题 5 Char"/>
    <w:link w:val="6"/>
    <w:qFormat/>
    <w:uiPriority w:val="0"/>
    <w:rPr>
      <w:rFonts w:ascii="Cambria" w:hAnsi="Cambria" w:eastAsia="宋体" w:cs="Times New Roman"/>
      <w:color w:val="243F60"/>
    </w:rPr>
  </w:style>
  <w:style w:type="character" w:customStyle="1" w:styleId="109">
    <w:name w:val="格式正 Char Char"/>
    <w:link w:val="110"/>
    <w:qFormat/>
    <w:uiPriority w:val="0"/>
    <w:rPr>
      <w:rFonts w:ascii="仿宋_GB2312" w:hAnsi="宋体" w:eastAsia="仿宋_GB2312"/>
      <w:kern w:val="2"/>
      <w:sz w:val="24"/>
      <w:szCs w:val="24"/>
      <w:lang w:bidi="ar-SA"/>
    </w:rPr>
  </w:style>
  <w:style w:type="paragraph" w:customStyle="1" w:styleId="110">
    <w:name w:val="格式正"/>
    <w:basedOn w:val="28"/>
    <w:link w:val="109"/>
    <w:qFormat/>
    <w:uiPriority w:val="0"/>
    <w:pPr>
      <w:spacing w:after="0"/>
      <w:ind w:firstLine="480"/>
    </w:pPr>
    <w:rPr>
      <w:rFonts w:ascii="仿宋_GB2312" w:hAnsi="宋体" w:eastAsia="仿宋_GB2312"/>
      <w:sz w:val="24"/>
    </w:rPr>
  </w:style>
  <w:style w:type="character" w:customStyle="1" w:styleId="111">
    <w:name w:val="表、图名 Char Char"/>
    <w:link w:val="112"/>
    <w:qFormat/>
    <w:uiPriority w:val="0"/>
    <w:rPr>
      <w:rFonts w:ascii="黑体" w:hAnsi="宋体" w:eastAsia="黑体"/>
      <w:color w:val="000000"/>
      <w:kern w:val="2"/>
      <w:sz w:val="21"/>
      <w:szCs w:val="21"/>
      <w:lang w:val="en-US" w:eastAsia="zh-CN"/>
    </w:rPr>
  </w:style>
  <w:style w:type="paragraph" w:customStyle="1" w:styleId="112">
    <w:name w:val="表、图名"/>
    <w:basedOn w:val="1"/>
    <w:link w:val="111"/>
    <w:qFormat/>
    <w:uiPriority w:val="0"/>
    <w:pPr>
      <w:adjustRightInd w:val="0"/>
      <w:snapToGrid w:val="0"/>
      <w:spacing w:line="240" w:lineRule="auto"/>
      <w:ind w:firstLine="0" w:firstLineChars="0"/>
      <w:jc w:val="center"/>
    </w:pPr>
    <w:rPr>
      <w:rFonts w:ascii="黑体" w:hAnsi="宋体" w:eastAsia="黑体"/>
      <w:color w:val="000000"/>
      <w:kern w:val="2"/>
      <w:sz w:val="21"/>
      <w:szCs w:val="21"/>
      <w:lang w:eastAsia="zh-CN" w:bidi="ar-SA"/>
    </w:rPr>
  </w:style>
  <w:style w:type="character" w:customStyle="1" w:styleId="113">
    <w:name w:val="Ò³Ã¼ Char"/>
    <w:qFormat/>
    <w:uiPriority w:val="0"/>
    <w:rPr>
      <w:rFonts w:eastAsia="宋体"/>
      <w:kern w:val="2"/>
      <w:sz w:val="18"/>
      <w:szCs w:val="18"/>
      <w:lang w:val="en-US" w:eastAsia="zh-CN" w:bidi="ar-SA"/>
    </w:rPr>
  </w:style>
  <w:style w:type="character" w:customStyle="1" w:styleId="114">
    <w:name w:val="样式 四号 加粗 黑色 Char Char"/>
    <w:link w:val="115"/>
    <w:qFormat/>
    <w:uiPriority w:val="0"/>
    <w:rPr>
      <w:b/>
      <w:color w:val="000000"/>
      <w:kern w:val="2"/>
      <w:sz w:val="28"/>
      <w:szCs w:val="28"/>
    </w:rPr>
  </w:style>
  <w:style w:type="paragraph" w:customStyle="1" w:styleId="115">
    <w:name w:val="样式 四号 加粗 黑色"/>
    <w:basedOn w:val="1"/>
    <w:link w:val="114"/>
    <w:qFormat/>
    <w:uiPriority w:val="0"/>
    <w:pPr>
      <w:keepNext/>
      <w:keepLines/>
      <w:jc w:val="left"/>
      <w:outlineLvl w:val="2"/>
    </w:pPr>
    <w:rPr>
      <w:rFonts w:ascii="Calibri" w:hAnsi="Calibri"/>
      <w:b/>
      <w:color w:val="000000"/>
      <w:kern w:val="2"/>
      <w:sz w:val="28"/>
      <w:szCs w:val="28"/>
      <w:lang w:bidi="ar-SA"/>
    </w:rPr>
  </w:style>
  <w:style w:type="character" w:customStyle="1" w:styleId="116">
    <w:name w:val="正缩1 Char Char"/>
    <w:link w:val="117"/>
    <w:qFormat/>
    <w:uiPriority w:val="0"/>
    <w:rPr>
      <w:rFonts w:ascii="Times New Roman" w:hAnsi="Times New Roman" w:eastAsia="仿宋_GB2312"/>
      <w:snapToGrid w:val="0"/>
      <w:color w:val="000000"/>
      <w:sz w:val="28"/>
    </w:rPr>
  </w:style>
  <w:style w:type="paragraph" w:customStyle="1" w:styleId="117">
    <w:name w:val="正缩1"/>
    <w:basedOn w:val="1"/>
    <w:link w:val="116"/>
    <w:qFormat/>
    <w:uiPriority w:val="0"/>
    <w:pPr>
      <w:adjustRightInd w:val="0"/>
      <w:snapToGrid w:val="0"/>
      <w:ind w:firstLine="567" w:firstLineChars="0"/>
    </w:pPr>
    <w:rPr>
      <w:rFonts w:eastAsia="仿宋_GB2312"/>
      <w:snapToGrid w:val="0"/>
      <w:color w:val="000000"/>
      <w:sz w:val="28"/>
      <w:szCs w:val="20"/>
      <w:lang w:bidi="ar-SA"/>
    </w:rPr>
  </w:style>
  <w:style w:type="character" w:customStyle="1" w:styleId="118">
    <w:name w:val="样式 样式 四号 行距: 固定值 28 磅 + 行距: 1.5 倍行距 Char Char"/>
    <w:link w:val="119"/>
    <w:qFormat/>
    <w:uiPriority w:val="0"/>
    <w:rPr>
      <w:rFonts w:eastAsia="宋体" w:cs="宋体"/>
      <w:kern w:val="2"/>
      <w:sz w:val="28"/>
      <w:lang w:val="en-US" w:eastAsia="zh-CN" w:bidi="ar-SA"/>
    </w:rPr>
  </w:style>
  <w:style w:type="paragraph" w:customStyle="1" w:styleId="119">
    <w:name w:val="样式 样式 四号 行距: 固定值 28 磅 + 行距: 1.5 倍行距"/>
    <w:basedOn w:val="1"/>
    <w:link w:val="118"/>
    <w:uiPriority w:val="0"/>
    <w:pPr>
      <w:ind w:firstLine="560"/>
    </w:pPr>
    <w:rPr>
      <w:rFonts w:ascii="Calibri" w:hAnsi="Calibri" w:cs="宋体"/>
      <w:kern w:val="2"/>
      <w:sz w:val="28"/>
      <w:szCs w:val="20"/>
      <w:lang w:eastAsia="zh-CN" w:bidi="ar-SA"/>
    </w:rPr>
  </w:style>
  <w:style w:type="character" w:customStyle="1" w:styleId="120">
    <w:name w:val="明显引用 Char"/>
    <w:link w:val="121"/>
    <w:qFormat/>
    <w:uiPriority w:val="0"/>
    <w:rPr>
      <w:b/>
      <w:bCs/>
      <w:i/>
      <w:iCs/>
      <w:color w:val="4F81BD"/>
    </w:rPr>
  </w:style>
  <w:style w:type="paragraph" w:styleId="121">
    <w:name w:val="Intense Quote"/>
    <w:basedOn w:val="1"/>
    <w:next w:val="1"/>
    <w:link w:val="120"/>
    <w:qFormat/>
    <w:uiPriority w:val="0"/>
    <w:pPr>
      <w:pBdr>
        <w:bottom w:val="single" w:color="4F81BD" w:sz="4" w:space="4"/>
      </w:pBdr>
      <w:spacing w:before="200" w:after="280"/>
      <w:ind w:left="936" w:right="936"/>
    </w:pPr>
    <w:rPr>
      <w:rFonts w:ascii="Calibri" w:hAnsi="Calibri"/>
      <w:b/>
      <w:bCs/>
      <w:i/>
      <w:iCs/>
      <w:color w:val="4F81BD"/>
      <w:sz w:val="20"/>
      <w:szCs w:val="20"/>
      <w:lang w:bidi="ar-SA"/>
    </w:rPr>
  </w:style>
  <w:style w:type="character" w:customStyle="1" w:styleId="122">
    <w:name w:val="正文首行缩进-修改 Char Char"/>
    <w:link w:val="123"/>
    <w:qFormat/>
    <w:uiPriority w:val="0"/>
    <w:rPr>
      <w:rFonts w:eastAsia="宋体"/>
      <w:kern w:val="2"/>
      <w:sz w:val="24"/>
      <w:szCs w:val="24"/>
      <w:lang w:val="en-US" w:eastAsia="zh-CN" w:bidi="ar-SA"/>
    </w:rPr>
  </w:style>
  <w:style w:type="paragraph" w:customStyle="1" w:styleId="123">
    <w:name w:val="正文首行缩进-修改"/>
    <w:basedOn w:val="1"/>
    <w:link w:val="122"/>
    <w:qFormat/>
    <w:uiPriority w:val="0"/>
    <w:pPr>
      <w:ind w:firstLine="480"/>
    </w:pPr>
    <w:rPr>
      <w:rFonts w:ascii="Calibri" w:hAnsi="Calibri"/>
      <w:kern w:val="2"/>
      <w:szCs w:val="24"/>
      <w:lang w:eastAsia="zh-CN" w:bidi="ar-SA"/>
    </w:rPr>
  </w:style>
  <w:style w:type="character" w:customStyle="1" w:styleId="124">
    <w:name w:val="Char Char2"/>
    <w:qFormat/>
    <w:uiPriority w:val="0"/>
    <w:rPr>
      <w:rFonts w:eastAsia="宋体"/>
      <w:kern w:val="2"/>
      <w:sz w:val="18"/>
      <w:szCs w:val="18"/>
      <w:lang w:val="en-US" w:eastAsia="zh-CN" w:bidi="ar-SA"/>
    </w:rPr>
  </w:style>
  <w:style w:type="character" w:customStyle="1" w:styleId="125">
    <w:name w:val="标题 9 Char"/>
    <w:link w:val="10"/>
    <w:qFormat/>
    <w:uiPriority w:val="0"/>
    <w:rPr>
      <w:rFonts w:ascii="Cambria" w:hAnsi="Cambria" w:eastAsia="宋体" w:cs="Times New Roman"/>
      <w:i/>
      <w:iCs/>
      <w:color w:val="404040"/>
      <w:sz w:val="20"/>
      <w:szCs w:val="20"/>
    </w:rPr>
  </w:style>
  <w:style w:type="character" w:customStyle="1" w:styleId="126">
    <w:name w:val="1正文 Char Char"/>
    <w:link w:val="127"/>
    <w:qFormat/>
    <w:uiPriority w:val="0"/>
    <w:rPr>
      <w:kern w:val="2"/>
      <w:sz w:val="24"/>
      <w:szCs w:val="24"/>
    </w:rPr>
  </w:style>
  <w:style w:type="paragraph" w:customStyle="1" w:styleId="127">
    <w:name w:val="1正文"/>
    <w:basedOn w:val="1"/>
    <w:link w:val="126"/>
    <w:qFormat/>
    <w:uiPriority w:val="0"/>
    <w:pPr>
      <w:adjustRightInd w:val="0"/>
      <w:snapToGrid w:val="0"/>
    </w:pPr>
    <w:rPr>
      <w:rFonts w:ascii="Calibri" w:hAnsi="Calibri"/>
      <w:kern w:val="2"/>
      <w:szCs w:val="24"/>
      <w:lang w:bidi="ar-SA"/>
    </w:rPr>
  </w:style>
  <w:style w:type="character" w:customStyle="1" w:styleId="128">
    <w:name w:val="标题 3 Char"/>
    <w:link w:val="4"/>
    <w:qFormat/>
    <w:uiPriority w:val="9"/>
    <w:rPr>
      <w:rFonts w:ascii="Times New Roman" w:hAnsi="Times New Roman"/>
      <w:b/>
      <w:bCs/>
      <w:sz w:val="28"/>
      <w:lang w:bidi="ar-SA"/>
    </w:rPr>
  </w:style>
  <w:style w:type="character" w:customStyle="1" w:styleId="129">
    <w:name w:val="标题 7 Char"/>
    <w:link w:val="8"/>
    <w:qFormat/>
    <w:uiPriority w:val="0"/>
    <w:rPr>
      <w:rFonts w:ascii="Cambria" w:hAnsi="Cambria" w:eastAsia="宋体" w:cs="Times New Roman"/>
      <w:i/>
      <w:iCs/>
      <w:color w:val="404040"/>
    </w:rPr>
  </w:style>
  <w:style w:type="character" w:customStyle="1" w:styleId="130">
    <w:name w:val="Char Char7"/>
    <w:qFormat/>
    <w:uiPriority w:val="0"/>
    <w:rPr>
      <w:rFonts w:eastAsia="宋体"/>
      <w:kern w:val="2"/>
      <w:sz w:val="18"/>
      <w:lang w:val="en-US" w:eastAsia="zh-CN"/>
    </w:rPr>
  </w:style>
  <w:style w:type="character" w:customStyle="1" w:styleId="131">
    <w:name w:val="新正文 Char Char"/>
    <w:link w:val="132"/>
    <w:qFormat/>
    <w:uiPriority w:val="0"/>
    <w:rPr>
      <w:rFonts w:eastAsia="宋体"/>
      <w:kern w:val="2"/>
      <w:sz w:val="24"/>
      <w:szCs w:val="24"/>
      <w:lang w:val="en-US" w:eastAsia="zh-CN" w:bidi="ar-SA"/>
    </w:rPr>
  </w:style>
  <w:style w:type="paragraph" w:customStyle="1" w:styleId="132">
    <w:name w:val="新正文"/>
    <w:basedOn w:val="1"/>
    <w:link w:val="131"/>
    <w:qFormat/>
    <w:uiPriority w:val="0"/>
    <w:rPr>
      <w:rFonts w:ascii="Calibri" w:hAnsi="Calibri"/>
      <w:kern w:val="2"/>
      <w:szCs w:val="24"/>
      <w:lang w:eastAsia="zh-CN" w:bidi="ar-SA"/>
    </w:rPr>
  </w:style>
  <w:style w:type="character" w:customStyle="1" w:styleId="133">
    <w:name w:val="正文文本 Char"/>
    <w:link w:val="28"/>
    <w:qFormat/>
    <w:uiPriority w:val="0"/>
    <w:rPr>
      <w:rFonts w:eastAsia="宋体"/>
      <w:kern w:val="2"/>
      <w:sz w:val="21"/>
      <w:szCs w:val="24"/>
      <w:lang w:val="en-US" w:eastAsia="zh-CN" w:bidi="ar-SA"/>
    </w:rPr>
  </w:style>
  <w:style w:type="character" w:customStyle="1" w:styleId="134">
    <w:name w:val="表格 Char Char"/>
    <w:link w:val="135"/>
    <w:qFormat/>
    <w:uiPriority w:val="0"/>
    <w:rPr>
      <w:rFonts w:eastAsia="仿宋_GB2312"/>
      <w:kern w:val="2"/>
      <w:sz w:val="24"/>
      <w:szCs w:val="24"/>
      <w:lang w:val="en-US" w:eastAsia="zh-CN" w:bidi="ar-SA"/>
    </w:rPr>
  </w:style>
  <w:style w:type="paragraph" w:customStyle="1" w:styleId="135">
    <w:name w:val="表格"/>
    <w:basedOn w:val="1"/>
    <w:link w:val="134"/>
    <w:uiPriority w:val="0"/>
    <w:pPr>
      <w:widowControl/>
    </w:pPr>
    <w:rPr>
      <w:rFonts w:ascii="Calibri" w:hAnsi="Calibri" w:eastAsia="仿宋_GB2312"/>
      <w:kern w:val="2"/>
      <w:szCs w:val="24"/>
      <w:lang w:eastAsia="zh-CN" w:bidi="ar-SA"/>
    </w:rPr>
  </w:style>
  <w:style w:type="character" w:customStyle="1" w:styleId="136">
    <w:name w:val="方案标题样式2 Char Char"/>
    <w:link w:val="137"/>
    <w:qFormat/>
    <w:uiPriority w:val="0"/>
    <w:rPr>
      <w:rFonts w:ascii="宋体" w:hAnsi="宋体"/>
      <w:b/>
      <w:kern w:val="2"/>
      <w:sz w:val="28"/>
      <w:szCs w:val="28"/>
      <w:lang w:val="en-US" w:eastAsia="zh-CN"/>
    </w:rPr>
  </w:style>
  <w:style w:type="paragraph" w:customStyle="1" w:styleId="137">
    <w:name w:val="方案标题样式2"/>
    <w:basedOn w:val="1"/>
    <w:link w:val="136"/>
    <w:uiPriority w:val="0"/>
    <w:pPr>
      <w:spacing w:before="120" w:after="120" w:line="408" w:lineRule="auto"/>
      <w:ind w:firstLine="829" w:firstLineChars="295"/>
      <w:jc w:val="left"/>
      <w:outlineLvl w:val="1"/>
    </w:pPr>
    <w:rPr>
      <w:rFonts w:ascii="宋体" w:hAnsi="宋体"/>
      <w:b/>
      <w:kern w:val="2"/>
      <w:sz w:val="28"/>
      <w:szCs w:val="28"/>
      <w:lang w:eastAsia="zh-CN" w:bidi="ar-SA"/>
    </w:rPr>
  </w:style>
  <w:style w:type="character" w:customStyle="1" w:styleId="138">
    <w:name w:val="正5 Char Char"/>
    <w:link w:val="139"/>
    <w:qFormat/>
    <w:uiPriority w:val="0"/>
    <w:rPr>
      <w:rFonts w:ascii="宋体" w:eastAsia="宋体"/>
      <w:color w:val="000000"/>
      <w:kern w:val="2"/>
      <w:sz w:val="24"/>
      <w:szCs w:val="24"/>
      <w:lang w:val="en-US" w:eastAsia="zh-CN" w:bidi="ar-SA"/>
    </w:rPr>
  </w:style>
  <w:style w:type="paragraph" w:customStyle="1" w:styleId="139">
    <w:name w:val="正5"/>
    <w:basedOn w:val="1"/>
    <w:link w:val="138"/>
    <w:uiPriority w:val="0"/>
    <w:pPr>
      <w:spacing w:line="460" w:lineRule="exact"/>
    </w:pPr>
    <w:rPr>
      <w:rFonts w:ascii="宋体" w:hAnsi="Calibri"/>
      <w:color w:val="000000"/>
      <w:kern w:val="2"/>
      <w:szCs w:val="24"/>
      <w:lang w:eastAsia="zh-CN" w:bidi="ar-SA"/>
    </w:rPr>
  </w:style>
  <w:style w:type="character" w:customStyle="1" w:styleId="140">
    <w:name w:val="样式8 Char Char"/>
    <w:link w:val="141"/>
    <w:qFormat/>
    <w:uiPriority w:val="0"/>
    <w:rPr>
      <w:snapToGrid w:val="0"/>
      <w:kern w:val="2"/>
      <w:sz w:val="24"/>
      <w:szCs w:val="24"/>
    </w:rPr>
  </w:style>
  <w:style w:type="paragraph" w:customStyle="1" w:styleId="141">
    <w:name w:val="样式8"/>
    <w:basedOn w:val="127"/>
    <w:link w:val="140"/>
    <w:qFormat/>
    <w:uiPriority w:val="0"/>
    <w:pPr>
      <w:ind w:firstLine="480"/>
    </w:pPr>
    <w:rPr>
      <w:snapToGrid w:val="0"/>
    </w:rPr>
  </w:style>
  <w:style w:type="character" w:customStyle="1" w:styleId="142">
    <w:name w:val="普通文字 Char Char Char Char Char Char Char Char Char Char Char Char Char Char Char Char Char Char Char"/>
    <w:qFormat/>
    <w:uiPriority w:val="0"/>
    <w:rPr>
      <w:rFonts w:ascii="宋体" w:hAnsi="Courier New" w:eastAsia="宋体"/>
      <w:kern w:val="2"/>
      <w:sz w:val="21"/>
      <w:lang w:val="en-US" w:eastAsia="zh-CN" w:bidi="ar-SA"/>
    </w:rPr>
  </w:style>
  <w:style w:type="character" w:customStyle="1" w:styleId="143">
    <w:name w:val="样式 四号 行距: 固定值 28 磅 Char Char"/>
    <w:link w:val="144"/>
    <w:qFormat/>
    <w:uiPriority w:val="0"/>
    <w:rPr>
      <w:rFonts w:cs="宋体"/>
      <w:kern w:val="2"/>
      <w:sz w:val="28"/>
    </w:rPr>
  </w:style>
  <w:style w:type="paragraph" w:customStyle="1" w:styleId="144">
    <w:name w:val="样式 四号 行距: 固定值 28 磅"/>
    <w:basedOn w:val="1"/>
    <w:link w:val="143"/>
    <w:qFormat/>
    <w:uiPriority w:val="0"/>
    <w:pPr>
      <w:spacing w:line="560" w:lineRule="exact"/>
      <w:ind w:firstLine="560"/>
    </w:pPr>
    <w:rPr>
      <w:rFonts w:ascii="Calibri" w:hAnsi="Calibri"/>
      <w:kern w:val="2"/>
      <w:sz w:val="28"/>
      <w:szCs w:val="20"/>
      <w:lang w:bidi="ar-SA"/>
    </w:rPr>
  </w:style>
  <w:style w:type="character" w:customStyle="1" w:styleId="145">
    <w:name w:val="样式 四号 行距: 1.5 倍行距 Char Char"/>
    <w:link w:val="146"/>
    <w:qFormat/>
    <w:uiPriority w:val="0"/>
    <w:rPr>
      <w:rFonts w:eastAsia="宋体" w:cs="宋体"/>
      <w:kern w:val="2"/>
      <w:sz w:val="28"/>
      <w:lang w:val="en-US" w:eastAsia="zh-CN" w:bidi="ar-SA"/>
    </w:rPr>
  </w:style>
  <w:style w:type="paragraph" w:customStyle="1" w:styleId="146">
    <w:name w:val="样式 四号 行距: 1.5 倍行距"/>
    <w:basedOn w:val="1"/>
    <w:link w:val="145"/>
    <w:qFormat/>
    <w:uiPriority w:val="0"/>
    <w:pPr>
      <w:ind w:firstLine="560"/>
    </w:pPr>
    <w:rPr>
      <w:rFonts w:ascii="Calibri" w:hAnsi="Calibri" w:cs="宋体"/>
      <w:kern w:val="2"/>
      <w:sz w:val="28"/>
      <w:szCs w:val="20"/>
      <w:lang w:eastAsia="zh-CN" w:bidi="ar-SA"/>
    </w:rPr>
  </w:style>
  <w:style w:type="character" w:customStyle="1" w:styleId="147">
    <w:name w:val="表格文字 Char Char"/>
    <w:link w:val="148"/>
    <w:qFormat/>
    <w:uiPriority w:val="0"/>
    <w:rPr>
      <w:rFonts w:ascii="Times New Roman" w:hAnsi="Times New Roman"/>
      <w:b/>
      <w:sz w:val="24"/>
      <w:szCs w:val="21"/>
      <w:lang w:val="en-US" w:eastAsia="en-US" w:bidi="en-US"/>
    </w:rPr>
  </w:style>
  <w:style w:type="paragraph" w:customStyle="1" w:styleId="148">
    <w:name w:val="表格文字"/>
    <w:basedOn w:val="1"/>
    <w:next w:val="1"/>
    <w:link w:val="147"/>
    <w:qFormat/>
    <w:uiPriority w:val="0"/>
    <w:pPr>
      <w:snapToGrid w:val="0"/>
      <w:spacing w:line="440" w:lineRule="exact"/>
      <w:ind w:firstLine="482"/>
      <w:jc w:val="center"/>
    </w:pPr>
    <w:rPr>
      <w:b/>
      <w:szCs w:val="21"/>
    </w:rPr>
  </w:style>
  <w:style w:type="character" w:customStyle="1" w:styleId="149">
    <w:name w:val="main1"/>
    <w:qFormat/>
    <w:uiPriority w:val="0"/>
    <w:rPr>
      <w:rFonts w:hint="eastAsia" w:ascii="宋体" w:hAnsi="宋体" w:eastAsia="宋体"/>
      <w:color w:val="0033CC"/>
      <w:sz w:val="18"/>
      <w:szCs w:val="18"/>
    </w:rPr>
  </w:style>
  <w:style w:type="character" w:customStyle="1" w:styleId="150">
    <w:name w:val="hb3 Char1"/>
    <w:qFormat/>
    <w:uiPriority w:val="0"/>
    <w:rPr>
      <w:rFonts w:ascii="宋体" w:hAnsi="宋体" w:eastAsia="宋体" w:cs="宋体"/>
      <w:b/>
      <w:sz w:val="24"/>
      <w:szCs w:val="24"/>
      <w:lang w:val="en-US" w:eastAsia="zh-CN" w:bidi="ar-SA"/>
    </w:rPr>
  </w:style>
  <w:style w:type="character" w:customStyle="1" w:styleId="151">
    <w:name w:val="标题 2 Char"/>
    <w:link w:val="3"/>
    <w:qFormat/>
    <w:uiPriority w:val="9"/>
    <w:rPr>
      <w:rFonts w:ascii="Times New Roman" w:hAnsi="Times New Roman"/>
      <w:b/>
      <w:bCs/>
      <w:sz w:val="32"/>
      <w:szCs w:val="26"/>
      <w:lang w:bidi="ar-SA"/>
    </w:rPr>
  </w:style>
  <w:style w:type="character" w:customStyle="1" w:styleId="152">
    <w:name w:val="样式 样式 纯文本 + 首行缩进:  2 字符 + 首行缩进:  2 字符 Char Char"/>
    <w:link w:val="153"/>
    <w:qFormat/>
    <w:uiPriority w:val="0"/>
    <w:rPr>
      <w:rFonts w:eastAsia="宋体" w:cs="宋体"/>
      <w:kern w:val="2"/>
      <w:sz w:val="24"/>
      <w:lang w:val="en-US" w:eastAsia="zh-CN" w:bidi="ar-SA"/>
    </w:rPr>
  </w:style>
  <w:style w:type="paragraph" w:customStyle="1" w:styleId="153">
    <w:name w:val="样式 样式 纯文本 + 首行缩进:  2 字符 + 首行缩进:  2 字符"/>
    <w:basedOn w:val="1"/>
    <w:link w:val="152"/>
    <w:qFormat/>
    <w:uiPriority w:val="0"/>
    <w:pPr>
      <w:keepNext/>
    </w:pPr>
    <w:rPr>
      <w:rFonts w:ascii="Calibri" w:hAnsi="Calibri" w:cs="宋体"/>
      <w:kern w:val="2"/>
      <w:szCs w:val="20"/>
      <w:lang w:eastAsia="zh-CN" w:bidi="ar-SA"/>
    </w:rPr>
  </w:style>
  <w:style w:type="character" w:customStyle="1" w:styleId="154">
    <w:name w:val="王正文 Char Char"/>
    <w:link w:val="155"/>
    <w:qFormat/>
    <w:uiPriority w:val="0"/>
    <w:rPr>
      <w:rFonts w:eastAsia="宋体"/>
      <w:kern w:val="44"/>
      <w:sz w:val="24"/>
      <w:lang w:val="en-US" w:eastAsia="zh-CN" w:bidi="ar-SA"/>
    </w:rPr>
  </w:style>
  <w:style w:type="paragraph" w:customStyle="1" w:styleId="155">
    <w:name w:val="王正文"/>
    <w:basedOn w:val="1"/>
    <w:link w:val="154"/>
    <w:qFormat/>
    <w:uiPriority w:val="0"/>
    <w:pPr>
      <w:widowControl/>
      <w:adjustRightInd w:val="0"/>
      <w:snapToGrid w:val="0"/>
      <w:spacing w:line="560" w:lineRule="exact"/>
      <w:ind w:firstLine="480"/>
      <w:jc w:val="left"/>
    </w:pPr>
    <w:rPr>
      <w:rFonts w:ascii="Calibri" w:hAnsi="Calibri"/>
      <w:kern w:val="44"/>
      <w:szCs w:val="20"/>
      <w:lang w:eastAsia="zh-CN" w:bidi="ar-SA"/>
    </w:rPr>
  </w:style>
  <w:style w:type="character" w:customStyle="1" w:styleId="156">
    <w:name w:val="样式正文 Char Char"/>
    <w:qFormat/>
    <w:uiPriority w:val="0"/>
    <w:rPr>
      <w:rFonts w:eastAsia="宋体"/>
      <w:kern w:val="2"/>
      <w:sz w:val="28"/>
      <w:lang w:val="en-US" w:eastAsia="zh-CN" w:bidi="ar-SA"/>
    </w:rPr>
  </w:style>
  <w:style w:type="character" w:customStyle="1" w:styleId="157">
    <w:name w:val="正文首行缩进 2 Char"/>
    <w:link w:val="75"/>
    <w:qFormat/>
    <w:uiPriority w:val="0"/>
    <w:rPr>
      <w:kern w:val="2"/>
      <w:sz w:val="21"/>
      <w:szCs w:val="24"/>
      <w:lang w:val="en-US" w:eastAsia="zh-CN"/>
    </w:rPr>
  </w:style>
  <w:style w:type="character" w:customStyle="1" w:styleId="158">
    <w:name w:val="标题 8 Char"/>
    <w:link w:val="9"/>
    <w:qFormat/>
    <w:uiPriority w:val="0"/>
    <w:rPr>
      <w:rFonts w:ascii="Cambria" w:hAnsi="Cambria" w:eastAsia="宋体" w:cs="Times New Roman"/>
      <w:color w:val="4F81BD"/>
      <w:sz w:val="20"/>
      <w:szCs w:val="20"/>
    </w:rPr>
  </w:style>
  <w:style w:type="character" w:customStyle="1" w:styleId="159">
    <w:name w:val="自定义正文 Char1"/>
    <w:link w:val="160"/>
    <w:qFormat/>
    <w:uiPriority w:val="0"/>
    <w:rPr>
      <w:rFonts w:eastAsia="宋体"/>
      <w:sz w:val="28"/>
      <w:szCs w:val="21"/>
      <w:lang w:val="en-US" w:eastAsia="zh-CN" w:bidi="ar-SA"/>
    </w:rPr>
  </w:style>
  <w:style w:type="paragraph" w:customStyle="1" w:styleId="160">
    <w:name w:val="自定义正文"/>
    <w:basedOn w:val="18"/>
    <w:link w:val="159"/>
    <w:uiPriority w:val="0"/>
    <w:pPr>
      <w:adjustRightInd w:val="0"/>
      <w:ind w:firstLine="200"/>
      <w:textAlignment w:val="baseline"/>
    </w:pPr>
    <w:rPr>
      <w:kern w:val="0"/>
      <w:sz w:val="28"/>
      <w:szCs w:val="21"/>
    </w:rPr>
  </w:style>
  <w:style w:type="character" w:customStyle="1" w:styleId="161">
    <w:name w:val="标题 3 Char1 Char1"/>
    <w:qFormat/>
    <w:uiPriority w:val="0"/>
    <w:rPr>
      <w:rFonts w:eastAsia="宋体"/>
      <w:b/>
      <w:bCs/>
      <w:kern w:val="2"/>
      <w:sz w:val="32"/>
      <w:szCs w:val="32"/>
      <w:lang w:val="en-US" w:eastAsia="zh-CN" w:bidi="ar-SA"/>
    </w:rPr>
  </w:style>
  <w:style w:type="character" w:customStyle="1" w:styleId="162">
    <w:name w:val="bt31"/>
    <w:qFormat/>
    <w:uiPriority w:val="0"/>
    <w:rPr>
      <w:b/>
      <w:bCs/>
      <w:color w:val="084590"/>
      <w:sz w:val="33"/>
      <w:szCs w:val="33"/>
    </w:rPr>
  </w:style>
  <w:style w:type="character" w:customStyle="1" w:styleId="163">
    <w:name w:val="注释标题 Char"/>
    <w:link w:val="14"/>
    <w:qFormat/>
    <w:uiPriority w:val="0"/>
    <w:rPr>
      <w:rFonts w:ascii="Times New Roman" w:hAnsi="Times New Roman"/>
      <w:sz w:val="24"/>
      <w:szCs w:val="22"/>
      <w:lang w:eastAsia="en-US" w:bidi="en-US"/>
    </w:rPr>
  </w:style>
  <w:style w:type="character" w:customStyle="1" w:styleId="164">
    <w:name w:val="表号 Char2"/>
    <w:link w:val="165"/>
    <w:qFormat/>
    <w:uiPriority w:val="0"/>
    <w:rPr>
      <w:kern w:val="2"/>
      <w:sz w:val="24"/>
      <w:szCs w:val="24"/>
      <w:lang w:val="en-US" w:eastAsia="zh-CN" w:bidi="ar-SA"/>
    </w:rPr>
  </w:style>
  <w:style w:type="paragraph" w:customStyle="1" w:styleId="165">
    <w:name w:val="表号"/>
    <w:link w:val="164"/>
    <w:qFormat/>
    <w:uiPriority w:val="0"/>
    <w:pPr>
      <w:adjustRightInd w:val="0"/>
      <w:snapToGrid w:val="0"/>
      <w:spacing w:after="480" w:line="240" w:lineRule="atLeast"/>
      <w:jc w:val="both"/>
      <w:outlineLvl w:val="4"/>
    </w:pPr>
    <w:rPr>
      <w:rFonts w:ascii="Calibri" w:hAnsi="Calibri" w:eastAsia="宋体" w:cs="Times New Roman"/>
      <w:kern w:val="2"/>
      <w:sz w:val="24"/>
      <w:szCs w:val="24"/>
      <w:lang w:val="en-US" w:eastAsia="zh-CN" w:bidi="ar-SA"/>
    </w:rPr>
  </w:style>
  <w:style w:type="character" w:customStyle="1" w:styleId="166">
    <w:name w:val="普通文字 Char Char1"/>
    <w:qFormat/>
    <w:uiPriority w:val="0"/>
    <w:rPr>
      <w:rFonts w:ascii="仿宋_GB2312" w:hAnsi="宋体" w:eastAsia="仿宋_GB2312"/>
      <w:b/>
      <w:kern w:val="2"/>
      <w:sz w:val="21"/>
      <w:szCs w:val="21"/>
      <w:lang w:val="en-US" w:eastAsia="zh-CN" w:bidi="ar-SA"/>
    </w:rPr>
  </w:style>
  <w:style w:type="character" w:customStyle="1" w:styleId="167">
    <w:name w:val="正文1 Char Char"/>
    <w:link w:val="168"/>
    <w:qFormat/>
    <w:uiPriority w:val="0"/>
    <w:rPr>
      <w:rFonts w:ascii="宋体" w:hAnsi="宋体" w:eastAsia="宋体"/>
      <w:kern w:val="2"/>
      <w:sz w:val="24"/>
      <w:szCs w:val="24"/>
      <w:lang w:val="en-US" w:eastAsia="zh-CN" w:bidi="ar-SA"/>
    </w:rPr>
  </w:style>
  <w:style w:type="paragraph" w:customStyle="1" w:styleId="168">
    <w:name w:val="正文1"/>
    <w:basedOn w:val="1"/>
    <w:link w:val="167"/>
    <w:qFormat/>
    <w:uiPriority w:val="0"/>
    <w:pPr>
      <w:ind w:firstLine="480"/>
    </w:pPr>
    <w:rPr>
      <w:rFonts w:ascii="宋体" w:hAnsi="宋体"/>
      <w:kern w:val="2"/>
      <w:szCs w:val="24"/>
      <w:lang w:eastAsia="zh-CN" w:bidi="ar-SA"/>
    </w:rPr>
  </w:style>
  <w:style w:type="character" w:customStyle="1" w:styleId="169">
    <w:name w:val="标题 1 Char"/>
    <w:link w:val="2"/>
    <w:qFormat/>
    <w:uiPriority w:val="9"/>
    <w:rPr>
      <w:rFonts w:ascii="Times New Roman" w:hAnsi="Times New Roman"/>
      <w:b/>
      <w:bCs/>
      <w:sz w:val="44"/>
      <w:szCs w:val="28"/>
      <w:lang w:eastAsia="en-US" w:bidi="en-US"/>
    </w:rPr>
  </w:style>
  <w:style w:type="character" w:customStyle="1" w:styleId="170">
    <w:name w:val="正文文字1 Char"/>
    <w:qFormat/>
    <w:uiPriority w:val="0"/>
    <w:rPr>
      <w:rFonts w:eastAsia="宋体"/>
      <w:kern w:val="2"/>
      <w:sz w:val="21"/>
      <w:szCs w:val="24"/>
      <w:lang w:val="en-US" w:eastAsia="zh-CN" w:bidi="ar-SA"/>
    </w:rPr>
  </w:style>
  <w:style w:type="character" w:customStyle="1" w:styleId="171">
    <w:name w:val="正文缩进 Char1"/>
    <w:link w:val="18"/>
    <w:qFormat/>
    <w:uiPriority w:val="0"/>
    <w:rPr>
      <w:rFonts w:eastAsia="宋体"/>
      <w:kern w:val="2"/>
      <w:sz w:val="21"/>
      <w:szCs w:val="24"/>
      <w:lang w:val="en-US" w:eastAsia="zh-CN" w:bidi="ar-SA"/>
    </w:rPr>
  </w:style>
  <w:style w:type="character" w:customStyle="1" w:styleId="172">
    <w:name w:val="表样式 Char Char"/>
    <w:link w:val="173"/>
    <w:qFormat/>
    <w:uiPriority w:val="0"/>
    <w:rPr>
      <w:rFonts w:ascii="仿宋_GB2312" w:eastAsia="黑体"/>
      <w:kern w:val="2"/>
      <w:sz w:val="21"/>
      <w:szCs w:val="24"/>
      <w:lang w:val="en-US" w:eastAsia="zh-CN" w:bidi="ar-SA"/>
    </w:rPr>
  </w:style>
  <w:style w:type="paragraph" w:customStyle="1" w:styleId="173">
    <w:name w:val="表样式"/>
    <w:basedOn w:val="1"/>
    <w:link w:val="172"/>
    <w:qFormat/>
    <w:uiPriority w:val="0"/>
    <w:pPr>
      <w:jc w:val="center"/>
    </w:pPr>
    <w:rPr>
      <w:rFonts w:ascii="仿宋_GB2312" w:hAnsi="Calibri" w:eastAsia="黑体"/>
      <w:kern w:val="2"/>
      <w:sz w:val="21"/>
      <w:szCs w:val="24"/>
      <w:lang w:eastAsia="zh-CN" w:bidi="ar-SA"/>
    </w:rPr>
  </w:style>
  <w:style w:type="character" w:customStyle="1" w:styleId="174">
    <w:name w:val="Char Char1"/>
    <w:qFormat/>
    <w:uiPriority w:val="0"/>
    <w:rPr>
      <w:rFonts w:ascii="宋体" w:hAnsi="Courier New"/>
      <w:kern w:val="2"/>
      <w:sz w:val="21"/>
      <w:szCs w:val="21"/>
    </w:rPr>
  </w:style>
  <w:style w:type="character" w:customStyle="1" w:styleId="175">
    <w:name w:val="hb22 Char Char"/>
    <w:link w:val="176"/>
    <w:qFormat/>
    <w:uiPriority w:val="0"/>
    <w:rPr>
      <w:rFonts w:eastAsia="宋体" w:cs="Arial"/>
      <w:b/>
      <w:bCs/>
      <w:sz w:val="32"/>
      <w:szCs w:val="32"/>
      <w:lang w:val="en-US" w:eastAsia="zh-CN" w:bidi="ar-SA"/>
    </w:rPr>
  </w:style>
  <w:style w:type="paragraph" w:customStyle="1" w:styleId="176">
    <w:name w:val="hb22"/>
    <w:basedOn w:val="3"/>
    <w:link w:val="175"/>
    <w:qFormat/>
    <w:uiPriority w:val="0"/>
    <w:pPr>
      <w:keepLines w:val="0"/>
      <w:topLinePunct/>
      <w:spacing w:line="240" w:lineRule="atLeast"/>
      <w:jc w:val="left"/>
      <w:textAlignment w:val="baseline"/>
    </w:pPr>
    <w:rPr>
      <w:rFonts w:ascii="Calibri" w:hAnsi="Calibri" w:cs="Arial"/>
      <w:szCs w:val="32"/>
      <w:lang w:eastAsia="zh-CN"/>
    </w:rPr>
  </w:style>
  <w:style w:type="character" w:customStyle="1" w:styleId="177">
    <w:name w:val="样式 小四 行距: 1.5 倍行距 Char Char"/>
    <w:link w:val="178"/>
    <w:qFormat/>
    <w:uiPriority w:val="0"/>
    <w:rPr>
      <w:rFonts w:eastAsia="宋体" w:cs="宋体"/>
      <w:kern w:val="2"/>
      <w:sz w:val="24"/>
      <w:lang w:val="en-US" w:eastAsia="zh-CN" w:bidi="ar-SA"/>
    </w:rPr>
  </w:style>
  <w:style w:type="paragraph" w:customStyle="1" w:styleId="178">
    <w:name w:val="样式 小四 行距: 1.5 倍行距"/>
    <w:basedOn w:val="1"/>
    <w:link w:val="177"/>
    <w:qFormat/>
    <w:uiPriority w:val="0"/>
    <w:pPr>
      <w:keepNext/>
    </w:pPr>
    <w:rPr>
      <w:rFonts w:ascii="Calibri" w:hAnsi="Calibri" w:cs="宋体"/>
      <w:kern w:val="2"/>
      <w:szCs w:val="20"/>
      <w:lang w:eastAsia="zh-CN" w:bidi="ar-SA"/>
    </w:rPr>
  </w:style>
  <w:style w:type="character" w:customStyle="1" w:styleId="179">
    <w:name w:val="样式 hb3 Char Char + 非加粗"/>
    <w:qFormat/>
    <w:uiPriority w:val="0"/>
    <w:rPr>
      <w:rFonts w:ascii="宋体" w:hAnsi="宋体" w:eastAsia="宋体" w:cs="宋体"/>
      <w:b/>
      <w:bCs/>
      <w:sz w:val="24"/>
      <w:szCs w:val="32"/>
      <w:lang w:val="en-US" w:eastAsia="zh-CN"/>
    </w:rPr>
  </w:style>
  <w:style w:type="character" w:customStyle="1" w:styleId="180">
    <w:name w:val="kt1 Char Char"/>
    <w:link w:val="181"/>
    <w:qFormat/>
    <w:uiPriority w:val="0"/>
    <w:rPr>
      <w:rFonts w:ascii="宋体" w:hAnsi="宋体" w:eastAsia="宋体"/>
      <w:color w:val="FF0000"/>
      <w:kern w:val="2"/>
      <w:sz w:val="21"/>
      <w:szCs w:val="21"/>
      <w:lang w:val="en-US" w:eastAsia="zh-CN" w:bidi="ar-SA"/>
    </w:rPr>
  </w:style>
  <w:style w:type="paragraph" w:customStyle="1" w:styleId="181">
    <w:name w:val="kt1"/>
    <w:basedOn w:val="1"/>
    <w:link w:val="180"/>
    <w:uiPriority w:val="0"/>
    <w:pPr>
      <w:adjustRightInd w:val="0"/>
      <w:snapToGrid w:val="0"/>
      <w:spacing w:before="156" w:after="156" w:line="300" w:lineRule="auto"/>
      <w:ind w:left="-1" w:leftChars="-1" w:hanging="1"/>
      <w:jc w:val="center"/>
    </w:pPr>
    <w:rPr>
      <w:rFonts w:ascii="宋体" w:hAnsi="宋体"/>
      <w:color w:val="FF0000"/>
      <w:kern w:val="2"/>
      <w:sz w:val="21"/>
      <w:szCs w:val="21"/>
      <w:lang w:eastAsia="zh-CN" w:bidi="ar-SA"/>
    </w:rPr>
  </w:style>
  <w:style w:type="character" w:customStyle="1" w:styleId="182">
    <w:name w:val="尾注文本 Char"/>
    <w:link w:val="44"/>
    <w:qFormat/>
    <w:uiPriority w:val="0"/>
    <w:rPr>
      <w:rFonts w:ascii="Times New Roman" w:hAnsi="Times New Roman"/>
      <w:kern w:val="2"/>
      <w:sz w:val="21"/>
    </w:rPr>
  </w:style>
  <w:style w:type="character" w:customStyle="1" w:styleId="183">
    <w:name w:val="正文样式10 Char Char"/>
    <w:link w:val="184"/>
    <w:qFormat/>
    <w:uiPriority w:val="0"/>
    <w:rPr>
      <w:rFonts w:ascii="Arial" w:hAnsi="Arial" w:eastAsia="宋体" w:cs="Arial"/>
      <w:bCs/>
      <w:color w:val="FF0000"/>
      <w:kern w:val="2"/>
      <w:sz w:val="24"/>
      <w:lang w:val="zh-CN" w:eastAsia="zh-CN" w:bidi="ar-SA"/>
    </w:rPr>
  </w:style>
  <w:style w:type="paragraph" w:customStyle="1" w:styleId="184">
    <w:name w:val="正文样式10"/>
    <w:basedOn w:val="1"/>
    <w:link w:val="183"/>
    <w:qFormat/>
    <w:uiPriority w:val="0"/>
    <w:pPr>
      <w:ind w:firstLine="480"/>
    </w:pPr>
    <w:rPr>
      <w:rFonts w:ascii="Arial" w:hAnsi="Arial" w:cs="Arial"/>
      <w:bCs/>
      <w:color w:val="FF0000"/>
      <w:kern w:val="2"/>
      <w:szCs w:val="20"/>
      <w:lang w:val="zh-CN" w:eastAsia="zh-CN" w:bidi="ar-SA"/>
    </w:rPr>
  </w:style>
  <w:style w:type="character" w:customStyle="1" w:styleId="185">
    <w:name w:val="样式12 Char Char"/>
    <w:link w:val="186"/>
    <w:qFormat/>
    <w:uiPriority w:val="0"/>
    <w:rPr>
      <w:rFonts w:eastAsia="宋体"/>
      <w:b/>
      <w:bCs/>
      <w:kern w:val="2"/>
      <w:sz w:val="30"/>
      <w:szCs w:val="30"/>
      <w:lang w:val="en-US" w:eastAsia="zh-CN" w:bidi="ar-SA"/>
    </w:rPr>
  </w:style>
  <w:style w:type="paragraph" w:customStyle="1" w:styleId="186">
    <w:name w:val="样式12"/>
    <w:basedOn w:val="3"/>
    <w:link w:val="185"/>
    <w:qFormat/>
    <w:uiPriority w:val="0"/>
    <w:pPr>
      <w:spacing w:before="260" w:after="260" w:line="240" w:lineRule="auto"/>
    </w:pPr>
    <w:rPr>
      <w:rFonts w:ascii="Calibri" w:hAnsi="Calibri"/>
      <w:kern w:val="2"/>
      <w:sz w:val="30"/>
      <w:szCs w:val="30"/>
      <w:lang w:eastAsia="zh-CN"/>
    </w:rPr>
  </w:style>
  <w:style w:type="character" w:customStyle="1" w:styleId="187">
    <w:name w:val="样式 宋体 小四 黑色 行距: 1.5 倍行距 Char1"/>
    <w:link w:val="188"/>
    <w:qFormat/>
    <w:uiPriority w:val="0"/>
    <w:rPr>
      <w:rFonts w:ascii="宋体" w:hAnsi="宋体" w:eastAsia="宋体" w:cs="宋体"/>
      <w:color w:val="000000"/>
      <w:kern w:val="2"/>
      <w:sz w:val="24"/>
      <w:lang w:val="en-US" w:eastAsia="zh-CN" w:bidi="ar-SA"/>
    </w:rPr>
  </w:style>
  <w:style w:type="paragraph" w:customStyle="1" w:styleId="188">
    <w:name w:val="样式 宋体 小四 黑色 行距: 1.5 倍行距"/>
    <w:basedOn w:val="1"/>
    <w:link w:val="187"/>
    <w:qFormat/>
    <w:uiPriority w:val="0"/>
    <w:pPr>
      <w:ind w:firstLine="480"/>
    </w:pPr>
    <w:rPr>
      <w:rFonts w:ascii="宋体" w:hAnsi="宋体" w:cs="宋体"/>
      <w:color w:val="000000"/>
      <w:kern w:val="2"/>
      <w:szCs w:val="20"/>
      <w:lang w:eastAsia="zh-CN" w:bidi="ar-SA"/>
    </w:rPr>
  </w:style>
  <w:style w:type="character" w:customStyle="1" w:styleId="189">
    <w:name w:val="副标题 Char"/>
    <w:link w:val="54"/>
    <w:qFormat/>
    <w:uiPriority w:val="0"/>
    <w:rPr>
      <w:rFonts w:ascii="Cambria" w:hAnsi="Cambria" w:eastAsia="宋体" w:cs="Times New Roman"/>
      <w:i/>
      <w:iCs/>
      <w:color w:val="4F81BD"/>
      <w:spacing w:val="15"/>
      <w:sz w:val="24"/>
      <w:szCs w:val="24"/>
    </w:rPr>
  </w:style>
  <w:style w:type="character" w:customStyle="1" w:styleId="190">
    <w:name w:val="表头 Char Char"/>
    <w:qFormat/>
    <w:uiPriority w:val="0"/>
    <w:rPr>
      <w:rFonts w:ascii="宋体" w:hAnsi="宋体" w:eastAsia="汉鼎简书宋" w:cs="宋体"/>
      <w:b/>
      <w:bCs/>
      <w:kern w:val="32"/>
      <w:sz w:val="24"/>
      <w:szCs w:val="28"/>
      <w:lang w:val="en-US" w:eastAsia="zh-CN" w:bidi="ar-SA"/>
    </w:rPr>
  </w:style>
  <w:style w:type="character" w:customStyle="1" w:styleId="191">
    <w:name w:val="样式 表样式 + 黑色 Char Char"/>
    <w:link w:val="192"/>
    <w:qFormat/>
    <w:uiPriority w:val="0"/>
    <w:rPr>
      <w:rFonts w:ascii="仿宋_GB2312" w:eastAsia="黑体"/>
      <w:color w:val="000000"/>
      <w:kern w:val="2"/>
      <w:sz w:val="21"/>
      <w:szCs w:val="24"/>
      <w:lang w:val="en-US" w:eastAsia="zh-CN" w:bidi="ar-SA"/>
    </w:rPr>
  </w:style>
  <w:style w:type="paragraph" w:customStyle="1" w:styleId="192">
    <w:name w:val="样式 表样式 + 黑色"/>
    <w:basedOn w:val="173"/>
    <w:link w:val="191"/>
    <w:qFormat/>
    <w:uiPriority w:val="0"/>
    <w:pPr>
      <w:keepNext/>
      <w:spacing w:line="200" w:lineRule="atLeast"/>
    </w:pPr>
    <w:rPr>
      <w:color w:val="000000"/>
    </w:rPr>
  </w:style>
  <w:style w:type="character" w:customStyle="1" w:styleId="193">
    <w:name w:val="表头 Char2"/>
    <w:qFormat/>
    <w:uiPriority w:val="0"/>
    <w:rPr>
      <w:rFonts w:eastAsia="宋体"/>
      <w:b/>
      <w:kern w:val="36"/>
      <w:sz w:val="24"/>
      <w:szCs w:val="24"/>
      <w:lang w:val="en-US" w:eastAsia="zh-CN" w:bidi="ar-SA"/>
    </w:rPr>
  </w:style>
  <w:style w:type="character" w:customStyle="1" w:styleId="194">
    <w:name w:val="ZWWB Char Char"/>
    <w:link w:val="195"/>
    <w:qFormat/>
    <w:uiPriority w:val="0"/>
    <w:rPr>
      <w:rFonts w:ascii="Times New Roman" w:hAnsi="Times New Roman"/>
      <w:sz w:val="24"/>
      <w:szCs w:val="24"/>
    </w:rPr>
  </w:style>
  <w:style w:type="paragraph" w:customStyle="1" w:styleId="195">
    <w:name w:val="ZWWB"/>
    <w:basedOn w:val="74"/>
    <w:link w:val="194"/>
    <w:qFormat/>
    <w:uiPriority w:val="0"/>
    <w:pPr>
      <w:adjustRightInd w:val="0"/>
      <w:snapToGrid w:val="0"/>
      <w:spacing w:beforeLines="50" w:after="0" w:line="300" w:lineRule="auto"/>
      <w:ind w:firstLine="200"/>
    </w:pPr>
    <w:rPr>
      <w:rFonts w:ascii="Times New Roman" w:hAnsi="Times New Roman"/>
      <w:kern w:val="0"/>
      <w:sz w:val="24"/>
    </w:rPr>
  </w:style>
  <w:style w:type="character" w:customStyle="1" w:styleId="196">
    <w:name w:val="批注文字 Char"/>
    <w:link w:val="23"/>
    <w:qFormat/>
    <w:uiPriority w:val="0"/>
    <w:rPr>
      <w:rFonts w:ascii="Times New Roman" w:hAnsi="Times New Roman"/>
      <w:sz w:val="28"/>
      <w:lang w:eastAsia="en-US" w:bidi="en-US"/>
    </w:rPr>
  </w:style>
  <w:style w:type="character" w:customStyle="1" w:styleId="197">
    <w:name w:val="Re Char1"/>
    <w:qFormat/>
    <w:uiPriority w:val="0"/>
    <w:rPr>
      <w:rFonts w:eastAsia="黑体"/>
      <w:bCs/>
      <w:kern w:val="2"/>
      <w:sz w:val="24"/>
      <w:lang w:val="en-US" w:eastAsia="zh-CN" w:bidi="ar-SA"/>
    </w:rPr>
  </w:style>
  <w:style w:type="character" w:customStyle="1" w:styleId="198">
    <w:name w:val="普通文字 Char Char Char Char Char Char Char Char Char Char Char Char Char Char"/>
    <w:qFormat/>
    <w:uiPriority w:val="0"/>
    <w:rPr>
      <w:rFonts w:ascii="宋体" w:hAnsi="Courier New" w:eastAsia="宋体"/>
      <w:kern w:val="2"/>
      <w:sz w:val="21"/>
      <w:lang w:val="en-US" w:eastAsia="zh-CN"/>
    </w:rPr>
  </w:style>
  <w:style w:type="character" w:customStyle="1" w:styleId="199">
    <w:name w:val="bluetxt1"/>
    <w:basedOn w:val="78"/>
    <w:qFormat/>
    <w:uiPriority w:val="0"/>
  </w:style>
  <w:style w:type="character" w:customStyle="1" w:styleId="200">
    <w:name w:val="样式 hb3 + 非加粗 黑色 Char Char"/>
    <w:link w:val="201"/>
    <w:qFormat/>
    <w:uiPriority w:val="0"/>
    <w:rPr>
      <w:rFonts w:ascii="宋体" w:hAnsi="宋体" w:eastAsia="宋体" w:cs="宋体"/>
      <w:b/>
      <w:bCs/>
      <w:sz w:val="32"/>
      <w:szCs w:val="24"/>
      <w:lang w:val="en-US" w:eastAsia="zh-CN" w:bidi="ar-SA"/>
    </w:rPr>
  </w:style>
  <w:style w:type="paragraph" w:customStyle="1" w:styleId="201">
    <w:name w:val="样式 hb3 + 非加粗 黑色"/>
    <w:basedOn w:val="1"/>
    <w:link w:val="200"/>
    <w:qFormat/>
    <w:uiPriority w:val="0"/>
    <w:pPr>
      <w:adjustRightInd w:val="0"/>
      <w:snapToGrid w:val="0"/>
      <w:spacing w:before="120" w:after="120"/>
      <w:jc w:val="left"/>
      <w:textAlignment w:val="baseline"/>
      <w:outlineLvl w:val="1"/>
    </w:pPr>
    <w:rPr>
      <w:rFonts w:ascii="宋体" w:hAnsi="宋体" w:cs="宋体"/>
      <w:b/>
      <w:bCs/>
      <w:sz w:val="32"/>
      <w:szCs w:val="24"/>
      <w:lang w:eastAsia="zh-CN" w:bidi="ar-SA"/>
    </w:rPr>
  </w:style>
  <w:style w:type="character" w:customStyle="1" w:styleId="202">
    <w:name w:val="正文样式 Char Char"/>
    <w:link w:val="203"/>
    <w:qFormat/>
    <w:uiPriority w:val="0"/>
    <w:rPr>
      <w:rFonts w:ascii="宋体" w:hAnsi="宋体" w:eastAsia="宋体"/>
      <w:kern w:val="2"/>
      <w:sz w:val="24"/>
      <w:szCs w:val="24"/>
      <w:lang w:val="en-US" w:eastAsia="zh-CN" w:bidi="ar-SA"/>
    </w:rPr>
  </w:style>
  <w:style w:type="paragraph" w:customStyle="1" w:styleId="203">
    <w:name w:val="正文样式"/>
    <w:basedOn w:val="1"/>
    <w:link w:val="202"/>
    <w:qFormat/>
    <w:uiPriority w:val="0"/>
    <w:pPr>
      <w:spacing w:line="460" w:lineRule="exact"/>
    </w:pPr>
    <w:rPr>
      <w:rFonts w:ascii="宋体" w:hAnsi="宋体"/>
      <w:kern w:val="2"/>
      <w:szCs w:val="24"/>
      <w:lang w:eastAsia="zh-CN" w:bidi="ar-SA"/>
    </w:rPr>
  </w:style>
  <w:style w:type="character" w:customStyle="1" w:styleId="204">
    <w:name w:val="样式1 Char Char"/>
    <w:link w:val="205"/>
    <w:qFormat/>
    <w:uiPriority w:val="0"/>
    <w:rPr>
      <w:rFonts w:eastAsia="宋体"/>
      <w:kern w:val="2"/>
      <w:sz w:val="18"/>
      <w:szCs w:val="18"/>
      <w:lang w:val="en-US" w:eastAsia="zh-CN" w:bidi="ar-SA"/>
    </w:rPr>
  </w:style>
  <w:style w:type="paragraph" w:customStyle="1" w:styleId="205">
    <w:name w:val="样式1"/>
    <w:basedOn w:val="49"/>
    <w:link w:val="204"/>
    <w:qFormat/>
    <w:uiPriority w:val="0"/>
  </w:style>
  <w:style w:type="character" w:customStyle="1" w:styleId="206">
    <w:name w:val="说明书正文 Char Char"/>
    <w:link w:val="207"/>
    <w:qFormat/>
    <w:uiPriority w:val="0"/>
    <w:rPr>
      <w:rFonts w:eastAsia="宋体"/>
      <w:sz w:val="24"/>
      <w:szCs w:val="24"/>
      <w:lang w:val="en-US" w:eastAsia="zh-CN" w:bidi="ar-SA"/>
    </w:rPr>
  </w:style>
  <w:style w:type="paragraph" w:customStyle="1" w:styleId="207">
    <w:name w:val="说明书正文"/>
    <w:basedOn w:val="1"/>
    <w:link w:val="206"/>
    <w:qFormat/>
    <w:uiPriority w:val="0"/>
    <w:pPr>
      <w:adjustRightInd w:val="0"/>
      <w:spacing w:line="440" w:lineRule="exact"/>
      <w:textAlignment w:val="baseline"/>
    </w:pPr>
    <w:rPr>
      <w:rFonts w:ascii="Calibri" w:hAnsi="Calibri"/>
      <w:szCs w:val="24"/>
      <w:lang w:eastAsia="zh-CN" w:bidi="ar-SA"/>
    </w:rPr>
  </w:style>
  <w:style w:type="character" w:customStyle="1" w:styleId="208">
    <w:name w:val="标3 Char Char"/>
    <w:link w:val="209"/>
    <w:qFormat/>
    <w:uiPriority w:val="0"/>
    <w:rPr>
      <w:rFonts w:ascii="Times New Roman" w:hAnsi="Times New Roman" w:eastAsia="宋体" w:cs="Times New Roman"/>
      <w:b/>
      <w:bCs/>
      <w:sz w:val="28"/>
    </w:rPr>
  </w:style>
  <w:style w:type="paragraph" w:customStyle="1" w:styleId="209">
    <w:name w:val="标3"/>
    <w:basedOn w:val="4"/>
    <w:link w:val="208"/>
    <w:qFormat/>
    <w:uiPriority w:val="0"/>
    <w:pPr>
      <w:adjustRightInd w:val="0"/>
      <w:snapToGrid w:val="0"/>
      <w:spacing w:before="60" w:after="60"/>
      <w:jc w:val="left"/>
      <w:textAlignment w:val="baseline"/>
    </w:pPr>
  </w:style>
  <w:style w:type="character" w:customStyle="1" w:styleId="210">
    <w:name w:val="样式24 Char Char"/>
    <w:link w:val="211"/>
    <w:qFormat/>
    <w:uiPriority w:val="0"/>
    <w:rPr>
      <w:rFonts w:eastAsia="宋体" w:cs="宋体"/>
      <w:b/>
      <w:bCs/>
      <w:kern w:val="2"/>
      <w:sz w:val="30"/>
      <w:szCs w:val="30"/>
      <w:lang w:val="en-US" w:eastAsia="zh-CN" w:bidi="ar-SA"/>
    </w:rPr>
  </w:style>
  <w:style w:type="paragraph" w:customStyle="1" w:styleId="211">
    <w:name w:val="样式24"/>
    <w:basedOn w:val="1"/>
    <w:link w:val="210"/>
    <w:qFormat/>
    <w:uiPriority w:val="0"/>
    <w:pPr>
      <w:keepNext/>
      <w:keepLines/>
      <w:outlineLvl w:val="2"/>
    </w:pPr>
    <w:rPr>
      <w:rFonts w:ascii="Calibri" w:hAnsi="Calibri" w:cs="宋体"/>
      <w:b/>
      <w:bCs/>
      <w:kern w:val="2"/>
      <w:sz w:val="30"/>
      <w:szCs w:val="30"/>
      <w:lang w:eastAsia="zh-CN" w:bidi="ar-SA"/>
    </w:rPr>
  </w:style>
  <w:style w:type="character" w:customStyle="1" w:styleId="212">
    <w:name w:val="样式 四号"/>
    <w:qFormat/>
    <w:uiPriority w:val="0"/>
    <w:rPr>
      <w:rFonts w:ascii="Times New Roman" w:hAnsi="Times New Roman" w:eastAsia="宋体"/>
      <w:color w:val="auto"/>
      <w:sz w:val="28"/>
    </w:rPr>
  </w:style>
  <w:style w:type="character" w:customStyle="1" w:styleId="213">
    <w:name w:val="样式 标题 2节标题 1.1节h2l22nd levelTitre22Header 21.1标题2H2Ma... Char Char"/>
    <w:link w:val="214"/>
    <w:qFormat/>
    <w:uiPriority w:val="0"/>
    <w:rPr>
      <w:rFonts w:ascii="Cambria" w:hAnsi="Cambria" w:eastAsia="宋体" w:cs="宋体"/>
      <w:b/>
      <w:bCs/>
      <w:color w:val="4F81BD"/>
      <w:sz w:val="26"/>
      <w:szCs w:val="26"/>
    </w:rPr>
  </w:style>
  <w:style w:type="paragraph" w:customStyle="1" w:styleId="214">
    <w:name w:val="样式 标题 2节标题 1.1节h2l22nd levelTitre22Header 21.1标题2H2Ma..."/>
    <w:basedOn w:val="3"/>
    <w:link w:val="213"/>
    <w:qFormat/>
    <w:uiPriority w:val="0"/>
    <w:pPr>
      <w:spacing w:beforeLines="50" w:afterLines="50"/>
    </w:pPr>
    <w:rPr>
      <w:rFonts w:ascii="Cambria" w:hAnsi="Cambria"/>
      <w:color w:val="4F81BD"/>
      <w:sz w:val="26"/>
    </w:rPr>
  </w:style>
  <w:style w:type="character" w:customStyle="1" w:styleId="215">
    <w:name w:val="纯文本 Char"/>
    <w:link w:val="38"/>
    <w:qFormat/>
    <w:uiPriority w:val="0"/>
    <w:rPr>
      <w:rFonts w:ascii="宋体" w:hAnsi="Courier New" w:eastAsia="宋体" w:cs="Courier New"/>
      <w:kern w:val="2"/>
      <w:sz w:val="21"/>
      <w:szCs w:val="21"/>
      <w:lang w:val="en-US" w:eastAsia="zh-CN" w:bidi="ar-SA"/>
    </w:rPr>
  </w:style>
  <w:style w:type="character" w:customStyle="1" w:styleId="216">
    <w:name w:val="晓丹 Char Char"/>
    <w:link w:val="217"/>
    <w:qFormat/>
    <w:uiPriority w:val="0"/>
    <w:rPr>
      <w:rFonts w:ascii="宋体" w:hAnsi="宋体"/>
      <w:color w:val="000000"/>
      <w:spacing w:val="6"/>
      <w:sz w:val="24"/>
      <w:szCs w:val="24"/>
    </w:rPr>
  </w:style>
  <w:style w:type="paragraph" w:customStyle="1" w:styleId="217">
    <w:name w:val="晓丹"/>
    <w:basedOn w:val="74"/>
    <w:link w:val="216"/>
    <w:qFormat/>
    <w:uiPriority w:val="0"/>
    <w:pPr>
      <w:adjustRightInd w:val="0"/>
      <w:snapToGrid w:val="0"/>
      <w:spacing w:after="0"/>
      <w:ind w:firstLine="200"/>
      <w:textAlignment w:val="baseline"/>
    </w:pPr>
    <w:rPr>
      <w:rFonts w:ascii="宋体" w:hAnsi="宋体"/>
      <w:color w:val="000000"/>
      <w:spacing w:val="6"/>
      <w:kern w:val="0"/>
      <w:sz w:val="24"/>
    </w:rPr>
  </w:style>
  <w:style w:type="character" w:customStyle="1" w:styleId="218">
    <w:name w:val="111111正文 Char Char"/>
    <w:link w:val="219"/>
    <w:qFormat/>
    <w:uiPriority w:val="0"/>
    <w:rPr>
      <w:rFonts w:eastAsia="宋体"/>
      <w:kern w:val="2"/>
      <w:sz w:val="24"/>
      <w:szCs w:val="24"/>
      <w:lang w:val="en-US" w:eastAsia="zh-CN" w:bidi="ar-SA"/>
    </w:rPr>
  </w:style>
  <w:style w:type="paragraph" w:customStyle="1" w:styleId="219">
    <w:name w:val="111111正文"/>
    <w:basedOn w:val="1"/>
    <w:link w:val="218"/>
    <w:qFormat/>
    <w:uiPriority w:val="0"/>
    <w:rPr>
      <w:rFonts w:ascii="Calibri" w:hAnsi="Calibri"/>
      <w:kern w:val="2"/>
      <w:szCs w:val="24"/>
      <w:lang w:eastAsia="zh-CN" w:bidi="ar-SA"/>
    </w:rPr>
  </w:style>
  <w:style w:type="character" w:customStyle="1" w:styleId="220">
    <w:name w:val="框图（五号） Char Char"/>
    <w:qFormat/>
    <w:uiPriority w:val="0"/>
    <w:rPr>
      <w:rFonts w:eastAsia="宋体"/>
      <w:kern w:val="2"/>
      <w:sz w:val="21"/>
      <w:szCs w:val="24"/>
      <w:lang w:val="en-US" w:eastAsia="zh-CN" w:bidi="ar-SA"/>
    </w:rPr>
  </w:style>
  <w:style w:type="character" w:customStyle="1" w:styleId="221">
    <w:name w:val="正文 + 宋体 Char"/>
    <w:qFormat/>
    <w:uiPriority w:val="0"/>
    <w:rPr>
      <w:rFonts w:ascii="宋体" w:hAnsi="宋体" w:eastAsia="宋体" w:cs="宋体"/>
      <w:sz w:val="24"/>
      <w:szCs w:val="24"/>
      <w:lang w:val="en-US" w:eastAsia="zh-CN" w:bidi="ar-SA"/>
    </w:rPr>
  </w:style>
  <w:style w:type="character" w:customStyle="1" w:styleId="222">
    <w:name w:val="标题 3 Char Char Char Char"/>
    <w:qFormat/>
    <w:uiPriority w:val="0"/>
    <w:rPr>
      <w:rFonts w:eastAsia="宋体"/>
      <w:b/>
      <w:bCs/>
      <w:kern w:val="2"/>
      <w:sz w:val="32"/>
      <w:szCs w:val="32"/>
      <w:lang w:val="en-US" w:eastAsia="zh-CN" w:bidi="ar-SA"/>
    </w:rPr>
  </w:style>
  <w:style w:type="character" w:customStyle="1" w:styleId="223">
    <w:name w:val="apple-style-span"/>
    <w:basedOn w:val="78"/>
    <w:qFormat/>
    <w:uiPriority w:val="0"/>
  </w:style>
  <w:style w:type="character" w:customStyle="1" w:styleId="224">
    <w:name w:val="标题 1 Char2"/>
    <w:qFormat/>
    <w:uiPriority w:val="0"/>
    <w:rPr>
      <w:rFonts w:eastAsia="宋体"/>
      <w:b/>
      <w:kern w:val="44"/>
      <w:sz w:val="44"/>
      <w:szCs w:val="32"/>
      <w:lang w:val="en-US" w:eastAsia="zh-CN" w:bidi="ar-SA"/>
    </w:rPr>
  </w:style>
  <w:style w:type="character" w:customStyle="1" w:styleId="225">
    <w:name w:val="hb4 Char Char"/>
    <w:link w:val="226"/>
    <w:qFormat/>
    <w:uiPriority w:val="0"/>
    <w:rPr>
      <w:rFonts w:ascii="宋体" w:hAnsi="宋体" w:eastAsia="宋体"/>
      <w:sz w:val="24"/>
      <w:szCs w:val="24"/>
      <w:lang w:val="en-US" w:eastAsia="zh-CN" w:bidi="ar-SA"/>
    </w:rPr>
  </w:style>
  <w:style w:type="paragraph" w:customStyle="1" w:styleId="226">
    <w:name w:val="hb4"/>
    <w:basedOn w:val="5"/>
    <w:link w:val="225"/>
    <w:qFormat/>
    <w:uiPriority w:val="0"/>
    <w:pPr>
      <w:topLinePunct/>
      <w:spacing w:beforeLines="50" w:afterLines="50" w:line="300" w:lineRule="exact"/>
    </w:pPr>
    <w:rPr>
      <w:rFonts w:ascii="宋体" w:hAnsi="宋体"/>
      <w:b w:val="0"/>
      <w:bCs w:val="0"/>
      <w:i w:val="0"/>
      <w:iCs w:val="0"/>
      <w:color w:val="auto"/>
      <w:sz w:val="24"/>
      <w:szCs w:val="24"/>
      <w:lang w:eastAsia="zh-CN"/>
    </w:rPr>
  </w:style>
  <w:style w:type="character" w:customStyle="1" w:styleId="227">
    <w:name w:val="样式 样式 小四 行距: 1.5 倍行距 + 首行缩进:  2 字符 Char Char"/>
    <w:link w:val="228"/>
    <w:qFormat/>
    <w:uiPriority w:val="0"/>
    <w:rPr>
      <w:rFonts w:eastAsia="宋体"/>
      <w:kern w:val="2"/>
      <w:sz w:val="24"/>
      <w:lang w:val="en-US" w:eastAsia="zh-CN" w:bidi="ar-SA"/>
    </w:rPr>
  </w:style>
  <w:style w:type="paragraph" w:customStyle="1" w:styleId="228">
    <w:name w:val="样式 样式 小四 行距: 1.5 倍行距 + 首行缩进:  2 字符"/>
    <w:basedOn w:val="1"/>
    <w:link w:val="227"/>
    <w:qFormat/>
    <w:uiPriority w:val="0"/>
    <w:pPr>
      <w:keepNext/>
    </w:pPr>
    <w:rPr>
      <w:rFonts w:ascii="Calibri" w:hAnsi="Calibri"/>
      <w:kern w:val="2"/>
      <w:szCs w:val="20"/>
      <w:lang w:eastAsia="zh-CN" w:bidi="ar-SA"/>
    </w:rPr>
  </w:style>
  <w:style w:type="character" w:customStyle="1" w:styleId="229">
    <w:name w:val="正文新 Char Char"/>
    <w:link w:val="230"/>
    <w:qFormat/>
    <w:uiPriority w:val="0"/>
    <w:rPr>
      <w:rFonts w:ascii="宋体" w:hAnsi="宋体" w:eastAsia="宋体"/>
      <w:kern w:val="2"/>
      <w:sz w:val="24"/>
      <w:lang w:val="en-US" w:eastAsia="zh-CN" w:bidi="ar-SA"/>
    </w:rPr>
  </w:style>
  <w:style w:type="paragraph" w:customStyle="1" w:styleId="230">
    <w:name w:val="正文新"/>
    <w:basedOn w:val="18"/>
    <w:link w:val="229"/>
    <w:uiPriority w:val="0"/>
    <w:pPr>
      <w:topLinePunct/>
    </w:pPr>
    <w:rPr>
      <w:rFonts w:ascii="宋体" w:hAnsi="宋体"/>
      <w:sz w:val="24"/>
      <w:szCs w:val="20"/>
    </w:rPr>
  </w:style>
  <w:style w:type="character" w:customStyle="1" w:styleId="231">
    <w:name w:val="样式 正文样式1 + 首行缩进:  2 字符 Char Char"/>
    <w:link w:val="232"/>
    <w:qFormat/>
    <w:uiPriority w:val="0"/>
    <w:rPr>
      <w:rFonts w:eastAsia="宋体" w:cs="宋体"/>
      <w:sz w:val="24"/>
      <w:lang w:val="en-US" w:eastAsia="zh-CN" w:bidi="ar-SA"/>
    </w:rPr>
  </w:style>
  <w:style w:type="paragraph" w:customStyle="1" w:styleId="232">
    <w:name w:val="样式 正文样式1 + 首行缩进:  2 字符"/>
    <w:basedOn w:val="1"/>
    <w:link w:val="231"/>
    <w:qFormat/>
    <w:uiPriority w:val="0"/>
    <w:pPr>
      <w:widowControl/>
    </w:pPr>
    <w:rPr>
      <w:rFonts w:ascii="Calibri" w:hAnsi="Calibri" w:cs="宋体"/>
      <w:szCs w:val="20"/>
      <w:lang w:eastAsia="zh-CN" w:bidi="ar-SA"/>
    </w:rPr>
  </w:style>
  <w:style w:type="character" w:customStyle="1" w:styleId="233">
    <w:name w:val="样式2 Char Char"/>
    <w:link w:val="234"/>
    <w:qFormat/>
    <w:uiPriority w:val="0"/>
    <w:rPr>
      <w:rFonts w:eastAsia="黑体"/>
      <w:b/>
      <w:bCs/>
      <w:spacing w:val="-2"/>
      <w:kern w:val="2"/>
      <w:sz w:val="24"/>
      <w:szCs w:val="24"/>
      <w:lang w:val="en-US" w:eastAsia="zh-CN" w:bidi="ar-SA"/>
    </w:rPr>
  </w:style>
  <w:style w:type="paragraph" w:customStyle="1" w:styleId="234">
    <w:name w:val="样式2"/>
    <w:basedOn w:val="6"/>
    <w:link w:val="233"/>
    <w:qFormat/>
    <w:uiPriority w:val="0"/>
    <w:pPr>
      <w:spacing w:before="0" w:line="240" w:lineRule="auto"/>
      <w:jc w:val="center"/>
    </w:pPr>
    <w:rPr>
      <w:rFonts w:ascii="Calibri" w:hAnsi="Calibri" w:eastAsia="黑体"/>
      <w:b/>
      <w:bCs/>
      <w:color w:val="auto"/>
      <w:spacing w:val="-2"/>
      <w:kern w:val="2"/>
      <w:sz w:val="24"/>
      <w:szCs w:val="24"/>
      <w:lang w:eastAsia="zh-CN"/>
    </w:rPr>
  </w:style>
  <w:style w:type="character" w:customStyle="1" w:styleId="235">
    <w:name w:val="hb33 Char1"/>
    <w:link w:val="236"/>
    <w:qFormat/>
    <w:uiPriority w:val="0"/>
    <w:rPr>
      <w:rFonts w:eastAsia="宋体" w:cs="宋体"/>
      <w:b/>
      <w:sz w:val="28"/>
      <w:szCs w:val="28"/>
      <w:lang w:val="en-US" w:eastAsia="zh-CN" w:bidi="ar-SA"/>
    </w:rPr>
  </w:style>
  <w:style w:type="paragraph" w:customStyle="1" w:styleId="236">
    <w:name w:val="hb33"/>
    <w:basedOn w:val="4"/>
    <w:link w:val="235"/>
    <w:qFormat/>
    <w:uiPriority w:val="0"/>
    <w:pPr>
      <w:keepLines w:val="0"/>
      <w:spacing w:line="240" w:lineRule="auto"/>
      <w:jc w:val="left"/>
      <w:textAlignment w:val="baseline"/>
    </w:pPr>
    <w:rPr>
      <w:rFonts w:ascii="Calibri" w:hAnsi="Calibri" w:cs="宋体"/>
      <w:bCs w:val="0"/>
      <w:szCs w:val="28"/>
      <w:lang w:eastAsia="zh-CN"/>
    </w:rPr>
  </w:style>
  <w:style w:type="character" w:customStyle="1" w:styleId="237">
    <w:name w:val="样式 (符号) 宋体 小四"/>
    <w:qFormat/>
    <w:uiPriority w:val="0"/>
    <w:rPr>
      <w:rFonts w:ascii="Times New Roman" w:hAnsi="Times New Roman" w:eastAsia="宋体"/>
      <w:color w:val="auto"/>
      <w:sz w:val="24"/>
      <w:szCs w:val="24"/>
      <w:u w:val="none"/>
    </w:rPr>
  </w:style>
  <w:style w:type="character" w:customStyle="1" w:styleId="238">
    <w:name w:val="马环境评价正文 Char Char"/>
    <w:link w:val="239"/>
    <w:qFormat/>
    <w:uiPriority w:val="0"/>
    <w:rPr>
      <w:kern w:val="2"/>
      <w:sz w:val="24"/>
      <w:szCs w:val="24"/>
      <w:lang w:val="en-US" w:eastAsia="zh-CN"/>
    </w:rPr>
  </w:style>
  <w:style w:type="paragraph" w:customStyle="1" w:styleId="239">
    <w:name w:val="马环境评价正文"/>
    <w:basedOn w:val="1"/>
    <w:link w:val="238"/>
    <w:qFormat/>
    <w:uiPriority w:val="0"/>
    <w:pPr>
      <w:adjustRightInd w:val="0"/>
    </w:pPr>
    <w:rPr>
      <w:rFonts w:ascii="Calibri" w:hAnsi="Calibri"/>
      <w:kern w:val="2"/>
      <w:szCs w:val="24"/>
      <w:lang w:eastAsia="zh-CN" w:bidi="ar-SA"/>
    </w:rPr>
  </w:style>
  <w:style w:type="character" w:customStyle="1" w:styleId="240">
    <w:name w:val="表体 Char Char"/>
    <w:link w:val="241"/>
    <w:qFormat/>
    <w:uiPriority w:val="0"/>
    <w:rPr>
      <w:rFonts w:ascii="Times New Roman" w:hAnsi="Times New Roman" w:eastAsia="仿宋_GB2312"/>
      <w:sz w:val="24"/>
    </w:rPr>
  </w:style>
  <w:style w:type="paragraph" w:customStyle="1" w:styleId="241">
    <w:name w:val="表体"/>
    <w:basedOn w:val="1"/>
    <w:link w:val="240"/>
    <w:qFormat/>
    <w:uiPriority w:val="0"/>
    <w:pPr>
      <w:snapToGrid w:val="0"/>
      <w:spacing w:line="240" w:lineRule="atLeast"/>
      <w:ind w:firstLine="0" w:firstLineChars="0"/>
      <w:jc w:val="center"/>
    </w:pPr>
    <w:rPr>
      <w:rFonts w:eastAsia="仿宋_GB2312"/>
      <w:szCs w:val="20"/>
      <w:lang w:bidi="ar-SA"/>
    </w:rPr>
  </w:style>
  <w:style w:type="character" w:customStyle="1" w:styleId="242">
    <w:name w:val="正文样式1 Char Char"/>
    <w:qFormat/>
    <w:uiPriority w:val="0"/>
    <w:rPr>
      <w:rFonts w:ascii="宋体" w:eastAsia="宋体"/>
      <w:kern w:val="2"/>
      <w:sz w:val="24"/>
      <w:szCs w:val="24"/>
      <w:lang w:val="en-US" w:eastAsia="zh-CN" w:bidi="ar-SA"/>
    </w:rPr>
  </w:style>
  <w:style w:type="character" w:customStyle="1" w:styleId="243">
    <w:name w:val="Intense Reference"/>
    <w:qFormat/>
    <w:uiPriority w:val="0"/>
    <w:rPr>
      <w:b/>
      <w:bCs/>
      <w:smallCaps/>
      <w:color w:val="C0504D"/>
      <w:spacing w:val="5"/>
      <w:u w:val="single"/>
    </w:rPr>
  </w:style>
  <w:style w:type="character" w:customStyle="1" w:styleId="244">
    <w:name w:val="样式 题注 + (西文) Times New Roman (中文) 宋体 小四 加粗 黑色 Char Char Char"/>
    <w:qFormat/>
    <w:uiPriority w:val="0"/>
    <w:rPr>
      <w:rFonts w:ascii="Arial" w:hAnsi="Arial" w:eastAsia="宋体" w:cs="Arial"/>
      <w:b/>
      <w:bCs/>
      <w:color w:val="000000"/>
      <w:kern w:val="2"/>
      <w:sz w:val="24"/>
      <w:szCs w:val="24"/>
      <w:lang w:val="en-US" w:eastAsia="zh-CN" w:bidi="ar-SA"/>
    </w:rPr>
  </w:style>
  <w:style w:type="character" w:customStyle="1" w:styleId="245">
    <w:name w:val="L4 Char"/>
    <w:qFormat/>
    <w:uiPriority w:val="0"/>
    <w:rPr>
      <w:rFonts w:ascii="Arial" w:hAnsi="Arial" w:eastAsia="宋体"/>
      <w:b/>
      <w:bCs/>
      <w:kern w:val="2"/>
      <w:sz w:val="24"/>
      <w:szCs w:val="28"/>
      <w:lang w:val="en-US" w:eastAsia="zh-CN" w:bidi="ar-SA"/>
    </w:rPr>
  </w:style>
  <w:style w:type="character" w:customStyle="1" w:styleId="246">
    <w:name w:val="样式 小四 加粗"/>
    <w:qFormat/>
    <w:uiPriority w:val="0"/>
    <w:rPr>
      <w:b/>
      <w:bCs/>
      <w:sz w:val="24"/>
    </w:rPr>
  </w:style>
  <w:style w:type="character" w:customStyle="1" w:styleId="247">
    <w:name w:val="样式14 Char Char"/>
    <w:link w:val="248"/>
    <w:qFormat/>
    <w:uiPriority w:val="0"/>
    <w:rPr>
      <w:rFonts w:eastAsia="宋体"/>
      <w:color w:val="0000FF"/>
      <w:kern w:val="2"/>
      <w:sz w:val="24"/>
      <w:szCs w:val="24"/>
      <w:lang w:val="en-US" w:eastAsia="zh-CN" w:bidi="ar-SA"/>
    </w:rPr>
  </w:style>
  <w:style w:type="paragraph" w:customStyle="1" w:styleId="248">
    <w:name w:val="样式14"/>
    <w:basedOn w:val="1"/>
    <w:link w:val="247"/>
    <w:qFormat/>
    <w:uiPriority w:val="0"/>
    <w:pPr>
      <w:keepNext/>
      <w:ind w:firstLine="480"/>
    </w:pPr>
    <w:rPr>
      <w:rFonts w:ascii="Calibri" w:hAnsi="Calibri"/>
      <w:color w:val="0000FF"/>
      <w:kern w:val="2"/>
      <w:szCs w:val="24"/>
      <w:lang w:eastAsia="zh-CN" w:bidi="ar-SA"/>
    </w:rPr>
  </w:style>
  <w:style w:type="character" w:customStyle="1" w:styleId="249">
    <w:name w:val="样式 列表 + 黑色 Char Char"/>
    <w:qFormat/>
    <w:uiPriority w:val="0"/>
    <w:rPr>
      <w:rFonts w:ascii="黑体" w:eastAsia="黑体"/>
      <w:color w:val="000000"/>
      <w:kern w:val="2"/>
      <w:sz w:val="24"/>
      <w:szCs w:val="24"/>
      <w:lang w:val="en-US" w:eastAsia="zh-CN" w:bidi="ar-SA"/>
    </w:rPr>
  </w:style>
  <w:style w:type="character" w:customStyle="1" w:styleId="250">
    <w:name w:val="图号 Char Char"/>
    <w:link w:val="251"/>
    <w:qFormat/>
    <w:uiPriority w:val="0"/>
    <w:rPr>
      <w:rFonts w:eastAsia="宋体"/>
      <w:b/>
      <w:bCs/>
      <w:kern w:val="32"/>
      <w:sz w:val="24"/>
      <w:szCs w:val="24"/>
      <w:lang w:val="en-US" w:eastAsia="zh-CN" w:bidi="ar-SA"/>
    </w:rPr>
  </w:style>
  <w:style w:type="paragraph" w:customStyle="1" w:styleId="251">
    <w:name w:val="图号"/>
    <w:basedOn w:val="71"/>
    <w:link w:val="250"/>
    <w:qFormat/>
    <w:uiPriority w:val="0"/>
    <w:pPr>
      <w:autoSpaceDE/>
      <w:autoSpaceDN/>
      <w:spacing w:line="529" w:lineRule="exact"/>
      <w:ind w:left="198" w:firstLine="0" w:firstLineChars="0"/>
      <w:textAlignment w:val="baseline"/>
    </w:pPr>
    <w:rPr>
      <w:rFonts w:ascii="Calibri" w:hAnsi="Calibri"/>
      <w:b/>
      <w:bCs/>
      <w:kern w:val="32"/>
      <w:szCs w:val="24"/>
      <w:lang w:eastAsia="zh-CN" w:bidi="ar-SA"/>
    </w:rPr>
  </w:style>
  <w:style w:type="character" w:customStyle="1" w:styleId="252">
    <w:name w:val="表头 Char Char Char"/>
    <w:link w:val="253"/>
    <w:qFormat/>
    <w:uiPriority w:val="0"/>
    <w:rPr>
      <w:rFonts w:ascii="Times New Roman" w:hAnsi="Times New Roman"/>
      <w:b/>
      <w:color w:val="0000FF"/>
      <w:sz w:val="24"/>
      <w:szCs w:val="22"/>
      <w:lang w:bidi="en-US"/>
    </w:rPr>
  </w:style>
  <w:style w:type="paragraph" w:customStyle="1" w:styleId="253">
    <w:name w:val="表头"/>
    <w:basedOn w:val="1"/>
    <w:next w:val="1"/>
    <w:link w:val="252"/>
    <w:qFormat/>
    <w:uiPriority w:val="0"/>
    <w:pPr>
      <w:tabs>
        <w:tab w:val="left" w:pos="6840"/>
      </w:tabs>
      <w:topLinePunct/>
      <w:spacing w:beforeLines="50"/>
      <w:ind w:firstLine="1084" w:firstLineChars="450"/>
      <w:jc w:val="center"/>
    </w:pPr>
    <w:rPr>
      <w:b/>
      <w:color w:val="0000FF"/>
    </w:rPr>
  </w:style>
  <w:style w:type="character" w:customStyle="1" w:styleId="254">
    <w:name w:val="Subtle Emphasis"/>
    <w:qFormat/>
    <w:uiPriority w:val="0"/>
    <w:rPr>
      <w:i/>
      <w:iCs/>
      <w:color w:val="808080"/>
    </w:rPr>
  </w:style>
  <w:style w:type="character" w:customStyle="1" w:styleId="255">
    <w:name w:val="表题 Char Char"/>
    <w:link w:val="256"/>
    <w:qFormat/>
    <w:uiPriority w:val="0"/>
    <w:rPr>
      <w:rFonts w:ascii="黑体" w:hAnsi="Times New Roman" w:eastAsia="黑体" w:cs="宋体"/>
      <w:kern w:val="2"/>
      <w:sz w:val="21"/>
    </w:rPr>
  </w:style>
  <w:style w:type="paragraph" w:customStyle="1" w:styleId="256">
    <w:name w:val="表题"/>
    <w:basedOn w:val="1"/>
    <w:link w:val="255"/>
    <w:qFormat/>
    <w:uiPriority w:val="0"/>
    <w:pPr>
      <w:spacing w:line="240" w:lineRule="auto"/>
      <w:ind w:firstLine="0" w:firstLineChars="0"/>
      <w:jc w:val="center"/>
    </w:pPr>
    <w:rPr>
      <w:rFonts w:ascii="黑体" w:eastAsia="黑体"/>
      <w:kern w:val="2"/>
      <w:sz w:val="21"/>
      <w:szCs w:val="20"/>
      <w:lang w:bidi="ar-SA"/>
    </w:rPr>
  </w:style>
  <w:style w:type="character" w:customStyle="1" w:styleId="257">
    <w:name w:val="Intense Emphasis"/>
    <w:qFormat/>
    <w:uiPriority w:val="0"/>
    <w:rPr>
      <w:b/>
      <w:bCs/>
      <w:i/>
      <w:iCs/>
      <w:color w:val="4F81BD"/>
    </w:rPr>
  </w:style>
  <w:style w:type="character" w:customStyle="1" w:styleId="258">
    <w:name w:val="Book Title"/>
    <w:qFormat/>
    <w:uiPriority w:val="0"/>
    <w:rPr>
      <w:b/>
      <w:bCs/>
      <w:smallCaps/>
      <w:spacing w:val="5"/>
    </w:rPr>
  </w:style>
  <w:style w:type="character" w:customStyle="1" w:styleId="259">
    <w:name w:val="方案标题样式1 Char Char"/>
    <w:link w:val="260"/>
    <w:qFormat/>
    <w:uiPriority w:val="0"/>
    <w:rPr>
      <w:rFonts w:ascii="Times New Roman" w:hAnsi="Times New Roman"/>
      <w:b/>
      <w:color w:val="000000"/>
      <w:kern w:val="2"/>
      <w:sz w:val="24"/>
      <w:szCs w:val="30"/>
    </w:rPr>
  </w:style>
  <w:style w:type="paragraph" w:customStyle="1" w:styleId="260">
    <w:name w:val="方案标题样式1"/>
    <w:basedOn w:val="1"/>
    <w:link w:val="259"/>
    <w:qFormat/>
    <w:uiPriority w:val="0"/>
    <w:pPr>
      <w:adjustRightInd w:val="0"/>
      <w:snapToGrid w:val="0"/>
      <w:spacing w:before="120" w:after="120"/>
      <w:ind w:firstLine="0" w:firstLineChars="0"/>
      <w:jc w:val="left"/>
      <w:outlineLvl w:val="3"/>
    </w:pPr>
    <w:rPr>
      <w:b/>
      <w:color w:val="000000"/>
      <w:kern w:val="2"/>
      <w:szCs w:val="30"/>
      <w:lang w:bidi="ar-SA"/>
    </w:rPr>
  </w:style>
  <w:style w:type="character" w:customStyle="1" w:styleId="261">
    <w:name w:val="样式 样式 首行缩进:  2 字符 + (符号) 宋体 Char Char"/>
    <w:uiPriority w:val="0"/>
    <w:rPr>
      <w:rFonts w:ascii="Arial" w:hAnsi="Arial" w:eastAsia="宋体" w:cs="宋体"/>
      <w:sz w:val="24"/>
      <w:szCs w:val="24"/>
      <w:lang w:val="en-US" w:eastAsia="zh-CN" w:bidi="ar-SA"/>
    </w:rPr>
  </w:style>
  <w:style w:type="character" w:customStyle="1" w:styleId="262">
    <w:name w:val="样式 样式 样式 首行缩进:  0.85 厘米 + 段前: 0.5 行 段后: 0.5 行 + 首行缩进:  2 字符 Char Char"/>
    <w:link w:val="263"/>
    <w:qFormat/>
    <w:uiPriority w:val="0"/>
    <w:rPr>
      <w:rFonts w:ascii="宋体" w:hAnsi="宋体" w:eastAsia="宋体" w:cs="宋体"/>
      <w:b/>
      <w:bCs/>
      <w:color w:val="000000"/>
      <w:sz w:val="24"/>
      <w:lang w:val="en-US" w:eastAsia="zh-CN" w:bidi="ar-SA"/>
    </w:rPr>
  </w:style>
  <w:style w:type="paragraph" w:customStyle="1" w:styleId="263">
    <w:name w:val="样式 样式 样式 首行缩进:  0.85 厘米 + 段前: 0.5 行 段后: 0.5 行 + 首行缩进:  2 字符"/>
    <w:basedOn w:val="1"/>
    <w:link w:val="262"/>
    <w:qFormat/>
    <w:uiPriority w:val="0"/>
    <w:pPr>
      <w:snapToGrid w:val="0"/>
      <w:spacing w:before="50" w:after="50"/>
      <w:jc w:val="center"/>
    </w:pPr>
    <w:rPr>
      <w:rFonts w:ascii="宋体" w:hAnsi="宋体" w:cs="宋体"/>
      <w:b/>
      <w:bCs/>
      <w:color w:val="000000"/>
      <w:szCs w:val="20"/>
      <w:lang w:eastAsia="zh-CN" w:bidi="ar-SA"/>
    </w:rPr>
  </w:style>
  <w:style w:type="character" w:customStyle="1" w:styleId="264">
    <w:name w:val="样式 样式 宋体 小四 黑色 行距: 1.5 倍行距 + Times New Roman Char Char"/>
    <w:basedOn w:val="187"/>
    <w:link w:val="265"/>
    <w:uiPriority w:val="0"/>
  </w:style>
  <w:style w:type="paragraph" w:customStyle="1" w:styleId="265">
    <w:name w:val="样式 样式 宋体 小四 黑色 行距: 1.5 倍行距 + Times New Roman"/>
    <w:basedOn w:val="1"/>
    <w:link w:val="264"/>
    <w:qFormat/>
    <w:uiPriority w:val="0"/>
    <w:pPr>
      <w:keepNext/>
    </w:pPr>
  </w:style>
  <w:style w:type="character" w:customStyle="1" w:styleId="266">
    <w:name w:val="样式23 Char Char"/>
    <w:link w:val="267"/>
    <w:qFormat/>
    <w:uiPriority w:val="0"/>
    <w:rPr>
      <w:rFonts w:eastAsia="宋体"/>
      <w:kern w:val="2"/>
      <w:sz w:val="24"/>
      <w:szCs w:val="24"/>
      <w:lang w:val="en-US" w:eastAsia="zh-CN" w:bidi="ar-SA"/>
    </w:rPr>
  </w:style>
  <w:style w:type="paragraph" w:customStyle="1" w:styleId="267">
    <w:name w:val="样式23"/>
    <w:basedOn w:val="1"/>
    <w:link w:val="266"/>
    <w:qFormat/>
    <w:uiPriority w:val="0"/>
    <w:pPr>
      <w:ind w:firstLine="480"/>
    </w:pPr>
    <w:rPr>
      <w:rFonts w:ascii="Calibri" w:hAnsi="Calibri"/>
      <w:kern w:val="2"/>
      <w:szCs w:val="24"/>
      <w:lang w:eastAsia="zh-CN" w:bidi="ar-SA"/>
    </w:rPr>
  </w:style>
  <w:style w:type="character" w:customStyle="1" w:styleId="268">
    <w:name w:val="hb2 Char1"/>
    <w:qFormat/>
    <w:uiPriority w:val="0"/>
    <w:rPr>
      <w:rFonts w:ascii="宋体" w:hAnsi="宋体" w:eastAsia="宋体" w:cs="Arial"/>
      <w:b/>
      <w:bCs/>
      <w:sz w:val="28"/>
      <w:szCs w:val="28"/>
      <w:lang w:val="en-US" w:eastAsia="zh-CN" w:bidi="ar-SA"/>
    </w:rPr>
  </w:style>
  <w:style w:type="character" w:customStyle="1" w:styleId="269">
    <w:name w:val="Char Char Char1 Char Char Char"/>
    <w:link w:val="270"/>
    <w:qFormat/>
    <w:uiPriority w:val="0"/>
    <w:rPr>
      <w:rFonts w:ascii="宋体" w:hAnsi="宋体" w:eastAsia="宋体" w:cs="宋体"/>
      <w:kern w:val="2"/>
      <w:sz w:val="24"/>
      <w:szCs w:val="24"/>
      <w:lang w:val="en-US" w:eastAsia="zh-CN" w:bidi="ar-SA"/>
    </w:rPr>
  </w:style>
  <w:style w:type="paragraph" w:customStyle="1" w:styleId="270">
    <w:name w:val="Char Char Char1 Char"/>
    <w:basedOn w:val="1"/>
    <w:next w:val="1"/>
    <w:link w:val="269"/>
    <w:qFormat/>
    <w:uiPriority w:val="0"/>
    <w:rPr>
      <w:rFonts w:ascii="宋体" w:hAnsi="宋体" w:cs="宋体"/>
      <w:kern w:val="2"/>
      <w:szCs w:val="24"/>
      <w:lang w:eastAsia="zh-CN" w:bidi="ar-SA"/>
    </w:rPr>
  </w:style>
  <w:style w:type="character" w:customStyle="1" w:styleId="271">
    <w:name w:val="样式 样式 首行缩进:  0.85 厘米 + 段前: 0.5 行 段后: 0.5 行 Char Char"/>
    <w:link w:val="272"/>
    <w:qFormat/>
    <w:uiPriority w:val="0"/>
    <w:rPr>
      <w:rFonts w:ascii="宋体" w:hAnsi="宋体" w:eastAsia="宋体" w:cs="宋体"/>
      <w:b/>
      <w:bCs/>
      <w:color w:val="000000"/>
      <w:sz w:val="24"/>
      <w:lang w:val="en-US" w:eastAsia="zh-CN" w:bidi="ar-SA"/>
    </w:rPr>
  </w:style>
  <w:style w:type="paragraph" w:customStyle="1" w:styleId="272">
    <w:name w:val="样式 样式 首行缩进:  0.85 厘米 + 段前: 0.5 行 段后: 0.5 行"/>
    <w:basedOn w:val="273"/>
    <w:link w:val="271"/>
    <w:qFormat/>
    <w:uiPriority w:val="0"/>
    <w:pPr>
      <w:keepNext w:val="0"/>
      <w:keepLines w:val="0"/>
      <w:snapToGrid w:val="0"/>
      <w:spacing w:before="120" w:after="120"/>
      <w:ind w:firstLine="0"/>
      <w:jc w:val="center"/>
    </w:pPr>
    <w:rPr>
      <w:rFonts w:ascii="宋体"/>
      <w:b/>
      <w:bCs/>
      <w:color w:val="000000"/>
      <w:szCs w:val="20"/>
      <w:lang w:eastAsia="zh-CN" w:bidi="ar-SA"/>
    </w:rPr>
  </w:style>
  <w:style w:type="paragraph" w:customStyle="1" w:styleId="273">
    <w:name w:val="样式 首行缩进:  0.85 厘米"/>
    <w:basedOn w:val="1"/>
    <w:qFormat/>
    <w:uiPriority w:val="0"/>
    <w:pPr>
      <w:keepNext/>
      <w:keepLines/>
      <w:ind w:firstLine="454"/>
      <w:jc w:val="left"/>
    </w:pPr>
    <w:rPr>
      <w:rFonts w:hAnsi="宋体" w:cs="宋体"/>
    </w:rPr>
  </w:style>
  <w:style w:type="character" w:customStyle="1" w:styleId="274">
    <w:name w:val="正文1111111 Char Char"/>
    <w:link w:val="275"/>
    <w:qFormat/>
    <w:uiPriority w:val="0"/>
    <w:rPr>
      <w:rFonts w:ascii="宋体" w:hAnsi="Arial Narrow" w:eastAsia="宋体"/>
      <w:kern w:val="2"/>
      <w:sz w:val="24"/>
      <w:szCs w:val="24"/>
      <w:lang w:val="en-US" w:eastAsia="zh-CN" w:bidi="ar-SA"/>
    </w:rPr>
  </w:style>
  <w:style w:type="paragraph" w:customStyle="1" w:styleId="275">
    <w:name w:val="正文1111111"/>
    <w:basedOn w:val="1"/>
    <w:link w:val="274"/>
    <w:qFormat/>
    <w:uiPriority w:val="0"/>
    <w:pPr>
      <w:spacing w:line="460" w:lineRule="exact"/>
    </w:pPr>
    <w:rPr>
      <w:rFonts w:ascii="宋体" w:hAnsi="Arial Narrow"/>
      <w:kern w:val="2"/>
      <w:szCs w:val="24"/>
      <w:lang w:eastAsia="zh-CN" w:bidi="ar-SA"/>
    </w:rPr>
  </w:style>
  <w:style w:type="character" w:customStyle="1" w:styleId="276">
    <w:name w:val="Subtle Reference"/>
    <w:qFormat/>
    <w:uiPriority w:val="0"/>
    <w:rPr>
      <w:smallCaps/>
      <w:color w:val="C0504D"/>
      <w:u w:val="single"/>
    </w:rPr>
  </w:style>
  <w:style w:type="character" w:customStyle="1" w:styleId="277">
    <w:name w:val="txtcontent11"/>
    <w:qFormat/>
    <w:uiPriority w:val="0"/>
    <w:rPr>
      <w:rFonts w:hint="default" w:ascii="ˎ̥" w:hAnsi="ˎ̥"/>
      <w:color w:val="000000"/>
      <w:sz w:val="21"/>
      <w:szCs w:val="21"/>
    </w:rPr>
  </w:style>
  <w:style w:type="character" w:customStyle="1" w:styleId="278">
    <w:name w:val="表内容 Char Char"/>
    <w:link w:val="279"/>
    <w:qFormat/>
    <w:uiPriority w:val="0"/>
    <w:rPr>
      <w:rFonts w:ascii="Times New Roman" w:hAnsi="Times New Roman"/>
      <w:sz w:val="21"/>
      <w:lang w:val="en-US" w:eastAsia="zh-CN" w:bidi="ar-SA"/>
    </w:rPr>
  </w:style>
  <w:style w:type="paragraph" w:customStyle="1" w:styleId="279">
    <w:name w:val="表内容"/>
    <w:link w:val="278"/>
    <w:qFormat/>
    <w:uiPriority w:val="0"/>
    <w:pPr>
      <w:widowControl w:val="0"/>
      <w:adjustRightInd w:val="0"/>
      <w:snapToGrid w:val="0"/>
      <w:spacing w:line="360" w:lineRule="exact"/>
      <w:ind w:left="-120" w:leftChars="-50" w:right="-134" w:rightChars="-56"/>
      <w:jc w:val="center"/>
      <w:textAlignment w:val="baseline"/>
    </w:pPr>
    <w:rPr>
      <w:rFonts w:ascii="Times New Roman" w:hAnsi="Times New Roman" w:eastAsia="宋体" w:cs="Times New Roman"/>
      <w:sz w:val="21"/>
      <w:lang w:val="en-US" w:eastAsia="zh-CN" w:bidi="ar-SA"/>
    </w:rPr>
  </w:style>
  <w:style w:type="character" w:customStyle="1" w:styleId="280">
    <w:name w:val="标题 Char"/>
    <w:link w:val="72"/>
    <w:qFormat/>
    <w:uiPriority w:val="0"/>
    <w:rPr>
      <w:rFonts w:ascii="Cambria" w:hAnsi="Cambria" w:eastAsia="宋体" w:cs="Times New Roman"/>
      <w:color w:val="17365D"/>
      <w:spacing w:val="5"/>
      <w:kern w:val="28"/>
      <w:sz w:val="52"/>
      <w:szCs w:val="52"/>
    </w:rPr>
  </w:style>
  <w:style w:type="character" w:customStyle="1" w:styleId="281">
    <w:name w:val="表中 Char Char"/>
    <w:link w:val="282"/>
    <w:qFormat/>
    <w:uiPriority w:val="0"/>
    <w:rPr>
      <w:rFonts w:ascii="宋体" w:hAnsi="宋体"/>
      <w:color w:val="000000"/>
      <w:kern w:val="2"/>
      <w:sz w:val="18"/>
      <w:szCs w:val="18"/>
      <w:lang w:val="en-US" w:eastAsia="zh-CN" w:bidi="ar-SA"/>
    </w:rPr>
  </w:style>
  <w:style w:type="paragraph" w:customStyle="1" w:styleId="282">
    <w:name w:val="表中"/>
    <w:link w:val="281"/>
    <w:qFormat/>
    <w:uiPriority w:val="0"/>
    <w:pPr>
      <w:widowControl w:val="0"/>
      <w:adjustRightInd w:val="0"/>
      <w:snapToGrid w:val="0"/>
      <w:spacing w:line="280" w:lineRule="exact"/>
      <w:jc w:val="center"/>
    </w:pPr>
    <w:rPr>
      <w:rFonts w:ascii="宋体" w:hAnsi="宋体" w:eastAsia="宋体" w:cs="Times New Roman"/>
      <w:color w:val="000000"/>
      <w:kern w:val="2"/>
      <w:sz w:val="18"/>
      <w:szCs w:val="18"/>
      <w:lang w:val="en-US" w:eastAsia="zh-CN" w:bidi="ar-SA"/>
    </w:rPr>
  </w:style>
  <w:style w:type="character" w:customStyle="1" w:styleId="283">
    <w:name w:val="正文缩进 Char"/>
    <w:qFormat/>
    <w:uiPriority w:val="0"/>
    <w:rPr>
      <w:rFonts w:eastAsia="宋体"/>
      <w:kern w:val="2"/>
      <w:sz w:val="21"/>
      <w:szCs w:val="24"/>
      <w:lang w:val="en-US" w:eastAsia="zh-CN" w:bidi="ar-SA"/>
    </w:rPr>
  </w:style>
  <w:style w:type="character" w:customStyle="1" w:styleId="284">
    <w:name w:val="BT 2 Char Char"/>
    <w:link w:val="285"/>
    <w:qFormat/>
    <w:uiPriority w:val="0"/>
    <w:rPr>
      <w:rFonts w:ascii="黑体" w:hAnsi="Times New Roman" w:eastAsia="黑体"/>
      <w:kern w:val="2"/>
      <w:sz w:val="28"/>
      <w:szCs w:val="28"/>
      <w:lang w:val="en-US" w:eastAsia="zh-CN" w:bidi="ar-SA"/>
    </w:rPr>
  </w:style>
  <w:style w:type="paragraph" w:customStyle="1" w:styleId="285">
    <w:name w:val="BT 2"/>
    <w:basedOn w:val="205"/>
    <w:link w:val="284"/>
    <w:qFormat/>
    <w:uiPriority w:val="0"/>
    <w:pPr>
      <w:keepNext/>
      <w:keepLines/>
      <w:pBdr>
        <w:bottom w:val="none" w:color="auto" w:sz="0" w:space="0"/>
      </w:pBdr>
      <w:tabs>
        <w:tab w:val="left" w:pos="360"/>
        <w:tab w:val="clear" w:pos="4153"/>
        <w:tab w:val="clear" w:pos="8306"/>
      </w:tabs>
      <w:adjustRightInd w:val="0"/>
      <w:spacing w:beforeLines="50" w:after="120" w:line="300" w:lineRule="auto"/>
      <w:ind w:firstLine="0" w:firstLineChars="0"/>
      <w:outlineLvl w:val="1"/>
    </w:pPr>
    <w:rPr>
      <w:rFonts w:ascii="黑体" w:hAnsi="Times New Roman" w:eastAsia="黑体"/>
      <w:sz w:val="28"/>
      <w:szCs w:val="28"/>
    </w:rPr>
  </w:style>
  <w:style w:type="character" w:customStyle="1" w:styleId="286">
    <w:name w:val="样式 小四 Char Char"/>
    <w:link w:val="287"/>
    <w:qFormat/>
    <w:uiPriority w:val="0"/>
    <w:rPr>
      <w:rFonts w:eastAsia="宋体" w:cs="宋体"/>
      <w:kern w:val="2"/>
      <w:sz w:val="24"/>
      <w:lang w:val="en-US" w:eastAsia="zh-CN" w:bidi="ar-SA"/>
    </w:rPr>
  </w:style>
  <w:style w:type="paragraph" w:customStyle="1" w:styleId="287">
    <w:name w:val="样式 小四"/>
    <w:basedOn w:val="1"/>
    <w:link w:val="286"/>
    <w:qFormat/>
    <w:uiPriority w:val="0"/>
    <w:pPr>
      <w:keepNext/>
    </w:pPr>
    <w:rPr>
      <w:rFonts w:ascii="Calibri" w:hAnsi="Calibri" w:cs="宋体"/>
      <w:kern w:val="2"/>
      <w:szCs w:val="20"/>
      <w:lang w:eastAsia="zh-CN" w:bidi="ar-SA"/>
    </w:rPr>
  </w:style>
  <w:style w:type="character" w:customStyle="1" w:styleId="288">
    <w:name w:val="正文(首行缩进) Char Char"/>
    <w:qFormat/>
    <w:uiPriority w:val="0"/>
    <w:rPr>
      <w:rFonts w:eastAsia="宋体"/>
      <w:kern w:val="24"/>
      <w:sz w:val="24"/>
      <w:lang w:val="en-US" w:eastAsia="zh-CN" w:bidi="ar-SA"/>
    </w:rPr>
  </w:style>
  <w:style w:type="character" w:customStyle="1" w:styleId="289">
    <w:name w:val="正文样式100 Char Char"/>
    <w:link w:val="290"/>
    <w:qFormat/>
    <w:uiPriority w:val="0"/>
    <w:rPr>
      <w:rFonts w:ascii="宋体" w:hAnsi="宋体" w:eastAsia="宋体" w:cs="Courier New"/>
      <w:bCs/>
      <w:kern w:val="2"/>
      <w:sz w:val="24"/>
      <w:szCs w:val="24"/>
      <w:lang w:val="en-US" w:eastAsia="zh-CN" w:bidi="ar-SA"/>
    </w:rPr>
  </w:style>
  <w:style w:type="paragraph" w:customStyle="1" w:styleId="290">
    <w:name w:val="正文样式100"/>
    <w:basedOn w:val="1"/>
    <w:link w:val="289"/>
    <w:qFormat/>
    <w:uiPriority w:val="0"/>
    <w:pPr>
      <w:spacing w:line="460" w:lineRule="exact"/>
      <w:ind w:firstLine="480"/>
    </w:pPr>
    <w:rPr>
      <w:rFonts w:ascii="宋体" w:hAnsi="宋体" w:cs="Courier New"/>
      <w:bCs/>
      <w:kern w:val="2"/>
      <w:szCs w:val="24"/>
      <w:lang w:eastAsia="zh-CN" w:bidi="ar-SA"/>
    </w:rPr>
  </w:style>
  <w:style w:type="character" w:customStyle="1" w:styleId="291">
    <w:name w:val="hb3 Char Char"/>
    <w:link w:val="292"/>
    <w:qFormat/>
    <w:uiPriority w:val="0"/>
    <w:rPr>
      <w:rFonts w:eastAsia="宋体"/>
      <w:b/>
      <w:bCs/>
      <w:sz w:val="24"/>
      <w:szCs w:val="24"/>
      <w:lang w:val="en-US" w:eastAsia="zh-CN" w:bidi="ar-SA"/>
    </w:rPr>
  </w:style>
  <w:style w:type="paragraph" w:customStyle="1" w:styleId="292">
    <w:name w:val="hb3"/>
    <w:basedOn w:val="4"/>
    <w:link w:val="291"/>
    <w:qFormat/>
    <w:uiPriority w:val="0"/>
    <w:pPr>
      <w:adjustRightInd w:val="0"/>
      <w:spacing w:before="360" w:after="360" w:line="240" w:lineRule="auto"/>
      <w:jc w:val="left"/>
      <w:textAlignment w:val="baseline"/>
    </w:pPr>
    <w:rPr>
      <w:rFonts w:ascii="Calibri" w:hAnsi="Calibri"/>
      <w:sz w:val="24"/>
      <w:szCs w:val="24"/>
      <w:lang w:eastAsia="zh-CN"/>
    </w:rPr>
  </w:style>
  <w:style w:type="character" w:customStyle="1" w:styleId="293">
    <w:name w:val="表头 + 居中 Char Char"/>
    <w:link w:val="294"/>
    <w:qFormat/>
    <w:uiPriority w:val="0"/>
    <w:rPr>
      <w:rFonts w:ascii="Arial" w:hAnsi="Arial" w:eastAsia="黑体"/>
      <w:kern w:val="2"/>
      <w:sz w:val="21"/>
      <w:szCs w:val="21"/>
      <w:lang w:val="en-US" w:eastAsia="zh-CN" w:bidi="ar-SA"/>
    </w:rPr>
  </w:style>
  <w:style w:type="paragraph" w:customStyle="1" w:styleId="294">
    <w:name w:val="表头 + 居中"/>
    <w:basedOn w:val="1"/>
    <w:next w:val="1"/>
    <w:link w:val="293"/>
    <w:qFormat/>
    <w:uiPriority w:val="0"/>
    <w:pPr>
      <w:keepNext/>
      <w:keepLines/>
      <w:spacing w:beforeLines="50" w:afterLines="50"/>
      <w:jc w:val="center"/>
    </w:pPr>
    <w:rPr>
      <w:rFonts w:ascii="Arial" w:hAnsi="Arial" w:eastAsia="黑体"/>
      <w:kern w:val="2"/>
      <w:sz w:val="21"/>
      <w:szCs w:val="21"/>
      <w:lang w:eastAsia="zh-CN" w:bidi="ar-SA"/>
    </w:rPr>
  </w:style>
  <w:style w:type="character" w:customStyle="1" w:styleId="295">
    <w:name w:val="topic"/>
    <w:basedOn w:val="78"/>
    <w:uiPriority w:val="0"/>
  </w:style>
  <w:style w:type="character" w:customStyle="1" w:styleId="296">
    <w:name w:val="xxq Char Char"/>
    <w:link w:val="297"/>
    <w:uiPriority w:val="0"/>
    <w:rPr>
      <w:rFonts w:ascii="仿宋_GB2312" w:hAnsi="宋体"/>
      <w:b/>
      <w:bCs/>
      <w:snapToGrid w:val="0"/>
      <w:sz w:val="24"/>
      <w:szCs w:val="28"/>
      <w:lang w:val="en-US" w:eastAsia="zh-CN"/>
    </w:rPr>
  </w:style>
  <w:style w:type="paragraph" w:customStyle="1" w:styleId="297">
    <w:name w:val="xxq"/>
    <w:basedOn w:val="18"/>
    <w:link w:val="296"/>
    <w:uiPriority w:val="0"/>
    <w:pPr>
      <w:adjustRightInd w:val="0"/>
      <w:snapToGrid w:val="0"/>
      <w:spacing w:beforeLines="50"/>
      <w:ind w:firstLine="424"/>
    </w:pPr>
    <w:rPr>
      <w:rFonts w:ascii="仿宋_GB2312" w:hAnsi="宋体"/>
      <w:b/>
      <w:bCs/>
      <w:snapToGrid w:val="0"/>
      <w:kern w:val="0"/>
      <w:sz w:val="24"/>
      <w:szCs w:val="28"/>
    </w:rPr>
  </w:style>
  <w:style w:type="character" w:customStyle="1" w:styleId="298">
    <w:name w:val="文档结构图 Char"/>
    <w:link w:val="22"/>
    <w:qFormat/>
    <w:uiPriority w:val="0"/>
    <w:rPr>
      <w:rFonts w:ascii="Times New Roman" w:hAnsi="Times New Roman"/>
      <w:sz w:val="24"/>
      <w:szCs w:val="22"/>
      <w:shd w:val="clear" w:color="auto" w:fill="000080"/>
      <w:lang w:eastAsia="en-US" w:bidi="en-US"/>
    </w:rPr>
  </w:style>
  <w:style w:type="character" w:customStyle="1" w:styleId="299">
    <w:name w:val="样式 黑体 三号"/>
    <w:qFormat/>
    <w:uiPriority w:val="0"/>
    <w:rPr>
      <w:rFonts w:ascii="黑体" w:eastAsia="黑体"/>
      <w:b/>
      <w:position w:val="8"/>
      <w:sz w:val="32"/>
      <w:szCs w:val="32"/>
    </w:rPr>
  </w:style>
  <w:style w:type="character" w:customStyle="1" w:styleId="300">
    <w:name w:val="fu正文 Char Char"/>
    <w:link w:val="301"/>
    <w:qFormat/>
    <w:uiPriority w:val="0"/>
    <w:rPr>
      <w:rFonts w:ascii="宋体" w:hAnsi="宋体"/>
      <w:color w:val="000000"/>
      <w:kern w:val="2"/>
      <w:sz w:val="24"/>
      <w:szCs w:val="24"/>
    </w:rPr>
  </w:style>
  <w:style w:type="paragraph" w:customStyle="1" w:styleId="301">
    <w:name w:val="fu正文"/>
    <w:basedOn w:val="1"/>
    <w:link w:val="300"/>
    <w:qFormat/>
    <w:uiPriority w:val="0"/>
    <w:rPr>
      <w:rFonts w:ascii="宋体" w:hAnsi="宋体"/>
      <w:color w:val="000000"/>
      <w:kern w:val="2"/>
      <w:szCs w:val="24"/>
      <w:lang w:bidi="ar-SA"/>
    </w:rPr>
  </w:style>
  <w:style w:type="character" w:customStyle="1" w:styleId="302">
    <w:name w:val="标2 Char Char"/>
    <w:link w:val="303"/>
    <w:qFormat/>
    <w:uiPriority w:val="0"/>
    <w:rPr>
      <w:rFonts w:ascii="Times New Roman" w:hAnsi="Times New Roman"/>
      <w:b/>
      <w:position w:val="-6"/>
      <w:sz w:val="32"/>
      <w:szCs w:val="26"/>
      <w:lang w:eastAsia="en-US" w:bidi="en-US"/>
    </w:rPr>
  </w:style>
  <w:style w:type="paragraph" w:customStyle="1" w:styleId="303">
    <w:name w:val="标2"/>
    <w:basedOn w:val="3"/>
    <w:link w:val="302"/>
    <w:qFormat/>
    <w:uiPriority w:val="0"/>
    <w:pPr>
      <w:spacing w:before="60" w:after="60"/>
      <w:jc w:val="left"/>
      <w:textAlignment w:val="baseline"/>
    </w:pPr>
    <w:rPr>
      <w:bCs w:val="0"/>
      <w:position w:val="-6"/>
      <w:lang w:bidi="en-US"/>
    </w:rPr>
  </w:style>
  <w:style w:type="character" w:customStyle="1" w:styleId="304">
    <w:name w:val="正文（首行缩进两字） Char Char Char"/>
    <w:qFormat/>
    <w:uiPriority w:val="0"/>
    <w:rPr>
      <w:rFonts w:eastAsia="宋体"/>
      <w:kern w:val="2"/>
      <w:sz w:val="21"/>
      <w:szCs w:val="21"/>
      <w:lang w:val="en-US" w:eastAsia="zh-CN"/>
    </w:rPr>
  </w:style>
  <w:style w:type="character" w:customStyle="1" w:styleId="305">
    <w:name w:val="样式 样式5 + 首行缩进:  2 字符 Char Char"/>
    <w:link w:val="306"/>
    <w:qFormat/>
    <w:uiPriority w:val="0"/>
    <w:rPr>
      <w:rFonts w:ascii="宋体" w:hAnsi="宋体" w:eastAsia="宋体" w:cs="宋体"/>
      <w:bCs/>
      <w:snapToGrid w:val="0"/>
      <w:color w:val="000000"/>
      <w:sz w:val="24"/>
      <w:szCs w:val="24"/>
      <w:lang w:val="en-US" w:eastAsia="zh-CN" w:bidi="ar-SA"/>
    </w:rPr>
  </w:style>
  <w:style w:type="paragraph" w:customStyle="1" w:styleId="306">
    <w:name w:val="样式 样式5 + 首行缩进:  2 字符"/>
    <w:basedOn w:val="307"/>
    <w:link w:val="305"/>
    <w:qFormat/>
    <w:uiPriority w:val="0"/>
    <w:pPr>
      <w:ind w:firstLine="200"/>
    </w:pPr>
    <w:rPr>
      <w:rFonts w:ascii="宋体" w:hAnsi="宋体" w:cs="宋体"/>
      <w:color w:val="000000"/>
      <w:kern w:val="0"/>
    </w:rPr>
  </w:style>
  <w:style w:type="paragraph" w:customStyle="1" w:styleId="307">
    <w:name w:val="样式5"/>
    <w:basedOn w:val="1"/>
    <w:link w:val="308"/>
    <w:qFormat/>
    <w:uiPriority w:val="0"/>
    <w:pPr>
      <w:adjustRightInd w:val="0"/>
      <w:snapToGrid w:val="0"/>
      <w:ind w:firstLine="480"/>
      <w:jc w:val="left"/>
    </w:pPr>
    <w:rPr>
      <w:rFonts w:ascii="Calibri" w:hAnsi="Calibri"/>
      <w:bCs/>
      <w:snapToGrid w:val="0"/>
      <w:kern w:val="56"/>
      <w:szCs w:val="24"/>
      <w:lang w:eastAsia="zh-CN" w:bidi="ar-SA"/>
    </w:rPr>
  </w:style>
  <w:style w:type="character" w:customStyle="1" w:styleId="308">
    <w:name w:val="样式5 Char2"/>
    <w:link w:val="307"/>
    <w:qFormat/>
    <w:uiPriority w:val="0"/>
    <w:rPr>
      <w:bCs/>
      <w:snapToGrid w:val="0"/>
      <w:kern w:val="56"/>
      <w:sz w:val="24"/>
      <w:szCs w:val="24"/>
      <w:lang w:val="en-US" w:eastAsia="zh-CN"/>
    </w:rPr>
  </w:style>
  <w:style w:type="character" w:customStyle="1" w:styleId="309">
    <w:name w:val="zt41"/>
    <w:qFormat/>
    <w:uiPriority w:val="0"/>
    <w:rPr>
      <w:sz w:val="18"/>
      <w:szCs w:val="18"/>
    </w:rPr>
  </w:style>
  <w:style w:type="character" w:customStyle="1" w:styleId="310">
    <w:name w:val="博泵1 Char Char"/>
    <w:link w:val="311"/>
    <w:qFormat/>
    <w:uiPriority w:val="0"/>
    <w:rPr>
      <w:rFonts w:ascii="Times New Roman" w:hAnsi="宋体" w:cs="宋体"/>
      <w:color w:val="000000"/>
      <w:sz w:val="24"/>
    </w:rPr>
  </w:style>
  <w:style w:type="paragraph" w:customStyle="1" w:styleId="311">
    <w:name w:val="博泵1"/>
    <w:basedOn w:val="1"/>
    <w:link w:val="310"/>
    <w:qFormat/>
    <w:uiPriority w:val="0"/>
    <w:pPr>
      <w:adjustRightInd w:val="0"/>
      <w:spacing w:line="480" w:lineRule="exact"/>
      <w:jc w:val="left"/>
      <w:textAlignment w:val="baseline"/>
    </w:pPr>
    <w:rPr>
      <w:rFonts w:hAnsi="宋体"/>
      <w:color w:val="000000"/>
      <w:szCs w:val="20"/>
      <w:lang w:bidi="ar-SA"/>
    </w:rPr>
  </w:style>
  <w:style w:type="character" w:customStyle="1" w:styleId="312">
    <w:name w:val="[1]正文 Char Char"/>
    <w:link w:val="313"/>
    <w:qFormat/>
    <w:uiPriority w:val="0"/>
    <w:rPr>
      <w:rFonts w:eastAsia="宋体"/>
      <w:sz w:val="28"/>
      <w:szCs w:val="28"/>
      <w:lang w:val="en-US" w:eastAsia="zh-CN" w:bidi="ar-SA"/>
    </w:rPr>
  </w:style>
  <w:style w:type="paragraph" w:customStyle="1" w:styleId="313">
    <w:name w:val="[1]正文"/>
    <w:basedOn w:val="1"/>
    <w:link w:val="312"/>
    <w:qFormat/>
    <w:uiPriority w:val="0"/>
    <w:pPr>
      <w:snapToGrid w:val="0"/>
      <w:spacing w:line="520" w:lineRule="exact"/>
    </w:pPr>
    <w:rPr>
      <w:rFonts w:ascii="Calibri" w:hAnsi="Calibri"/>
      <w:sz w:val="28"/>
      <w:szCs w:val="28"/>
      <w:lang w:eastAsia="zh-CN" w:bidi="ar-SA"/>
    </w:rPr>
  </w:style>
  <w:style w:type="character" w:customStyle="1" w:styleId="314">
    <w:name w:val="样式 标题 3 Char1条标题1.1.1 CharBSH-3 Char + Times New Roman 小三"/>
    <w:qFormat/>
    <w:uiPriority w:val="0"/>
    <w:rPr>
      <w:rFonts w:ascii="Times New Roman" w:hAnsi="Times New Roman" w:eastAsia="黑体"/>
      <w:bCs/>
      <w:color w:val="008000"/>
      <w:kern w:val="2"/>
      <w:sz w:val="30"/>
      <w:szCs w:val="30"/>
      <w:lang w:val="en-US" w:eastAsia="zh-CN" w:bidi="ar-SA"/>
    </w:rPr>
  </w:style>
  <w:style w:type="character" w:customStyle="1" w:styleId="315">
    <w:name w:val="0表格 Char"/>
    <w:link w:val="316"/>
    <w:qFormat/>
    <w:uiPriority w:val="0"/>
    <w:rPr>
      <w:rFonts w:ascii="Times New Roman" w:hAnsi="Times New Roman"/>
      <w:kern w:val="2"/>
      <w:sz w:val="21"/>
      <w:szCs w:val="24"/>
      <w:lang w:bidi="ar-SA"/>
    </w:rPr>
  </w:style>
  <w:style w:type="paragraph" w:customStyle="1" w:styleId="316">
    <w:name w:val="0表格"/>
    <w:basedOn w:val="1"/>
    <w:link w:val="315"/>
    <w:qFormat/>
    <w:uiPriority w:val="0"/>
    <w:pPr>
      <w:tabs>
        <w:tab w:val="left" w:pos="0"/>
        <w:tab w:val="left" w:pos="7012"/>
      </w:tabs>
      <w:autoSpaceDE w:val="0"/>
      <w:autoSpaceDN w:val="0"/>
      <w:spacing w:line="240" w:lineRule="auto"/>
      <w:ind w:firstLine="0" w:firstLineChars="0"/>
      <w:jc w:val="center"/>
    </w:pPr>
    <w:rPr>
      <w:kern w:val="2"/>
      <w:sz w:val="21"/>
      <w:szCs w:val="24"/>
      <w:lang w:bidi="ar-SA"/>
    </w:rPr>
  </w:style>
  <w:style w:type="character" w:customStyle="1" w:styleId="317">
    <w:name w:val="表文字 Char Char"/>
    <w:qFormat/>
    <w:uiPriority w:val="0"/>
    <w:rPr>
      <w:rFonts w:eastAsia="宋体"/>
      <w:sz w:val="21"/>
      <w:szCs w:val="21"/>
      <w:lang w:val="en-US" w:eastAsia="zh-CN" w:bidi="ar-SA"/>
    </w:rPr>
  </w:style>
  <w:style w:type="character" w:customStyle="1" w:styleId="318">
    <w:name w:val="样式 图号 + 宋体 Char Char"/>
    <w:qFormat/>
    <w:uiPriority w:val="0"/>
    <w:rPr>
      <w:rFonts w:ascii="宋体" w:hAnsi="宋体" w:eastAsia="宋体"/>
      <w:b/>
      <w:bCs/>
      <w:kern w:val="32"/>
      <w:sz w:val="24"/>
      <w:szCs w:val="24"/>
      <w:lang w:val="en-US" w:eastAsia="zh-CN" w:bidi="ar-SA"/>
    </w:rPr>
  </w:style>
  <w:style w:type="character" w:customStyle="1" w:styleId="319">
    <w:name w:val="普通文字 Char Char Char3"/>
    <w:qFormat/>
    <w:uiPriority w:val="0"/>
    <w:rPr>
      <w:rFonts w:ascii="宋体" w:hAnsi="Courier New" w:eastAsia="宋体"/>
      <w:kern w:val="2"/>
      <w:sz w:val="21"/>
      <w:szCs w:val="21"/>
      <w:lang w:val="en-US" w:eastAsia="zh-CN" w:bidi="ar-SA"/>
    </w:rPr>
  </w:style>
  <w:style w:type="character" w:customStyle="1" w:styleId="320">
    <w:name w:val="方案正文样式 Char Char"/>
    <w:link w:val="321"/>
    <w:uiPriority w:val="0"/>
    <w:rPr>
      <w:rFonts w:ascii="宋体" w:hAnsi="宋体"/>
      <w:kern w:val="2"/>
      <w:sz w:val="24"/>
    </w:rPr>
  </w:style>
  <w:style w:type="paragraph" w:customStyle="1" w:styleId="321">
    <w:name w:val="方案正文样式"/>
    <w:basedOn w:val="1"/>
    <w:link w:val="320"/>
    <w:qFormat/>
    <w:uiPriority w:val="0"/>
    <w:pPr>
      <w:spacing w:line="480" w:lineRule="exact"/>
      <w:jc w:val="left"/>
    </w:pPr>
    <w:rPr>
      <w:rFonts w:ascii="宋体" w:hAnsi="宋体"/>
      <w:kern w:val="2"/>
      <w:szCs w:val="20"/>
      <w:lang w:bidi="ar-SA"/>
    </w:rPr>
  </w:style>
  <w:style w:type="character" w:customStyle="1" w:styleId="322">
    <w:name w:val="正文（首行缩进两字）1 Char1"/>
    <w:uiPriority w:val="0"/>
    <w:rPr>
      <w:rFonts w:eastAsia="宋体"/>
      <w:kern w:val="2"/>
      <w:sz w:val="28"/>
      <w:lang w:val="en-US" w:eastAsia="zh-CN" w:bidi="ar-SA"/>
    </w:rPr>
  </w:style>
  <w:style w:type="character" w:customStyle="1" w:styleId="323">
    <w:name w:val="正文(首行缩进) Char1"/>
    <w:link w:val="324"/>
    <w:uiPriority w:val="0"/>
    <w:rPr>
      <w:rFonts w:ascii="Times New Roman" w:hAnsi="Times New Roman"/>
      <w:snapToGrid w:val="0"/>
      <w:color w:val="000000"/>
      <w:sz w:val="24"/>
      <w:szCs w:val="22"/>
      <w:lang w:eastAsia="en-US" w:bidi="en-US"/>
    </w:rPr>
  </w:style>
  <w:style w:type="paragraph" w:customStyle="1" w:styleId="324">
    <w:name w:val="正文(首行缩进)"/>
    <w:basedOn w:val="1"/>
    <w:link w:val="323"/>
    <w:qFormat/>
    <w:uiPriority w:val="0"/>
    <w:pPr>
      <w:ind w:firstLine="540" w:firstLineChars="225"/>
    </w:pPr>
    <w:rPr>
      <w:snapToGrid w:val="0"/>
      <w:color w:val="000000"/>
    </w:rPr>
  </w:style>
  <w:style w:type="character" w:customStyle="1" w:styleId="325">
    <w:name w:val="样式5 Char Char"/>
    <w:uiPriority w:val="0"/>
    <w:rPr>
      <w:rFonts w:ascii="宋体" w:hAnsi="宋体" w:eastAsia="宋体"/>
      <w:bCs/>
      <w:snapToGrid w:val="0"/>
      <w:color w:val="000000"/>
      <w:sz w:val="24"/>
      <w:szCs w:val="24"/>
      <w:lang w:val="en-US" w:eastAsia="zh-CN" w:bidi="ar-SA"/>
    </w:rPr>
  </w:style>
  <w:style w:type="character" w:customStyle="1" w:styleId="326">
    <w:name w:val="付正文1 Char Char"/>
    <w:link w:val="327"/>
    <w:qFormat/>
    <w:uiPriority w:val="0"/>
    <w:rPr>
      <w:rFonts w:ascii="宋体" w:hAnsi="宋体" w:cs="Arial"/>
      <w:color w:val="000000"/>
      <w:kern w:val="2"/>
      <w:sz w:val="24"/>
      <w:szCs w:val="24"/>
    </w:rPr>
  </w:style>
  <w:style w:type="paragraph" w:customStyle="1" w:styleId="327">
    <w:name w:val="付正文1"/>
    <w:basedOn w:val="301"/>
    <w:next w:val="301"/>
    <w:link w:val="326"/>
    <w:uiPriority w:val="0"/>
  </w:style>
  <w:style w:type="character" w:customStyle="1" w:styleId="328">
    <w:name w:val="样式9 Char Char"/>
    <w:link w:val="329"/>
    <w:qFormat/>
    <w:uiPriority w:val="0"/>
    <w:rPr>
      <w:rFonts w:eastAsia="宋体"/>
      <w:kern w:val="2"/>
      <w:sz w:val="24"/>
      <w:szCs w:val="24"/>
      <w:lang w:val="en-US" w:eastAsia="zh-CN" w:bidi="ar-SA"/>
    </w:rPr>
  </w:style>
  <w:style w:type="paragraph" w:customStyle="1" w:styleId="329">
    <w:name w:val="样式9"/>
    <w:basedOn w:val="1"/>
    <w:link w:val="328"/>
    <w:qFormat/>
    <w:uiPriority w:val="0"/>
    <w:pPr>
      <w:ind w:firstLine="480"/>
    </w:pPr>
    <w:rPr>
      <w:rFonts w:ascii="Calibri" w:hAnsi="Calibri"/>
      <w:kern w:val="2"/>
      <w:szCs w:val="24"/>
      <w:lang w:eastAsia="zh-CN" w:bidi="ar-SA"/>
    </w:rPr>
  </w:style>
  <w:style w:type="character" w:customStyle="1" w:styleId="330">
    <w:name w:val="no Char Char"/>
    <w:link w:val="331"/>
    <w:qFormat/>
    <w:uiPriority w:val="0"/>
    <w:rPr>
      <w:rFonts w:ascii="宋体" w:hAnsi="宋体"/>
      <w:bCs/>
      <w:spacing w:val="10"/>
      <w:kern w:val="24"/>
      <w:sz w:val="24"/>
      <w:szCs w:val="24"/>
      <w:lang w:val="en-GB"/>
    </w:rPr>
  </w:style>
  <w:style w:type="paragraph" w:customStyle="1" w:styleId="331">
    <w:name w:val="no"/>
    <w:basedOn w:val="28"/>
    <w:link w:val="330"/>
    <w:qFormat/>
    <w:uiPriority w:val="0"/>
    <w:pPr>
      <w:spacing w:afterLines="50" w:line="520" w:lineRule="exact"/>
      <w:ind w:firstLine="520"/>
    </w:pPr>
    <w:rPr>
      <w:rFonts w:ascii="宋体" w:hAnsi="宋体"/>
      <w:bCs/>
      <w:spacing w:val="10"/>
      <w:kern w:val="24"/>
      <w:sz w:val="24"/>
      <w:lang w:val="en-GB"/>
    </w:rPr>
  </w:style>
  <w:style w:type="character" w:customStyle="1" w:styleId="332">
    <w:name w:val="表号 Char1"/>
    <w:qFormat/>
    <w:uiPriority w:val="0"/>
    <w:rPr>
      <w:rFonts w:ascii="宋体" w:hAnsi="宋体" w:eastAsia="宋体"/>
      <w:sz w:val="24"/>
      <w:szCs w:val="24"/>
      <w:lang w:val="en-US" w:eastAsia="zh-CN" w:bidi="ar-SA"/>
    </w:rPr>
  </w:style>
  <w:style w:type="character" w:customStyle="1" w:styleId="333">
    <w:name w:val="列表 3 Char Char"/>
    <w:qFormat/>
    <w:uiPriority w:val="0"/>
    <w:rPr>
      <w:rFonts w:eastAsia="宋体"/>
      <w:kern w:val="2"/>
      <w:sz w:val="21"/>
      <w:szCs w:val="24"/>
      <w:lang w:val="en-US" w:eastAsia="zh-CN" w:bidi="ar-SA"/>
    </w:rPr>
  </w:style>
  <w:style w:type="character" w:customStyle="1" w:styleId="334">
    <w:name w:val="正文A Char Char"/>
    <w:link w:val="335"/>
    <w:qFormat/>
    <w:uiPriority w:val="0"/>
    <w:rPr>
      <w:rFonts w:ascii="宋体" w:hAnsi="宋体"/>
      <w:kern w:val="2"/>
      <w:sz w:val="24"/>
    </w:rPr>
  </w:style>
  <w:style w:type="paragraph" w:customStyle="1" w:styleId="335">
    <w:name w:val="正文A"/>
    <w:basedOn w:val="1"/>
    <w:link w:val="334"/>
    <w:qFormat/>
    <w:uiPriority w:val="0"/>
    <w:pPr>
      <w:spacing w:before="240" w:line="300" w:lineRule="auto"/>
      <w:ind w:firstLine="480"/>
    </w:pPr>
    <w:rPr>
      <w:rFonts w:ascii="宋体" w:hAnsi="宋体"/>
      <w:kern w:val="2"/>
      <w:szCs w:val="20"/>
      <w:lang w:bidi="ar-SA"/>
    </w:rPr>
  </w:style>
  <w:style w:type="character" w:customStyle="1" w:styleId="336">
    <w:name w:val="1表内容 Char Char"/>
    <w:link w:val="337"/>
    <w:qFormat/>
    <w:uiPriority w:val="0"/>
    <w:rPr>
      <w:rFonts w:ascii="Times New Roman" w:hAnsi="Times New Roman"/>
      <w:color w:val="0000FF"/>
      <w:kern w:val="2"/>
      <w:sz w:val="21"/>
      <w:szCs w:val="24"/>
    </w:rPr>
  </w:style>
  <w:style w:type="paragraph" w:customStyle="1" w:styleId="337">
    <w:name w:val="1表内容"/>
    <w:basedOn w:val="1"/>
    <w:link w:val="336"/>
    <w:qFormat/>
    <w:uiPriority w:val="0"/>
    <w:pPr>
      <w:tabs>
        <w:tab w:val="left" w:pos="0"/>
        <w:tab w:val="left" w:pos="7012"/>
      </w:tabs>
      <w:autoSpaceDE w:val="0"/>
      <w:autoSpaceDN w:val="0"/>
      <w:spacing w:line="240" w:lineRule="auto"/>
      <w:ind w:firstLine="0" w:firstLineChars="0"/>
      <w:jc w:val="center"/>
    </w:pPr>
    <w:rPr>
      <w:color w:val="0000FF"/>
      <w:kern w:val="2"/>
      <w:sz w:val="21"/>
      <w:szCs w:val="24"/>
      <w:lang w:bidi="ar-SA"/>
    </w:rPr>
  </w:style>
  <w:style w:type="character" w:customStyle="1" w:styleId="338">
    <w:name w:val="引用 Char"/>
    <w:link w:val="339"/>
    <w:qFormat/>
    <w:uiPriority w:val="0"/>
    <w:rPr>
      <w:i/>
      <w:iCs/>
      <w:color w:val="000000"/>
    </w:rPr>
  </w:style>
  <w:style w:type="paragraph" w:styleId="339">
    <w:name w:val="Quote"/>
    <w:basedOn w:val="1"/>
    <w:next w:val="1"/>
    <w:link w:val="338"/>
    <w:qFormat/>
    <w:uiPriority w:val="0"/>
    <w:rPr>
      <w:rFonts w:ascii="Calibri" w:hAnsi="Calibri"/>
      <w:i/>
      <w:iCs/>
      <w:color w:val="000000"/>
      <w:sz w:val="20"/>
      <w:szCs w:val="20"/>
      <w:lang w:bidi="ar-SA"/>
    </w:rPr>
  </w:style>
  <w:style w:type="character" w:customStyle="1" w:styleId="340">
    <w:name w:val="hb33 Char Char"/>
    <w:qFormat/>
    <w:uiPriority w:val="0"/>
    <w:rPr>
      <w:rFonts w:eastAsia="宋体" w:cs="宋体"/>
      <w:b/>
      <w:sz w:val="28"/>
      <w:szCs w:val="28"/>
      <w:lang w:val="en-US" w:eastAsia="zh-CN" w:bidi="ar-SA"/>
    </w:rPr>
  </w:style>
  <w:style w:type="character" w:customStyle="1" w:styleId="341">
    <w:name w:val="批注框文本 Char"/>
    <w:link w:val="46"/>
    <w:qFormat/>
    <w:uiPriority w:val="99"/>
    <w:rPr>
      <w:rFonts w:ascii="Times New Roman" w:hAnsi="Times New Roman"/>
      <w:sz w:val="18"/>
      <w:szCs w:val="18"/>
      <w:lang w:eastAsia="en-US" w:bidi="en-US"/>
    </w:rPr>
  </w:style>
  <w:style w:type="character" w:customStyle="1" w:styleId="342">
    <w:name w:val="环保正文 Char"/>
    <w:link w:val="343"/>
    <w:qFormat/>
    <w:uiPriority w:val="0"/>
    <w:rPr>
      <w:rFonts w:cs="宋体"/>
      <w:kern w:val="2"/>
      <w:sz w:val="24"/>
      <w:szCs w:val="24"/>
      <w:lang w:val="en-US" w:eastAsia="zh-CN" w:bidi="ar-SA"/>
    </w:rPr>
  </w:style>
  <w:style w:type="paragraph" w:customStyle="1" w:styleId="343">
    <w:name w:val="环保正文"/>
    <w:link w:val="342"/>
    <w:qFormat/>
    <w:uiPriority w:val="0"/>
    <w:pPr>
      <w:tabs>
        <w:tab w:val="left" w:pos="0"/>
        <w:tab w:val="left" w:pos="7012"/>
      </w:tabs>
      <w:autoSpaceDE w:val="0"/>
      <w:autoSpaceDN w:val="0"/>
      <w:spacing w:line="360" w:lineRule="auto"/>
      <w:ind w:firstLine="200" w:firstLineChars="200"/>
      <w:jc w:val="both"/>
    </w:pPr>
    <w:rPr>
      <w:rFonts w:ascii="Calibri" w:hAnsi="Calibri" w:eastAsia="宋体" w:cs="宋体"/>
      <w:kern w:val="2"/>
      <w:sz w:val="24"/>
      <w:szCs w:val="24"/>
      <w:lang w:val="en-US" w:eastAsia="zh-CN" w:bidi="ar-SA"/>
    </w:rPr>
  </w:style>
  <w:style w:type="character" w:customStyle="1" w:styleId="344">
    <w:name w:val="环保3级标题 Char Char"/>
    <w:link w:val="345"/>
    <w:qFormat/>
    <w:uiPriority w:val="0"/>
    <w:rPr>
      <w:b/>
      <w:bCs/>
      <w:kern w:val="2"/>
      <w:sz w:val="28"/>
      <w:szCs w:val="32"/>
      <w:lang w:bidi="ar-SA"/>
    </w:rPr>
  </w:style>
  <w:style w:type="paragraph" w:customStyle="1" w:styleId="345">
    <w:name w:val="环保3级标题"/>
    <w:basedOn w:val="1"/>
    <w:link w:val="344"/>
    <w:qFormat/>
    <w:uiPriority w:val="0"/>
    <w:pPr>
      <w:keepNext/>
      <w:keepLines/>
      <w:spacing w:before="120" w:after="120"/>
      <w:ind w:firstLine="0" w:firstLineChars="0"/>
      <w:jc w:val="left"/>
      <w:outlineLvl w:val="2"/>
    </w:pPr>
    <w:rPr>
      <w:rFonts w:ascii="Calibri" w:hAnsi="Calibri"/>
      <w:b/>
      <w:bCs/>
      <w:kern w:val="2"/>
      <w:sz w:val="28"/>
      <w:szCs w:val="32"/>
      <w:lang w:bidi="ar-SA"/>
    </w:rPr>
  </w:style>
  <w:style w:type="character" w:customStyle="1" w:styleId="346">
    <w:name w:val="环保2级标题 Char"/>
    <w:link w:val="347"/>
    <w:qFormat/>
    <w:uiPriority w:val="0"/>
    <w:rPr>
      <w:rFonts w:ascii="Times New Roman" w:hAnsi="Times New Roman"/>
      <w:b/>
      <w:bCs/>
      <w:sz w:val="32"/>
      <w:szCs w:val="32"/>
      <w:lang w:bidi="ar-SA"/>
    </w:rPr>
  </w:style>
  <w:style w:type="paragraph" w:customStyle="1" w:styleId="347">
    <w:name w:val="环保2级标题"/>
    <w:basedOn w:val="4"/>
    <w:link w:val="346"/>
    <w:qFormat/>
    <w:uiPriority w:val="0"/>
    <w:pPr>
      <w:spacing w:before="120" w:after="120"/>
      <w:jc w:val="left"/>
      <w:textAlignment w:val="baseline"/>
      <w:outlineLvl w:val="1"/>
    </w:pPr>
    <w:rPr>
      <w:sz w:val="32"/>
      <w:szCs w:val="32"/>
    </w:rPr>
  </w:style>
  <w:style w:type="paragraph" w:customStyle="1" w:styleId="348">
    <w:name w:val="正文2"/>
    <w:qFormat/>
    <w:uiPriority w:val="0"/>
    <w:pPr>
      <w:widowControl w:val="0"/>
      <w:adjustRightInd w:val="0"/>
      <w:spacing w:after="480" w:line="360" w:lineRule="atLeast"/>
      <w:textAlignment w:val="baseline"/>
    </w:pPr>
    <w:rPr>
      <w:rFonts w:ascii="宋体" w:hAnsi="Calibri" w:eastAsia="宋体" w:cs="Times New Roman"/>
      <w:sz w:val="24"/>
      <w:szCs w:val="22"/>
      <w:lang w:val="en-US" w:eastAsia="zh-CN" w:bidi="ar-SA"/>
    </w:rPr>
  </w:style>
  <w:style w:type="paragraph" w:customStyle="1" w:styleId="349">
    <w:name w:val="样式 标题 1 + 首行缩进:  0.99 厘米"/>
    <w:basedOn w:val="2"/>
    <w:next w:val="2"/>
    <w:qFormat/>
    <w:uiPriority w:val="0"/>
    <w:pPr>
      <w:spacing w:line="520" w:lineRule="exact"/>
      <w:ind w:firstLine="562" w:firstLineChars="50"/>
    </w:pPr>
    <w:rPr>
      <w:rFonts w:cs="宋体"/>
      <w:b w:val="0"/>
      <w:color w:val="000000"/>
      <w:sz w:val="21"/>
      <w:szCs w:val="21"/>
    </w:rPr>
  </w:style>
  <w:style w:type="paragraph" w:customStyle="1" w:styleId="350">
    <w:name w:val="正文 + (西文) 华文细黑"/>
    <w:basedOn w:val="1"/>
    <w:qFormat/>
    <w:uiPriority w:val="0"/>
    <w:pPr>
      <w:overflowPunct w:val="0"/>
      <w:adjustRightInd w:val="0"/>
      <w:jc w:val="center"/>
      <w:textAlignment w:val="baseline"/>
    </w:pPr>
    <w:rPr>
      <w:rFonts w:ascii="华文细黑" w:hAnsi="华文细黑"/>
      <w:b/>
    </w:rPr>
  </w:style>
  <w:style w:type="paragraph" w:customStyle="1" w:styleId="351">
    <w:name w:val="样式19"/>
    <w:basedOn w:val="1"/>
    <w:uiPriority w:val="0"/>
    <w:pPr>
      <w:spacing w:beforeLines="50" w:line="560" w:lineRule="atLeast"/>
      <w:ind w:firstLine="480"/>
    </w:pPr>
  </w:style>
  <w:style w:type="paragraph" w:customStyle="1" w:styleId="352">
    <w:name w:val="xl35"/>
    <w:basedOn w:val="1"/>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sz w:val="28"/>
      <w:szCs w:val="28"/>
    </w:rPr>
  </w:style>
  <w:style w:type="paragraph" w:customStyle="1" w:styleId="353">
    <w:name w:val="五级条标题"/>
    <w:basedOn w:val="354"/>
    <w:next w:val="1"/>
    <w:uiPriority w:val="0"/>
    <w:pPr>
      <w:tabs>
        <w:tab w:val="left" w:pos="360"/>
        <w:tab w:val="left" w:pos="903"/>
      </w:tabs>
      <w:outlineLvl w:val="6"/>
    </w:pPr>
  </w:style>
  <w:style w:type="paragraph" w:customStyle="1" w:styleId="354">
    <w:name w:val="四级条标题"/>
    <w:basedOn w:val="355"/>
    <w:next w:val="1"/>
    <w:qFormat/>
    <w:uiPriority w:val="0"/>
    <w:pPr>
      <w:tabs>
        <w:tab w:val="left" w:pos="360"/>
        <w:tab w:val="left" w:pos="903"/>
      </w:tabs>
      <w:outlineLvl w:val="5"/>
    </w:pPr>
  </w:style>
  <w:style w:type="paragraph" w:customStyle="1" w:styleId="355">
    <w:name w:val="三级条标题"/>
    <w:basedOn w:val="356"/>
    <w:next w:val="1"/>
    <w:uiPriority w:val="0"/>
    <w:pPr>
      <w:tabs>
        <w:tab w:val="left" w:pos="360"/>
        <w:tab w:val="left" w:pos="903"/>
      </w:tabs>
      <w:outlineLvl w:val="4"/>
    </w:pPr>
  </w:style>
  <w:style w:type="paragraph" w:customStyle="1" w:styleId="356">
    <w:name w:val="二级条标题"/>
    <w:basedOn w:val="357"/>
    <w:next w:val="1"/>
    <w:qFormat/>
    <w:uiPriority w:val="0"/>
    <w:pPr>
      <w:tabs>
        <w:tab w:val="left" w:pos="360"/>
        <w:tab w:val="left" w:pos="903"/>
      </w:tabs>
      <w:outlineLvl w:val="3"/>
    </w:pPr>
  </w:style>
  <w:style w:type="paragraph" w:customStyle="1" w:styleId="357">
    <w:name w:val="一级条标题"/>
    <w:basedOn w:val="358"/>
    <w:next w:val="1"/>
    <w:uiPriority w:val="0"/>
    <w:pPr>
      <w:tabs>
        <w:tab w:val="left" w:pos="360"/>
        <w:tab w:val="left" w:pos="903"/>
      </w:tabs>
      <w:spacing w:before="0" w:after="0"/>
      <w:ind w:left="0" w:firstLine="0"/>
      <w:outlineLvl w:val="2"/>
    </w:pPr>
  </w:style>
  <w:style w:type="paragraph" w:customStyle="1" w:styleId="358">
    <w:name w:val="章标题"/>
    <w:next w:val="1"/>
    <w:uiPriority w:val="0"/>
    <w:pPr>
      <w:tabs>
        <w:tab w:val="left" w:pos="903"/>
      </w:tabs>
      <w:spacing w:before="50" w:after="50"/>
      <w:ind w:left="903" w:hanging="315"/>
      <w:jc w:val="both"/>
      <w:outlineLvl w:val="1"/>
    </w:pPr>
    <w:rPr>
      <w:rFonts w:ascii="黑体" w:hAnsi="Times New Roman" w:eastAsia="黑体" w:cs="Times New Roman"/>
      <w:sz w:val="21"/>
      <w:lang w:val="en-US" w:eastAsia="zh-CN" w:bidi="ar-SA"/>
    </w:rPr>
  </w:style>
  <w:style w:type="paragraph" w:styleId="359">
    <w:name w:val="List Paragraph"/>
    <w:basedOn w:val="1"/>
    <w:qFormat/>
    <w:uiPriority w:val="0"/>
    <w:pPr>
      <w:ind w:left="720"/>
      <w:contextualSpacing/>
    </w:pPr>
  </w:style>
  <w:style w:type="paragraph" w:customStyle="1" w:styleId="360">
    <w:name w:val="样式7"/>
    <w:basedOn w:val="1"/>
    <w:uiPriority w:val="0"/>
    <w:pPr>
      <w:spacing w:line="560" w:lineRule="exact"/>
      <w:ind w:firstLine="560"/>
    </w:pPr>
    <w:rPr>
      <w:rFonts w:ascii="宋体" w:hAnsi="宋体" w:eastAsia="华文行楷"/>
      <w:i/>
      <w:sz w:val="28"/>
      <w:szCs w:val="28"/>
    </w:rPr>
  </w:style>
  <w:style w:type="paragraph" w:customStyle="1" w:styleId="361">
    <w:name w:val="xl42"/>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sz w:val="28"/>
      <w:szCs w:val="28"/>
    </w:rPr>
  </w:style>
  <w:style w:type="paragraph" w:customStyle="1" w:styleId="362">
    <w:name w:val="样式 样式 标题 2 + 首行缩进:  2 字符2 + 首行缩进:  2 字符"/>
    <w:basedOn w:val="1"/>
    <w:qFormat/>
    <w:uiPriority w:val="0"/>
    <w:pPr>
      <w:keepNext/>
      <w:keepLines/>
      <w:spacing w:before="140" w:after="140" w:line="400" w:lineRule="exact"/>
      <w:outlineLvl w:val="1"/>
    </w:pPr>
    <w:rPr>
      <w:rFonts w:cs="宋体"/>
      <w:b/>
      <w:bCs/>
      <w:sz w:val="28"/>
      <w:szCs w:val="20"/>
    </w:rPr>
  </w:style>
  <w:style w:type="paragraph" w:customStyle="1" w:styleId="363">
    <w:name w:val="表格式"/>
    <w:basedOn w:val="56"/>
    <w:qFormat/>
    <w:uiPriority w:val="0"/>
    <w:pPr>
      <w:spacing w:before="100" w:afterLines="150" w:line="240" w:lineRule="atLeast"/>
      <w:ind w:left="0" w:firstLine="0"/>
      <w:jc w:val="center"/>
    </w:pPr>
    <w:rPr>
      <w:b/>
      <w:color w:val="000000"/>
      <w:szCs w:val="20"/>
    </w:rPr>
  </w:style>
  <w:style w:type="paragraph" w:customStyle="1" w:styleId="364">
    <w:name w:val="xl51"/>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sz w:val="28"/>
      <w:szCs w:val="28"/>
    </w:rPr>
  </w:style>
  <w:style w:type="paragraph" w:customStyle="1" w:styleId="365">
    <w:name w:val="jj标题3"/>
    <w:basedOn w:val="4"/>
    <w:next w:val="24"/>
    <w:qFormat/>
    <w:uiPriority w:val="0"/>
    <w:pPr>
      <w:keepLines w:val="0"/>
      <w:widowControl/>
    </w:pPr>
    <w:rPr>
      <w:rFonts w:ascii="宋体" w:hAnsi="宋体"/>
      <w:b w:val="0"/>
      <w:szCs w:val="28"/>
    </w:rPr>
  </w:style>
  <w:style w:type="paragraph" w:customStyle="1" w:styleId="366">
    <w:name w:val="jj-图表标题"/>
    <w:next w:val="367"/>
    <w:qFormat/>
    <w:uiPriority w:val="0"/>
    <w:pPr>
      <w:snapToGrid w:val="0"/>
      <w:spacing w:beforeLines="50" w:after="480" w:line="276" w:lineRule="auto"/>
      <w:jc w:val="center"/>
    </w:pPr>
    <w:rPr>
      <w:rFonts w:ascii="Calibri" w:hAnsi="Calibri" w:eastAsia="宋体" w:cs="Times New Roman"/>
      <w:b/>
      <w:color w:val="000000"/>
      <w:kern w:val="2"/>
      <w:sz w:val="24"/>
      <w:szCs w:val="24"/>
      <w:lang w:val="en-US" w:eastAsia="zh-CN" w:bidi="ar-SA"/>
    </w:rPr>
  </w:style>
  <w:style w:type="paragraph" w:customStyle="1" w:styleId="367">
    <w:name w:val="jj--正文"/>
    <w:qFormat/>
    <w:uiPriority w:val="0"/>
    <w:pPr>
      <w:spacing w:after="480" w:line="360" w:lineRule="auto"/>
      <w:ind w:firstLine="200" w:firstLineChars="200"/>
      <w:jc w:val="both"/>
      <w:textAlignment w:val="center"/>
    </w:pPr>
    <w:rPr>
      <w:rFonts w:ascii="Calibri" w:hAnsi="Calibri" w:eastAsia="宋体" w:cs="Times New Roman"/>
      <w:kern w:val="2"/>
      <w:sz w:val="24"/>
      <w:szCs w:val="21"/>
      <w:lang w:val="en-US" w:eastAsia="zh-CN" w:bidi="ar-SA"/>
    </w:rPr>
  </w:style>
  <w:style w:type="paragraph" w:customStyle="1" w:styleId="368">
    <w:name w:val="font10"/>
    <w:basedOn w:val="1"/>
    <w:qFormat/>
    <w:uiPriority w:val="0"/>
    <w:pPr>
      <w:widowControl/>
      <w:spacing w:before="100" w:beforeAutospacing="1" w:after="100" w:afterAutospacing="1"/>
      <w:jc w:val="left"/>
    </w:pPr>
    <w:rPr>
      <w:rFonts w:hint="eastAsia" w:ascii="宋体" w:hAnsi="宋体"/>
      <w:sz w:val="28"/>
      <w:szCs w:val="28"/>
    </w:rPr>
  </w:style>
  <w:style w:type="paragraph" w:customStyle="1" w:styleId="369">
    <w:name w:val="档案号内容"/>
    <w:basedOn w:val="1"/>
    <w:qFormat/>
    <w:uiPriority w:val="0"/>
    <w:pPr>
      <w:spacing w:beforeLines="100" w:line="480" w:lineRule="exact"/>
      <w:jc w:val="center"/>
    </w:pPr>
    <w:rPr>
      <w:sz w:val="32"/>
      <w:szCs w:val="32"/>
    </w:rPr>
  </w:style>
  <w:style w:type="paragraph" w:customStyle="1" w:styleId="370">
    <w:name w:val="表格后样式"/>
    <w:basedOn w:val="1"/>
    <w:qFormat/>
    <w:uiPriority w:val="0"/>
    <w:pPr>
      <w:ind w:firstLine="480"/>
    </w:pPr>
    <w:rPr>
      <w:rFonts w:ascii="宋体" w:hAnsi="宋体" w:cs="Courier New"/>
      <w:color w:val="000000"/>
    </w:rPr>
  </w:style>
  <w:style w:type="paragraph" w:customStyle="1" w:styleId="371">
    <w:name w:val="TOC Heading"/>
    <w:basedOn w:val="2"/>
    <w:next w:val="1"/>
    <w:qFormat/>
    <w:uiPriority w:val="0"/>
    <w:pPr>
      <w:outlineLvl w:val="9"/>
    </w:pPr>
  </w:style>
  <w:style w:type="paragraph" w:customStyle="1" w:styleId="372">
    <w:name w:val="样式 标题 1 + 行距: 单倍行距"/>
    <w:next w:val="1"/>
    <w:qFormat/>
    <w:uiPriority w:val="0"/>
    <w:pPr>
      <w:spacing w:after="480" w:line="276" w:lineRule="auto"/>
    </w:pPr>
    <w:rPr>
      <w:rFonts w:ascii="Calibri" w:hAnsi="Calibri" w:eastAsia="宋体" w:cs="宋体"/>
      <w:b/>
      <w:bCs/>
      <w:kern w:val="44"/>
      <w:sz w:val="32"/>
      <w:szCs w:val="44"/>
      <w:lang w:val="en-US" w:eastAsia="zh-CN" w:bidi="ar-SA"/>
    </w:rPr>
  </w:style>
  <w:style w:type="paragraph" w:customStyle="1" w:styleId="373">
    <w:name w:val="4"/>
    <w:basedOn w:val="1"/>
    <w:next w:val="28"/>
    <w:qFormat/>
    <w:uiPriority w:val="0"/>
    <w:pPr>
      <w:spacing w:line="360" w:lineRule="exact"/>
      <w:ind w:firstLine="0" w:firstLineChars="0"/>
    </w:pPr>
    <w:rPr>
      <w:kern w:val="2"/>
      <w:sz w:val="21"/>
      <w:szCs w:val="20"/>
      <w:lang w:eastAsia="zh-CN" w:bidi="ar-SA"/>
    </w:rPr>
  </w:style>
  <w:style w:type="paragraph" w:customStyle="1" w:styleId="374">
    <w:name w:val="正文 + 行距: 最小值 22 磅"/>
    <w:basedOn w:val="1"/>
    <w:qFormat/>
    <w:uiPriority w:val="0"/>
    <w:pPr>
      <w:snapToGrid w:val="0"/>
      <w:spacing w:line="400" w:lineRule="atLeast"/>
    </w:pPr>
    <w:rPr>
      <w:szCs w:val="20"/>
    </w:rPr>
  </w:style>
  <w:style w:type="paragraph" w:customStyle="1" w:styleId="375">
    <w:name w:val="样式10"/>
    <w:basedOn w:val="38"/>
    <w:qFormat/>
    <w:uiPriority w:val="0"/>
    <w:pPr>
      <w:topLinePunct/>
    </w:pPr>
    <w:rPr>
      <w:rFonts w:cs="Times New Roman"/>
      <w:b/>
      <w:sz w:val="28"/>
      <w:szCs w:val="20"/>
    </w:rPr>
  </w:style>
  <w:style w:type="paragraph" w:customStyle="1" w:styleId="376">
    <w:name w:val="标题3"/>
    <w:basedOn w:val="4"/>
    <w:qFormat/>
    <w:uiPriority w:val="0"/>
    <w:rPr>
      <w:szCs w:val="32"/>
    </w:rPr>
  </w:style>
  <w:style w:type="paragraph" w:customStyle="1" w:styleId="377">
    <w:name w:val="框图（五号）"/>
    <w:basedOn w:val="1"/>
    <w:qFormat/>
    <w:uiPriority w:val="0"/>
    <w:pPr>
      <w:spacing w:line="240" w:lineRule="exact"/>
      <w:ind w:firstLine="0" w:firstLineChars="0"/>
      <w:jc w:val="center"/>
    </w:pPr>
    <w:rPr>
      <w:kern w:val="2"/>
      <w:sz w:val="21"/>
      <w:szCs w:val="24"/>
      <w:lang w:eastAsia="zh-CN" w:bidi="ar-SA"/>
    </w:rPr>
  </w:style>
  <w:style w:type="paragraph" w:customStyle="1" w:styleId="378">
    <w:name w:val="样式 首行缩进:  2 字符 行距: 固定值 15 磅"/>
    <w:basedOn w:val="1"/>
    <w:qFormat/>
    <w:uiPriority w:val="0"/>
    <w:pPr>
      <w:spacing w:line="400" w:lineRule="exact"/>
      <w:ind w:firstLine="560"/>
    </w:pPr>
    <w:rPr>
      <w:sz w:val="28"/>
      <w:szCs w:val="28"/>
    </w:rPr>
  </w:style>
  <w:style w:type="paragraph" w:customStyle="1" w:styleId="379">
    <w:name w:val="正文样式11"/>
    <w:basedOn w:val="1"/>
    <w:qFormat/>
    <w:uiPriority w:val="0"/>
    <w:pPr>
      <w:keepNext/>
      <w:spacing w:line="240" w:lineRule="auto"/>
      <w:ind w:firstLine="480" w:firstLineChars="0"/>
      <w:jc w:val="center"/>
    </w:pPr>
    <w:rPr>
      <w:b/>
      <w:szCs w:val="24"/>
      <w:lang w:eastAsia="zh-CN" w:bidi="ar-SA"/>
    </w:rPr>
  </w:style>
  <w:style w:type="paragraph" w:customStyle="1" w:styleId="380">
    <w:name w:val="标1"/>
    <w:basedOn w:val="2"/>
    <w:qFormat/>
    <w:uiPriority w:val="0"/>
    <w:pPr>
      <w:keepNext w:val="0"/>
      <w:keepLines w:val="0"/>
      <w:spacing w:before="60" w:after="60"/>
      <w:jc w:val="left"/>
    </w:pPr>
    <w:rPr>
      <w:rFonts w:cs="宋体"/>
      <w:kern w:val="2"/>
      <w:szCs w:val="20"/>
    </w:rPr>
  </w:style>
  <w:style w:type="paragraph" w:customStyle="1" w:styleId="381">
    <w:name w:val="Char1 Char Char Char"/>
    <w:basedOn w:val="1"/>
    <w:qFormat/>
    <w:uiPriority w:val="0"/>
  </w:style>
  <w:style w:type="paragraph" w:customStyle="1" w:styleId="382">
    <w:name w:val="xl50"/>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sz w:val="28"/>
      <w:szCs w:val="28"/>
    </w:rPr>
  </w:style>
  <w:style w:type="paragraph" w:customStyle="1" w:styleId="383">
    <w:name w:val="lxb正文 Char Char Char"/>
    <w:basedOn w:val="1"/>
    <w:next w:val="43"/>
    <w:uiPriority w:val="0"/>
    <w:pPr>
      <w:ind w:firstLine="480"/>
    </w:pPr>
  </w:style>
  <w:style w:type="paragraph" w:customStyle="1" w:styleId="384">
    <w:name w:val="正文段落（song1375）"/>
    <w:basedOn w:val="1"/>
    <w:qFormat/>
    <w:uiPriority w:val="0"/>
    <w:pPr>
      <w:jc w:val="left"/>
    </w:pPr>
    <w:rPr>
      <w:snapToGrid w:val="0"/>
      <w:szCs w:val="24"/>
      <w:lang w:eastAsia="zh-CN" w:bidi="ar-SA"/>
    </w:rPr>
  </w:style>
  <w:style w:type="paragraph" w:customStyle="1" w:styleId="385">
    <w:name w:val="样式 样式 首行缩进:  2 字符 + (符号) 宋体"/>
    <w:basedOn w:val="1"/>
    <w:uiPriority w:val="0"/>
    <w:pPr>
      <w:keepNext/>
      <w:keepLines/>
      <w:topLinePunct/>
      <w:ind w:firstLine="480"/>
      <w:outlineLvl w:val="1"/>
    </w:pPr>
    <w:rPr>
      <w:rFonts w:ascii="Arial" w:hAnsi="Arial" w:cs="宋体"/>
    </w:rPr>
  </w:style>
  <w:style w:type="paragraph" w:customStyle="1" w:styleId="386">
    <w:name w:val="样式 标题 1Part§1.my标题1 + 段前: 0.5 行 段后: 0.5 行"/>
    <w:basedOn w:val="2"/>
    <w:qFormat/>
    <w:uiPriority w:val="0"/>
    <w:pPr>
      <w:keepNext w:val="0"/>
      <w:keepLines w:val="0"/>
      <w:tabs>
        <w:tab w:val="left" w:pos="420"/>
      </w:tabs>
      <w:spacing w:beforeLines="50" w:afterLines="50" w:line="480" w:lineRule="auto"/>
      <w:ind w:left="420" w:hanging="420"/>
      <w:jc w:val="center"/>
    </w:pPr>
    <w:rPr>
      <w:rFonts w:cs="宋体"/>
      <w:caps/>
      <w:color w:val="000000"/>
      <w:kern w:val="2"/>
      <w:sz w:val="24"/>
      <w:szCs w:val="20"/>
      <w:lang w:val="en-GB" w:eastAsia="zh-CN" w:bidi="ar-SA"/>
    </w:rPr>
  </w:style>
  <w:style w:type="paragraph" w:customStyle="1" w:styleId="387">
    <w:name w:val="xl31"/>
    <w:basedOn w:val="1"/>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sz w:val="28"/>
      <w:szCs w:val="28"/>
    </w:rPr>
  </w:style>
  <w:style w:type="paragraph" w:customStyle="1" w:styleId="388">
    <w:name w:val="前言、引言标题"/>
    <w:next w:val="1"/>
    <w:uiPriority w:val="0"/>
    <w:pPr>
      <w:shd w:val="clear" w:color="FFFFFF" w:fill="FFFFFF"/>
      <w:tabs>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389">
    <w:name w:val="4级"/>
    <w:basedOn w:val="5"/>
    <w:next w:val="1"/>
    <w:uiPriority w:val="0"/>
    <w:pPr>
      <w:adjustRightInd w:val="0"/>
      <w:snapToGrid w:val="0"/>
      <w:spacing w:beforeLines="50"/>
      <w:ind w:firstLine="0" w:firstLineChars="0"/>
    </w:pPr>
    <w:rPr>
      <w:rFonts w:ascii="Arial" w:hAnsi="Arial"/>
      <w:b w:val="0"/>
      <w:i w:val="0"/>
      <w:iCs w:val="0"/>
      <w:color w:val="auto"/>
      <w:kern w:val="2"/>
      <w:szCs w:val="28"/>
      <w:lang w:eastAsia="zh-CN"/>
    </w:rPr>
  </w:style>
  <w:style w:type="paragraph" w:customStyle="1" w:styleId="390">
    <w:name w:val="font7"/>
    <w:basedOn w:val="1"/>
    <w:uiPriority w:val="0"/>
    <w:pPr>
      <w:widowControl/>
      <w:spacing w:before="100" w:beforeAutospacing="1" w:after="100" w:afterAutospacing="1"/>
      <w:jc w:val="left"/>
    </w:pPr>
    <w:rPr>
      <w:sz w:val="36"/>
      <w:szCs w:val="36"/>
    </w:rPr>
  </w:style>
  <w:style w:type="paragraph" w:customStyle="1" w:styleId="391">
    <w:name w:val="简单回函地址"/>
    <w:basedOn w:val="1"/>
    <w:uiPriority w:val="0"/>
    <w:rPr>
      <w:rFonts w:ascii="宋体" w:hAnsi="宋体"/>
    </w:rPr>
  </w:style>
  <w:style w:type="paragraph" w:customStyle="1" w:styleId="392">
    <w:name w:val="xl45"/>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sz w:val="28"/>
      <w:szCs w:val="28"/>
    </w:rPr>
  </w:style>
  <w:style w:type="paragraph" w:customStyle="1" w:styleId="393">
    <w:name w:val="表字"/>
    <w:basedOn w:val="1"/>
    <w:qFormat/>
    <w:uiPriority w:val="0"/>
    <w:pPr>
      <w:adjustRightInd w:val="0"/>
      <w:snapToGrid w:val="0"/>
      <w:spacing w:line="240" w:lineRule="atLeast"/>
      <w:jc w:val="center"/>
    </w:pPr>
    <w:rPr>
      <w:rFonts w:ascii="宋体" w:hAnsi="宋体"/>
    </w:rPr>
  </w:style>
  <w:style w:type="paragraph" w:customStyle="1" w:styleId="394">
    <w:name w:val="图形中文字"/>
    <w:basedOn w:val="1"/>
    <w:qFormat/>
    <w:uiPriority w:val="0"/>
    <w:pPr>
      <w:autoSpaceDE w:val="0"/>
      <w:autoSpaceDN w:val="0"/>
      <w:adjustRightInd w:val="0"/>
      <w:spacing w:line="240" w:lineRule="auto"/>
      <w:ind w:firstLine="0" w:firstLineChars="0"/>
      <w:jc w:val="center"/>
    </w:pPr>
    <w:rPr>
      <w:rFonts w:ascii="宋体" w:hAnsi="Tms Rmn"/>
      <w:szCs w:val="20"/>
      <w:lang w:eastAsia="zh-CN" w:bidi="ar-SA"/>
    </w:rPr>
  </w:style>
  <w:style w:type="paragraph" w:customStyle="1" w:styleId="395">
    <w:name w:val="表内字"/>
    <w:qFormat/>
    <w:uiPriority w:val="0"/>
    <w:pPr>
      <w:spacing w:line="312" w:lineRule="auto"/>
      <w:jc w:val="center"/>
    </w:pPr>
    <w:rPr>
      <w:rFonts w:ascii="Times New Roman" w:hAnsi="Times New Roman" w:eastAsia="宋体" w:cs="Times New Roman"/>
      <w:color w:val="000000"/>
      <w:sz w:val="21"/>
      <w:lang w:val="en-US" w:eastAsia="zh-CN" w:bidi="ar-SA"/>
    </w:rPr>
  </w:style>
  <w:style w:type="paragraph" w:customStyle="1" w:styleId="396">
    <w:name w:val="样式 hb4 + 段前: 0.5 行 段后: 0.5 行"/>
    <w:basedOn w:val="1"/>
    <w:next w:val="1"/>
    <w:qFormat/>
    <w:uiPriority w:val="0"/>
    <w:pPr>
      <w:keepNext/>
      <w:keepLines/>
      <w:topLinePunct/>
      <w:outlineLvl w:val="3"/>
    </w:pPr>
    <w:rPr>
      <w:rFonts w:ascii="宋体" w:hAnsi="宋体"/>
      <w:szCs w:val="20"/>
    </w:rPr>
  </w:style>
  <w:style w:type="paragraph" w:customStyle="1" w:styleId="397">
    <w:name w:val="正文四级"/>
    <w:basedOn w:val="1"/>
    <w:qFormat/>
    <w:uiPriority w:val="0"/>
    <w:pPr>
      <w:tabs>
        <w:tab w:val="left" w:pos="1022"/>
      </w:tabs>
      <w:ind w:left="1022" w:hanging="420"/>
      <w:jc w:val="left"/>
      <w:outlineLvl w:val="3"/>
    </w:pPr>
    <w:rPr>
      <w:b/>
      <w:sz w:val="30"/>
    </w:rPr>
  </w:style>
  <w:style w:type="paragraph" w:customStyle="1" w:styleId="398">
    <w:name w:val="表格（窄）"/>
    <w:basedOn w:val="1"/>
    <w:qFormat/>
    <w:uiPriority w:val="0"/>
    <w:pPr>
      <w:spacing w:line="240" w:lineRule="auto"/>
      <w:ind w:firstLine="0" w:firstLineChars="0"/>
      <w:jc w:val="center"/>
    </w:pPr>
    <w:rPr>
      <w:sz w:val="21"/>
      <w:szCs w:val="24"/>
      <w:lang w:eastAsia="zh-CN" w:bidi="ar-SA"/>
    </w:rPr>
  </w:style>
  <w:style w:type="paragraph" w:customStyle="1" w:styleId="399">
    <w:name w:val="於"/>
    <w:basedOn w:val="1"/>
    <w:qFormat/>
    <w:uiPriority w:val="0"/>
    <w:pPr>
      <w:ind w:firstLine="600"/>
    </w:pPr>
    <w:rPr>
      <w:sz w:val="30"/>
      <w:szCs w:val="20"/>
    </w:rPr>
  </w:style>
  <w:style w:type="paragraph" w:customStyle="1" w:styleId="400">
    <w:name w:val="样式"/>
    <w:basedOn w:val="1"/>
    <w:next w:val="38"/>
    <w:qFormat/>
    <w:uiPriority w:val="0"/>
    <w:rPr>
      <w:rFonts w:ascii="宋体" w:hAnsi="Courier New"/>
      <w:szCs w:val="20"/>
    </w:rPr>
  </w:style>
  <w:style w:type="paragraph" w:customStyle="1" w:styleId="401">
    <w:name w:val="样式 小四 居中 首行缩进:  2 字符"/>
    <w:basedOn w:val="1"/>
    <w:qFormat/>
    <w:uiPriority w:val="0"/>
    <w:pPr>
      <w:jc w:val="center"/>
    </w:pPr>
    <w:rPr>
      <w:snapToGrid w:val="0"/>
      <w:szCs w:val="20"/>
    </w:rPr>
  </w:style>
  <w:style w:type="paragraph" w:customStyle="1" w:styleId="402">
    <w:name w:val="表内容xxq"/>
    <w:basedOn w:val="1"/>
    <w:uiPriority w:val="0"/>
    <w:pPr>
      <w:adjustRightInd w:val="0"/>
      <w:snapToGrid w:val="0"/>
      <w:spacing w:beforeLines="50" w:line="300" w:lineRule="auto"/>
      <w:ind w:firstLine="480"/>
      <w:jc w:val="center"/>
    </w:pPr>
    <w:rPr>
      <w:rFonts w:hAnsi="宋体"/>
      <w:snapToGrid w:val="0"/>
      <w:color w:val="000000"/>
      <w:szCs w:val="20"/>
      <w:lang w:eastAsia="zh-CN" w:bidi="ar-SA"/>
    </w:rPr>
  </w:style>
  <w:style w:type="paragraph" w:customStyle="1" w:styleId="403">
    <w:name w:val="标题样式2"/>
    <w:basedOn w:val="3"/>
    <w:qFormat/>
    <w:uiPriority w:val="0"/>
    <w:pPr>
      <w:jc w:val="left"/>
      <w:textAlignment w:val="baseline"/>
    </w:pPr>
    <w:rPr>
      <w:bCs w:val="0"/>
    </w:rPr>
  </w:style>
  <w:style w:type="paragraph" w:customStyle="1" w:styleId="404">
    <w:name w:val="表格（宽）"/>
    <w:basedOn w:val="1"/>
    <w:qFormat/>
    <w:uiPriority w:val="0"/>
    <w:pPr>
      <w:adjustRightInd w:val="0"/>
      <w:spacing w:line="360" w:lineRule="atLeast"/>
      <w:ind w:firstLine="0" w:firstLineChars="0"/>
      <w:jc w:val="center"/>
      <w:textAlignment w:val="baseline"/>
    </w:pPr>
    <w:rPr>
      <w:sz w:val="21"/>
      <w:szCs w:val="20"/>
      <w:lang w:eastAsia="zh-CN" w:bidi="ar-SA"/>
    </w:rPr>
  </w:style>
  <w:style w:type="paragraph" w:customStyle="1" w:styleId="405">
    <w:name w:val="样式20"/>
    <w:basedOn w:val="4"/>
    <w:qFormat/>
    <w:uiPriority w:val="0"/>
    <w:pPr>
      <w:spacing w:before="260" w:after="260"/>
    </w:pPr>
    <w:rPr>
      <w:szCs w:val="28"/>
    </w:rPr>
  </w:style>
  <w:style w:type="paragraph" w:customStyle="1" w:styleId="406">
    <w:name w:val="王表头"/>
    <w:basedOn w:val="1"/>
    <w:qFormat/>
    <w:uiPriority w:val="0"/>
    <w:pPr>
      <w:widowControl/>
      <w:adjustRightInd w:val="0"/>
      <w:snapToGrid w:val="0"/>
      <w:spacing w:line="560" w:lineRule="exact"/>
      <w:ind w:firstLine="480"/>
      <w:jc w:val="center"/>
    </w:pPr>
    <w:rPr>
      <w:rFonts w:eastAsia="黑体"/>
      <w:color w:val="000000"/>
      <w:kern w:val="44"/>
      <w:szCs w:val="20"/>
    </w:rPr>
  </w:style>
  <w:style w:type="paragraph" w:customStyle="1" w:styleId="407">
    <w:name w:val="xl25"/>
    <w:basedOn w:val="1"/>
    <w:qFormat/>
    <w:uiPriority w:val="0"/>
    <w:pPr>
      <w:widowControl/>
      <w:pBdr>
        <w:left w:val="single" w:color="auto" w:sz="4" w:space="0"/>
        <w:bottom w:val="single" w:color="auto" w:sz="4" w:space="0"/>
        <w:right w:val="single" w:color="auto" w:sz="4" w:space="0"/>
      </w:pBdr>
      <w:spacing w:before="100" w:beforeAutospacing="1" w:after="100" w:afterAutospacing="1" w:line="480" w:lineRule="exact"/>
      <w:jc w:val="center"/>
      <w:textAlignment w:val="center"/>
    </w:pPr>
    <w:rPr>
      <w:rFonts w:ascii="宋体" w:hAnsi="宋体"/>
    </w:rPr>
  </w:style>
  <w:style w:type="paragraph" w:customStyle="1" w:styleId="408">
    <w:name w:val="样式 标题 3条标题1.1.1BSH-3 + (中文) 黑体 玫瑰红 首行缩进:  2 字符 段前: 6 磅 段后:..."/>
    <w:basedOn w:val="4"/>
    <w:qFormat/>
    <w:uiPriority w:val="0"/>
    <w:pPr>
      <w:adjustRightInd w:val="0"/>
      <w:snapToGrid w:val="0"/>
      <w:spacing w:line="560" w:lineRule="exact"/>
    </w:pPr>
    <w:rPr>
      <w:rFonts w:cs="宋体"/>
      <w:b w:val="0"/>
      <w:bCs w:val="0"/>
      <w:color w:val="FF99CC"/>
      <w:szCs w:val="28"/>
    </w:rPr>
  </w:style>
  <w:style w:type="paragraph" w:customStyle="1" w:styleId="409">
    <w:name w:val="样式 正文首行缩进 + 首行缩进:  2 字符1"/>
    <w:basedOn w:val="74"/>
    <w:qFormat/>
    <w:uiPriority w:val="0"/>
    <w:pPr>
      <w:spacing w:after="0"/>
      <w:ind w:firstLine="480"/>
    </w:pPr>
  </w:style>
  <w:style w:type="paragraph" w:customStyle="1" w:styleId="410">
    <w:name w:val="样式 列表 + 黑色"/>
    <w:basedOn w:val="56"/>
    <w:qFormat/>
    <w:uiPriority w:val="0"/>
    <w:pPr>
      <w:spacing w:afterLines="150"/>
      <w:ind w:left="0" w:firstLine="0"/>
      <w:jc w:val="right"/>
    </w:pPr>
    <w:rPr>
      <w:rFonts w:ascii="黑体" w:eastAsia="黑体"/>
      <w:b/>
      <w:color w:val="000000"/>
    </w:rPr>
  </w:style>
  <w:style w:type="paragraph" w:customStyle="1" w:styleId="411">
    <w:name w:val="jj标题2"/>
    <w:basedOn w:val="3"/>
    <w:next w:val="1"/>
    <w:qFormat/>
    <w:uiPriority w:val="0"/>
    <w:pPr>
      <w:keepNext w:val="0"/>
      <w:keepLines w:val="0"/>
      <w:jc w:val="left"/>
    </w:pPr>
    <w:rPr>
      <w:rFonts w:ascii="宋体" w:hAnsi="宋体"/>
      <w:b w:val="0"/>
      <w:bCs w:val="0"/>
      <w:iCs/>
      <w:szCs w:val="28"/>
    </w:rPr>
  </w:style>
  <w:style w:type="paragraph" w:customStyle="1" w:styleId="412">
    <w:name w:val="样式 列表 + 段前: 0.5 行"/>
    <w:basedOn w:val="1"/>
    <w:qFormat/>
    <w:uiPriority w:val="0"/>
    <w:pPr>
      <w:spacing w:line="480" w:lineRule="exact"/>
      <w:ind w:firstLine="480"/>
    </w:pPr>
    <w:rPr>
      <w:rFonts w:ascii="黑体" w:hAnsi="宋体" w:eastAsia="黑体"/>
      <w:szCs w:val="32"/>
    </w:rPr>
  </w:style>
  <w:style w:type="paragraph" w:customStyle="1" w:styleId="413">
    <w:name w:val="样式 居中"/>
    <w:basedOn w:val="1"/>
    <w:qFormat/>
    <w:uiPriority w:val="0"/>
    <w:pPr>
      <w:spacing w:line="560" w:lineRule="exact"/>
      <w:jc w:val="center"/>
    </w:pPr>
    <w:rPr>
      <w:rFonts w:cs="宋体"/>
      <w:b/>
    </w:rPr>
  </w:style>
  <w:style w:type="paragraph" w:customStyle="1" w:styleId="414">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sz w:val="28"/>
      <w:szCs w:val="28"/>
    </w:rPr>
  </w:style>
  <w:style w:type="paragraph" w:customStyle="1" w:styleId="415">
    <w:name w:val="样式4"/>
    <w:basedOn w:val="1"/>
    <w:uiPriority w:val="0"/>
    <w:pPr>
      <w:spacing w:line="560" w:lineRule="exact"/>
      <w:ind w:firstLine="560"/>
    </w:pPr>
    <w:rPr>
      <w:rFonts w:ascii="宋体" w:hAnsi="宋体"/>
      <w:i/>
      <w:sz w:val="28"/>
      <w:szCs w:val="28"/>
    </w:rPr>
  </w:style>
  <w:style w:type="paragraph" w:customStyle="1" w:styleId="416">
    <w:name w:val="样式 标题 1文章标题-*+章标题 1章节标题标题2标题 1 Charb1heading 1H1Headin..."/>
    <w:basedOn w:val="2"/>
    <w:uiPriority w:val="0"/>
    <w:pPr>
      <w:spacing w:beforeLines="50" w:afterLines="50"/>
      <w:jc w:val="left"/>
    </w:pPr>
    <w:rPr>
      <w:rFonts w:hAnsi="宋体" w:cs="宋体"/>
      <w:bCs w:val="0"/>
    </w:rPr>
  </w:style>
  <w:style w:type="paragraph" w:customStyle="1" w:styleId="417">
    <w:name w:val="样式 样式 段前: 0.5 行 段后: 0.5 行 + 段前: 0.5 行 段后: 0.5 行"/>
    <w:basedOn w:val="1"/>
    <w:qFormat/>
    <w:uiPriority w:val="0"/>
    <w:pPr>
      <w:keepLines/>
      <w:snapToGrid w:val="0"/>
      <w:spacing w:before="50" w:after="50"/>
      <w:ind w:firstLine="7920" w:firstLineChars="1800"/>
      <w:jc w:val="center"/>
      <w:outlineLvl w:val="1"/>
    </w:pPr>
    <w:rPr>
      <w:rFonts w:ascii="宋体" w:hAnsi="宋体" w:cs="宋体"/>
      <w:b/>
      <w:bCs/>
      <w:color w:val="000000"/>
      <w:kern w:val="32"/>
      <w:sz w:val="44"/>
      <w:szCs w:val="44"/>
    </w:rPr>
  </w:style>
  <w:style w:type="paragraph" w:customStyle="1" w:styleId="418">
    <w:name w:val="正文样式3"/>
    <w:basedOn w:val="1"/>
    <w:uiPriority w:val="0"/>
    <w:pPr>
      <w:adjustRightInd w:val="0"/>
      <w:spacing w:line="20" w:lineRule="atLeast"/>
      <w:jc w:val="center"/>
      <w:textAlignment w:val="baseline"/>
    </w:pPr>
    <w:rPr>
      <w:szCs w:val="20"/>
    </w:rPr>
  </w:style>
  <w:style w:type="paragraph" w:customStyle="1" w:styleId="419">
    <w:name w:val="流程图"/>
    <w:basedOn w:val="1"/>
    <w:uiPriority w:val="0"/>
    <w:pPr>
      <w:tabs>
        <w:tab w:val="left" w:pos="0"/>
      </w:tabs>
      <w:autoSpaceDE w:val="0"/>
      <w:autoSpaceDN w:val="0"/>
      <w:adjustRightInd w:val="0"/>
      <w:spacing w:line="240" w:lineRule="atLeast"/>
      <w:jc w:val="center"/>
      <w:textAlignment w:val="bottom"/>
    </w:pPr>
    <w:rPr>
      <w:rFonts w:ascii="宋体"/>
      <w:szCs w:val="20"/>
    </w:rPr>
  </w:style>
  <w:style w:type="paragraph" w:customStyle="1" w:styleId="420">
    <w:name w:val="hb2"/>
    <w:basedOn w:val="3"/>
    <w:uiPriority w:val="0"/>
    <w:pPr>
      <w:topLinePunct/>
      <w:spacing w:before="260" w:after="260" w:line="416" w:lineRule="atLeast"/>
      <w:jc w:val="left"/>
      <w:textAlignment w:val="baseline"/>
    </w:pPr>
    <w:rPr>
      <w:rFonts w:ascii="宋体" w:hAnsi="宋体" w:cs="Arial"/>
      <w:sz w:val="28"/>
      <w:szCs w:val="28"/>
    </w:rPr>
  </w:style>
  <w:style w:type="paragraph" w:customStyle="1" w:styleId="421">
    <w:name w:val="BG5"/>
    <w:basedOn w:val="1"/>
    <w:uiPriority w:val="0"/>
    <w:pPr>
      <w:autoSpaceDE w:val="0"/>
      <w:autoSpaceDN w:val="0"/>
      <w:adjustRightInd w:val="0"/>
      <w:spacing w:line="200" w:lineRule="exact"/>
      <w:ind w:firstLine="0" w:firstLineChars="0"/>
      <w:jc w:val="center"/>
      <w:textAlignment w:val="baseline"/>
    </w:pPr>
    <w:rPr>
      <w:rFonts w:ascii="@宋体"/>
      <w:sz w:val="21"/>
      <w:szCs w:val="20"/>
      <w:lang w:eastAsia="zh-CN" w:bidi="ar-SA"/>
    </w:rPr>
  </w:style>
  <w:style w:type="paragraph" w:customStyle="1" w:styleId="422">
    <w:name w:val="Char1"/>
    <w:basedOn w:val="1"/>
    <w:uiPriority w:val="0"/>
  </w:style>
  <w:style w:type="paragraph" w:customStyle="1" w:styleId="423">
    <w:name w:val="表左"/>
    <w:basedOn w:val="1"/>
    <w:next w:val="1"/>
    <w:uiPriority w:val="0"/>
    <w:pPr>
      <w:adjustRightInd w:val="0"/>
      <w:spacing w:line="280" w:lineRule="exact"/>
      <w:ind w:firstLine="567" w:firstLineChars="0"/>
      <w:jc w:val="center"/>
      <w:textAlignment w:val="baseline"/>
    </w:pPr>
    <w:rPr>
      <w:rFonts w:ascii="仿宋_GB2312" w:eastAsia="仿宋_GB2312"/>
      <w:color w:val="000000"/>
      <w:kern w:val="2"/>
      <w:sz w:val="21"/>
      <w:szCs w:val="21"/>
      <w:lang w:eastAsia="zh-CN" w:bidi="ar-SA"/>
    </w:rPr>
  </w:style>
  <w:style w:type="paragraph" w:customStyle="1" w:styleId="424">
    <w:name w:val="1级"/>
    <w:basedOn w:val="2"/>
    <w:next w:val="1"/>
    <w:qFormat/>
    <w:uiPriority w:val="0"/>
    <w:pPr>
      <w:spacing w:before="360" w:after="240"/>
    </w:pPr>
    <w:rPr>
      <w:rFonts w:ascii="宋体" w:hAnsi="宋体" w:eastAsia="黑体"/>
      <w:b w:val="0"/>
      <w:kern w:val="44"/>
      <w:sz w:val="30"/>
      <w:szCs w:val="44"/>
      <w:lang w:eastAsia="zh-CN" w:bidi="ar-SA"/>
    </w:rPr>
  </w:style>
  <w:style w:type="paragraph" w:customStyle="1" w:styleId="425">
    <w:name w:val="样式 表文字 + 字符缩放: 90%"/>
    <w:basedOn w:val="101"/>
    <w:qFormat/>
    <w:uiPriority w:val="0"/>
    <w:pPr>
      <w:keepNext/>
      <w:topLinePunct w:val="0"/>
      <w:ind w:left="-50" w:leftChars="-50" w:right="-50" w:rightChars="-50"/>
      <w:jc w:val="center"/>
    </w:pPr>
    <w:rPr>
      <w:rFonts w:eastAsia="宋体" w:cs="宋体"/>
      <w:sz w:val="18"/>
      <w:szCs w:val="18"/>
    </w:rPr>
  </w:style>
  <w:style w:type="paragraph" w:customStyle="1" w:styleId="426">
    <w:name w:val="样式 hb11"/>
    <w:basedOn w:val="1"/>
    <w:qFormat/>
    <w:uiPriority w:val="0"/>
    <w:pPr>
      <w:keepNext/>
      <w:pageBreakBefore/>
      <w:topLinePunct/>
      <w:adjustRightInd w:val="0"/>
      <w:spacing w:before="60" w:after="60"/>
      <w:jc w:val="left"/>
      <w:textAlignment w:val="baseline"/>
      <w:outlineLvl w:val="0"/>
    </w:pPr>
    <w:rPr>
      <w:b/>
      <w:bCs/>
      <w:kern w:val="4"/>
      <w:sz w:val="36"/>
      <w:szCs w:val="36"/>
    </w:rPr>
  </w:style>
  <w:style w:type="paragraph" w:customStyle="1" w:styleId="427">
    <w:name w:val="xl24"/>
    <w:basedOn w:val="1"/>
    <w:qFormat/>
    <w:uiPriority w:val="0"/>
    <w:pPr>
      <w:widowControl/>
      <w:pBdr>
        <w:left w:val="single" w:color="auto" w:sz="4" w:space="0"/>
        <w:bottom w:val="single" w:color="auto" w:sz="4" w:space="0"/>
        <w:right w:val="single" w:color="auto" w:sz="4" w:space="0"/>
      </w:pBdr>
      <w:spacing w:before="100" w:beforeAutospacing="1" w:after="100" w:afterAutospacing="1"/>
      <w:textAlignment w:val="top"/>
    </w:pPr>
    <w:rPr>
      <w:rFonts w:hint="eastAsia" w:ascii="楷体_GB2312" w:hAnsi="Arial Unicode MS" w:eastAsia="楷体_GB2312"/>
    </w:rPr>
  </w:style>
  <w:style w:type="paragraph" w:customStyle="1" w:styleId="428">
    <w:name w:val="注"/>
    <w:basedOn w:val="1"/>
    <w:qFormat/>
    <w:uiPriority w:val="0"/>
    <w:pPr>
      <w:ind w:firstLine="57"/>
    </w:pPr>
    <w:rPr>
      <w:rFonts w:ascii="宋体"/>
      <w:szCs w:val="20"/>
    </w:rPr>
  </w:style>
  <w:style w:type="paragraph" w:customStyle="1" w:styleId="429">
    <w:name w:val="MTDisplayEquation"/>
    <w:basedOn w:val="1"/>
    <w:next w:val="1"/>
    <w:qFormat/>
    <w:uiPriority w:val="0"/>
    <w:pPr>
      <w:tabs>
        <w:tab w:val="center" w:pos="4600"/>
        <w:tab w:val="right" w:pos="9180"/>
      </w:tabs>
      <w:spacing w:line="560" w:lineRule="exact"/>
    </w:pPr>
    <w:rPr>
      <w:rFonts w:ascii="宋体" w:hAnsi="宋体"/>
      <w:i/>
      <w:sz w:val="28"/>
      <w:szCs w:val="28"/>
    </w:rPr>
  </w:style>
  <w:style w:type="paragraph" w:customStyle="1" w:styleId="430">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sz w:val="28"/>
      <w:szCs w:val="28"/>
    </w:rPr>
  </w:style>
  <w:style w:type="paragraph" w:customStyle="1" w:styleId="431">
    <w:name w:val="0"/>
    <w:basedOn w:val="1"/>
    <w:qFormat/>
    <w:uiPriority w:val="0"/>
    <w:pPr>
      <w:widowControl/>
      <w:spacing w:before="100" w:beforeAutospacing="1" w:after="100" w:afterAutospacing="1"/>
      <w:jc w:val="left"/>
    </w:pPr>
    <w:rPr>
      <w:rFonts w:ascii="宋体" w:hAnsi="宋体" w:cs="宋体"/>
    </w:rPr>
  </w:style>
  <w:style w:type="paragraph" w:customStyle="1" w:styleId="432">
    <w:name w:val="样式6"/>
    <w:basedOn w:val="1"/>
    <w:qFormat/>
    <w:uiPriority w:val="0"/>
    <w:pPr>
      <w:spacing w:line="560" w:lineRule="exact"/>
      <w:ind w:firstLine="560"/>
    </w:pPr>
    <w:rPr>
      <w:rFonts w:ascii="宋体" w:hAnsi="宋体"/>
      <w:szCs w:val="28"/>
    </w:rPr>
  </w:style>
  <w:style w:type="paragraph" w:customStyle="1" w:styleId="433">
    <w:name w:val="jj公式"/>
    <w:basedOn w:val="1"/>
    <w:uiPriority w:val="0"/>
    <w:pPr>
      <w:widowControl/>
      <w:jc w:val="center"/>
    </w:pPr>
    <w:rPr>
      <w:rFonts w:ascii="仿宋_GB2312" w:hAnsi="华文仿宋" w:eastAsia="仿宋_GB2312"/>
      <w:sz w:val="28"/>
    </w:rPr>
  </w:style>
  <w:style w:type="paragraph" w:customStyle="1" w:styleId="434">
    <w:name w:val="Char Char Char Char Char Char1 Char"/>
    <w:basedOn w:val="1"/>
    <w:qFormat/>
    <w:uiPriority w:val="0"/>
  </w:style>
  <w:style w:type="paragraph" w:customStyle="1" w:styleId="435">
    <w:name w:val="xl3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sz w:val="28"/>
      <w:szCs w:val="28"/>
    </w:rPr>
  </w:style>
  <w:style w:type="paragraph" w:styleId="436">
    <w:name w:val="No Spacing"/>
    <w:qFormat/>
    <w:uiPriority w:val="0"/>
    <w:rPr>
      <w:rFonts w:ascii="Calibri" w:hAnsi="Calibri" w:eastAsia="宋体" w:cs="Times New Roman"/>
      <w:sz w:val="22"/>
      <w:szCs w:val="22"/>
      <w:lang w:val="en-US" w:eastAsia="en-US" w:bidi="en-US"/>
    </w:rPr>
  </w:style>
  <w:style w:type="paragraph" w:customStyle="1" w:styleId="437">
    <w:name w:val="报告书正文"/>
    <w:basedOn w:val="1"/>
    <w:qFormat/>
    <w:uiPriority w:val="0"/>
    <w:pPr>
      <w:spacing w:line="300" w:lineRule="auto"/>
      <w:ind w:firstLine="480"/>
    </w:pPr>
    <w:rPr>
      <w:rFonts w:ascii="宋体" w:hAnsi="宋体"/>
      <w:kern w:val="2"/>
      <w:szCs w:val="24"/>
      <w:lang w:eastAsia="zh-CN" w:bidi="ar-SA"/>
    </w:rPr>
  </w:style>
  <w:style w:type="paragraph" w:customStyle="1" w:styleId="438">
    <w:name w:val="表格样式"/>
    <w:basedOn w:val="1"/>
    <w:qFormat/>
    <w:uiPriority w:val="0"/>
    <w:pPr>
      <w:spacing w:line="360" w:lineRule="exact"/>
      <w:jc w:val="center"/>
    </w:pPr>
    <w:rPr>
      <w:rFonts w:ascii="宋体" w:hAnsi="宋体"/>
    </w:rPr>
  </w:style>
  <w:style w:type="paragraph" w:customStyle="1" w:styleId="439">
    <w:name w:val="jj标题4"/>
    <w:basedOn w:val="5"/>
    <w:next w:val="29"/>
    <w:qFormat/>
    <w:uiPriority w:val="0"/>
    <w:pPr>
      <w:keepNext w:val="0"/>
      <w:keepLines w:val="0"/>
      <w:widowControl/>
      <w:spacing w:before="0" w:line="480" w:lineRule="exact"/>
      <w:ind w:left="280" w:leftChars="100"/>
    </w:pPr>
    <w:rPr>
      <w:rFonts w:ascii="仿宋_GB2312" w:hAnsi="宋体" w:eastAsia="仿宋_GB2312"/>
      <w:b w:val="0"/>
      <w:sz w:val="28"/>
      <w:szCs w:val="28"/>
    </w:rPr>
  </w:style>
  <w:style w:type="paragraph" w:customStyle="1" w:styleId="440">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sz w:val="28"/>
      <w:szCs w:val="28"/>
    </w:rPr>
  </w:style>
  <w:style w:type="paragraph" w:customStyle="1" w:styleId="441">
    <w:name w:val="样式 标题 3 + 首行缩进:  2 字符3"/>
    <w:basedOn w:val="4"/>
    <w:qFormat/>
    <w:uiPriority w:val="0"/>
    <w:pPr>
      <w:spacing w:line="440" w:lineRule="exact"/>
    </w:pPr>
    <w:rPr>
      <w:rFonts w:eastAsia="华文新魏" w:cs="宋体"/>
    </w:rPr>
  </w:style>
  <w:style w:type="paragraph" w:customStyle="1" w:styleId="442">
    <w:name w:val="报告正文"/>
    <w:basedOn w:val="1"/>
    <w:qFormat/>
    <w:uiPriority w:val="0"/>
    <w:pPr>
      <w:adjustRightInd w:val="0"/>
      <w:snapToGrid w:val="0"/>
      <w:spacing w:line="300" w:lineRule="auto"/>
    </w:pPr>
    <w:rPr>
      <w:rFonts w:ascii="宋体"/>
      <w:sz w:val="28"/>
      <w:szCs w:val="20"/>
    </w:rPr>
  </w:style>
  <w:style w:type="paragraph" w:customStyle="1" w:styleId="443">
    <w:name w:val="xl26"/>
    <w:basedOn w:val="1"/>
    <w:qFormat/>
    <w:uiPriority w:val="0"/>
    <w:pPr>
      <w:widowControl/>
      <w:pBdr>
        <w:bottom w:val="single" w:color="auto" w:sz="4" w:space="0"/>
        <w:right w:val="single" w:color="auto" w:sz="4" w:space="0"/>
      </w:pBdr>
      <w:spacing w:before="100" w:after="100"/>
      <w:jc w:val="center"/>
      <w:textAlignment w:val="top"/>
    </w:pPr>
    <w:rPr>
      <w:rFonts w:ascii="宋体" w:hAnsi="宋体"/>
      <w:szCs w:val="20"/>
    </w:rPr>
  </w:style>
  <w:style w:type="paragraph" w:customStyle="1" w:styleId="444">
    <w:name w:val="默认段落字体 Para Char Char Char Char Char Char Char"/>
    <w:basedOn w:val="22"/>
    <w:qFormat/>
    <w:uiPriority w:val="0"/>
    <w:pPr>
      <w:spacing w:beforeLines="100" w:afterLines="100"/>
      <w:ind w:firstLine="0" w:firstLineChars="0"/>
    </w:pPr>
    <w:rPr>
      <w:rFonts w:ascii="Tahoma" w:hAnsi="Tahoma"/>
      <w:kern w:val="2"/>
      <w:szCs w:val="24"/>
      <w:lang w:eastAsia="zh-CN" w:bidi="ar-SA"/>
    </w:rPr>
  </w:style>
  <w:style w:type="paragraph" w:customStyle="1" w:styleId="445">
    <w:name w:val="s16qcsl240slmult0nowidct"/>
    <w:qFormat/>
    <w:uiPriority w:val="0"/>
    <w:pPr>
      <w:widowControl w:val="0"/>
      <w:adjustRightInd w:val="0"/>
      <w:textAlignment w:val="baseline"/>
    </w:pPr>
    <w:rPr>
      <w:rFonts w:ascii="Times New Roman" w:hAnsi="Times New Roman" w:eastAsia="宋体" w:cs="Times New Roman"/>
      <w:sz w:val="21"/>
      <w:lang w:val="en-US" w:eastAsia="zh-CN" w:bidi="ar-SA"/>
    </w:rPr>
  </w:style>
  <w:style w:type="paragraph" w:customStyle="1" w:styleId="446">
    <w:name w:val="样式 四号 首行缩进:  2 字符 字符缩放: 90% 行距: 固定值 28 磅"/>
    <w:basedOn w:val="1"/>
    <w:qFormat/>
    <w:uiPriority w:val="0"/>
    <w:pPr>
      <w:spacing w:line="480" w:lineRule="exact"/>
    </w:pPr>
    <w:rPr>
      <w:rFonts w:eastAsia="方正书宋简体"/>
      <w:w w:val="90"/>
      <w:sz w:val="28"/>
      <w:szCs w:val="28"/>
    </w:rPr>
  </w:style>
  <w:style w:type="paragraph" w:customStyle="1" w:styleId="447">
    <w:name w:val="正文段落"/>
    <w:basedOn w:val="1"/>
    <w:qFormat/>
    <w:uiPriority w:val="0"/>
    <w:pPr>
      <w:topLinePunct/>
      <w:autoSpaceDN w:val="0"/>
      <w:adjustRightInd w:val="0"/>
      <w:ind w:right="210" w:rightChars="100" w:firstLine="540" w:firstLineChars="225"/>
      <w:textAlignment w:val="baseline"/>
    </w:pPr>
    <w:rPr>
      <w:rFonts w:ascii="宋体" w:hAnsi="宋体"/>
    </w:rPr>
  </w:style>
  <w:style w:type="paragraph" w:customStyle="1" w:styleId="448">
    <w:name w:val="内容"/>
    <w:basedOn w:val="75"/>
    <w:qFormat/>
    <w:uiPriority w:val="0"/>
    <w:pPr>
      <w:spacing w:after="0"/>
      <w:ind w:left="0" w:firstLine="200"/>
    </w:pPr>
    <w:rPr>
      <w:sz w:val="28"/>
      <w:szCs w:val="28"/>
    </w:rPr>
  </w:style>
  <w:style w:type="paragraph" w:customStyle="1" w:styleId="449">
    <w:name w:val="样式 标题 2"/>
    <w:basedOn w:val="3"/>
    <w:qFormat/>
    <w:uiPriority w:val="0"/>
    <w:pPr>
      <w:keepLines w:val="0"/>
      <w:ind w:firstLine="200" w:firstLineChars="200"/>
    </w:pPr>
    <w:rPr>
      <w:rFonts w:ascii="宋体" w:hAnsi="宋体" w:cs="宋体"/>
      <w:bCs w:val="0"/>
      <w:color w:val="000000"/>
      <w:spacing w:val="10"/>
      <w:kern w:val="24"/>
      <w:sz w:val="24"/>
      <w:szCs w:val="24"/>
      <w:lang w:val="en-GB" w:eastAsia="zh-CN"/>
    </w:rPr>
  </w:style>
  <w:style w:type="paragraph" w:customStyle="1" w:styleId="450">
    <w:name w:val="15"/>
    <w:basedOn w:val="1"/>
    <w:qFormat/>
    <w:uiPriority w:val="0"/>
    <w:pPr>
      <w:widowControl/>
      <w:spacing w:before="100" w:beforeAutospacing="1" w:after="100" w:afterAutospacing="1"/>
      <w:jc w:val="left"/>
    </w:pPr>
    <w:rPr>
      <w:rFonts w:ascii="宋体" w:hAnsi="宋体" w:cs="宋体"/>
    </w:rPr>
  </w:style>
  <w:style w:type="paragraph" w:customStyle="1" w:styleId="451">
    <w:name w:val="文本"/>
    <w:basedOn w:val="1"/>
    <w:qFormat/>
    <w:uiPriority w:val="0"/>
    <w:pPr>
      <w:adjustRightInd w:val="0"/>
      <w:snapToGrid w:val="0"/>
      <w:ind w:firstLine="422"/>
      <w:jc w:val="center"/>
    </w:pPr>
    <w:rPr>
      <w:rFonts w:hAnsi="宋体"/>
      <w:b/>
      <w:szCs w:val="21"/>
      <w:lang w:eastAsia="zh-CN"/>
    </w:rPr>
  </w:style>
  <w:style w:type="paragraph" w:customStyle="1" w:styleId="452">
    <w:name w:val="标题样式3"/>
    <w:basedOn w:val="4"/>
    <w:qFormat/>
    <w:uiPriority w:val="0"/>
    <w:rPr>
      <w:bCs w:val="0"/>
    </w:rPr>
  </w:style>
  <w:style w:type="paragraph" w:customStyle="1" w:styleId="453">
    <w:name w:val="标准"/>
    <w:basedOn w:val="1"/>
    <w:qFormat/>
    <w:uiPriority w:val="0"/>
    <w:pPr>
      <w:adjustRightInd w:val="0"/>
      <w:spacing w:line="520" w:lineRule="atLeast"/>
      <w:jc w:val="center"/>
      <w:textAlignment w:val="baseline"/>
    </w:pPr>
    <w:rPr>
      <w:szCs w:val="21"/>
    </w:rPr>
  </w:style>
  <w:style w:type="paragraph" w:customStyle="1" w:styleId="454">
    <w:name w:val="样式 样式 标题 1 + 黑体 二号 段前: 20 磅 段后: 20 磅 行距: 固定值 28 磅 + 非加粗 段前: 1 行..."/>
    <w:basedOn w:val="1"/>
    <w:qFormat/>
    <w:uiPriority w:val="0"/>
    <w:pPr>
      <w:keepNext/>
      <w:adjustRightInd w:val="0"/>
      <w:snapToGrid w:val="0"/>
      <w:spacing w:beforeLines="100" w:afterLines="100" w:line="480" w:lineRule="auto"/>
      <w:jc w:val="center"/>
      <w:outlineLvl w:val="0"/>
    </w:pPr>
    <w:rPr>
      <w:rFonts w:ascii="黑体" w:hAnsi="黑体" w:eastAsia="黑体" w:cs="宋体"/>
      <w:sz w:val="44"/>
      <w:szCs w:val="20"/>
    </w:rPr>
  </w:style>
  <w:style w:type="paragraph" w:customStyle="1" w:styleId="455">
    <w:name w:val="样式 标题3 + 段前: 0.5 行 段后: 0.5 行"/>
    <w:basedOn w:val="1"/>
    <w:qFormat/>
    <w:uiPriority w:val="0"/>
    <w:pPr>
      <w:keepNext/>
      <w:keepLines/>
      <w:adjustRightInd w:val="0"/>
      <w:snapToGrid w:val="0"/>
      <w:spacing w:beforeLines="50" w:afterLines="50" w:line="480" w:lineRule="exact"/>
      <w:outlineLvl w:val="2"/>
    </w:pPr>
    <w:rPr>
      <w:rFonts w:eastAsia="黑体" w:cs="宋体"/>
      <w:sz w:val="28"/>
      <w:szCs w:val="20"/>
    </w:rPr>
  </w:style>
  <w:style w:type="paragraph" w:customStyle="1" w:styleId="456">
    <w:name w:val="表内式样"/>
    <w:qFormat/>
    <w:uiPriority w:val="0"/>
    <w:pPr>
      <w:widowControl w:val="0"/>
      <w:spacing w:line="0" w:lineRule="atLeast"/>
      <w:jc w:val="center"/>
    </w:pPr>
    <w:rPr>
      <w:rFonts w:ascii="Times New Roman" w:hAnsi="Times New Roman" w:eastAsia="宋体" w:cs="Times New Roman"/>
      <w:b/>
      <w:kern w:val="2"/>
      <w:sz w:val="21"/>
      <w:lang w:val="en-US" w:eastAsia="zh-CN" w:bidi="ar-SA"/>
    </w:rPr>
  </w:style>
  <w:style w:type="paragraph" w:customStyle="1" w:styleId="457">
    <w:name w:val="jj表名"/>
    <w:basedOn w:val="1"/>
    <w:qFormat/>
    <w:uiPriority w:val="0"/>
    <w:pPr>
      <w:widowControl/>
      <w:spacing w:beforeLines="50" w:line="480" w:lineRule="exact"/>
      <w:jc w:val="right"/>
    </w:pPr>
    <w:rPr>
      <w:rFonts w:ascii="宋体" w:hAnsi="华文仿宋"/>
      <w:sz w:val="28"/>
    </w:rPr>
  </w:style>
  <w:style w:type="paragraph" w:customStyle="1" w:styleId="458">
    <w:name w:val="Char Char Char Char Char Char Char Char Char Char"/>
    <w:basedOn w:val="1"/>
    <w:next w:val="1"/>
    <w:qFormat/>
    <w:uiPriority w:val="0"/>
    <w:rPr>
      <w:rFonts w:ascii="宋体" w:hAnsi="宋体" w:cs="宋体"/>
    </w:rPr>
  </w:style>
  <w:style w:type="paragraph" w:customStyle="1" w:styleId="459">
    <w:name w:val="标题04"/>
    <w:basedOn w:val="5"/>
    <w:qFormat/>
    <w:uiPriority w:val="0"/>
    <w:pPr>
      <w:adjustRightInd w:val="0"/>
      <w:snapToGrid w:val="0"/>
      <w:spacing w:after="200" w:line="480" w:lineRule="exact"/>
    </w:pPr>
    <w:rPr>
      <w:rFonts w:ascii="Arial" w:cs="宋体"/>
      <w:b w:val="0"/>
      <w:bCs w:val="0"/>
      <w:snapToGrid w:val="0"/>
      <w:kern w:val="28"/>
      <w:sz w:val="28"/>
      <w:szCs w:val="28"/>
    </w:rPr>
  </w:style>
  <w:style w:type="paragraph" w:customStyle="1" w:styleId="460">
    <w:name w:val="xl32"/>
    <w:basedOn w:val="1"/>
    <w:qFormat/>
    <w:uiPriority w:val="0"/>
    <w:pPr>
      <w:widowControl/>
      <w:spacing w:before="100" w:beforeAutospacing="1" w:after="100" w:afterAutospacing="1"/>
      <w:jc w:val="left"/>
    </w:pPr>
    <w:rPr>
      <w:rFonts w:ascii="宋体" w:hAnsi="宋体"/>
    </w:rPr>
  </w:style>
  <w:style w:type="paragraph" w:customStyle="1" w:styleId="461">
    <w:name w:val="xl5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sz w:val="28"/>
      <w:szCs w:val="28"/>
    </w:rPr>
  </w:style>
  <w:style w:type="paragraph" w:customStyle="1" w:styleId="462">
    <w:name w:val="样式 样式 样式 段前: 0.5 行 段后: 0.5 行 + 段前: 0.5 行 段后: 0.5 行1 + 段前: 0.5 行..."/>
    <w:basedOn w:val="1"/>
    <w:qFormat/>
    <w:uiPriority w:val="0"/>
    <w:pPr>
      <w:keepNext/>
      <w:keepLines/>
      <w:snapToGrid w:val="0"/>
      <w:spacing w:before="120" w:after="120"/>
      <w:jc w:val="center"/>
      <w:outlineLvl w:val="0"/>
    </w:pPr>
    <w:rPr>
      <w:rFonts w:ascii="宋体" w:hAnsi="宋体"/>
      <w:b/>
      <w:sz w:val="36"/>
      <w:szCs w:val="36"/>
    </w:rPr>
  </w:style>
  <w:style w:type="paragraph" w:customStyle="1" w:styleId="463">
    <w:name w:val="2级"/>
    <w:basedOn w:val="3"/>
    <w:next w:val="1"/>
    <w:qFormat/>
    <w:uiPriority w:val="0"/>
    <w:pPr>
      <w:spacing w:before="240" w:after="160"/>
    </w:pPr>
    <w:rPr>
      <w:rFonts w:ascii="Arial" w:hAnsi="Arial" w:eastAsia="黑体"/>
      <w:b w:val="0"/>
      <w:kern w:val="2"/>
      <w:sz w:val="28"/>
      <w:szCs w:val="32"/>
      <w:lang w:eastAsia="zh-CN"/>
    </w:rPr>
  </w:style>
  <w:style w:type="paragraph" w:customStyle="1" w:styleId="464">
    <w:name w:val="样式 样式 样式 表头 + 两端对齐 + 首行缩进:  2 字符 + 首行缩进:  2 字符"/>
    <w:basedOn w:val="1"/>
    <w:qFormat/>
    <w:uiPriority w:val="0"/>
    <w:pPr>
      <w:keepNext/>
      <w:snapToGrid w:val="0"/>
      <w:spacing w:before="60" w:after="60"/>
      <w:jc w:val="left"/>
    </w:pPr>
    <w:rPr>
      <w:rFonts w:cs="宋体"/>
      <w:b/>
      <w:bCs/>
      <w:kern w:val="32"/>
      <w:szCs w:val="20"/>
    </w:rPr>
  </w:style>
  <w:style w:type="paragraph" w:customStyle="1" w:styleId="465">
    <w:name w:val="样式 标题 4常用标题 4 + 段前: 6 磅 段后: 6 磅 行距: 固定值 26 磅"/>
    <w:basedOn w:val="5"/>
    <w:qFormat/>
    <w:uiPriority w:val="0"/>
    <w:pPr>
      <w:tabs>
        <w:tab w:val="left" w:pos="360"/>
      </w:tabs>
      <w:spacing w:line="240" w:lineRule="auto"/>
    </w:pPr>
    <w:rPr>
      <w:rFonts w:ascii="Arial" w:cs="宋体"/>
      <w:sz w:val="28"/>
    </w:rPr>
  </w:style>
  <w:style w:type="paragraph" w:customStyle="1" w:styleId="466">
    <w:name w:val="样式 首行缩进:  2 字符1"/>
    <w:basedOn w:val="1"/>
    <w:qFormat/>
    <w:uiPriority w:val="0"/>
    <w:pPr>
      <w:adjustRightInd w:val="0"/>
      <w:snapToGrid w:val="0"/>
    </w:pPr>
    <w:rPr>
      <w:rFonts w:ascii="宋体" w:cs="宋体"/>
    </w:rPr>
  </w:style>
  <w:style w:type="paragraph" w:customStyle="1" w:styleId="467">
    <w:name w:val="xl52"/>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sz w:val="28"/>
      <w:szCs w:val="28"/>
    </w:rPr>
  </w:style>
  <w:style w:type="paragraph" w:customStyle="1" w:styleId="468">
    <w:name w:val="样式11"/>
    <w:basedOn w:val="469"/>
    <w:qFormat/>
    <w:uiPriority w:val="0"/>
    <w:rPr>
      <w:rFonts w:hAnsi="宋体"/>
      <w:b/>
    </w:rPr>
  </w:style>
  <w:style w:type="paragraph" w:customStyle="1" w:styleId="469">
    <w:name w:val="正文样式1"/>
    <w:basedOn w:val="1"/>
    <w:qFormat/>
    <w:uiPriority w:val="0"/>
    <w:pPr>
      <w:ind w:firstLine="480"/>
    </w:pPr>
    <w:rPr>
      <w:rFonts w:ascii="宋体"/>
    </w:rPr>
  </w:style>
  <w:style w:type="paragraph" w:customStyle="1" w:styleId="470">
    <w:name w:val="样式 标题 1 + 自动设置"/>
    <w:basedOn w:val="2"/>
    <w:qFormat/>
    <w:uiPriority w:val="0"/>
    <w:pPr>
      <w:tabs>
        <w:tab w:val="left" w:pos="360"/>
        <w:tab w:val="left" w:pos="700"/>
      </w:tabs>
      <w:autoSpaceDE w:val="0"/>
      <w:autoSpaceDN w:val="0"/>
      <w:spacing w:after="60" w:line="240" w:lineRule="auto"/>
      <w:jc w:val="left"/>
    </w:pPr>
    <w:rPr>
      <w:szCs w:val="20"/>
    </w:rPr>
  </w:style>
  <w:style w:type="paragraph" w:customStyle="1" w:styleId="471">
    <w:name w:val="正文 + 宋体"/>
    <w:basedOn w:val="1"/>
    <w:qFormat/>
    <w:uiPriority w:val="0"/>
    <w:pPr>
      <w:adjustRightInd w:val="0"/>
      <w:spacing w:line="520" w:lineRule="exact"/>
      <w:jc w:val="left"/>
      <w:textAlignment w:val="baseline"/>
    </w:pPr>
    <w:rPr>
      <w:rFonts w:ascii="宋体" w:hAnsi="宋体"/>
    </w:rPr>
  </w:style>
  <w:style w:type="paragraph" w:customStyle="1" w:styleId="472">
    <w:name w:val="样式 hb4 + 段前: 0.5 行 段后: 0.5 行1"/>
    <w:basedOn w:val="1"/>
    <w:next w:val="1"/>
    <w:qFormat/>
    <w:uiPriority w:val="0"/>
    <w:pPr>
      <w:keepNext/>
      <w:keepLines/>
      <w:topLinePunct/>
      <w:outlineLvl w:val="3"/>
    </w:pPr>
    <w:rPr>
      <w:rFonts w:ascii="宋体" w:hAnsi="宋体"/>
      <w:szCs w:val="20"/>
    </w:rPr>
  </w:style>
  <w:style w:type="paragraph" w:customStyle="1" w:styleId="473">
    <w:name w:val="表文"/>
    <w:basedOn w:val="1"/>
    <w:qFormat/>
    <w:uiPriority w:val="0"/>
    <w:pPr>
      <w:spacing w:line="360" w:lineRule="exact"/>
      <w:jc w:val="center"/>
    </w:pPr>
    <w:rPr>
      <w:rFonts w:cs="宋体"/>
      <w:color w:val="000000"/>
      <w:szCs w:val="21"/>
    </w:rPr>
  </w:style>
  <w:style w:type="paragraph" w:customStyle="1" w:styleId="474">
    <w:name w:val="Char Char Char Char Char Char Char Char Char Char1"/>
    <w:basedOn w:val="1"/>
    <w:next w:val="1"/>
    <w:qFormat/>
    <w:uiPriority w:val="0"/>
    <w:pPr>
      <w:keepNext/>
      <w:snapToGrid w:val="0"/>
      <w:spacing w:beforeLines="50" w:after="120"/>
      <w:jc w:val="left"/>
    </w:pPr>
    <w:rPr>
      <w:rFonts w:ascii="宋体" w:hAnsi="宋体" w:cs="宋体"/>
      <w:bCs/>
      <w:color w:val="000000"/>
      <w:kern w:val="32"/>
      <w:szCs w:val="30"/>
    </w:rPr>
  </w:style>
  <w:style w:type="paragraph" w:customStyle="1" w:styleId="475">
    <w:name w:val="xl37"/>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sz w:val="28"/>
      <w:szCs w:val="28"/>
    </w:rPr>
  </w:style>
  <w:style w:type="paragraph" w:customStyle="1" w:styleId="476">
    <w:name w:val="阿正文"/>
    <w:basedOn w:val="1"/>
    <w:qFormat/>
    <w:uiPriority w:val="0"/>
    <w:rPr>
      <w:kern w:val="2"/>
      <w:szCs w:val="24"/>
      <w:lang w:eastAsia="zh-CN" w:bidi="ar-SA"/>
    </w:rPr>
  </w:style>
  <w:style w:type="paragraph" w:customStyle="1" w:styleId="477">
    <w:name w:val="表格1"/>
    <w:basedOn w:val="1"/>
    <w:qFormat/>
    <w:uiPriority w:val="0"/>
    <w:pPr>
      <w:adjustRightInd w:val="0"/>
      <w:spacing w:line="280" w:lineRule="exact"/>
      <w:ind w:firstLine="0" w:firstLineChars="0"/>
      <w:textAlignment w:val="baseline"/>
    </w:pPr>
    <w:rPr>
      <w:rFonts w:ascii="宋体"/>
      <w:color w:val="000000"/>
      <w:spacing w:val="6"/>
      <w:sz w:val="18"/>
      <w:szCs w:val="20"/>
      <w:lang w:eastAsia="zh-CN" w:bidi="ar-SA"/>
    </w:rPr>
  </w:style>
  <w:style w:type="paragraph" w:customStyle="1" w:styleId="478">
    <w:name w:val="ALT+B"/>
    <w:basedOn w:val="1"/>
    <w:next w:val="1"/>
    <w:qFormat/>
    <w:uiPriority w:val="0"/>
    <w:pPr>
      <w:jc w:val="center"/>
    </w:pPr>
    <w:rPr>
      <w:rFonts w:cs="宋体"/>
      <w:b/>
    </w:rPr>
  </w:style>
  <w:style w:type="paragraph" w:customStyle="1" w:styleId="479">
    <w:name w:val="表格内"/>
    <w:basedOn w:val="1"/>
    <w:qFormat/>
    <w:uiPriority w:val="0"/>
    <w:pPr>
      <w:adjustRightInd w:val="0"/>
      <w:snapToGrid w:val="0"/>
      <w:spacing w:line="360" w:lineRule="exact"/>
      <w:jc w:val="center"/>
    </w:pPr>
    <w:rPr>
      <w:snapToGrid w:val="0"/>
      <w:szCs w:val="21"/>
    </w:rPr>
  </w:style>
  <w:style w:type="paragraph" w:customStyle="1" w:styleId="480">
    <w:name w:val="Char Char Char Char Char Char Char"/>
    <w:basedOn w:val="1"/>
    <w:next w:val="1"/>
    <w:qFormat/>
    <w:uiPriority w:val="0"/>
    <w:rPr>
      <w:rFonts w:ascii="宋体" w:hAnsi="宋体" w:cs="宋体"/>
    </w:rPr>
  </w:style>
  <w:style w:type="paragraph" w:customStyle="1" w:styleId="481">
    <w:name w:val="xl5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sz w:val="18"/>
      <w:szCs w:val="18"/>
    </w:rPr>
  </w:style>
  <w:style w:type="paragraph" w:customStyle="1" w:styleId="482">
    <w:name w:val="7 Char Char Char Char"/>
    <w:basedOn w:val="1"/>
    <w:qFormat/>
    <w:uiPriority w:val="0"/>
    <w:rPr>
      <w:rFonts w:ascii="宋体" w:hAnsi="宋体" w:cs="宋体"/>
    </w:rPr>
  </w:style>
  <w:style w:type="paragraph" w:customStyle="1" w:styleId="483">
    <w:name w:val="5"/>
    <w:basedOn w:val="1"/>
    <w:next w:val="18"/>
    <w:qFormat/>
    <w:uiPriority w:val="0"/>
    <w:pPr>
      <w:spacing w:line="240" w:lineRule="auto"/>
      <w:ind w:firstLine="420" w:firstLineChars="0"/>
    </w:pPr>
    <w:rPr>
      <w:kern w:val="2"/>
      <w:sz w:val="21"/>
      <w:szCs w:val="20"/>
      <w:lang w:eastAsia="zh-CN" w:bidi="ar-SA"/>
    </w:rPr>
  </w:style>
  <w:style w:type="paragraph" w:customStyle="1" w:styleId="484">
    <w:name w:val="font6"/>
    <w:basedOn w:val="1"/>
    <w:qFormat/>
    <w:uiPriority w:val="0"/>
    <w:pPr>
      <w:widowControl/>
      <w:spacing w:before="100" w:beforeAutospacing="1" w:after="100" w:afterAutospacing="1"/>
      <w:jc w:val="left"/>
    </w:pPr>
    <w:rPr>
      <w:rFonts w:hint="eastAsia" w:ascii="宋体" w:hAnsi="宋体"/>
      <w:sz w:val="36"/>
      <w:szCs w:val="36"/>
    </w:rPr>
  </w:style>
  <w:style w:type="paragraph" w:customStyle="1" w:styleId="485">
    <w:name w:val="xl60"/>
    <w:basedOn w:val="1"/>
    <w:qFormat/>
    <w:uiPriority w:val="0"/>
    <w:pPr>
      <w:pBdr>
        <w:left w:val="single" w:color="auto" w:sz="8" w:space="0"/>
        <w:right w:val="single" w:color="auto" w:sz="4" w:space="0"/>
      </w:pBdr>
      <w:spacing w:before="100" w:after="100" w:line="240" w:lineRule="auto"/>
      <w:ind w:firstLine="0" w:firstLineChars="0"/>
      <w:jc w:val="center"/>
      <w:textAlignment w:val="top"/>
    </w:pPr>
    <w:rPr>
      <w:szCs w:val="24"/>
      <w:lang w:eastAsia="zh-CN" w:bidi="ar-SA"/>
    </w:rPr>
  </w:style>
  <w:style w:type="paragraph" w:customStyle="1" w:styleId="486">
    <w:name w:val="font8"/>
    <w:basedOn w:val="1"/>
    <w:qFormat/>
    <w:uiPriority w:val="0"/>
    <w:pPr>
      <w:widowControl/>
      <w:spacing w:before="100" w:beforeAutospacing="1" w:after="100" w:afterAutospacing="1"/>
      <w:jc w:val="left"/>
    </w:pPr>
    <w:rPr>
      <w:rFonts w:hint="eastAsia" w:ascii="宋体" w:hAnsi="宋体"/>
      <w:b/>
      <w:bCs/>
      <w:color w:val="000000"/>
      <w:sz w:val="18"/>
      <w:szCs w:val="18"/>
    </w:rPr>
  </w:style>
  <w:style w:type="paragraph" w:customStyle="1" w:styleId="487">
    <w:name w:val="表格标题"/>
    <w:basedOn w:val="1"/>
    <w:qFormat/>
    <w:uiPriority w:val="0"/>
    <w:pPr>
      <w:tabs>
        <w:tab w:val="left" w:pos="1120"/>
      </w:tabs>
      <w:spacing w:before="240" w:after="60" w:line="290" w:lineRule="auto"/>
      <w:ind w:right="-108"/>
      <w:jc w:val="center"/>
    </w:pPr>
    <w:rPr>
      <w:rFonts w:ascii="宋体" w:hAnsi="Arial"/>
      <w:b/>
      <w:kern w:val="24"/>
      <w:sz w:val="28"/>
      <w:szCs w:val="20"/>
    </w:rPr>
  </w:style>
  <w:style w:type="paragraph" w:customStyle="1" w:styleId="488">
    <w:name w:val="样式 正文 +"/>
    <w:basedOn w:val="1"/>
    <w:qFormat/>
    <w:uiPriority w:val="0"/>
    <w:rPr>
      <w:rFonts w:cs="宋体"/>
      <w:szCs w:val="20"/>
    </w:rPr>
  </w:style>
  <w:style w:type="paragraph" w:customStyle="1" w:styleId="489">
    <w:name w:val="正文（首行缩进）"/>
    <w:basedOn w:val="1"/>
    <w:qFormat/>
    <w:uiPriority w:val="0"/>
    <w:pPr>
      <w:jc w:val="left"/>
    </w:pPr>
    <w:rPr>
      <w:rFonts w:ascii="宋体" w:hAnsi="宋体"/>
      <w:snapToGrid w:val="0"/>
      <w:color w:val="000000"/>
      <w:kern w:val="2"/>
      <w:szCs w:val="20"/>
      <w:lang w:eastAsia="zh-CN" w:bidi="ar-SA"/>
    </w:rPr>
  </w:style>
  <w:style w:type="paragraph" w:customStyle="1" w:styleId="490">
    <w:name w:val="xl41"/>
    <w:basedOn w:val="1"/>
    <w:qFormat/>
    <w:uiPriority w:val="0"/>
    <w:pPr>
      <w:widowControl/>
      <w:pBdr>
        <w:bottom w:val="single" w:color="auto" w:sz="4" w:space="0"/>
      </w:pBdr>
      <w:spacing w:before="100" w:beforeAutospacing="1" w:after="100" w:afterAutospacing="1"/>
      <w:jc w:val="center"/>
    </w:pPr>
    <w:rPr>
      <w:szCs w:val="21"/>
    </w:rPr>
  </w:style>
  <w:style w:type="paragraph" w:customStyle="1" w:styleId="491">
    <w:name w:val="普通文字"/>
    <w:basedOn w:val="1"/>
    <w:qFormat/>
    <w:uiPriority w:val="0"/>
    <w:pPr>
      <w:adjustRightInd w:val="0"/>
      <w:snapToGrid w:val="0"/>
      <w:spacing w:line="360" w:lineRule="exact"/>
      <w:textAlignment w:val="baseline"/>
    </w:pPr>
    <w:rPr>
      <w:snapToGrid w:val="0"/>
      <w:kern w:val="21"/>
      <w:szCs w:val="21"/>
    </w:rPr>
  </w:style>
  <w:style w:type="paragraph" w:customStyle="1" w:styleId="492">
    <w:name w:val="样式3"/>
    <w:basedOn w:val="205"/>
    <w:qFormat/>
    <w:uiPriority w:val="0"/>
    <w:pPr>
      <w:pBdr>
        <w:bottom w:val="none" w:color="auto" w:sz="0" w:space="0"/>
      </w:pBdr>
      <w:tabs>
        <w:tab w:val="clear" w:pos="4153"/>
        <w:tab w:val="clear" w:pos="8306"/>
      </w:tabs>
      <w:snapToGrid/>
      <w:spacing w:line="760" w:lineRule="exact"/>
      <w:jc w:val="left"/>
    </w:pPr>
    <w:rPr>
      <w:sz w:val="28"/>
      <w:szCs w:val="24"/>
    </w:rPr>
  </w:style>
  <w:style w:type="paragraph" w:customStyle="1" w:styleId="493">
    <w:name w:val="xl3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sz w:val="28"/>
      <w:szCs w:val="28"/>
    </w:rPr>
  </w:style>
  <w:style w:type="paragraph" w:customStyle="1" w:styleId="494">
    <w:name w:val="一级标题"/>
    <w:basedOn w:val="1"/>
    <w:qFormat/>
    <w:uiPriority w:val="0"/>
    <w:pPr>
      <w:keepNext/>
      <w:outlineLvl w:val="0"/>
    </w:pPr>
    <w:rPr>
      <w:rFonts w:cs="宋体"/>
      <w:b/>
      <w:bCs/>
      <w:sz w:val="44"/>
      <w:szCs w:val="44"/>
    </w:rPr>
  </w:style>
  <w:style w:type="paragraph" w:customStyle="1" w:styleId="495">
    <w:name w:val="评价样式1"/>
    <w:basedOn w:val="1"/>
    <w:next w:val="28"/>
    <w:qFormat/>
    <w:uiPriority w:val="0"/>
    <w:pPr>
      <w:spacing w:line="460" w:lineRule="atLeast"/>
    </w:pPr>
    <w:rPr>
      <w:rFonts w:ascii="Times" w:hAnsi="Times"/>
      <w:bCs/>
    </w:rPr>
  </w:style>
  <w:style w:type="paragraph" w:customStyle="1" w:styleId="496">
    <w:name w:val="表格中"/>
    <w:basedOn w:val="1"/>
    <w:qFormat/>
    <w:uiPriority w:val="0"/>
    <w:pPr>
      <w:spacing w:line="280" w:lineRule="exact"/>
      <w:ind w:firstLine="0" w:firstLineChars="0"/>
      <w:jc w:val="center"/>
    </w:pPr>
    <w:rPr>
      <w:rFonts w:ascii="宋体"/>
      <w:kern w:val="2"/>
      <w:sz w:val="18"/>
      <w:szCs w:val="24"/>
      <w:lang w:eastAsia="zh-CN" w:bidi="ar-SA"/>
    </w:rPr>
  </w:style>
  <w:style w:type="paragraph" w:customStyle="1" w:styleId="497">
    <w:name w:val="表名"/>
    <w:basedOn w:val="1"/>
    <w:next w:val="18"/>
    <w:qFormat/>
    <w:uiPriority w:val="0"/>
    <w:pPr>
      <w:spacing w:before="120" w:after="60"/>
      <w:jc w:val="center"/>
    </w:pPr>
    <w:rPr>
      <w:rFonts w:eastAsia="黑体"/>
      <w:szCs w:val="20"/>
    </w:rPr>
  </w:style>
  <w:style w:type="paragraph" w:customStyle="1" w:styleId="498">
    <w:name w:val="样式 标题 2二级标题标题 lxb2标题21.1H2h2第一层条二级标题 Char表标题单位名4.1Se..."/>
    <w:basedOn w:val="3"/>
    <w:qFormat/>
    <w:uiPriority w:val="0"/>
    <w:pPr>
      <w:spacing w:before="260" w:after="260" w:line="416" w:lineRule="auto"/>
    </w:pPr>
    <w:rPr>
      <w:rFonts w:ascii="黑体" w:hAnsi="黑体" w:eastAsia="黑体"/>
      <w:kern w:val="2"/>
      <w:sz w:val="30"/>
      <w:szCs w:val="32"/>
      <w:lang w:eastAsia="zh-CN"/>
    </w:rPr>
  </w:style>
  <w:style w:type="paragraph" w:customStyle="1" w:styleId="499">
    <w:name w:val="表中正文居中"/>
    <w:qFormat/>
    <w:uiPriority w:val="0"/>
    <w:pPr>
      <w:spacing w:before="120" w:after="120" w:line="240" w:lineRule="atLeast"/>
      <w:jc w:val="center"/>
    </w:pPr>
    <w:rPr>
      <w:rFonts w:ascii="宋体" w:hAnsi="Calibri" w:eastAsia="宋体" w:cs="Times New Roman"/>
      <w:kern w:val="2"/>
      <w:sz w:val="21"/>
      <w:szCs w:val="22"/>
      <w:lang w:val="en-US" w:eastAsia="zh-CN" w:bidi="ar-SA"/>
    </w:rPr>
  </w:style>
  <w:style w:type="paragraph" w:customStyle="1" w:styleId="500">
    <w:name w:val="样式 标题 5 + 小四 首行缩进:  0 厘米 段前: 0 磅 段后: 0 磅 行距: 1.5 倍行距"/>
    <w:basedOn w:val="6"/>
    <w:qFormat/>
    <w:uiPriority w:val="0"/>
    <w:pPr>
      <w:adjustRightInd w:val="0"/>
      <w:snapToGrid w:val="0"/>
      <w:spacing w:before="0"/>
      <w:ind w:firstLine="0" w:firstLineChars="0"/>
    </w:pPr>
    <w:rPr>
      <w:rFonts w:ascii="Times New Roman" w:hAnsi="Times New Roman" w:cs="宋体"/>
      <w:b/>
      <w:bCs/>
      <w:color w:val="auto"/>
      <w:kern w:val="2"/>
      <w:lang w:eastAsia="zh-CN"/>
    </w:rPr>
  </w:style>
  <w:style w:type="paragraph" w:customStyle="1" w:styleId="501">
    <w:name w:val="博士论文标题1"/>
    <w:basedOn w:val="1"/>
    <w:next w:val="1"/>
    <w:qFormat/>
    <w:uiPriority w:val="0"/>
    <w:pPr>
      <w:tabs>
        <w:tab w:val="left" w:pos="425"/>
      </w:tabs>
      <w:spacing w:beforeLines="50" w:afterLines="50"/>
      <w:ind w:left="680" w:hanging="680"/>
      <w:outlineLvl w:val="0"/>
    </w:pPr>
    <w:rPr>
      <w:rFonts w:eastAsia="黑体"/>
      <w:sz w:val="30"/>
      <w:szCs w:val="30"/>
    </w:rPr>
  </w:style>
  <w:style w:type="paragraph" w:customStyle="1" w:styleId="502">
    <w:name w:val="样式 hb4 + 段前: 0.5 行 段后: 0.5 行3"/>
    <w:basedOn w:val="226"/>
    <w:qFormat/>
    <w:uiPriority w:val="0"/>
    <w:pPr>
      <w:topLinePunct w:val="0"/>
      <w:spacing w:line="529" w:lineRule="exact"/>
    </w:pPr>
    <w:rPr>
      <w:rFonts w:ascii="黑体" w:hAnsi="Arial" w:eastAsia="黑体" w:cs="宋体"/>
      <w:b/>
      <w:kern w:val="2"/>
      <w:szCs w:val="20"/>
    </w:rPr>
  </w:style>
  <w:style w:type="paragraph" w:customStyle="1" w:styleId="503">
    <w:name w:val="样式 标题2　自动设置"/>
    <w:basedOn w:val="3"/>
    <w:qFormat/>
    <w:uiPriority w:val="0"/>
    <w:pPr>
      <w:tabs>
        <w:tab w:val="left" w:pos="360"/>
      </w:tabs>
      <w:spacing w:after="60"/>
    </w:pPr>
    <w:rPr>
      <w:rFonts w:ascii="宋体" w:hAnsi="宋体" w:cs="宋体"/>
      <w:sz w:val="28"/>
      <w:szCs w:val="20"/>
    </w:rPr>
  </w:style>
  <w:style w:type="paragraph" w:customStyle="1" w:styleId="504">
    <w:name w:val="Char Char Char Char"/>
    <w:basedOn w:val="1"/>
    <w:qFormat/>
    <w:uiPriority w:val="0"/>
  </w:style>
  <w:style w:type="paragraph" w:customStyle="1" w:styleId="505">
    <w:name w:val="1正文段落"/>
    <w:basedOn w:val="1"/>
    <w:qFormat/>
    <w:uiPriority w:val="0"/>
    <w:pPr>
      <w:ind w:firstLine="480"/>
      <w:jc w:val="left"/>
    </w:pPr>
    <w:rPr>
      <w:snapToGrid w:val="0"/>
      <w:szCs w:val="24"/>
      <w:lang w:eastAsia="zh-CN" w:bidi="ar-SA"/>
    </w:rPr>
  </w:style>
  <w:style w:type="paragraph" w:customStyle="1" w:styleId="506">
    <w:name w:val="正文文本缩进1"/>
    <w:basedOn w:val="1"/>
    <w:qFormat/>
    <w:uiPriority w:val="0"/>
    <w:pPr>
      <w:adjustRightInd w:val="0"/>
      <w:spacing w:line="360" w:lineRule="atLeast"/>
      <w:ind w:left="280" w:firstLine="560"/>
      <w:jc w:val="left"/>
      <w:textAlignment w:val="baseline"/>
    </w:pPr>
  </w:style>
  <w:style w:type="paragraph" w:customStyle="1" w:styleId="507">
    <w:name w:val="目录2"/>
    <w:basedOn w:val="1"/>
    <w:next w:val="1"/>
    <w:qFormat/>
    <w:uiPriority w:val="0"/>
    <w:pPr>
      <w:adjustRightInd w:val="0"/>
      <w:snapToGrid w:val="0"/>
      <w:spacing w:line="420" w:lineRule="atLeast"/>
      <w:ind w:firstLine="0" w:firstLineChars="0"/>
    </w:pPr>
    <w:rPr>
      <w:kern w:val="2"/>
      <w:sz w:val="21"/>
      <w:szCs w:val="24"/>
      <w:lang w:eastAsia="zh-CN" w:bidi="ar-SA"/>
    </w:rPr>
  </w:style>
  <w:style w:type="paragraph" w:customStyle="1" w:styleId="508">
    <w:name w:val="表后空行"/>
    <w:basedOn w:val="1"/>
    <w:qFormat/>
    <w:uiPriority w:val="0"/>
    <w:pPr>
      <w:overflowPunct w:val="0"/>
      <w:adjustRightInd w:val="0"/>
      <w:spacing w:line="240" w:lineRule="auto"/>
      <w:textAlignment w:val="baseline"/>
    </w:pPr>
    <w:rPr>
      <w:kern w:val="28"/>
      <w:sz w:val="10"/>
      <w:szCs w:val="20"/>
      <w:lang w:eastAsia="zh-CN" w:bidi="ar-SA"/>
    </w:rPr>
  </w:style>
  <w:style w:type="paragraph" w:customStyle="1" w:styleId="509">
    <w:name w:val="样式 标题 3 + 四号 段前: 6 磅 段后: 6 磅 行距: 1.5 倍行距"/>
    <w:basedOn w:val="4"/>
    <w:qFormat/>
    <w:uiPriority w:val="0"/>
    <w:rPr>
      <w:rFonts w:cs="宋体"/>
    </w:rPr>
  </w:style>
  <w:style w:type="paragraph" w:customStyle="1" w:styleId="510">
    <w:name w:val="正文3"/>
    <w:basedOn w:val="1"/>
    <w:next w:val="1"/>
    <w:qFormat/>
    <w:uiPriority w:val="0"/>
    <w:pPr>
      <w:spacing w:line="529" w:lineRule="exact"/>
      <w:ind w:firstLine="420"/>
    </w:pPr>
    <w:rPr>
      <w:rFonts w:ascii="宋体" w:hAnsi="宋体" w:cs="宋体"/>
    </w:rPr>
  </w:style>
  <w:style w:type="paragraph" w:customStyle="1" w:styleId="511">
    <w:name w:val="xl59"/>
    <w:basedOn w:val="1"/>
    <w:qFormat/>
    <w:uiPriority w:val="0"/>
    <w:pPr>
      <w:widowControl/>
      <w:pBdr>
        <w:left w:val="single" w:color="auto" w:sz="4" w:space="0"/>
      </w:pBdr>
      <w:spacing w:before="100" w:beforeAutospacing="1" w:after="100" w:afterAutospacing="1"/>
      <w:jc w:val="center"/>
      <w:textAlignment w:val="center"/>
    </w:pPr>
    <w:rPr>
      <w:rFonts w:ascii="Arial Unicode MS" w:hAnsi="Arial Unicode MS" w:eastAsia="Arial Unicode MS"/>
      <w:color w:val="000000"/>
      <w:sz w:val="18"/>
      <w:szCs w:val="20"/>
    </w:rPr>
  </w:style>
  <w:style w:type="paragraph" w:customStyle="1" w:styleId="512">
    <w:name w:val="标准条文"/>
    <w:basedOn w:val="513"/>
    <w:next w:val="513"/>
    <w:qFormat/>
    <w:uiPriority w:val="0"/>
    <w:rPr>
      <w:rFonts w:cs="Times New Roman"/>
      <w:color w:val="auto"/>
      <w:kern w:val="0"/>
    </w:rPr>
  </w:style>
  <w:style w:type="paragraph" w:customStyle="1" w:styleId="513">
    <w:name w:val="Default"/>
    <w:qFormat/>
    <w:uiPriority w:val="0"/>
    <w:pPr>
      <w:widowControl w:val="0"/>
      <w:autoSpaceDE w:val="0"/>
      <w:autoSpaceDN w:val="0"/>
      <w:adjustRightInd w:val="0"/>
      <w:spacing w:after="480" w:line="276" w:lineRule="auto"/>
    </w:pPr>
    <w:rPr>
      <w:rFonts w:ascii="宋体" w:hAnsi="Calibri" w:eastAsia="宋体" w:cs="宋体"/>
      <w:color w:val="000000"/>
      <w:kern w:val="2"/>
      <w:sz w:val="24"/>
      <w:szCs w:val="24"/>
      <w:lang w:val="en-US" w:eastAsia="zh-CN" w:bidi="ar-SA"/>
    </w:rPr>
  </w:style>
  <w:style w:type="paragraph" w:customStyle="1" w:styleId="514">
    <w:name w:val="论文正文"/>
    <w:basedOn w:val="1"/>
    <w:qFormat/>
    <w:uiPriority w:val="0"/>
    <w:pPr>
      <w:ind w:firstLine="567"/>
    </w:pPr>
    <w:rPr>
      <w:sz w:val="28"/>
      <w:szCs w:val="20"/>
    </w:rPr>
  </w:style>
  <w:style w:type="paragraph" w:customStyle="1" w:styleId="515">
    <w:name w:val="xl40"/>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rPr>
  </w:style>
  <w:style w:type="paragraph" w:customStyle="1" w:styleId="516">
    <w:name w:val="样式 行距: 最小值 20 磅"/>
    <w:basedOn w:val="1"/>
    <w:next w:val="28"/>
    <w:qFormat/>
    <w:uiPriority w:val="0"/>
    <w:pPr>
      <w:adjustRightInd w:val="0"/>
      <w:spacing w:line="400" w:lineRule="atLeast"/>
      <w:jc w:val="left"/>
      <w:textAlignment w:val="baseline"/>
    </w:pPr>
  </w:style>
  <w:style w:type="paragraph" w:customStyle="1" w:styleId="517">
    <w:name w:val="首行缩进"/>
    <w:basedOn w:val="1"/>
    <w:qFormat/>
    <w:uiPriority w:val="0"/>
    <w:pPr>
      <w:adjustRightInd w:val="0"/>
      <w:snapToGrid w:val="0"/>
      <w:ind w:firstLine="480"/>
    </w:pPr>
    <w:rPr>
      <w:rFonts w:ascii="宋体" w:hAnsi="宋体"/>
      <w:snapToGrid w:val="0"/>
      <w:color w:val="FF0000"/>
      <w:lang w:val="en-GB"/>
    </w:rPr>
  </w:style>
  <w:style w:type="paragraph" w:customStyle="1" w:styleId="518">
    <w:name w:val="表中正文"/>
    <w:basedOn w:val="1"/>
    <w:qFormat/>
    <w:uiPriority w:val="0"/>
    <w:pPr>
      <w:adjustRightInd w:val="0"/>
      <w:snapToGrid w:val="0"/>
      <w:spacing w:line="240" w:lineRule="auto"/>
      <w:ind w:firstLine="0" w:firstLineChars="0"/>
      <w:jc w:val="center"/>
    </w:pPr>
    <w:rPr>
      <w:spacing w:val="-8"/>
      <w:sz w:val="21"/>
    </w:rPr>
  </w:style>
  <w:style w:type="paragraph" w:customStyle="1" w:styleId="519">
    <w:name w:val="表中文字"/>
    <w:basedOn w:val="1"/>
    <w:qFormat/>
    <w:uiPriority w:val="0"/>
    <w:pPr>
      <w:widowControl/>
      <w:jc w:val="center"/>
    </w:pPr>
    <w:rPr>
      <w:szCs w:val="20"/>
    </w:rPr>
  </w:style>
  <w:style w:type="paragraph" w:customStyle="1" w:styleId="520">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sz w:val="28"/>
      <w:szCs w:val="28"/>
    </w:rPr>
  </w:style>
  <w:style w:type="paragraph" w:customStyle="1" w:styleId="521">
    <w:name w:val="xl54"/>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sz w:val="28"/>
      <w:szCs w:val="28"/>
    </w:rPr>
  </w:style>
  <w:style w:type="paragraph" w:customStyle="1" w:styleId="522">
    <w:name w:val="三级标题"/>
    <w:basedOn w:val="1"/>
    <w:qFormat/>
    <w:uiPriority w:val="0"/>
    <w:rPr>
      <w:rFonts w:eastAsia="黑体"/>
      <w:bCs/>
      <w:sz w:val="28"/>
    </w:rPr>
  </w:style>
  <w:style w:type="paragraph" w:customStyle="1" w:styleId="523">
    <w:name w:val="3级"/>
    <w:basedOn w:val="4"/>
    <w:next w:val="1"/>
    <w:qFormat/>
    <w:uiPriority w:val="0"/>
    <w:pPr>
      <w:adjustRightInd w:val="0"/>
      <w:snapToGrid w:val="0"/>
      <w:spacing w:before="160" w:after="120"/>
    </w:pPr>
    <w:rPr>
      <w:rFonts w:eastAsia="黑体"/>
      <w:b w:val="0"/>
      <w:kern w:val="2"/>
      <w:szCs w:val="32"/>
      <w:lang w:eastAsia="zh-CN"/>
    </w:rPr>
  </w:style>
  <w:style w:type="paragraph" w:customStyle="1" w:styleId="524">
    <w:name w:val="文本框文字"/>
    <w:basedOn w:val="38"/>
    <w:next w:val="38"/>
    <w:qFormat/>
    <w:uiPriority w:val="0"/>
    <w:pPr>
      <w:spacing w:line="360" w:lineRule="exact"/>
    </w:pPr>
    <w:rPr>
      <w:rFonts w:cs="Times New Roman"/>
      <w:szCs w:val="20"/>
    </w:rPr>
  </w:style>
  <w:style w:type="paragraph" w:customStyle="1" w:styleId="525">
    <w:name w:val="小表格"/>
    <w:basedOn w:val="1"/>
    <w:qFormat/>
    <w:uiPriority w:val="0"/>
    <w:pPr>
      <w:jc w:val="center"/>
    </w:pPr>
    <w:rPr>
      <w:rFonts w:ascii="宋体" w:hAnsi="宋体"/>
      <w:sz w:val="18"/>
      <w:szCs w:val="20"/>
    </w:rPr>
  </w:style>
  <w:style w:type="paragraph" w:customStyle="1" w:styleId="526">
    <w:name w:val="样式 标题 1 + 首行缩进:  1.56 厘米"/>
    <w:basedOn w:val="2"/>
    <w:qFormat/>
    <w:uiPriority w:val="0"/>
    <w:pPr>
      <w:jc w:val="left"/>
    </w:pPr>
    <w:rPr>
      <w:rFonts w:cs="宋体"/>
      <w:szCs w:val="20"/>
    </w:rPr>
  </w:style>
  <w:style w:type="paragraph" w:customStyle="1" w:styleId="527">
    <w:name w:val="样式 标题 2标题 2 Char Char Char标题 2 Char Char Char Char Char标题 2 C..."/>
    <w:basedOn w:val="3"/>
    <w:qFormat/>
    <w:uiPriority w:val="0"/>
    <w:pPr>
      <w:spacing w:before="120" w:after="120"/>
    </w:pPr>
    <w:rPr>
      <w:rFonts w:cs="宋体"/>
      <w:kern w:val="2"/>
      <w:szCs w:val="20"/>
      <w:lang w:eastAsia="zh-CN"/>
    </w:rPr>
  </w:style>
  <w:style w:type="paragraph" w:customStyle="1" w:styleId="528">
    <w:name w:val="注释标题1"/>
    <w:basedOn w:val="18"/>
    <w:next w:val="18"/>
    <w:qFormat/>
    <w:uiPriority w:val="0"/>
    <w:pPr>
      <w:tabs>
        <w:tab w:val="left" w:pos="360"/>
      </w:tabs>
      <w:ind w:firstLine="480"/>
    </w:pPr>
    <w:rPr>
      <w:color w:val="000000"/>
      <w:szCs w:val="18"/>
    </w:rPr>
  </w:style>
  <w:style w:type="paragraph" w:customStyle="1" w:styleId="529">
    <w:name w:val="jj-表正文"/>
    <w:next w:val="367"/>
    <w:qFormat/>
    <w:uiPriority w:val="0"/>
    <w:pPr>
      <w:snapToGrid w:val="0"/>
      <w:spacing w:after="480" w:line="276" w:lineRule="auto"/>
      <w:jc w:val="center"/>
    </w:pPr>
    <w:rPr>
      <w:rFonts w:ascii="Calibri" w:hAnsi="Calibri" w:eastAsia="仿宋" w:cs="Times New Roman"/>
      <w:kern w:val="2"/>
      <w:sz w:val="24"/>
      <w:szCs w:val="21"/>
      <w:lang w:val="en-US" w:eastAsia="zh-CN" w:bidi="ar-SA"/>
    </w:rPr>
  </w:style>
  <w:style w:type="paragraph" w:customStyle="1" w:styleId="530">
    <w:name w:val="图标"/>
    <w:basedOn w:val="1"/>
    <w:qFormat/>
    <w:uiPriority w:val="0"/>
    <w:pPr>
      <w:tabs>
        <w:tab w:val="left" w:pos="6395"/>
      </w:tabs>
      <w:spacing w:line="480" w:lineRule="exact"/>
      <w:jc w:val="center"/>
      <w:outlineLvl w:val="5"/>
    </w:pPr>
    <w:rPr>
      <w:rFonts w:ascii="宋体" w:hAnsi="宋体"/>
      <w:b/>
      <w:bCs/>
      <w:sz w:val="36"/>
      <w:szCs w:val="20"/>
    </w:rPr>
  </w:style>
  <w:style w:type="paragraph" w:customStyle="1" w:styleId="531">
    <w:name w:val="jj表格"/>
    <w:basedOn w:val="1"/>
    <w:next w:val="28"/>
    <w:qFormat/>
    <w:uiPriority w:val="0"/>
    <w:pPr>
      <w:widowControl/>
      <w:spacing w:line="480" w:lineRule="exact"/>
      <w:jc w:val="center"/>
    </w:pPr>
    <w:rPr>
      <w:rFonts w:ascii="仿宋_GB2312" w:hAnsi="宋体" w:eastAsia="仿宋_GB2312"/>
      <w:szCs w:val="28"/>
    </w:rPr>
  </w:style>
  <w:style w:type="paragraph" w:customStyle="1" w:styleId="532">
    <w:name w:val="样式 黑体 黑色 居中 行距: 1.5 倍行距"/>
    <w:basedOn w:val="1"/>
    <w:qFormat/>
    <w:uiPriority w:val="0"/>
    <w:pPr>
      <w:ind w:firstLine="0" w:firstLineChars="0"/>
      <w:jc w:val="center"/>
    </w:pPr>
    <w:rPr>
      <w:rFonts w:ascii="黑体" w:eastAsia="黑体" w:cs="宋体"/>
      <w:color w:val="000000"/>
      <w:kern w:val="2"/>
      <w:sz w:val="21"/>
      <w:szCs w:val="20"/>
      <w:lang w:eastAsia="zh-CN" w:bidi="ar-SA"/>
    </w:rPr>
  </w:style>
  <w:style w:type="paragraph" w:customStyle="1" w:styleId="533">
    <w:name w:val="样式 标题 3Char Char条标题1.1.1H3BSH-3二级节名h33rd levell3CT3行..."/>
    <w:basedOn w:val="4"/>
    <w:qFormat/>
    <w:uiPriority w:val="0"/>
    <w:pPr>
      <w:spacing w:beforeLines="50" w:afterLines="50"/>
    </w:pPr>
    <w:rPr>
      <w:rFonts w:cs="宋体"/>
    </w:rPr>
  </w:style>
  <w:style w:type="paragraph" w:customStyle="1" w:styleId="534">
    <w:name w:val="hp1"/>
    <w:basedOn w:val="2"/>
    <w:qFormat/>
    <w:uiPriority w:val="0"/>
    <w:pPr>
      <w:spacing w:before="340" w:after="330" w:line="578" w:lineRule="atLeast"/>
      <w:ind w:firstLine="482"/>
      <w:jc w:val="center"/>
      <w:textAlignment w:val="baseline"/>
    </w:pPr>
    <w:rPr>
      <w:rFonts w:hAnsi="宋体"/>
      <w:sz w:val="32"/>
    </w:rPr>
  </w:style>
  <w:style w:type="paragraph" w:customStyle="1" w:styleId="535">
    <w:name w:val="默认段落字体 Para Char"/>
    <w:basedOn w:val="1"/>
    <w:next w:val="1"/>
    <w:qFormat/>
    <w:uiPriority w:val="0"/>
    <w:pPr>
      <w:keepNext/>
      <w:keepLines/>
      <w:widowControl/>
      <w:adjustRightInd w:val="0"/>
      <w:spacing w:before="360" w:after="480"/>
      <w:jc w:val="left"/>
      <w:textAlignment w:val="baseline"/>
      <w:outlineLvl w:val="1"/>
    </w:pPr>
    <w:rPr>
      <w:rFonts w:ascii="宋体" w:hAnsi="宋体" w:cs="宋体"/>
      <w:b/>
      <w:bCs/>
      <w:sz w:val="30"/>
      <w:szCs w:val="28"/>
    </w:rPr>
  </w:style>
  <w:style w:type="paragraph" w:customStyle="1" w:styleId="536">
    <w:name w:val="默认段落字体 Char Char Char Char Char"/>
    <w:basedOn w:val="1"/>
    <w:qFormat/>
    <w:uiPriority w:val="0"/>
    <w:pPr>
      <w:snapToGrid w:val="0"/>
    </w:pPr>
    <w:rPr>
      <w:rFonts w:eastAsia="仿宋_GB2312"/>
      <w:kern w:val="2"/>
      <w:szCs w:val="24"/>
      <w:lang w:eastAsia="zh-CN" w:bidi="ar-SA"/>
    </w:rPr>
  </w:style>
  <w:style w:type="paragraph" w:customStyle="1" w:styleId="537">
    <w:name w:val="font9"/>
    <w:basedOn w:val="1"/>
    <w:qFormat/>
    <w:uiPriority w:val="0"/>
    <w:pPr>
      <w:widowControl/>
      <w:spacing w:before="100" w:beforeAutospacing="1" w:after="100" w:afterAutospacing="1"/>
      <w:jc w:val="left"/>
    </w:pPr>
    <w:rPr>
      <w:rFonts w:hint="eastAsia" w:ascii="宋体" w:hAnsi="宋体"/>
      <w:color w:val="000000"/>
    </w:rPr>
  </w:style>
  <w:style w:type="paragraph" w:customStyle="1" w:styleId="538">
    <w:name w:val="图号样式100"/>
    <w:basedOn w:val="28"/>
    <w:qFormat/>
    <w:uiPriority w:val="0"/>
    <w:pPr>
      <w:widowControl/>
      <w:spacing w:after="0"/>
      <w:jc w:val="center"/>
    </w:pPr>
    <w:rPr>
      <w:rFonts w:ascii="宋体" w:hAnsi="宋体"/>
    </w:rPr>
  </w:style>
  <w:style w:type="paragraph" w:customStyle="1" w:styleId="539">
    <w:name w:val="xl4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sz w:val="28"/>
      <w:szCs w:val="28"/>
    </w:rPr>
  </w:style>
  <w:style w:type="paragraph" w:customStyle="1" w:styleId="540">
    <w:name w:val="表格 2"/>
    <w:basedOn w:val="1"/>
    <w:qFormat/>
    <w:uiPriority w:val="0"/>
    <w:pPr>
      <w:autoSpaceDE w:val="0"/>
      <w:autoSpaceDN w:val="0"/>
      <w:adjustRightInd w:val="0"/>
      <w:jc w:val="center"/>
      <w:textAlignment w:val="baseline"/>
    </w:pPr>
    <w:rPr>
      <w:szCs w:val="20"/>
    </w:rPr>
  </w:style>
  <w:style w:type="paragraph" w:customStyle="1" w:styleId="541">
    <w:name w:val="xl46"/>
    <w:basedOn w:val="1"/>
    <w:qFormat/>
    <w:uiPriority w:val="0"/>
    <w:pPr>
      <w:widowControl/>
      <w:pBdr>
        <w:bottom w:val="single" w:color="auto" w:sz="4" w:space="0"/>
      </w:pBdr>
      <w:spacing w:before="100" w:beforeAutospacing="1" w:after="100" w:afterAutospacing="1"/>
      <w:jc w:val="center"/>
      <w:textAlignment w:val="center"/>
    </w:pPr>
    <w:rPr>
      <w:rFonts w:ascii="Arial Unicode MS" w:hAnsi="Arial Unicode MS" w:eastAsia="Arial Unicode MS" w:cs="Arial Unicode MS"/>
      <w:b/>
      <w:bCs/>
      <w:color w:val="800080"/>
      <w:sz w:val="28"/>
      <w:szCs w:val="28"/>
    </w:rPr>
  </w:style>
  <w:style w:type="paragraph" w:customStyle="1" w:styleId="542">
    <w:name w:val="xl39"/>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sz w:val="16"/>
      <w:szCs w:val="16"/>
    </w:rPr>
  </w:style>
  <w:style w:type="paragraph" w:customStyle="1" w:styleId="543">
    <w:name w:val="图表头"/>
    <w:basedOn w:val="1"/>
    <w:qFormat/>
    <w:uiPriority w:val="0"/>
    <w:pPr>
      <w:adjustRightInd w:val="0"/>
      <w:jc w:val="center"/>
      <w:textAlignment w:val="baseline"/>
    </w:pPr>
    <w:rPr>
      <w:rFonts w:ascii="黑体" w:eastAsia="黑体"/>
      <w:spacing w:val="5"/>
      <w:szCs w:val="20"/>
    </w:rPr>
  </w:style>
  <w:style w:type="paragraph" w:customStyle="1" w:styleId="544">
    <w:name w:val="样式35"/>
    <w:basedOn w:val="1"/>
    <w:qFormat/>
    <w:uiPriority w:val="0"/>
    <w:pPr>
      <w:adjustRightInd w:val="0"/>
      <w:spacing w:line="312" w:lineRule="auto"/>
      <w:ind w:firstLine="567"/>
      <w:textAlignment w:val="baseline"/>
    </w:pPr>
    <w:rPr>
      <w:rFonts w:ascii="宋体"/>
      <w:sz w:val="28"/>
      <w:szCs w:val="20"/>
    </w:rPr>
  </w:style>
  <w:style w:type="paragraph" w:customStyle="1" w:styleId="545">
    <w:name w:val="xl53"/>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sz w:val="28"/>
      <w:szCs w:val="28"/>
    </w:rPr>
  </w:style>
  <w:style w:type="paragraph" w:customStyle="1" w:styleId="546">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sz w:val="28"/>
      <w:szCs w:val="28"/>
    </w:rPr>
  </w:style>
  <w:style w:type="paragraph" w:customStyle="1" w:styleId="547">
    <w:name w:val="style3"/>
    <w:basedOn w:val="1"/>
    <w:qFormat/>
    <w:uiPriority w:val="0"/>
    <w:pPr>
      <w:widowControl/>
      <w:spacing w:before="100" w:beforeAutospacing="1" w:after="100" w:afterAutospacing="1" w:line="240" w:lineRule="auto"/>
      <w:ind w:firstLine="0" w:firstLineChars="0"/>
      <w:jc w:val="left"/>
    </w:pPr>
    <w:rPr>
      <w:rFonts w:ascii="宋体" w:hAnsi="宋体" w:cs="宋体"/>
      <w:szCs w:val="24"/>
      <w:lang w:eastAsia="zh-CN" w:bidi="ar-SA"/>
    </w:rPr>
  </w:style>
  <w:style w:type="paragraph" w:customStyle="1" w:styleId="548">
    <w:name w:val="二级标题"/>
    <w:basedOn w:val="1"/>
    <w:qFormat/>
    <w:uiPriority w:val="0"/>
    <w:pPr>
      <w:keepNext/>
      <w:outlineLvl w:val="1"/>
    </w:pPr>
    <w:rPr>
      <w:b/>
      <w:sz w:val="32"/>
      <w:szCs w:val="32"/>
    </w:rPr>
  </w:style>
  <w:style w:type="paragraph" w:customStyle="1" w:styleId="549">
    <w:name w:val="样式 标题 2 + (符号) 宋体 四号 两端对齐 段前: 10 磅 段后: 10 磅"/>
    <w:basedOn w:val="3"/>
    <w:qFormat/>
    <w:uiPriority w:val="0"/>
    <w:pPr>
      <w:keepLines w:val="0"/>
      <w:spacing w:after="200" w:line="600" w:lineRule="exact"/>
    </w:pPr>
    <w:rPr>
      <w:rFonts w:hAnsi="宋体" w:cs="宋体"/>
      <w:sz w:val="30"/>
      <w:szCs w:val="20"/>
    </w:rPr>
  </w:style>
  <w:style w:type="paragraph" w:customStyle="1" w:styleId="550">
    <w:name w:val="xl47"/>
    <w:basedOn w:val="1"/>
    <w:qFormat/>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color w:val="000000"/>
      <w:sz w:val="18"/>
      <w:szCs w:val="18"/>
    </w:rPr>
  </w:style>
  <w:style w:type="paragraph" w:customStyle="1" w:styleId="551">
    <w:name w:val="xl49"/>
    <w:basedOn w:val="1"/>
    <w:qFormat/>
    <w:uiPriority w:val="0"/>
    <w:pPr>
      <w:widowControl/>
      <w:spacing w:before="100" w:beforeAutospacing="1" w:after="100" w:afterAutospacing="1"/>
      <w:jc w:val="center"/>
    </w:pPr>
    <w:rPr>
      <w:rFonts w:ascii="宋体" w:hAnsi="宋体"/>
      <w:b/>
      <w:bCs/>
      <w:sz w:val="36"/>
      <w:szCs w:val="36"/>
    </w:rPr>
  </w:style>
  <w:style w:type="paragraph" w:customStyle="1" w:styleId="552">
    <w:name w:val="xl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sz w:val="18"/>
      <w:szCs w:val="18"/>
    </w:rPr>
  </w:style>
  <w:style w:type="paragraph" w:customStyle="1" w:styleId="553">
    <w:name w:val="样式 标题 3样式　标题 3　自动设置标题 3 Char章 + Times New 表题3"/>
    <w:basedOn w:val="4"/>
    <w:qFormat/>
    <w:uiPriority w:val="0"/>
    <w:pPr>
      <w:tabs>
        <w:tab w:val="left" w:pos="360"/>
        <w:tab w:val="left" w:pos="3800"/>
        <w:tab w:val="left" w:pos="5200"/>
      </w:tabs>
      <w:autoSpaceDE w:val="0"/>
      <w:autoSpaceDN w:val="0"/>
      <w:adjustRightInd w:val="0"/>
      <w:spacing w:line="240" w:lineRule="auto"/>
    </w:pPr>
    <w:rPr>
      <w:rFonts w:cs="宋体"/>
      <w:szCs w:val="28"/>
    </w:rPr>
  </w:style>
  <w:style w:type="paragraph" w:customStyle="1" w:styleId="554">
    <w:name w:val="表格文字居中"/>
    <w:basedOn w:val="1"/>
    <w:qFormat/>
    <w:uiPriority w:val="0"/>
  </w:style>
  <w:style w:type="paragraph" w:customStyle="1" w:styleId="555">
    <w:name w:val="表内 居中"/>
    <w:basedOn w:val="1"/>
    <w:qFormat/>
    <w:uiPriority w:val="0"/>
    <w:pPr>
      <w:adjustRightInd w:val="0"/>
      <w:snapToGrid w:val="0"/>
      <w:spacing w:line="240" w:lineRule="auto"/>
      <w:ind w:firstLine="0" w:firstLineChars="0"/>
      <w:jc w:val="center"/>
    </w:pPr>
    <w:rPr>
      <w:rFonts w:ascii="宋体" w:hAnsi="宋体"/>
      <w:color w:val="000000"/>
      <w:spacing w:val="2"/>
      <w:sz w:val="21"/>
      <w:szCs w:val="21"/>
      <w:lang w:eastAsia="zh-CN" w:bidi="ar-SA"/>
    </w:rPr>
  </w:style>
  <w:style w:type="paragraph" w:customStyle="1" w:styleId="556">
    <w:name w:val="Char Char Char Char Char Char1 Char Char Char Char Char Char Char Char Char1 Char Char Char Char Char Char Char Char Char Char Char Char Char"/>
    <w:basedOn w:val="1"/>
    <w:qFormat/>
    <w:uiPriority w:val="0"/>
    <w:pPr>
      <w:widowControl/>
      <w:jc w:val="left"/>
    </w:pPr>
    <w:rPr>
      <w:rFonts w:ascii="宋体" w:hAnsi="宋体"/>
    </w:rPr>
  </w:style>
  <w:style w:type="paragraph" w:customStyle="1" w:styleId="557">
    <w:name w:val="font5"/>
    <w:basedOn w:val="1"/>
    <w:qFormat/>
    <w:uiPriority w:val="0"/>
    <w:pPr>
      <w:widowControl/>
      <w:spacing w:before="100" w:beforeAutospacing="1" w:after="100" w:afterAutospacing="1"/>
      <w:jc w:val="left"/>
    </w:pPr>
    <w:rPr>
      <w:rFonts w:hint="eastAsia" w:ascii="宋体" w:hAnsi="宋体"/>
      <w:sz w:val="18"/>
      <w:szCs w:val="18"/>
    </w:rPr>
  </w:style>
  <w:style w:type="paragraph" w:customStyle="1" w:styleId="558">
    <w:name w:val="xl34"/>
    <w:basedOn w:val="1"/>
    <w:qFormat/>
    <w:uiPriority w:val="0"/>
    <w:pPr>
      <w:widowControl/>
      <w:pBdr>
        <w:right w:val="single" w:color="auto" w:sz="4" w:space="0"/>
      </w:pBdr>
      <w:spacing w:before="100" w:beforeAutospacing="1" w:after="100" w:afterAutospacing="1"/>
      <w:jc w:val="center"/>
      <w:textAlignment w:val="center"/>
    </w:pPr>
    <w:rPr>
      <w:rFonts w:ascii="宋体" w:hAnsi="宋体"/>
    </w:rPr>
  </w:style>
  <w:style w:type="paragraph" w:customStyle="1" w:styleId="559">
    <w:name w:val="xl38"/>
    <w:basedOn w:val="1"/>
    <w:qFormat/>
    <w:uiPriority w:val="0"/>
    <w:pPr>
      <w:widowControl/>
      <w:pBdr>
        <w:left w:val="single" w:color="auto" w:sz="4" w:space="0"/>
        <w:right w:val="single" w:color="auto" w:sz="4" w:space="0"/>
      </w:pBdr>
      <w:spacing w:before="100" w:beforeAutospacing="1" w:after="100" w:afterAutospacing="1"/>
      <w:jc w:val="left"/>
    </w:pPr>
    <w:rPr>
      <w:rFonts w:ascii="宋体" w:hAnsi="宋体"/>
      <w:sz w:val="22"/>
    </w:rPr>
  </w:style>
  <w:style w:type="paragraph" w:customStyle="1" w:styleId="560">
    <w:name w:val="表格样式11"/>
    <w:basedOn w:val="1"/>
    <w:qFormat/>
    <w:uiPriority w:val="0"/>
    <w:pPr>
      <w:spacing w:line="360" w:lineRule="exact"/>
      <w:jc w:val="center"/>
    </w:pPr>
    <w:rPr>
      <w:rFonts w:ascii="宋体" w:hAnsi="宋体" w:cs="Arial"/>
    </w:rPr>
  </w:style>
  <w:style w:type="paragraph" w:customStyle="1" w:styleId="561">
    <w:name w:val="xl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sz w:val="18"/>
      <w:szCs w:val="18"/>
    </w:rPr>
  </w:style>
  <w:style w:type="paragraph" w:customStyle="1" w:styleId="562">
    <w:name w:val="正式文本"/>
    <w:basedOn w:val="1"/>
    <w:qFormat/>
    <w:uiPriority w:val="0"/>
    <w:pPr>
      <w:spacing w:line="540" w:lineRule="exact"/>
    </w:pPr>
    <w:rPr>
      <w:rFonts w:ascii="宋体" w:hAnsi="Arial Narrow"/>
      <w:sz w:val="28"/>
    </w:rPr>
  </w:style>
  <w:style w:type="paragraph" w:customStyle="1" w:styleId="563">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sz w:val="28"/>
      <w:szCs w:val="28"/>
    </w:rPr>
  </w:style>
  <w:style w:type="paragraph" w:customStyle="1" w:styleId="564">
    <w:name w:val="样式 题注 + (西文) Times New Roman (中文) 宋体 小四 加粗 黑色 Char"/>
    <w:basedOn w:val="19"/>
    <w:qFormat/>
    <w:uiPriority w:val="0"/>
    <w:pPr>
      <w:adjustRightInd w:val="0"/>
      <w:spacing w:beforeLines="100" w:line="360" w:lineRule="auto"/>
      <w:jc w:val="center"/>
      <w:textAlignment w:val="baseline"/>
    </w:pPr>
    <w:rPr>
      <w:b w:val="0"/>
      <w:bCs w:val="0"/>
      <w:color w:val="000000"/>
      <w:sz w:val="24"/>
      <w:szCs w:val="24"/>
    </w:rPr>
  </w:style>
  <w:style w:type="paragraph" w:customStyle="1" w:styleId="565">
    <w:name w:val="样式 小四 居中 首行缩进:  2 字符 行距: 固定值 26 磅"/>
    <w:basedOn w:val="1"/>
    <w:qFormat/>
    <w:uiPriority w:val="0"/>
    <w:pPr>
      <w:spacing w:line="520" w:lineRule="exact"/>
      <w:jc w:val="center"/>
    </w:pPr>
    <w:rPr>
      <w:rFonts w:ascii="宋体" w:hAnsi="宋体"/>
      <w:snapToGrid w:val="0"/>
      <w:szCs w:val="20"/>
    </w:rPr>
  </w:style>
  <w:style w:type="paragraph" w:customStyle="1" w:styleId="566">
    <w:name w:val="段落"/>
    <w:basedOn w:val="1"/>
    <w:qFormat/>
    <w:uiPriority w:val="0"/>
    <w:pPr>
      <w:tabs>
        <w:tab w:val="left" w:pos="1021"/>
      </w:tabs>
      <w:spacing w:line="480" w:lineRule="exact"/>
      <w:ind w:firstLine="560"/>
    </w:pPr>
    <w:rPr>
      <w:kern w:val="24"/>
      <w:sz w:val="28"/>
      <w:szCs w:val="20"/>
    </w:rPr>
  </w:style>
  <w:style w:type="paragraph" w:customStyle="1" w:styleId="567">
    <w:name w:val="样式正文"/>
    <w:basedOn w:val="1"/>
    <w:qFormat/>
    <w:uiPriority w:val="0"/>
    <w:pPr>
      <w:adjustRightInd w:val="0"/>
      <w:snapToGrid w:val="0"/>
      <w:ind w:firstLine="624"/>
    </w:pPr>
    <w:rPr>
      <w:sz w:val="28"/>
      <w:szCs w:val="20"/>
    </w:rPr>
  </w:style>
  <w:style w:type="paragraph" w:customStyle="1" w:styleId="568">
    <w:name w:val="表格（居中）"/>
    <w:basedOn w:val="1"/>
    <w:next w:val="1"/>
    <w:qFormat/>
    <w:uiPriority w:val="0"/>
    <w:pPr>
      <w:spacing w:line="240" w:lineRule="auto"/>
      <w:ind w:firstLine="0" w:firstLineChars="0"/>
      <w:jc w:val="center"/>
    </w:pPr>
    <w:rPr>
      <w:kern w:val="2"/>
      <w:szCs w:val="20"/>
      <w:lang w:eastAsia="zh-CN" w:bidi="ar-SA"/>
    </w:rPr>
  </w:style>
  <w:style w:type="paragraph" w:customStyle="1" w:styleId="569">
    <w:name w:val="样式 图号 + 宋体"/>
    <w:basedOn w:val="251"/>
    <w:qFormat/>
    <w:uiPriority w:val="0"/>
    <w:pPr>
      <w:adjustRightInd/>
      <w:ind w:firstLine="200" w:firstLineChars="200"/>
    </w:pPr>
    <w:rPr>
      <w:rFonts w:ascii="宋体" w:hAnsi="宋体"/>
      <w:color w:val="000000"/>
    </w:rPr>
  </w:style>
  <w:style w:type="paragraph" w:customStyle="1" w:styleId="570">
    <w:name w:val="样式 首行缩进:  2 字符"/>
    <w:basedOn w:val="1"/>
    <w:qFormat/>
    <w:uiPriority w:val="0"/>
    <w:pPr>
      <w:topLinePunct/>
      <w:spacing w:line="280" w:lineRule="exact"/>
    </w:pPr>
    <w:rPr>
      <w:rFonts w:ascii="宋体" w:hAnsi="宋体" w:cs="宋体"/>
      <w:szCs w:val="21"/>
    </w:rPr>
  </w:style>
  <w:style w:type="character" w:customStyle="1" w:styleId="571">
    <w:name w:val="方案正文样式 Char"/>
    <w:qFormat/>
    <w:uiPriority w:val="0"/>
    <w:rPr>
      <w:rFonts w:ascii="宋体" w:hAnsi="宋体" w:eastAsia="宋体"/>
      <w:kern w:val="2"/>
      <w:sz w:val="24"/>
      <w:lang w:val="en-US" w:eastAsia="zh-CN" w:bidi="ar-SA"/>
    </w:rPr>
  </w:style>
  <w:style w:type="paragraph" w:customStyle="1" w:styleId="572">
    <w:name w:val="p0"/>
    <w:basedOn w:val="1"/>
    <w:qFormat/>
    <w:uiPriority w:val="0"/>
    <w:pPr>
      <w:widowControl/>
      <w:spacing w:line="240" w:lineRule="auto"/>
      <w:ind w:firstLine="0" w:firstLineChars="0"/>
    </w:pPr>
    <w:rPr>
      <w:sz w:val="21"/>
      <w:szCs w:val="21"/>
      <w:lang w:eastAsia="zh-CN" w:bidi="ar-SA"/>
    </w:rPr>
  </w:style>
  <w:style w:type="paragraph" w:customStyle="1" w:styleId="573">
    <w:name w:val="无间隔1"/>
    <w:basedOn w:val="1"/>
    <w:next w:val="1"/>
    <w:qFormat/>
    <w:uiPriority w:val="0"/>
    <w:pPr>
      <w:snapToGrid w:val="0"/>
      <w:spacing w:line="240" w:lineRule="auto"/>
      <w:ind w:firstLine="0" w:firstLineChars="0"/>
      <w:jc w:val="center"/>
    </w:pPr>
    <w:rPr>
      <w:rFonts w:hint="eastAsia"/>
      <w:kern w:val="2"/>
      <w:sz w:val="21"/>
      <w:szCs w:val="24"/>
      <w:lang w:eastAsia="zh-CN" w:bidi="ar-SA"/>
    </w:rPr>
  </w:style>
  <w:style w:type="paragraph" w:customStyle="1" w:styleId="574">
    <w:name w:val="表格内容"/>
    <w:link w:val="575"/>
    <w:qFormat/>
    <w:uiPriority w:val="0"/>
    <w:pPr>
      <w:widowControl w:val="0"/>
      <w:snapToGrid w:val="0"/>
      <w:spacing w:line="240" w:lineRule="atLeast"/>
      <w:jc w:val="center"/>
    </w:pPr>
    <w:rPr>
      <w:rFonts w:ascii="楷体_GB2312" w:hAnsi="楷体_GB2312" w:eastAsia="宋体" w:cs="Times New Roman"/>
      <w:kern w:val="2"/>
      <w:sz w:val="24"/>
      <w:szCs w:val="24"/>
      <w:lang w:val="en-US" w:eastAsia="zh-CN" w:bidi="ar-SA"/>
    </w:rPr>
  </w:style>
  <w:style w:type="character" w:customStyle="1" w:styleId="575">
    <w:name w:val="表格内容 Char"/>
    <w:link w:val="574"/>
    <w:qFormat/>
    <w:uiPriority w:val="0"/>
    <w:rPr>
      <w:rFonts w:ascii="楷体_GB2312" w:hAnsi="楷体_GB2312"/>
      <w:kern w:val="2"/>
      <w:sz w:val="24"/>
      <w:szCs w:val="24"/>
      <w:lang w:bidi="ar-SA"/>
    </w:rPr>
  </w:style>
  <w:style w:type="paragraph" w:customStyle="1" w:styleId="576">
    <w:name w:val="表格内容5号"/>
    <w:link w:val="577"/>
    <w:qFormat/>
    <w:uiPriority w:val="0"/>
    <w:pPr>
      <w:widowControl w:val="0"/>
      <w:adjustRightInd w:val="0"/>
      <w:snapToGrid w:val="0"/>
      <w:spacing w:line="240" w:lineRule="atLeast"/>
      <w:jc w:val="center"/>
    </w:pPr>
    <w:rPr>
      <w:rFonts w:ascii="楷体_GB2312" w:hAnsi="楷体_GB2312" w:eastAsia="宋体" w:cs="Times New Roman"/>
      <w:kern w:val="2"/>
      <w:sz w:val="21"/>
      <w:szCs w:val="24"/>
      <w:lang w:val="en-US" w:eastAsia="zh-CN" w:bidi="ar-SA"/>
    </w:rPr>
  </w:style>
  <w:style w:type="character" w:customStyle="1" w:styleId="577">
    <w:name w:val="表格内容5号 Char"/>
    <w:link w:val="576"/>
    <w:qFormat/>
    <w:uiPriority w:val="0"/>
    <w:rPr>
      <w:rFonts w:ascii="楷体_GB2312" w:hAnsi="楷体_GB2312"/>
      <w:kern w:val="2"/>
      <w:sz w:val="21"/>
      <w:szCs w:val="24"/>
      <w:lang w:bidi="ar-SA"/>
    </w:rPr>
  </w:style>
  <w:style w:type="paragraph" w:customStyle="1" w:styleId="578">
    <w:name w:val="正文内容"/>
    <w:link w:val="579"/>
    <w:qFormat/>
    <w:uiPriority w:val="0"/>
    <w:pPr>
      <w:widowControl w:val="0"/>
      <w:snapToGrid w:val="0"/>
      <w:spacing w:before="60" w:after="60" w:line="440" w:lineRule="exact"/>
      <w:ind w:firstLine="200" w:firstLineChars="200"/>
      <w:jc w:val="both"/>
    </w:pPr>
    <w:rPr>
      <w:rFonts w:ascii="Courier New" w:hAnsi="Courier New" w:eastAsia="隶书" w:cs="Times New Roman"/>
      <w:kern w:val="2"/>
      <w:sz w:val="24"/>
      <w:szCs w:val="24"/>
      <w:lang w:val="en-US" w:eastAsia="zh-CN" w:bidi="ar-SA"/>
    </w:rPr>
  </w:style>
  <w:style w:type="character" w:customStyle="1" w:styleId="579">
    <w:name w:val="正文内容 Char"/>
    <w:link w:val="578"/>
    <w:qFormat/>
    <w:uiPriority w:val="0"/>
    <w:rPr>
      <w:rFonts w:ascii="Courier New" w:hAnsi="Courier New" w:eastAsia="隶书"/>
      <w:kern w:val="2"/>
      <w:sz w:val="24"/>
      <w:szCs w:val="24"/>
      <w:lang w:bidi="ar-SA"/>
    </w:rPr>
  </w:style>
  <w:style w:type="paragraph" w:customStyle="1" w:styleId="580">
    <w:name w:val="表"/>
    <w:basedOn w:val="1"/>
    <w:qFormat/>
    <w:uiPriority w:val="0"/>
    <w:pPr>
      <w:widowControl/>
      <w:spacing w:line="0" w:lineRule="atLeast"/>
      <w:ind w:firstLine="0" w:firstLineChars="0"/>
      <w:jc w:val="center"/>
    </w:pPr>
    <w:rPr>
      <w:rFonts w:ascii="楷体_GB2312" w:hAnsi="楷体_GB2312" w:eastAsia="Arial" w:cs="楷体_GB2312"/>
      <w:sz w:val="21"/>
      <w:szCs w:val="20"/>
      <w:lang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6" Type="http://schemas.openxmlformats.org/officeDocument/2006/relationships/fontTable" Target="fontTable.xml"/><Relationship Id="rId75" Type="http://schemas.openxmlformats.org/officeDocument/2006/relationships/customXml" Target="../customXml/item2.xml"/><Relationship Id="rId74" Type="http://schemas.openxmlformats.org/officeDocument/2006/relationships/customXml" Target="../customXml/item1.xml"/><Relationship Id="rId73" Type="http://schemas.openxmlformats.org/officeDocument/2006/relationships/image" Target="media/image41.jpeg"/><Relationship Id="rId72" Type="http://schemas.openxmlformats.org/officeDocument/2006/relationships/image" Target="media/image40.jpeg"/><Relationship Id="rId71" Type="http://schemas.openxmlformats.org/officeDocument/2006/relationships/image" Target="media/image39.jpeg"/><Relationship Id="rId70" Type="http://schemas.openxmlformats.org/officeDocument/2006/relationships/image" Target="media/image38.jpeg"/><Relationship Id="rId7" Type="http://schemas.openxmlformats.org/officeDocument/2006/relationships/header" Target="header3.xml"/><Relationship Id="rId69" Type="http://schemas.openxmlformats.org/officeDocument/2006/relationships/image" Target="media/image37.jpeg"/><Relationship Id="rId68" Type="http://schemas.openxmlformats.org/officeDocument/2006/relationships/image" Target="media/image36.wmf"/><Relationship Id="rId67" Type="http://schemas.openxmlformats.org/officeDocument/2006/relationships/oleObject" Target="embeddings/oleObject16.bin"/><Relationship Id="rId66" Type="http://schemas.openxmlformats.org/officeDocument/2006/relationships/image" Target="media/image35.wmf"/><Relationship Id="rId65" Type="http://schemas.openxmlformats.org/officeDocument/2006/relationships/oleObject" Target="embeddings/oleObject15.bin"/><Relationship Id="rId64" Type="http://schemas.openxmlformats.org/officeDocument/2006/relationships/image" Target="media/image34.wmf"/><Relationship Id="rId63" Type="http://schemas.openxmlformats.org/officeDocument/2006/relationships/oleObject" Target="embeddings/oleObject14.bin"/><Relationship Id="rId62" Type="http://schemas.openxmlformats.org/officeDocument/2006/relationships/image" Target="media/image33.wmf"/><Relationship Id="rId61" Type="http://schemas.openxmlformats.org/officeDocument/2006/relationships/oleObject" Target="embeddings/oleObject13.bin"/><Relationship Id="rId60" Type="http://schemas.openxmlformats.org/officeDocument/2006/relationships/image" Target="media/image32.wmf"/><Relationship Id="rId6" Type="http://schemas.openxmlformats.org/officeDocument/2006/relationships/header" Target="header2.xml"/><Relationship Id="rId59" Type="http://schemas.openxmlformats.org/officeDocument/2006/relationships/oleObject" Target="embeddings/oleObject12.bin"/><Relationship Id="rId58" Type="http://schemas.openxmlformats.org/officeDocument/2006/relationships/image" Target="media/image31.wmf"/><Relationship Id="rId57" Type="http://schemas.openxmlformats.org/officeDocument/2006/relationships/image" Target="media/image30.wmf"/><Relationship Id="rId56" Type="http://schemas.openxmlformats.org/officeDocument/2006/relationships/image" Target="media/image29.wmf"/><Relationship Id="rId55" Type="http://schemas.openxmlformats.org/officeDocument/2006/relationships/image" Target="media/image28.wmf"/><Relationship Id="rId54" Type="http://schemas.openxmlformats.org/officeDocument/2006/relationships/oleObject" Target="embeddings/oleObject11.bin"/><Relationship Id="rId53" Type="http://schemas.openxmlformats.org/officeDocument/2006/relationships/image" Target="media/image27.wmf"/><Relationship Id="rId52" Type="http://schemas.openxmlformats.org/officeDocument/2006/relationships/oleObject" Target="embeddings/oleObject10.bin"/><Relationship Id="rId51" Type="http://schemas.openxmlformats.org/officeDocument/2006/relationships/image" Target="media/image26.wmf"/><Relationship Id="rId50" Type="http://schemas.openxmlformats.org/officeDocument/2006/relationships/oleObject" Target="embeddings/oleObject9.bin"/><Relationship Id="rId5" Type="http://schemas.openxmlformats.org/officeDocument/2006/relationships/header" Target="header1.xml"/><Relationship Id="rId49" Type="http://schemas.openxmlformats.org/officeDocument/2006/relationships/image" Target="media/image25.wmf"/><Relationship Id="rId48" Type="http://schemas.openxmlformats.org/officeDocument/2006/relationships/oleObject" Target="embeddings/oleObject8.bin"/><Relationship Id="rId47" Type="http://schemas.openxmlformats.org/officeDocument/2006/relationships/image" Target="media/image24.wmf"/><Relationship Id="rId46" Type="http://schemas.openxmlformats.org/officeDocument/2006/relationships/oleObject" Target="embeddings/oleObject7.bin"/><Relationship Id="rId45" Type="http://schemas.openxmlformats.org/officeDocument/2006/relationships/image" Target="media/image23.wmf"/><Relationship Id="rId44" Type="http://schemas.openxmlformats.org/officeDocument/2006/relationships/oleObject" Target="embeddings/oleObject6.bin"/><Relationship Id="rId43" Type="http://schemas.openxmlformats.org/officeDocument/2006/relationships/image" Target="media/image22.wmf"/><Relationship Id="rId42" Type="http://schemas.openxmlformats.org/officeDocument/2006/relationships/oleObject" Target="embeddings/oleObject5.bin"/><Relationship Id="rId41" Type="http://schemas.openxmlformats.org/officeDocument/2006/relationships/image" Target="media/image21.wmf"/><Relationship Id="rId40" Type="http://schemas.openxmlformats.org/officeDocument/2006/relationships/oleObject" Target="embeddings/oleObject4.bin"/><Relationship Id="rId4" Type="http://schemas.openxmlformats.org/officeDocument/2006/relationships/endnotes" Target="endnotes.xml"/><Relationship Id="rId39" Type="http://schemas.openxmlformats.org/officeDocument/2006/relationships/image" Target="media/image20.wmf"/><Relationship Id="rId38" Type="http://schemas.openxmlformats.org/officeDocument/2006/relationships/oleObject" Target="embeddings/oleObject3.bin"/><Relationship Id="rId37" Type="http://schemas.openxmlformats.org/officeDocument/2006/relationships/image" Target="media/image19.jpeg"/><Relationship Id="rId36" Type="http://schemas.openxmlformats.org/officeDocument/2006/relationships/image" Target="media/image18.wmf"/><Relationship Id="rId35" Type="http://schemas.openxmlformats.org/officeDocument/2006/relationships/image" Target="media/image17.emf"/><Relationship Id="rId34" Type="http://schemas.openxmlformats.org/officeDocument/2006/relationships/oleObject" Target="embeddings/oleObject2.bin"/><Relationship Id="rId33" Type="http://schemas.openxmlformats.org/officeDocument/2006/relationships/image" Target="media/image16.emf"/><Relationship Id="rId32" Type="http://schemas.openxmlformats.org/officeDocument/2006/relationships/oleObject" Target="embeddings/oleObject1.bin"/><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footnotes" Target="footnotes.xml"/><Relationship Id="rId29" Type="http://schemas.openxmlformats.org/officeDocument/2006/relationships/image" Target="media/image13.jpeg"/><Relationship Id="rId28" Type="http://schemas.openxmlformats.org/officeDocument/2006/relationships/image" Target="media/image12.jpe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emf"/><Relationship Id="rId23" Type="http://schemas.openxmlformats.org/officeDocument/2006/relationships/image" Target="media/image7.emf"/><Relationship Id="rId22" Type="http://schemas.openxmlformats.org/officeDocument/2006/relationships/image" Target="media/image6.emf"/><Relationship Id="rId21" Type="http://schemas.openxmlformats.org/officeDocument/2006/relationships/image" Target="media/image5.emf"/><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jpeg"/><Relationship Id="rId18" Type="http://schemas.openxmlformats.org/officeDocument/2006/relationships/image" Target="media/image2.jpeg"/><Relationship Id="rId17" Type="http://schemas.openxmlformats.org/officeDocument/2006/relationships/image" Target="media/image1.jpeg"/><Relationship Id="rId16" Type="http://schemas.openxmlformats.org/officeDocument/2006/relationships/theme" Target="theme/theme1.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302"/>
    <customShpInfo spid="_x0000_s1303"/>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D0C5FAB-9FD5-4DF3-8296-3E2FC1E3ABAE}">
  <ds:schemaRefs/>
</ds:datastoreItem>
</file>

<file path=docProps/app.xml><?xml version="1.0" encoding="utf-8"?>
<Properties xmlns="http://schemas.openxmlformats.org/officeDocument/2006/extended-properties" xmlns:vt="http://schemas.openxmlformats.org/officeDocument/2006/docPropsVTypes">
  <Template>Normal</Template>
  <Company>SkyUN.Org</Company>
  <Pages>205</Pages>
  <Words>2534</Words>
  <Characters>3902</Characters>
  <Lines>1195</Lines>
  <Paragraphs>336</Paragraphs>
  <TotalTime>4</TotalTime>
  <ScaleCrop>false</ScaleCrop>
  <LinksUpToDate>false</LinksUpToDate>
  <CharactersWithSpaces>4175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2015-04-09T07:59:00Z</dcterms:created>
  <dc:creator>hjx</dc:creator>
  <cp:lastModifiedBy>love mail</cp:lastModifiedBy>
  <cp:lastPrinted>2015-01-09T08:57:00Z</cp:lastPrinted>
  <dcterms:modified xsi:type="dcterms:W3CDTF">2025-08-25T00:49:45Z</dcterms:modified>
  <dc:subject>环境影响评价报告书</dc:subject>
  <dc:title>钼矿</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A6A96C052F0641F0937B7E0AF118053B_13</vt:lpwstr>
  </property>
  <property fmtid="{D5CDD505-2E9C-101B-9397-08002B2CF9AE}" pid="4" name="KSOTemplateDocerSaveRecord">
    <vt:lpwstr>eyJoZGlkIjoiYWQ2NDdhY2UyYmU2MjRjNjI3ZWZmNjQ2MjY5MjBjMDYiLCJ1c2VySWQiOiIyNTgxMzQ3MjcifQ==</vt:lpwstr>
  </property>
</Properties>
</file>